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5114" w14:textId="0AF2C430" w:rsidR="00C041B4" w:rsidRPr="00AD681D" w:rsidRDefault="00614D77" w:rsidP="00CD6D62">
      <w:pPr>
        <w:spacing w:after="480"/>
        <w:ind w:left="-5" w:right="-10"/>
      </w:pPr>
      <w:r w:rsidRPr="00AD681D">
        <w:rPr>
          <w:bCs/>
        </w:rPr>
        <w:t>Na podlagi 4. točke Uvoda v Slovenske računovodske standarde (2024) (Uradni list RS, št. 129/23</w:t>
      </w:r>
      <w:r w:rsidR="001C63F9">
        <w:rPr>
          <w:bCs/>
        </w:rPr>
        <w:t>)</w:t>
      </w:r>
      <w:r w:rsidRPr="00AD681D">
        <w:rPr>
          <w:bCs/>
        </w:rPr>
        <w:t xml:space="preserve"> je Strokovni svet Slovenskega inštituta za revizijo na svoji seji </w:t>
      </w:r>
      <w:r w:rsidR="009E6735" w:rsidRPr="009E6735">
        <w:rPr>
          <w:bCs/>
        </w:rPr>
        <w:t>29.</w:t>
      </w:r>
      <w:r w:rsidR="00663866">
        <w:rPr>
          <w:bCs/>
        </w:rPr>
        <w:t xml:space="preserve"> maja </w:t>
      </w:r>
      <w:r w:rsidR="009E6735" w:rsidRPr="009E6735">
        <w:rPr>
          <w:bCs/>
        </w:rPr>
        <w:t>2025</w:t>
      </w:r>
      <w:r w:rsidR="009E6735" w:rsidRPr="00AD681D">
        <w:rPr>
          <w:bCs/>
        </w:rPr>
        <w:t xml:space="preserve"> </w:t>
      </w:r>
      <w:r w:rsidRPr="00AD681D">
        <w:rPr>
          <w:bCs/>
        </w:rPr>
        <w:t>sprejel</w:t>
      </w:r>
      <w:r w:rsidRPr="00AD681D">
        <w:t xml:space="preserve"> </w:t>
      </w:r>
    </w:p>
    <w:p w14:paraId="7F163624" w14:textId="1E5D17A4" w:rsidR="00C041B4" w:rsidRDefault="00D629F8" w:rsidP="00CD6D62">
      <w:pPr>
        <w:spacing w:after="240" w:line="265" w:lineRule="auto"/>
        <w:ind w:right="3"/>
        <w:jc w:val="center"/>
      </w:pPr>
      <w:r>
        <w:rPr>
          <w:b/>
          <w:sz w:val="28"/>
        </w:rPr>
        <w:t xml:space="preserve">POJASNILO </w:t>
      </w:r>
      <w:r w:rsidR="00614D77">
        <w:rPr>
          <w:b/>
          <w:sz w:val="28"/>
        </w:rPr>
        <w:t xml:space="preserve">2 </w:t>
      </w:r>
      <w:r>
        <w:rPr>
          <w:b/>
          <w:sz w:val="28"/>
        </w:rPr>
        <w:t xml:space="preserve">K </w:t>
      </w:r>
      <w:r w:rsidR="00AD681D">
        <w:rPr>
          <w:b/>
          <w:sz w:val="28"/>
        </w:rPr>
        <w:t>OKVIRU SRS-jev</w:t>
      </w:r>
      <w:r>
        <w:rPr>
          <w:b/>
          <w:sz w:val="28"/>
        </w:rPr>
        <w:t xml:space="preserve"> (</w:t>
      </w:r>
      <w:r w:rsidR="00AD681D">
        <w:rPr>
          <w:b/>
          <w:sz w:val="28"/>
        </w:rPr>
        <w:t>2024</w:t>
      </w:r>
      <w:r>
        <w:rPr>
          <w:b/>
          <w:sz w:val="28"/>
        </w:rPr>
        <w:t xml:space="preserve">) </w:t>
      </w:r>
      <w:r w:rsidR="00663866">
        <w:rPr>
          <w:rFonts w:ascii="Segoe UI Symbol" w:eastAsia="Segoe UI Symbol" w:hAnsi="Segoe UI Symbol" w:cs="Segoe UI Symbol"/>
          <w:sz w:val="28"/>
        </w:rPr>
        <w:t>–</w:t>
      </w:r>
      <w:r>
        <w:rPr>
          <w:b/>
          <w:sz w:val="28"/>
        </w:rPr>
        <w:t xml:space="preserve"> VODENJE POSLOVNIH KNJIG</w:t>
      </w:r>
      <w:r w:rsidR="00AD681D">
        <w:rPr>
          <w:b/>
          <w:sz w:val="28"/>
        </w:rPr>
        <w:t xml:space="preserve"> </w:t>
      </w:r>
      <w:r>
        <w:rPr>
          <w:b/>
          <w:sz w:val="28"/>
        </w:rPr>
        <w:t>PRI ZDRUŽITVAH IN DELITVAH</w:t>
      </w:r>
    </w:p>
    <w:p w14:paraId="5C5F40F1" w14:textId="3E3AD676" w:rsidR="000E48AD" w:rsidRDefault="001C63F9">
      <w:pPr>
        <w:ind w:left="-5" w:right="-10"/>
      </w:pPr>
      <w:r>
        <w:t xml:space="preserve">Pojasnilo ureja vodenje poslovnih knjig pri združitvah in delitvah, ki se izvedejo po </w:t>
      </w:r>
      <w:r w:rsidR="000E48AD">
        <w:t>Zakonu o gospodarskih družbah (Uradni list Republike Slovenije, št. 65/09 s kasnejšimi spremembami</w:t>
      </w:r>
      <w:r w:rsidR="0012472A">
        <w:t xml:space="preserve"> </w:t>
      </w:r>
      <w:r w:rsidR="00663866">
        <w:t>–</w:t>
      </w:r>
      <w:r w:rsidR="000E48AD">
        <w:t xml:space="preserve"> </w:t>
      </w:r>
      <w:r w:rsidR="00663866">
        <w:t xml:space="preserve">v nadaljnjem besedilu: </w:t>
      </w:r>
      <w:r w:rsidR="000E48AD">
        <w:t>ZGD-1). Te transakcije praviloma ustrezajo poslovni</w:t>
      </w:r>
      <w:r w:rsidR="006D5FCB">
        <w:t>m</w:t>
      </w:r>
      <w:r w:rsidR="000E48AD">
        <w:t xml:space="preserve"> kombinacij</w:t>
      </w:r>
      <w:r w:rsidR="006D5FCB">
        <w:t>am</w:t>
      </w:r>
      <w:r w:rsidR="000E48AD">
        <w:t xml:space="preserve"> organizacij pod skupnim upravljanjem (</w:t>
      </w:r>
      <w:r w:rsidR="00663866">
        <w:t xml:space="preserve">angl. </w:t>
      </w:r>
      <w:proofErr w:type="spellStart"/>
      <w:r w:rsidR="000E48AD" w:rsidRPr="001C232F">
        <w:rPr>
          <w:i/>
          <w:iCs/>
        </w:rPr>
        <w:t>common</w:t>
      </w:r>
      <w:proofErr w:type="spellEnd"/>
      <w:r w:rsidR="000E48AD" w:rsidRPr="001C232F">
        <w:rPr>
          <w:i/>
          <w:iCs/>
        </w:rPr>
        <w:t xml:space="preserve"> </w:t>
      </w:r>
      <w:proofErr w:type="spellStart"/>
      <w:r w:rsidR="000E48AD" w:rsidRPr="001C232F">
        <w:rPr>
          <w:i/>
          <w:iCs/>
        </w:rPr>
        <w:t>control</w:t>
      </w:r>
      <w:proofErr w:type="spellEnd"/>
      <w:r w:rsidR="000E48AD" w:rsidRPr="001C232F">
        <w:rPr>
          <w:i/>
          <w:iCs/>
        </w:rPr>
        <w:t xml:space="preserve"> business </w:t>
      </w:r>
      <w:proofErr w:type="spellStart"/>
      <w:r w:rsidR="000E48AD" w:rsidRPr="001C232F">
        <w:rPr>
          <w:i/>
          <w:iCs/>
        </w:rPr>
        <w:t>combinations</w:t>
      </w:r>
      <w:proofErr w:type="spellEnd"/>
      <w:r w:rsidR="000E48AD">
        <w:t>). V nadaljevanju pojasnila namesto splošnega pojma »organizacija« uporabljamo pojem »družba«.</w:t>
      </w:r>
    </w:p>
    <w:p w14:paraId="12280708" w14:textId="1ED97528" w:rsidR="00C041B4" w:rsidRDefault="00DC43D9">
      <w:pPr>
        <w:ind w:left="-5" w:right="-10"/>
      </w:pPr>
      <w:r>
        <w:t>Na podlagi 68. člena ZGD-1 ter 6. točke Okvira SRS-jev (2024) družbe</w:t>
      </w:r>
      <w:r w:rsidR="00D629F8">
        <w:t>, vpletene v združitve in delitve, pri vodenju poslovnih knjig upoštevajo:</w:t>
      </w:r>
    </w:p>
    <w:p w14:paraId="24A26C70" w14:textId="3CEEEFD5" w:rsidR="00C041B4" w:rsidRDefault="00D629F8" w:rsidP="00E8209E">
      <w:pPr>
        <w:numPr>
          <w:ilvl w:val="0"/>
          <w:numId w:val="1"/>
        </w:numPr>
        <w:ind w:left="284" w:right="-10" w:hanging="284"/>
      </w:pPr>
      <w:r>
        <w:t xml:space="preserve">Družba, ki se pripoji k drugi družbi ali se </w:t>
      </w:r>
      <w:r w:rsidR="00BC3FFB">
        <w:t xml:space="preserve">z njo </w:t>
      </w:r>
      <w:r>
        <w:t>spoji (</w:t>
      </w:r>
      <w:r w:rsidR="00DC43D9">
        <w:t>v nadaljnjem besedilu:</w:t>
      </w:r>
      <w:r>
        <w:t xml:space="preserve"> prevzeta družba</w:t>
      </w:r>
      <w:r w:rsidR="001C63F9">
        <w:rPr>
          <w:rStyle w:val="Sprotnaopomba-sklic"/>
        </w:rPr>
        <w:footnoteReference w:id="1"/>
      </w:r>
      <w:r>
        <w:t>),</w:t>
      </w:r>
      <w:r w:rsidR="00634ACC">
        <w:t xml:space="preserve"> </w:t>
      </w:r>
      <w:r>
        <w:t>skladno z</w:t>
      </w:r>
      <w:r w:rsidR="00E8209E">
        <w:t xml:space="preserve"> 68. členom</w:t>
      </w:r>
      <w:r>
        <w:t xml:space="preserve"> </w:t>
      </w:r>
      <w:r w:rsidR="00634ACC">
        <w:t>ZGD-1</w:t>
      </w:r>
      <w:r>
        <w:t xml:space="preserve"> sestavi zaključno poročilo </w:t>
      </w:r>
      <w:r w:rsidR="00634ACC">
        <w:t xml:space="preserve">po stanju </w:t>
      </w:r>
      <w:r>
        <w:t xml:space="preserve">na dan obračuna </w:t>
      </w:r>
      <w:r w:rsidR="00634ACC">
        <w:t>pripojitve</w:t>
      </w:r>
      <w:r w:rsidR="00D33B00">
        <w:t xml:space="preserve"> oziroma </w:t>
      </w:r>
      <w:r w:rsidR="00634ACC">
        <w:t>spojitve</w:t>
      </w:r>
      <w:r w:rsidR="00D33B00">
        <w:t xml:space="preserve"> (</w:t>
      </w:r>
      <w:r w:rsidR="00DC43D9">
        <w:t xml:space="preserve">v nadaljnjem besedilu: </w:t>
      </w:r>
      <w:r w:rsidR="00D33B00">
        <w:t>dan obračuna združitve)</w:t>
      </w:r>
      <w:r>
        <w:t xml:space="preserve">. To je dan, od katerega dalje se </w:t>
      </w:r>
      <w:bookmarkStart w:id="0" w:name="_Hlk198296326"/>
      <w:r w:rsidR="00634ACC">
        <w:t>skladno s 581. členom ZGD-1</w:t>
      </w:r>
      <w:bookmarkEnd w:id="0"/>
      <w:r w:rsidR="00634ACC">
        <w:t xml:space="preserve"> </w:t>
      </w:r>
      <w:r>
        <w:t xml:space="preserve">šteje, da so </w:t>
      </w:r>
      <w:r w:rsidR="00634ACC">
        <w:t xml:space="preserve">vsa </w:t>
      </w:r>
      <w:r>
        <w:t xml:space="preserve">dejanja prevzete družbe opravljena za račun prevzemne družbe. </w:t>
      </w:r>
      <w:r w:rsidR="00634ACC">
        <w:t>D</w:t>
      </w:r>
      <w:r>
        <w:t>an</w:t>
      </w:r>
      <w:r w:rsidR="00634ACC">
        <w:t xml:space="preserve"> obračuna </w:t>
      </w:r>
      <w:r w:rsidR="00D33B00">
        <w:t>združitve</w:t>
      </w:r>
      <w:r>
        <w:t xml:space="preserve"> določi</w:t>
      </w:r>
      <w:r w:rsidR="000E48AD">
        <w:t>ta</w:t>
      </w:r>
      <w:r>
        <w:t xml:space="preserve"> </w:t>
      </w:r>
      <w:r w:rsidR="000E48AD">
        <w:t xml:space="preserve">poslovodstvi </w:t>
      </w:r>
      <w:r>
        <w:t xml:space="preserve">družb v pogodbi o pripojitvi ali spojitvi. V obdobju od </w:t>
      </w:r>
      <w:r w:rsidR="00D33B00">
        <w:t xml:space="preserve">dneva </w:t>
      </w:r>
      <w:r>
        <w:t xml:space="preserve">obračuna združitve do vpisa združitve v sodni register se šteje, da prevzeta družba poslovne knjige </w:t>
      </w:r>
      <w:r w:rsidR="00D33B00">
        <w:t xml:space="preserve">vodi </w:t>
      </w:r>
      <w:r w:rsidR="00634ACC">
        <w:t xml:space="preserve">sicer </w:t>
      </w:r>
      <w:r>
        <w:t>v svojem imenu</w:t>
      </w:r>
      <w:r w:rsidR="00634ACC">
        <w:t>, vendar v celoti</w:t>
      </w:r>
      <w:r>
        <w:t xml:space="preserve"> </w:t>
      </w:r>
      <w:r w:rsidR="00D33B00">
        <w:t xml:space="preserve">že </w:t>
      </w:r>
      <w:r>
        <w:t>za račun prevzemne družbe</w:t>
      </w:r>
      <w:r w:rsidR="00DC43D9">
        <w:t xml:space="preserve">; </w:t>
      </w:r>
      <w:r>
        <w:t xml:space="preserve">če vpisa v sodni register </w:t>
      </w:r>
      <w:r w:rsidR="00DC43D9">
        <w:t>ni</w:t>
      </w:r>
      <w:r>
        <w:t xml:space="preserve">, pa v svojem imenu in za svoj račun. </w:t>
      </w:r>
      <w:r w:rsidR="00DC43D9">
        <w:t>Pri</w:t>
      </w:r>
      <w:r>
        <w:t xml:space="preserve"> </w:t>
      </w:r>
      <w:r w:rsidR="00DC43D9">
        <w:t xml:space="preserve">vpisu </w:t>
      </w:r>
      <w:r>
        <w:t xml:space="preserve">združitve v sodni register niti prevzeta niti prevzemna družba ne sestavi </w:t>
      </w:r>
      <w:r w:rsidR="00314919">
        <w:t xml:space="preserve">ločenega </w:t>
      </w:r>
      <w:r>
        <w:t>letnega poročila za obdobje od obračuna združitve do vpisa združitve v sodni register.</w:t>
      </w:r>
    </w:p>
    <w:p w14:paraId="0626D6D0" w14:textId="27605764" w:rsidR="00C041B4" w:rsidRDefault="00D629F8" w:rsidP="00D33B00">
      <w:pPr>
        <w:spacing w:after="130"/>
        <w:ind w:left="284" w:right="-10"/>
      </w:pPr>
      <w:r>
        <w:t>Po vpisu združitve v sodni register je prevzeta družba prevzemni družbi dolžna predati poslovne knjige, ki jih je od obračuna združitve do vpisa združitve v sodni register vodila za račun prevzemne družbe</w:t>
      </w:r>
      <w:r w:rsidR="00B142F9">
        <w:rPr>
          <w:rStyle w:val="Sprotnaopomba-sklic"/>
        </w:rPr>
        <w:footnoteReference w:id="2"/>
      </w:r>
      <w:r>
        <w:t xml:space="preserve">. Prevzemna družba na podlagi prevzetih poslovnih knjig v svoje poslovne knjige </w:t>
      </w:r>
      <w:r w:rsidR="006D5FCB">
        <w:t xml:space="preserve">z </w:t>
      </w:r>
      <w:r w:rsidR="00286A15">
        <w:t>začetnim stanjem</w:t>
      </w:r>
      <w:r w:rsidR="006D5FCB">
        <w:t xml:space="preserve"> na prvi</w:t>
      </w:r>
      <w:r w:rsidR="005E1B03">
        <w:t xml:space="preserve"> </w:t>
      </w:r>
      <w:r>
        <w:t>dan</w:t>
      </w:r>
      <w:r w:rsidR="005E1B03">
        <w:t xml:space="preserve"> po dnevu</w:t>
      </w:r>
      <w:r>
        <w:t xml:space="preserve"> obračuna združitve vnese sredstva in obveznosti </w:t>
      </w:r>
      <w:r w:rsidR="005E1B03">
        <w:t xml:space="preserve">prevzete družbe </w:t>
      </w:r>
      <w:r w:rsidR="00314919">
        <w:t>ter jih začetno ovrednoti po pravilih iz 6. točke Okvira SRS</w:t>
      </w:r>
      <w:r w:rsidR="00DC43D9">
        <w:t>-jev</w:t>
      </w:r>
      <w:r w:rsidR="00314919">
        <w:t xml:space="preserve"> </w:t>
      </w:r>
      <w:r w:rsidR="002C783D">
        <w:t>(</w:t>
      </w:r>
      <w:r w:rsidR="00314919">
        <w:t>2024</w:t>
      </w:r>
      <w:r w:rsidR="002C783D">
        <w:t>)</w:t>
      </w:r>
      <w:r>
        <w:t>. Zatem prevzemna</w:t>
      </w:r>
      <w:r w:rsidR="005E1B03">
        <w:t xml:space="preserve"> </w:t>
      </w:r>
      <w:r>
        <w:t xml:space="preserve">družba na podlagi prevzetih poslovnih knjig v svoje poslovne knjige vnese </w:t>
      </w:r>
      <w:r w:rsidR="005E1B03">
        <w:t xml:space="preserve">vse </w:t>
      </w:r>
      <w:r>
        <w:t>sprememb</w:t>
      </w:r>
      <w:r w:rsidR="005E1B03">
        <w:t>e (ali zbirne zneske sprememb)</w:t>
      </w:r>
      <w:r>
        <w:t xml:space="preserve"> za posamezna prevzeta sredstva in posamezne prevzete obveznosti za obdobje od obračuna združitve do vpisa združitve v sodni register ter </w:t>
      </w:r>
      <w:r w:rsidR="00E05B02">
        <w:t xml:space="preserve">posamične ali zbirne </w:t>
      </w:r>
      <w:r>
        <w:t xml:space="preserve">zneske prihodkov in odhodkov po njihovih vrstah za obdobje od obračuna združitve do vpisa združitve v sodni register. </w:t>
      </w:r>
    </w:p>
    <w:p w14:paraId="1B0BA00A" w14:textId="360563AE" w:rsidR="00C041B4" w:rsidRDefault="00D629F8" w:rsidP="00D33B00">
      <w:pPr>
        <w:spacing w:after="458"/>
        <w:ind w:left="284" w:right="-10"/>
      </w:pPr>
      <w:r>
        <w:t xml:space="preserve">Prevzemna družba je v letnem poročilu za obdobje, v katerem se izvede združitev, dolžna razkriti poslovni izid ter prihodke in odhodke prevzete družbe od </w:t>
      </w:r>
      <w:r w:rsidR="00923FA9">
        <w:t xml:space="preserve">dne </w:t>
      </w:r>
      <w:r>
        <w:t>obračuna združitve do vpisa združitve v sodni register.</w:t>
      </w:r>
      <w:r w:rsidR="00432C86">
        <w:t xml:space="preserve"> Če prevzemna družba</w:t>
      </w:r>
      <w:r w:rsidR="0065231D">
        <w:t xml:space="preserve"> spremembe pri sredstvih in obveznostih ter prihodke in odhodke od datuma obračuna združitve do vpisa združitve v sodni register </w:t>
      </w:r>
      <w:r w:rsidR="00432C86">
        <w:t>prevz</w:t>
      </w:r>
      <w:r w:rsidR="00AF2B93">
        <w:t>a</w:t>
      </w:r>
      <w:r w:rsidR="00432C86">
        <w:t>m</w:t>
      </w:r>
      <w:r w:rsidR="00AF2B93">
        <w:t>e</w:t>
      </w:r>
      <w:r w:rsidR="00432C86">
        <w:t xml:space="preserve"> </w:t>
      </w:r>
      <w:r w:rsidR="00461920">
        <w:t xml:space="preserve">v svoje poslovne knjige </w:t>
      </w:r>
      <w:r w:rsidR="00432C86">
        <w:t>v zbirnih zneskih, mora v ločenih evidencah (ki jih je praviloma vodila prevzet</w:t>
      </w:r>
      <w:r w:rsidR="0065231D">
        <w:t>a</w:t>
      </w:r>
      <w:r w:rsidR="00432C86">
        <w:t xml:space="preserve"> družb</w:t>
      </w:r>
      <w:r w:rsidR="0065231D">
        <w:t>a</w:t>
      </w:r>
      <w:r w:rsidR="00432C86">
        <w:t>) zagotavljati vse analitične podatke</w:t>
      </w:r>
      <w:r w:rsidR="00DC43D9" w:rsidRPr="00DC43D9">
        <w:t xml:space="preserve"> </w:t>
      </w:r>
      <w:r w:rsidR="00DC43D9">
        <w:t>zanje</w:t>
      </w:r>
      <w:r w:rsidR="00432C86">
        <w:t>.</w:t>
      </w:r>
    </w:p>
    <w:p w14:paraId="28075522" w14:textId="4701A307" w:rsidR="00C041B4" w:rsidRDefault="00D629F8" w:rsidP="00E60DB8">
      <w:pPr>
        <w:numPr>
          <w:ilvl w:val="0"/>
          <w:numId w:val="1"/>
        </w:numPr>
        <w:ind w:left="284" w:right="-10" w:hanging="284"/>
      </w:pPr>
      <w:r>
        <w:lastRenderedPageBreak/>
        <w:t xml:space="preserve">Družba, ki </w:t>
      </w:r>
      <w:r w:rsidR="00432C86">
        <w:t xml:space="preserve">izvede postopek delitve (razdelitev, </w:t>
      </w:r>
      <w:r w:rsidR="00432C86" w:rsidRPr="00BF7C56">
        <w:t xml:space="preserve">oddelitev, </w:t>
      </w:r>
      <w:proofErr w:type="spellStart"/>
      <w:r w:rsidR="00432C86" w:rsidRPr="00BF7C56">
        <w:t>izčlenitev</w:t>
      </w:r>
      <w:proofErr w:type="spellEnd"/>
      <w:r w:rsidR="006E4F3B" w:rsidRPr="00BF7C56">
        <w:t xml:space="preserve"> –</w:t>
      </w:r>
      <w:r w:rsidR="006E4F3B">
        <w:t xml:space="preserve"> </w:t>
      </w:r>
      <w:r w:rsidR="00DC43D9">
        <w:t xml:space="preserve">v nadaljnjem besedilu: </w:t>
      </w:r>
      <w:r w:rsidR="006E4F3B">
        <w:t>prenosna družba</w:t>
      </w:r>
      <w:r w:rsidR="004F2A3B">
        <w:rPr>
          <w:rStyle w:val="Sprotnaopomba-sklic"/>
        </w:rPr>
        <w:footnoteReference w:id="3"/>
      </w:r>
      <w:r w:rsidR="00432C86">
        <w:t xml:space="preserve">) </w:t>
      </w:r>
      <w:r>
        <w:t xml:space="preserve">z ustanovitvijo novih družb ali s prevzemom, skladno z </w:t>
      </w:r>
      <w:r w:rsidR="00E60DB8">
        <w:t xml:space="preserve">68. členom ZGD-1 </w:t>
      </w:r>
      <w:r>
        <w:t xml:space="preserve">sestavi </w:t>
      </w:r>
      <w:r w:rsidR="00E60DB8">
        <w:t xml:space="preserve">zaključno </w:t>
      </w:r>
      <w:r>
        <w:t xml:space="preserve">poročilo na dan obračuna delitve. To je dan, od katerega dalje </w:t>
      </w:r>
      <w:r w:rsidR="00432C86">
        <w:t xml:space="preserve">se po 624. členu ZGD-1 </w:t>
      </w:r>
      <w:r>
        <w:t>šteje, da so</w:t>
      </w:r>
      <w:r w:rsidR="00434D12">
        <w:t xml:space="preserve"> vsa</w:t>
      </w:r>
      <w:r>
        <w:t xml:space="preserve"> dejanja prenosne družbe</w:t>
      </w:r>
      <w:r w:rsidR="00434D12">
        <w:t>, povezana z na nove ali prevzemne družbe</w:t>
      </w:r>
      <w:r w:rsidR="000563E1">
        <w:t xml:space="preserve"> prenes</w:t>
      </w:r>
      <w:r w:rsidR="00BA75A7">
        <w:t>e</w:t>
      </w:r>
      <w:r w:rsidR="000563E1">
        <w:t>nim premoženjem</w:t>
      </w:r>
      <w:r w:rsidR="00314919">
        <w:t xml:space="preserve"> (sredstvi in</w:t>
      </w:r>
      <w:r w:rsidR="0031426A">
        <w:t xml:space="preserve"> obveznostmi</w:t>
      </w:r>
      <w:r w:rsidR="00314919">
        <w:t>)</w:t>
      </w:r>
      <w:r w:rsidR="0031426A">
        <w:t xml:space="preserve"> </w:t>
      </w:r>
      <w:r w:rsidR="0065231D">
        <w:t>ter</w:t>
      </w:r>
      <w:r w:rsidR="0031426A">
        <w:t xml:space="preserve"> </w:t>
      </w:r>
      <w:r w:rsidR="00432C86">
        <w:t xml:space="preserve">z njim povezanim </w:t>
      </w:r>
      <w:r w:rsidR="0031426A">
        <w:t>področjem poslovanja</w:t>
      </w:r>
      <w:r w:rsidR="000563E1">
        <w:t xml:space="preserve">, </w:t>
      </w:r>
      <w:r>
        <w:t>opravljena za račun prevzemnih ali novih družb</w:t>
      </w:r>
      <w:r w:rsidR="000563E1">
        <w:t>.</w:t>
      </w:r>
      <w:r>
        <w:t xml:space="preserve"> </w:t>
      </w:r>
      <w:r w:rsidR="000563E1">
        <w:t>D</w:t>
      </w:r>
      <w:r>
        <w:t>an</w:t>
      </w:r>
      <w:r w:rsidR="000563E1">
        <w:t xml:space="preserve"> obračuna delitve</w:t>
      </w:r>
      <w:r>
        <w:t xml:space="preserve"> določijo </w:t>
      </w:r>
      <w:r w:rsidR="00314919">
        <w:t xml:space="preserve">poslovodstva </w:t>
      </w:r>
      <w:r>
        <w:t xml:space="preserve">družb v delitvenem načrtu ali pogodbi o delitvi in prevzemu. V obdobju od obračuna delitve do vpisa delitve v sodni register se šteje, da prenosna družba poslovne knjige </w:t>
      </w:r>
      <w:r w:rsidR="000563E1">
        <w:t>za preneseni del premoženja</w:t>
      </w:r>
      <w:r w:rsidR="00314919">
        <w:t xml:space="preserve"> (sredstva in</w:t>
      </w:r>
      <w:r w:rsidR="000563E1">
        <w:t xml:space="preserve"> obveznosti</w:t>
      </w:r>
      <w:r w:rsidR="00314919">
        <w:t>)</w:t>
      </w:r>
      <w:r w:rsidR="00BB0ADF">
        <w:t xml:space="preserve"> in poslovanja </w:t>
      </w:r>
      <w:r w:rsidR="000563E1">
        <w:t xml:space="preserve">vodi sicer </w:t>
      </w:r>
      <w:r>
        <w:t>v svojem imenu</w:t>
      </w:r>
      <w:r w:rsidR="000563E1">
        <w:t>, vendar že v celoti</w:t>
      </w:r>
      <w:r>
        <w:t xml:space="preserve"> za račun prevzemnih ali novih družb</w:t>
      </w:r>
      <w:r w:rsidR="00DC43D9">
        <w:t xml:space="preserve">; </w:t>
      </w:r>
      <w:r>
        <w:t xml:space="preserve">če vpisa v sodni register </w:t>
      </w:r>
      <w:r w:rsidR="00DC43D9">
        <w:t>ni</w:t>
      </w:r>
      <w:r>
        <w:t>, pa v svojem imenu in za svoj račun. Prenosna družba je poslovne knjige dolžna voditi tako, da je zagotovljeno ločeno spremljanje poslovnih dogodkov za področje poslovanja, ki se utemeljeno pripiše posameznemu delu premoženja</w:t>
      </w:r>
      <w:r w:rsidR="00314919">
        <w:t xml:space="preserve"> (sredstv</w:t>
      </w:r>
      <w:r w:rsidR="008D104E">
        <w:t>om</w:t>
      </w:r>
      <w:r w:rsidR="00BB0ADF">
        <w:t xml:space="preserve"> in obveznosti</w:t>
      </w:r>
      <w:r w:rsidR="008D104E">
        <w:t>m</w:t>
      </w:r>
      <w:r w:rsidR="00314919">
        <w:t>)</w:t>
      </w:r>
      <w:r>
        <w:t xml:space="preserve">, ki se skladno z delitvenim načrtom ali pogodbo o delitvi in prevzemu prenaša na prevzemne ali nove družbe. </w:t>
      </w:r>
      <w:r w:rsidR="00DC43D9">
        <w:t>Pri</w:t>
      </w:r>
      <w:r>
        <w:t xml:space="preserve"> vpis</w:t>
      </w:r>
      <w:r w:rsidR="00DC43D9">
        <w:t>u</w:t>
      </w:r>
      <w:r>
        <w:t xml:space="preserve"> delitve v sodni register prenosna in prevzemne ali nove družbe ne sestavijo </w:t>
      </w:r>
      <w:r w:rsidR="00314919">
        <w:t xml:space="preserve">ločenega </w:t>
      </w:r>
      <w:r>
        <w:t>letnega poročila za obdobje od obračuna delitve do vpisa delitve v sodni register.</w:t>
      </w:r>
    </w:p>
    <w:p w14:paraId="3C59C75A" w14:textId="559CDF87" w:rsidR="00C041B4" w:rsidRDefault="00D629F8" w:rsidP="00BB0ADF">
      <w:pPr>
        <w:spacing w:after="128"/>
        <w:ind w:left="284" w:right="-10"/>
      </w:pPr>
      <w:r>
        <w:t>Po vpisu delitve v sodni register je prenosna družba prevzemnim ali novim družbam dolžna predati tisti del poslovnih knjig, ki ga je od obračuna delitve do vpisa delitve</w:t>
      </w:r>
      <w:r>
        <w:rPr>
          <w:color w:val="FF0000"/>
        </w:rPr>
        <w:t xml:space="preserve"> </w:t>
      </w:r>
      <w:r>
        <w:t>v sodni register vodila za račun posamezne prevzemne ali nove družbe in ki se nanaša na del poslovanja oziroma premoženja</w:t>
      </w:r>
      <w:r w:rsidR="0096502F">
        <w:t xml:space="preserve"> </w:t>
      </w:r>
      <w:r w:rsidR="00314919">
        <w:t xml:space="preserve">(sredstva </w:t>
      </w:r>
      <w:r w:rsidR="0096502F">
        <w:t>in obveznosti</w:t>
      </w:r>
      <w:r w:rsidR="00314919">
        <w:t>)</w:t>
      </w:r>
      <w:r>
        <w:t xml:space="preserve">, ki se glede na delitveni načrt ali pogodbo o delitvi in prevzemu prenaša na posamezno prevzemno ali novo družbo. Prevzemne ali nove družbe na podlagi prevzetih poslovnih knjig v svoje poslovne knjige </w:t>
      </w:r>
      <w:r w:rsidR="006E4F3B">
        <w:t xml:space="preserve">z začetnim stanjem </w:t>
      </w:r>
      <w:r>
        <w:t xml:space="preserve">na </w:t>
      </w:r>
      <w:r w:rsidR="006E4F3B">
        <w:t xml:space="preserve">prvi </w:t>
      </w:r>
      <w:r>
        <w:t xml:space="preserve">dan </w:t>
      </w:r>
      <w:r w:rsidR="006E4F3B">
        <w:t xml:space="preserve">po dnevu </w:t>
      </w:r>
      <w:r>
        <w:t xml:space="preserve">obračuna delitve vnesejo prevzeti del sredstev in obveznosti ter </w:t>
      </w:r>
      <w:r w:rsidR="0096502F">
        <w:t xml:space="preserve">jih </w:t>
      </w:r>
      <w:r w:rsidR="00314919">
        <w:t>začetno ovrednotijo po pravilih iz 6. točke Okvira SRS</w:t>
      </w:r>
      <w:r w:rsidR="00FE2F5D">
        <w:t>-jev</w:t>
      </w:r>
      <w:r w:rsidR="00314919">
        <w:t xml:space="preserve"> </w:t>
      </w:r>
      <w:r w:rsidR="002C783D">
        <w:t>(</w:t>
      </w:r>
      <w:r w:rsidR="00314919">
        <w:t>2024</w:t>
      </w:r>
      <w:r w:rsidR="002C783D">
        <w:t>)</w:t>
      </w:r>
      <w:r>
        <w:t xml:space="preserve">. Zatem prevzemne ali nove družbe na podlagi prevzetih poslovnih knjig v svoje poslovne knjige vnesejo </w:t>
      </w:r>
      <w:r w:rsidR="00314919">
        <w:t xml:space="preserve">vse </w:t>
      </w:r>
      <w:r w:rsidR="00E05B02">
        <w:t>spremembe</w:t>
      </w:r>
      <w:r>
        <w:t xml:space="preserve"> </w:t>
      </w:r>
      <w:r w:rsidR="00314919">
        <w:t>(ali zbirne</w:t>
      </w:r>
      <w:r w:rsidR="00E05B02">
        <w:t xml:space="preserve"> zneske</w:t>
      </w:r>
      <w:r w:rsidR="00314919">
        <w:t xml:space="preserve"> </w:t>
      </w:r>
      <w:r>
        <w:t>sprememb</w:t>
      </w:r>
      <w:r w:rsidR="00E05B02">
        <w:t>)</w:t>
      </w:r>
      <w:r>
        <w:t xml:space="preserve"> za posamezna prevzeta sredstva in posamezne prevzete obveznosti za obdobje od obračuna delitve do vpisa delitve v sodni </w:t>
      </w:r>
      <w:r w:rsidRPr="00BF7C56">
        <w:t xml:space="preserve">register ter </w:t>
      </w:r>
      <w:r w:rsidR="00314919" w:rsidRPr="00BF7C56">
        <w:t xml:space="preserve">vse pripadajoče </w:t>
      </w:r>
      <w:r w:rsidR="00E05B02" w:rsidRPr="00BF7C56">
        <w:t xml:space="preserve">posamične ali zbirne </w:t>
      </w:r>
      <w:r w:rsidRPr="00BF7C56">
        <w:t xml:space="preserve">zneske prihodkov in odhodkov po njihovih vrstah za obdobje od obračuna delitve do vpisa delitve v sodni register. </w:t>
      </w:r>
      <w:r w:rsidR="00FE2F5D">
        <w:t>Pri</w:t>
      </w:r>
      <w:r w:rsidRPr="00BF7C56">
        <w:t xml:space="preserve"> </w:t>
      </w:r>
      <w:r w:rsidR="00FE2F5D" w:rsidRPr="00BF7C56">
        <w:t>oddelitv</w:t>
      </w:r>
      <w:r w:rsidR="00FE2F5D">
        <w:t>i</w:t>
      </w:r>
      <w:r w:rsidR="00FE2F5D" w:rsidRPr="00BF7C56">
        <w:t xml:space="preserve"> </w:t>
      </w:r>
      <w:r w:rsidR="005520D3" w:rsidRPr="00BF7C56">
        <w:t xml:space="preserve">ali </w:t>
      </w:r>
      <w:proofErr w:type="spellStart"/>
      <w:r w:rsidR="00FE2F5D" w:rsidRPr="00BF7C56">
        <w:t>izčlenitv</w:t>
      </w:r>
      <w:r w:rsidR="00FE2F5D">
        <w:t>i</w:t>
      </w:r>
      <w:proofErr w:type="spellEnd"/>
      <w:r w:rsidR="00FE2F5D" w:rsidRPr="00BF7C56">
        <w:t xml:space="preserve"> </w:t>
      </w:r>
      <w:r w:rsidRPr="00BF7C56">
        <w:t>premoženja s prevzemom ali ustanovitvijo novih družb prenosna družba v letno poročilo in računovodske</w:t>
      </w:r>
      <w:r>
        <w:t xml:space="preserve"> izkaze za poslovno leto, v katerem se izvede oddelitev, ne vključi poslovnih dogodkov iz poslovnih knjig, ki jih je po </w:t>
      </w:r>
      <w:r w:rsidR="00BF00D2">
        <w:t xml:space="preserve">dnevu obračuna </w:t>
      </w:r>
      <w:r>
        <w:t>delitve vodila v svojem imenu in za račun prevzemnih ali novih družb.</w:t>
      </w:r>
    </w:p>
    <w:p w14:paraId="5B41A4E8" w14:textId="48639180" w:rsidR="00C041B4" w:rsidRDefault="00D629F8" w:rsidP="0096502F">
      <w:pPr>
        <w:spacing w:after="497"/>
        <w:ind w:left="284" w:right="-10"/>
      </w:pPr>
      <w:r>
        <w:t xml:space="preserve">Prevzemne ali nove družbe so v letnem poročilu za obdobje, v katerem se izvede delitev, dolžne razkriti poslovni izid ter prihodke in odhodke, ki se nanašajo na področje poslovanja, ki se je glede na delitveni načrt ali pogodbo o delitvi in prevzemu preneslo na posamezno prevzemno ali novo družbo od </w:t>
      </w:r>
      <w:r w:rsidR="00923FA9">
        <w:t xml:space="preserve">dne </w:t>
      </w:r>
      <w:r>
        <w:t>obračuna delitve do vpisa delitve v sodni register.</w:t>
      </w:r>
      <w:r w:rsidR="00461920">
        <w:t xml:space="preserve"> Če prevzemne ali nove družbe spremembe pri sredstvih in obveznostih ter prihodke in odhodke od datuma obračuna združitve do vpisa združitve v sodni register </w:t>
      </w:r>
      <w:r w:rsidR="00AF2B93">
        <w:t xml:space="preserve">prevzamejo v svoje poslovne knjige </w:t>
      </w:r>
      <w:r w:rsidR="00461920">
        <w:t xml:space="preserve">v zbirnih zneskih, morajo v ločenih evidencah (ki jih je praviloma vodila </w:t>
      </w:r>
      <w:r w:rsidR="00AF2B93">
        <w:t xml:space="preserve">prenosna </w:t>
      </w:r>
      <w:r w:rsidR="00461920">
        <w:t>družb</w:t>
      </w:r>
      <w:r w:rsidR="00AF2B93">
        <w:t>a</w:t>
      </w:r>
      <w:r w:rsidR="00461920">
        <w:t>) zagotavljati vse analitične podatke</w:t>
      </w:r>
      <w:r w:rsidR="00E62FA9" w:rsidRPr="00E62FA9">
        <w:t xml:space="preserve"> </w:t>
      </w:r>
      <w:r w:rsidR="00E62FA9">
        <w:t>zanje</w:t>
      </w:r>
      <w:r w:rsidR="00461920">
        <w:t>.</w:t>
      </w:r>
    </w:p>
    <w:p w14:paraId="006030A0" w14:textId="58431280" w:rsidR="00D46D97" w:rsidRDefault="00D629F8" w:rsidP="000547CF">
      <w:pPr>
        <w:numPr>
          <w:ilvl w:val="0"/>
          <w:numId w:val="1"/>
        </w:numPr>
        <w:spacing w:after="120"/>
        <w:ind w:left="284" w:right="-10" w:hanging="284"/>
      </w:pPr>
      <w:r>
        <w:lastRenderedPageBreak/>
        <w:t>Vse družbe</w:t>
      </w:r>
      <w:r w:rsidR="00461920">
        <w:t xml:space="preserve"> </w:t>
      </w:r>
      <w:r>
        <w:t xml:space="preserve">morajo </w:t>
      </w:r>
      <w:r w:rsidR="00461920">
        <w:t xml:space="preserve">po ZGD-1 </w:t>
      </w:r>
      <w:r>
        <w:t>letno poročilo sestaviti po stanju na zadnji dan poslovnega leta (bilančni presečni dan za letno poročilo). Če od dneva obračuna združitve ali delitve dalje in do bilančnega presečnega dneva za letno poročilo še ni opravljen vpis združitve ali delitve v sodni register</w:t>
      </w:r>
      <w:r w:rsidR="00410EA2">
        <w:t>,</w:t>
      </w:r>
      <w:r w:rsidR="00461920">
        <w:rPr>
          <w:rStyle w:val="Sprotnaopomba-sklic"/>
        </w:rPr>
        <w:footnoteReference w:id="4"/>
      </w:r>
      <w:r>
        <w:t xml:space="preserve"> </w:t>
      </w:r>
      <w:r w:rsidR="009035EF">
        <w:t xml:space="preserve">so tako </w:t>
      </w:r>
      <w:r>
        <w:t xml:space="preserve">prevzeta </w:t>
      </w:r>
      <w:r w:rsidR="009035EF">
        <w:t xml:space="preserve">kakor tudi prevzemna družba, </w:t>
      </w:r>
      <w:r w:rsidR="005B2F60">
        <w:t>če</w:t>
      </w:r>
      <w:r w:rsidR="009035EF">
        <w:t xml:space="preserve"> ne gre za novo družbo,</w:t>
      </w:r>
      <w:r>
        <w:t xml:space="preserve"> na bilančni presečni dan dolžn</w:t>
      </w:r>
      <w:r w:rsidR="00792FC7">
        <w:t>e</w:t>
      </w:r>
      <w:r>
        <w:t xml:space="preserve"> sestaviti letno poročilo skladno z določbami sedmega poglavja </w:t>
      </w:r>
      <w:r w:rsidR="006824E2">
        <w:t>ZGD-1</w:t>
      </w:r>
      <w:r w:rsidR="00FA58C6">
        <w:t>,</w:t>
      </w:r>
      <w:r w:rsidR="00461920">
        <w:t xml:space="preserve"> </w:t>
      </w:r>
      <w:r w:rsidR="00410EA2">
        <w:t xml:space="preserve">ne </w:t>
      </w:r>
      <w:r w:rsidR="00461920">
        <w:t>da v računovodskih izkazih upoštevajo učinke združitve ali delitve</w:t>
      </w:r>
      <w:r>
        <w:t xml:space="preserve">. </w:t>
      </w:r>
    </w:p>
    <w:p w14:paraId="05362386" w14:textId="52554C61" w:rsidR="00D60BEF" w:rsidRDefault="00D60BEF" w:rsidP="00D46D97">
      <w:pPr>
        <w:spacing w:after="120"/>
        <w:ind w:left="284" w:right="-10" w:firstLine="0"/>
      </w:pPr>
      <w:r>
        <w:t>Prevzemna</w:t>
      </w:r>
      <w:r w:rsidR="003F2AC4">
        <w:t>, prevzeta in prenosna</w:t>
      </w:r>
      <w:r>
        <w:t xml:space="preserve"> družba mora</w:t>
      </w:r>
      <w:r w:rsidR="003F2AC4">
        <w:t>jo</w:t>
      </w:r>
      <w:r>
        <w:t xml:space="preserve"> poleg sicer zahtevanih razkritij v tem primeru v </w:t>
      </w:r>
      <w:r w:rsidR="00461920">
        <w:t xml:space="preserve">poglavju »dogodki po bilanci stanja« v </w:t>
      </w:r>
      <w:r>
        <w:t xml:space="preserve">letnem poročilu razkriti tudi, da </w:t>
      </w:r>
      <w:r w:rsidR="00916A0B">
        <w:t xml:space="preserve">poteka postopek </w:t>
      </w:r>
      <w:r w:rsidR="00461920">
        <w:t>združitve</w:t>
      </w:r>
      <w:r w:rsidR="00343B71">
        <w:t xml:space="preserve"> </w:t>
      </w:r>
      <w:r w:rsidR="00461920">
        <w:t>ali</w:t>
      </w:r>
      <w:r w:rsidR="006D7590">
        <w:t xml:space="preserve"> delitve</w:t>
      </w:r>
      <w:r w:rsidR="00916A0B">
        <w:t xml:space="preserve">, v </w:t>
      </w:r>
      <w:r w:rsidR="00410EA2">
        <w:t xml:space="preserve">kateri </w:t>
      </w:r>
      <w:r w:rsidR="00916A0B">
        <w:t xml:space="preserve">fazi </w:t>
      </w:r>
      <w:r w:rsidR="00410EA2">
        <w:t>je</w:t>
      </w:r>
      <w:r w:rsidR="00343B71">
        <w:t xml:space="preserve"> ter kje in kako je na voljo vpogled </w:t>
      </w:r>
      <w:r w:rsidR="00916A0B">
        <w:t xml:space="preserve">v </w:t>
      </w:r>
      <w:r w:rsidR="00461920">
        <w:t>pravne listine</w:t>
      </w:r>
      <w:r w:rsidR="00916A0B">
        <w:t xml:space="preserve"> o </w:t>
      </w:r>
      <w:r w:rsidR="00461920">
        <w:t>postopku združitve ali delitve</w:t>
      </w:r>
      <w:r w:rsidR="00343B71">
        <w:t>.</w:t>
      </w:r>
    </w:p>
    <w:p w14:paraId="04ACE648" w14:textId="65FE6B5B" w:rsidR="00AC41E1" w:rsidRDefault="00792FC7" w:rsidP="00AC41E1">
      <w:pPr>
        <w:spacing w:after="120"/>
        <w:ind w:left="284" w:right="-10" w:firstLine="0"/>
      </w:pPr>
      <w:r>
        <w:t>P</w:t>
      </w:r>
      <w:r w:rsidR="000547CF">
        <w:t>renosna družba</w:t>
      </w:r>
      <w:r>
        <w:t xml:space="preserve"> mora</w:t>
      </w:r>
      <w:r w:rsidR="000547CF">
        <w:t xml:space="preserve"> </w:t>
      </w:r>
      <w:r w:rsidR="00A802A4">
        <w:t>v razkritjih predstaviti</w:t>
      </w:r>
      <w:r w:rsidR="000547CF">
        <w:t xml:space="preserve"> tudi razčlenitev bilance stanja </w:t>
      </w:r>
      <w:r w:rsidR="00F757B0">
        <w:t>za račun</w:t>
      </w:r>
      <w:r w:rsidR="000547CF">
        <w:t xml:space="preserve"> posameznih novih </w:t>
      </w:r>
      <w:r w:rsidR="00A802A4">
        <w:t xml:space="preserve">oziroma prevzemnih </w:t>
      </w:r>
      <w:r w:rsidR="000547CF">
        <w:t>družb ter podatke o prihodkih, odhodki</w:t>
      </w:r>
      <w:r w:rsidR="00A802A4">
        <w:t>h</w:t>
      </w:r>
      <w:r w:rsidR="000547CF">
        <w:t xml:space="preserve"> in poslovnem izidu, pripoznanih za njihov račun po dnevu obračuna delitve. </w:t>
      </w:r>
      <w:r w:rsidR="00410EA2">
        <w:t>Pri</w:t>
      </w:r>
      <w:r w:rsidR="00A802A4">
        <w:t xml:space="preserve"> </w:t>
      </w:r>
      <w:r w:rsidR="00410EA2">
        <w:t xml:space="preserve">oddelitvi </w:t>
      </w:r>
      <w:r w:rsidR="00A802A4">
        <w:t xml:space="preserve">mora </w:t>
      </w:r>
      <w:r w:rsidR="00410EA2">
        <w:t xml:space="preserve">prav tako </w:t>
      </w:r>
      <w:r w:rsidR="00A802A4">
        <w:t>posebej izkazati del</w:t>
      </w:r>
      <w:r>
        <w:t xml:space="preserve"> sredstev, obvezno</w:t>
      </w:r>
      <w:r w:rsidR="00163BB9">
        <w:t>s</w:t>
      </w:r>
      <w:r>
        <w:t>ti, prihodkov, odhodkov in poslovnega izida</w:t>
      </w:r>
      <w:r w:rsidR="00A802A4">
        <w:t xml:space="preserve">, ki </w:t>
      </w:r>
      <w:r>
        <w:t>se nanaša na neoddeljen del premoženj</w:t>
      </w:r>
      <w:r w:rsidR="00163BB9">
        <w:t xml:space="preserve">a </w:t>
      </w:r>
      <w:r w:rsidR="00C652FA">
        <w:t xml:space="preserve">(sredstev in </w:t>
      </w:r>
      <w:r w:rsidR="00163BB9">
        <w:t>obveznosti</w:t>
      </w:r>
      <w:r w:rsidR="00C652FA">
        <w:t>)</w:t>
      </w:r>
      <w:r w:rsidR="00163BB9">
        <w:t xml:space="preserve"> in</w:t>
      </w:r>
      <w:r>
        <w:t xml:space="preserve"> poslovanja</w:t>
      </w:r>
      <w:r w:rsidR="00A802A4">
        <w:t>.</w:t>
      </w:r>
    </w:p>
    <w:p w14:paraId="659F1B3B" w14:textId="5CA631E9" w:rsidR="00AC41E1" w:rsidRPr="00C652FA" w:rsidRDefault="00AC41E1" w:rsidP="00AC41E1">
      <w:pPr>
        <w:spacing w:after="120"/>
        <w:ind w:left="284" w:right="-10" w:firstLine="0"/>
        <w:rPr>
          <w:color w:val="auto"/>
        </w:rPr>
      </w:pPr>
      <w:r w:rsidRPr="00C652FA">
        <w:t xml:space="preserve">Poslovni izid, ki ga v tem primeru prenosna ali prevzeta družba ustvarita od dne obračuna delitve ali združitve iz poslovanja za račun prevzemne/ih ali nove/ih družb, ne more biti predmet razdelitve, saj </w:t>
      </w:r>
      <w:r w:rsidR="00C652FA" w:rsidRPr="00C652FA">
        <w:t>skladno s 581. in 624. členom ZGD-1</w:t>
      </w:r>
      <w:r w:rsidR="001C232F" w:rsidRPr="00C652FA">
        <w:t xml:space="preserve"> </w:t>
      </w:r>
      <w:r w:rsidRPr="00C652FA">
        <w:t xml:space="preserve">od dne obračuna delitve ali združitve </w:t>
      </w:r>
      <w:r w:rsidR="00C652FA" w:rsidRPr="00C652FA">
        <w:t xml:space="preserve">dalje </w:t>
      </w:r>
      <w:r w:rsidRPr="00C652FA">
        <w:t>ne pripada več prenosni oziroma prevzeti družbi</w:t>
      </w:r>
      <w:r w:rsidR="00E62FA9">
        <w:t>,</w:t>
      </w:r>
      <w:r w:rsidRPr="00C652FA">
        <w:t xml:space="preserve"> ampak prevzemni</w:t>
      </w:r>
      <w:r w:rsidR="00410EA2">
        <w:t>/</w:t>
      </w:r>
      <w:r w:rsidRPr="00C652FA">
        <w:t>m oziroma novi</w:t>
      </w:r>
      <w:r w:rsidR="00410EA2">
        <w:t>/</w:t>
      </w:r>
      <w:r w:rsidRPr="00C652FA">
        <w:t>m družbi/am.</w:t>
      </w:r>
    </w:p>
    <w:p w14:paraId="00CD3887" w14:textId="7B4533DB" w:rsidR="00C041B4" w:rsidRDefault="00D629F8" w:rsidP="00EA3005">
      <w:pPr>
        <w:spacing w:after="240"/>
        <w:ind w:left="284" w:right="-10" w:firstLine="0"/>
      </w:pPr>
      <w:r>
        <w:t>Prevzemne ali nove družbe v prvem letnem poročilu, ki sledi vpisu v sodni register, v svoje računovodske izkaze vključijo</w:t>
      </w:r>
      <w:r w:rsidRPr="000547CF">
        <w:rPr>
          <w:color w:val="FF0000"/>
        </w:rPr>
        <w:t xml:space="preserve"> </w:t>
      </w:r>
      <w:r>
        <w:t>premoženje</w:t>
      </w:r>
      <w:r w:rsidR="00A86417">
        <w:t xml:space="preserve"> (sredstva in obveznosti)</w:t>
      </w:r>
      <w:r>
        <w:t xml:space="preserve"> </w:t>
      </w:r>
      <w:r w:rsidR="00410EA2">
        <w:t xml:space="preserve">ter </w:t>
      </w:r>
      <w:r>
        <w:t>poslovne dogodke prenosne družbe in prevzemnih ali novih družb za tekoče leto ter preračunajo primerjalne podatke za preteklo poslovno leto</w:t>
      </w:r>
      <w:r w:rsidR="00410EA2">
        <w:t xml:space="preserve">. Prenosna </w:t>
      </w:r>
      <w:r>
        <w:t>družba, ki oddeli del</w:t>
      </w:r>
      <w:r w:rsidR="00290617">
        <w:t xml:space="preserve"> </w:t>
      </w:r>
      <w:r>
        <w:t>premoženja, pa izključi poslovne dogodke za tekoče leto, ki se nanašajo na oddeljeni del premoženja, ter preračuna primerjalne podatke za preteklo poslovno leto.</w:t>
      </w:r>
    </w:p>
    <w:p w14:paraId="5BFE3CD0" w14:textId="760F764A" w:rsidR="00C041B4" w:rsidRDefault="00D629F8" w:rsidP="00A42EB0">
      <w:pPr>
        <w:numPr>
          <w:ilvl w:val="0"/>
          <w:numId w:val="1"/>
        </w:numPr>
        <w:spacing w:after="240" w:line="271" w:lineRule="auto"/>
        <w:ind w:left="284" w:right="-11" w:hanging="284"/>
      </w:pPr>
      <w:r>
        <w:t>Ne glede na 3. točko tega pojasnila</w:t>
      </w:r>
      <w:r w:rsidR="00410EA2">
        <w:t>, če</w:t>
      </w:r>
      <w:r>
        <w:t xml:space="preserve"> je vpis združitve ali delitve izveden najkasneje v treh </w:t>
      </w:r>
      <w:r w:rsidR="00410EA2">
        <w:t xml:space="preserve">mesecih </w:t>
      </w:r>
      <w:r>
        <w:t xml:space="preserve">po bilančnem presečnem dnevu za letno poročilo, prevzeta ali prenosna družba, ki po vpisu v sodni register preneha obstajati, ni dolžna sestaviti posebnega letnega poročila na bilančni presečni dan, prenosna družba, ki </w:t>
      </w:r>
      <w:r w:rsidRPr="00BF7C56">
        <w:t>oddeli</w:t>
      </w:r>
      <w:r w:rsidR="00A469A8" w:rsidRPr="00BF7C56">
        <w:t xml:space="preserve"> ali izčleni</w:t>
      </w:r>
      <w:r w:rsidRPr="00BF7C56">
        <w:t xml:space="preserve"> del premoženja, pa sestavi letno poročilo le za poslovanje, ki se utemeljeno pripiše premoženju, ki se ne prenese na prevzemne ali nove družbe. V tem primeru prevzemna ali nova družba v svoje računovodske izkaze vključi premoženje</w:t>
      </w:r>
      <w:r w:rsidR="00363EFD" w:rsidRPr="00BF7C56">
        <w:t xml:space="preserve"> (sredstva in</w:t>
      </w:r>
      <w:r w:rsidR="00CD1982" w:rsidRPr="00BF7C56">
        <w:t xml:space="preserve"> obveznosti</w:t>
      </w:r>
      <w:r w:rsidR="00363EFD" w:rsidRPr="00BF7C56">
        <w:t>)</w:t>
      </w:r>
      <w:r w:rsidRPr="00BF7C56">
        <w:t xml:space="preserve"> </w:t>
      </w:r>
      <w:r w:rsidR="00410EA2">
        <w:t>ter</w:t>
      </w:r>
      <w:r w:rsidR="00410EA2" w:rsidRPr="00BF7C56">
        <w:t xml:space="preserve"> </w:t>
      </w:r>
      <w:r w:rsidRPr="00BF7C56">
        <w:t>poslovne dogodke prenosne ali prevzete družbe (</w:t>
      </w:r>
      <w:r w:rsidR="00410EA2">
        <w:t>pri</w:t>
      </w:r>
      <w:r w:rsidRPr="00BF7C56">
        <w:t xml:space="preserve"> </w:t>
      </w:r>
      <w:r w:rsidR="00410EA2" w:rsidRPr="00BF7C56">
        <w:t>oddelitv</w:t>
      </w:r>
      <w:r w:rsidR="00410EA2">
        <w:t>i</w:t>
      </w:r>
      <w:r w:rsidR="00410EA2" w:rsidRPr="00BF7C56">
        <w:t xml:space="preserve"> </w:t>
      </w:r>
      <w:r w:rsidR="00A469A8" w:rsidRPr="00BF7C56">
        <w:t xml:space="preserve">ali </w:t>
      </w:r>
      <w:proofErr w:type="spellStart"/>
      <w:r w:rsidR="00410EA2" w:rsidRPr="00BF7C56">
        <w:t>izčlenitv</w:t>
      </w:r>
      <w:r w:rsidR="00410EA2">
        <w:t>i</w:t>
      </w:r>
      <w:proofErr w:type="spellEnd"/>
      <w:r w:rsidR="00410EA2" w:rsidRPr="00BF7C56">
        <w:t xml:space="preserve"> </w:t>
      </w:r>
      <w:r w:rsidRPr="00BF7C56">
        <w:t>pa</w:t>
      </w:r>
      <w:r>
        <w:t xml:space="preserve"> premoženje</w:t>
      </w:r>
      <w:r w:rsidR="00363EFD">
        <w:t xml:space="preserve"> </w:t>
      </w:r>
      <w:r>
        <w:t>in poslovne dogodke za del poslovanja oziroma premoženja, ki ga prevzame) od dneva obračuna združitve ali delitve dalje.</w:t>
      </w:r>
    </w:p>
    <w:p w14:paraId="5509B9AB" w14:textId="77777777" w:rsidR="00A42EB0" w:rsidRDefault="00A42EB0" w:rsidP="00A42EB0">
      <w:pPr>
        <w:pStyle w:val="Odstavekseznama"/>
        <w:spacing w:after="0" w:line="271" w:lineRule="auto"/>
        <w:ind w:left="11" w:right="-11" w:firstLine="0"/>
        <w:contextualSpacing w:val="0"/>
      </w:pPr>
      <w:r>
        <w:t>To pojasnilo začne veljati prvi dan po objavi v Uradnem listu RS, uporabljati pa se začne pri sestavitvi letnega poročila za poslovno leto, ki se začne 1. januarja 2025 ali kasneje.</w:t>
      </w:r>
    </w:p>
    <w:p w14:paraId="57FACE5E" w14:textId="77777777" w:rsidR="00A42EB0" w:rsidRDefault="00A42EB0" w:rsidP="00A42EB0">
      <w:pPr>
        <w:pStyle w:val="Odstavekseznama"/>
        <w:spacing w:after="0" w:line="271" w:lineRule="auto"/>
        <w:ind w:left="11" w:right="-11" w:firstLine="0"/>
        <w:contextualSpacing w:val="0"/>
      </w:pPr>
    </w:p>
    <w:p w14:paraId="436FEEBD" w14:textId="11A6CF85" w:rsidR="00C041B4" w:rsidRDefault="00C55B3B">
      <w:pPr>
        <w:spacing w:after="76" w:line="259" w:lineRule="auto"/>
        <w:ind w:left="0" w:right="866" w:firstLine="0"/>
        <w:jc w:val="right"/>
      </w:pPr>
      <w:r>
        <w:rPr>
          <w:b/>
          <w:i/>
        </w:rPr>
        <w:t>Mag. Saša Jerman</w:t>
      </w:r>
      <w:r w:rsidR="00410EA2">
        <w:rPr>
          <w:b/>
          <w:i/>
        </w:rPr>
        <w:t>,</w:t>
      </w:r>
      <w:r w:rsidR="00D629F8">
        <w:rPr>
          <w:b/>
          <w:i/>
        </w:rPr>
        <w:t xml:space="preserve"> </w:t>
      </w:r>
      <w:proofErr w:type="spellStart"/>
      <w:r w:rsidR="00D629F8">
        <w:rPr>
          <w:b/>
          <w:i/>
        </w:rPr>
        <w:t>l.r</w:t>
      </w:r>
      <w:proofErr w:type="spellEnd"/>
      <w:r w:rsidR="00D629F8">
        <w:rPr>
          <w:b/>
          <w:i/>
        </w:rPr>
        <w:t>.</w:t>
      </w:r>
    </w:p>
    <w:p w14:paraId="382696F6" w14:textId="10648B31" w:rsidR="00C041B4" w:rsidRDefault="00C55B3B" w:rsidP="00C55B3B">
      <w:pPr>
        <w:spacing w:after="0" w:line="265" w:lineRule="auto"/>
        <w:ind w:left="4966" w:right="366" w:firstLine="698"/>
        <w:jc w:val="center"/>
      </w:pPr>
      <w:r>
        <w:rPr>
          <w:sz w:val="20"/>
        </w:rPr>
        <w:t xml:space="preserve"> </w:t>
      </w:r>
      <w:r w:rsidR="00410EA2">
        <w:rPr>
          <w:sz w:val="20"/>
        </w:rPr>
        <w:t xml:space="preserve">predsednica </w:t>
      </w:r>
      <w:r w:rsidR="004F438B">
        <w:rPr>
          <w:sz w:val="20"/>
        </w:rPr>
        <w:t xml:space="preserve">Strokovnega </w:t>
      </w:r>
      <w:r w:rsidR="00D629F8">
        <w:rPr>
          <w:sz w:val="20"/>
        </w:rPr>
        <w:t>sveta</w:t>
      </w:r>
    </w:p>
    <w:p w14:paraId="3B7A2E17" w14:textId="77777777" w:rsidR="00C041B4" w:rsidRDefault="00D629F8" w:rsidP="00CD6D62">
      <w:pPr>
        <w:spacing w:after="600" w:line="265" w:lineRule="auto"/>
        <w:ind w:left="4966" w:right="274" w:firstLine="698"/>
        <w:jc w:val="center"/>
      </w:pPr>
      <w:r>
        <w:rPr>
          <w:sz w:val="20"/>
        </w:rPr>
        <w:t>Slovenskega inštituta za revizijo</w:t>
      </w:r>
    </w:p>
    <w:sectPr w:rsidR="00C041B4">
      <w:pgSz w:w="11900" w:h="16840"/>
      <w:pgMar w:top="1744" w:right="1128" w:bottom="711" w:left="169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7B058" w14:textId="77777777" w:rsidR="005E5AEF" w:rsidRDefault="005E5AEF" w:rsidP="001C63F9">
      <w:pPr>
        <w:spacing w:after="0" w:line="240" w:lineRule="auto"/>
      </w:pPr>
      <w:r>
        <w:separator/>
      </w:r>
    </w:p>
  </w:endnote>
  <w:endnote w:type="continuationSeparator" w:id="0">
    <w:p w14:paraId="52035D67" w14:textId="77777777" w:rsidR="005E5AEF" w:rsidRDefault="005E5AEF" w:rsidP="001C6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9D2F" w14:textId="77777777" w:rsidR="005E5AEF" w:rsidRDefault="005E5AEF" w:rsidP="001C63F9">
      <w:pPr>
        <w:spacing w:after="0" w:line="240" w:lineRule="auto"/>
      </w:pPr>
      <w:r>
        <w:separator/>
      </w:r>
    </w:p>
  </w:footnote>
  <w:footnote w:type="continuationSeparator" w:id="0">
    <w:p w14:paraId="14C4666B" w14:textId="77777777" w:rsidR="005E5AEF" w:rsidRDefault="005E5AEF" w:rsidP="001C63F9">
      <w:pPr>
        <w:spacing w:after="0" w:line="240" w:lineRule="auto"/>
      </w:pPr>
      <w:r>
        <w:continuationSeparator/>
      </w:r>
    </w:p>
  </w:footnote>
  <w:footnote w:id="1">
    <w:p w14:paraId="5CA6AC75" w14:textId="319D8096" w:rsidR="001C63F9" w:rsidRDefault="001C63F9" w:rsidP="0065231D">
      <w:pPr>
        <w:pStyle w:val="Sprotnaopomba-besedilo"/>
        <w:ind w:left="142" w:hanging="142"/>
      </w:pPr>
      <w:r>
        <w:rPr>
          <w:rStyle w:val="Sprotnaopomba-sklic"/>
        </w:rPr>
        <w:footnoteRef/>
      </w:r>
      <w:r>
        <w:t xml:space="preserve"> </w:t>
      </w:r>
      <w:r w:rsidR="0065231D">
        <w:tab/>
      </w:r>
      <w:r>
        <w:t xml:space="preserve">Pojem »prevzeta družba« je pravni pojem, kot ga ureja ZGD-1 za družbo, ki prenese celotno svoje premoženje na prevzemno družbo in v posledici </w:t>
      </w:r>
      <w:r w:rsidR="00E05B02">
        <w:t xml:space="preserve">takšne </w:t>
      </w:r>
      <w:r w:rsidR="004F2A3B">
        <w:t>združitve (</w:t>
      </w:r>
      <w:r>
        <w:t xml:space="preserve">pripojitve </w:t>
      </w:r>
      <w:r w:rsidR="0065231D">
        <w:t>ali spojitve</w:t>
      </w:r>
      <w:r w:rsidR="004F2A3B">
        <w:t>)</w:t>
      </w:r>
      <w:r w:rsidR="0065231D">
        <w:t xml:space="preserve"> </w:t>
      </w:r>
      <w:r>
        <w:t xml:space="preserve">preneha brez likvidacije. </w:t>
      </w:r>
    </w:p>
  </w:footnote>
  <w:footnote w:id="2">
    <w:p w14:paraId="110C5B30" w14:textId="79ABC3F5" w:rsidR="00B142F9" w:rsidRDefault="00B142F9" w:rsidP="00B142F9">
      <w:pPr>
        <w:pStyle w:val="Sprotnaopomba-besedilo"/>
        <w:ind w:left="142" w:hanging="142"/>
      </w:pPr>
      <w:r>
        <w:rPr>
          <w:rStyle w:val="Sprotnaopomba-sklic"/>
        </w:rPr>
        <w:footnoteRef/>
      </w:r>
      <w:r>
        <w:t xml:space="preserve"> </w:t>
      </w:r>
      <w:r>
        <w:tab/>
        <w:t>Pojem »prevzemna družba« je pravni pojem, kot ga ureja ZGD-1 za družbo, ki prevzame premoženje prevzete družbe.</w:t>
      </w:r>
    </w:p>
  </w:footnote>
  <w:footnote w:id="3">
    <w:p w14:paraId="0418B9F2" w14:textId="61B876B1" w:rsidR="004F2A3B" w:rsidRDefault="004F2A3B" w:rsidP="004F2A3B">
      <w:pPr>
        <w:pStyle w:val="Sprotnaopomba-besedilo"/>
        <w:ind w:left="142" w:hanging="142"/>
      </w:pPr>
      <w:r>
        <w:rPr>
          <w:rStyle w:val="Sprotnaopomba-sklic"/>
        </w:rPr>
        <w:footnoteRef/>
      </w:r>
      <w:r>
        <w:t xml:space="preserve"> </w:t>
      </w:r>
      <w:r>
        <w:tab/>
        <w:t>Pojem »prenosna družba« je pravni pojem, kot ga ureja ZGD-1 za družbo, ki prenese del ali celotno svoje premoženje na prevzemne (</w:t>
      </w:r>
      <w:r w:rsidR="00FE2F5D">
        <w:t>pri</w:t>
      </w:r>
      <w:r>
        <w:t xml:space="preserve"> </w:t>
      </w:r>
      <w:r w:rsidR="00FE2F5D">
        <w:t xml:space="preserve">delitvi </w:t>
      </w:r>
      <w:r>
        <w:t>s prevzemom) ali nove (</w:t>
      </w:r>
      <w:r w:rsidR="00FE2F5D">
        <w:t>pri</w:t>
      </w:r>
      <w:r>
        <w:t xml:space="preserve"> </w:t>
      </w:r>
      <w:r w:rsidR="00FE2F5D">
        <w:t xml:space="preserve">delitvi </w:t>
      </w:r>
      <w:r>
        <w:t>z ustanovitvijo novih družb) družbe. Kadar prenosna družba na prevzem</w:t>
      </w:r>
      <w:r w:rsidR="00FE2F5D">
        <w:t>n</w:t>
      </w:r>
      <w:r>
        <w:t>e ali nove družbe prenese svoje celotno premoženje</w:t>
      </w:r>
      <w:r w:rsidR="00E05B02">
        <w:t xml:space="preserve">, sama </w:t>
      </w:r>
      <w:r>
        <w:t xml:space="preserve">v posledici </w:t>
      </w:r>
      <w:r w:rsidR="00E05B02">
        <w:t>takšne</w:t>
      </w:r>
      <w:r>
        <w:t xml:space="preserve"> razdelitve preneha brez likvidacije.</w:t>
      </w:r>
    </w:p>
  </w:footnote>
  <w:footnote w:id="4">
    <w:p w14:paraId="63309C96" w14:textId="07F6D4A7" w:rsidR="00461920" w:rsidRDefault="00461920" w:rsidP="008174DD">
      <w:pPr>
        <w:pStyle w:val="Sprotnaopomba-besedilo"/>
        <w:ind w:left="142" w:hanging="142"/>
      </w:pPr>
      <w:r>
        <w:rPr>
          <w:rStyle w:val="Sprotnaopomba-sklic"/>
        </w:rPr>
        <w:footnoteRef/>
      </w:r>
      <w:r>
        <w:t xml:space="preserve"> </w:t>
      </w:r>
      <w:r w:rsidR="008174DD">
        <w:tab/>
      </w:r>
      <w:r w:rsidR="00410EA2">
        <w:t>Čeprav</w:t>
      </w:r>
      <w:r>
        <w:t xml:space="preserve"> pravne listine za združitev ali delitev </w:t>
      </w:r>
      <w:r w:rsidR="00410EA2">
        <w:t xml:space="preserve">potrdijo </w:t>
      </w:r>
      <w:r>
        <w:t>že vs</w:t>
      </w:r>
      <w:r w:rsidR="00410EA2">
        <w:t>i</w:t>
      </w:r>
      <w:r>
        <w:t xml:space="preserve"> </w:t>
      </w:r>
      <w:r w:rsidR="00410EA2">
        <w:t xml:space="preserve">organi </w:t>
      </w:r>
      <w:r>
        <w:t>upravljanja vseh družb</w:t>
      </w:r>
      <w:r w:rsidR="008D104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78EC"/>
    <w:multiLevelType w:val="hybridMultilevel"/>
    <w:tmpl w:val="A80081D0"/>
    <w:lvl w:ilvl="0" w:tplc="8C700D90">
      <w:start w:val="1"/>
      <w:numFmt w:val="decimal"/>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1B869B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E1E655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6B4D52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62E5B9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2B233E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8BCAB3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B9A80D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B047C9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2046171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1B4"/>
    <w:rsid w:val="000547CF"/>
    <w:rsid w:val="000563E1"/>
    <w:rsid w:val="000D6280"/>
    <w:rsid w:val="000E48AD"/>
    <w:rsid w:val="0012472A"/>
    <w:rsid w:val="00130E4F"/>
    <w:rsid w:val="00163BB9"/>
    <w:rsid w:val="0016728B"/>
    <w:rsid w:val="001C232F"/>
    <w:rsid w:val="001C63F9"/>
    <w:rsid w:val="001E3266"/>
    <w:rsid w:val="00216686"/>
    <w:rsid w:val="00286A15"/>
    <w:rsid w:val="00290617"/>
    <w:rsid w:val="002A18CE"/>
    <w:rsid w:val="002C783D"/>
    <w:rsid w:val="0031426A"/>
    <w:rsid w:val="00314919"/>
    <w:rsid w:val="0033265F"/>
    <w:rsid w:val="00343B71"/>
    <w:rsid w:val="00363EFD"/>
    <w:rsid w:val="003B45B6"/>
    <w:rsid w:val="003D20A3"/>
    <w:rsid w:val="003F2AC4"/>
    <w:rsid w:val="00403ECB"/>
    <w:rsid w:val="004068AF"/>
    <w:rsid w:val="00410EA2"/>
    <w:rsid w:val="00432C86"/>
    <w:rsid w:val="00434D12"/>
    <w:rsid w:val="00461920"/>
    <w:rsid w:val="0048378D"/>
    <w:rsid w:val="004C06F8"/>
    <w:rsid w:val="004E2BD4"/>
    <w:rsid w:val="004F2A3B"/>
    <w:rsid w:val="004F438B"/>
    <w:rsid w:val="005520D3"/>
    <w:rsid w:val="00554903"/>
    <w:rsid w:val="005B02AC"/>
    <w:rsid w:val="005B2F60"/>
    <w:rsid w:val="005E1B03"/>
    <w:rsid w:val="005E5AEF"/>
    <w:rsid w:val="00601A35"/>
    <w:rsid w:val="00614D77"/>
    <w:rsid w:val="00634ACC"/>
    <w:rsid w:val="0065231D"/>
    <w:rsid w:val="00663866"/>
    <w:rsid w:val="006824E2"/>
    <w:rsid w:val="006B3DC3"/>
    <w:rsid w:val="006D5FCB"/>
    <w:rsid w:val="006D7590"/>
    <w:rsid w:val="006E1274"/>
    <w:rsid w:val="006E4F3B"/>
    <w:rsid w:val="006F1589"/>
    <w:rsid w:val="00723694"/>
    <w:rsid w:val="00727D30"/>
    <w:rsid w:val="00792FC7"/>
    <w:rsid w:val="007C7029"/>
    <w:rsid w:val="007D092D"/>
    <w:rsid w:val="008174DD"/>
    <w:rsid w:val="00841766"/>
    <w:rsid w:val="008601A2"/>
    <w:rsid w:val="008A0D43"/>
    <w:rsid w:val="008D104E"/>
    <w:rsid w:val="008F54A2"/>
    <w:rsid w:val="009035EF"/>
    <w:rsid w:val="00916A0B"/>
    <w:rsid w:val="00923FA9"/>
    <w:rsid w:val="0096502F"/>
    <w:rsid w:val="00986DC9"/>
    <w:rsid w:val="009E6735"/>
    <w:rsid w:val="00A03177"/>
    <w:rsid w:val="00A26C46"/>
    <w:rsid w:val="00A35D45"/>
    <w:rsid w:val="00A42EB0"/>
    <w:rsid w:val="00A469A8"/>
    <w:rsid w:val="00A54FAA"/>
    <w:rsid w:val="00A64AA5"/>
    <w:rsid w:val="00A707DF"/>
    <w:rsid w:val="00A802A4"/>
    <w:rsid w:val="00A86417"/>
    <w:rsid w:val="00A94B9A"/>
    <w:rsid w:val="00AA0549"/>
    <w:rsid w:val="00AC41E1"/>
    <w:rsid w:val="00AD681D"/>
    <w:rsid w:val="00AE13AD"/>
    <w:rsid w:val="00AF2B93"/>
    <w:rsid w:val="00B072A7"/>
    <w:rsid w:val="00B142F9"/>
    <w:rsid w:val="00B37BF3"/>
    <w:rsid w:val="00BA75A7"/>
    <w:rsid w:val="00BB0ADF"/>
    <w:rsid w:val="00BC3FFB"/>
    <w:rsid w:val="00BC7342"/>
    <w:rsid w:val="00BD396C"/>
    <w:rsid w:val="00BF00D2"/>
    <w:rsid w:val="00BF7C56"/>
    <w:rsid w:val="00C03426"/>
    <w:rsid w:val="00C03C91"/>
    <w:rsid w:val="00C041B4"/>
    <w:rsid w:val="00C04862"/>
    <w:rsid w:val="00C47492"/>
    <w:rsid w:val="00C55B3B"/>
    <w:rsid w:val="00C652FA"/>
    <w:rsid w:val="00C662DE"/>
    <w:rsid w:val="00C83C3E"/>
    <w:rsid w:val="00CD1982"/>
    <w:rsid w:val="00CD6D62"/>
    <w:rsid w:val="00CE69D6"/>
    <w:rsid w:val="00D33B00"/>
    <w:rsid w:val="00D46D97"/>
    <w:rsid w:val="00D60BEF"/>
    <w:rsid w:val="00D629F8"/>
    <w:rsid w:val="00DC43D9"/>
    <w:rsid w:val="00E05B02"/>
    <w:rsid w:val="00E60DB8"/>
    <w:rsid w:val="00E62FA9"/>
    <w:rsid w:val="00E8209E"/>
    <w:rsid w:val="00EA3005"/>
    <w:rsid w:val="00EE2528"/>
    <w:rsid w:val="00F757B0"/>
    <w:rsid w:val="00FA58C6"/>
    <w:rsid w:val="00FE012C"/>
    <w:rsid w:val="00FE2F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92357"/>
  <w15:docId w15:val="{137FE9D6-B2DE-4E21-9D99-6F754D4C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85" w:line="270" w:lineRule="auto"/>
      <w:ind w:left="10" w:right="5" w:hanging="10"/>
      <w:jc w:val="both"/>
    </w:pPr>
    <w:rPr>
      <w:rFonts w:ascii="Arial" w:eastAsia="Arial" w:hAnsi="Arial" w:cs="Arial"/>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8209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8209E"/>
    <w:rPr>
      <w:rFonts w:ascii="Segoe UI" w:eastAsia="Arial" w:hAnsi="Segoe UI" w:cs="Segoe UI"/>
      <w:color w:val="000000"/>
      <w:sz w:val="18"/>
      <w:szCs w:val="18"/>
    </w:rPr>
  </w:style>
  <w:style w:type="paragraph" w:styleId="Revizija">
    <w:name w:val="Revision"/>
    <w:hidden/>
    <w:uiPriority w:val="99"/>
    <w:semiHidden/>
    <w:rsid w:val="008F54A2"/>
    <w:pPr>
      <w:spacing w:after="0" w:line="240" w:lineRule="auto"/>
    </w:pPr>
    <w:rPr>
      <w:rFonts w:ascii="Arial" w:eastAsia="Arial" w:hAnsi="Arial" w:cs="Arial"/>
      <w:color w:val="000000"/>
    </w:rPr>
  </w:style>
  <w:style w:type="paragraph" w:styleId="Sprotnaopomba-besedilo">
    <w:name w:val="footnote text"/>
    <w:basedOn w:val="Navaden"/>
    <w:link w:val="Sprotnaopomba-besediloZnak"/>
    <w:uiPriority w:val="99"/>
    <w:semiHidden/>
    <w:unhideWhenUsed/>
    <w:rsid w:val="001C63F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C63F9"/>
    <w:rPr>
      <w:rFonts w:ascii="Arial" w:eastAsia="Arial" w:hAnsi="Arial" w:cs="Arial"/>
      <w:color w:val="000000"/>
      <w:sz w:val="20"/>
      <w:szCs w:val="20"/>
    </w:rPr>
  </w:style>
  <w:style w:type="character" w:styleId="Sprotnaopomba-sklic">
    <w:name w:val="footnote reference"/>
    <w:basedOn w:val="Privzetapisavaodstavka"/>
    <w:uiPriority w:val="99"/>
    <w:semiHidden/>
    <w:unhideWhenUsed/>
    <w:rsid w:val="001C63F9"/>
    <w:rPr>
      <w:vertAlign w:val="superscript"/>
    </w:rPr>
  </w:style>
  <w:style w:type="character" w:styleId="Pripombasklic">
    <w:name w:val="annotation reference"/>
    <w:basedOn w:val="Privzetapisavaodstavka"/>
    <w:uiPriority w:val="99"/>
    <w:semiHidden/>
    <w:unhideWhenUsed/>
    <w:rsid w:val="005E1B03"/>
    <w:rPr>
      <w:sz w:val="16"/>
      <w:szCs w:val="16"/>
    </w:rPr>
  </w:style>
  <w:style w:type="paragraph" w:styleId="Pripombabesedilo">
    <w:name w:val="annotation text"/>
    <w:basedOn w:val="Navaden"/>
    <w:link w:val="PripombabesediloZnak"/>
    <w:uiPriority w:val="99"/>
    <w:unhideWhenUsed/>
    <w:rsid w:val="005E1B03"/>
    <w:pPr>
      <w:spacing w:line="240" w:lineRule="auto"/>
    </w:pPr>
    <w:rPr>
      <w:sz w:val="20"/>
      <w:szCs w:val="20"/>
    </w:rPr>
  </w:style>
  <w:style w:type="character" w:customStyle="1" w:styleId="PripombabesediloZnak">
    <w:name w:val="Pripomba – besedilo Znak"/>
    <w:basedOn w:val="Privzetapisavaodstavka"/>
    <w:link w:val="Pripombabesedilo"/>
    <w:uiPriority w:val="99"/>
    <w:rsid w:val="005E1B03"/>
    <w:rPr>
      <w:rFonts w:ascii="Arial" w:eastAsia="Arial" w:hAnsi="Arial" w:cs="Arial"/>
      <w:color w:val="000000"/>
      <w:sz w:val="20"/>
      <w:szCs w:val="20"/>
    </w:rPr>
  </w:style>
  <w:style w:type="paragraph" w:styleId="Zadevapripombe">
    <w:name w:val="annotation subject"/>
    <w:basedOn w:val="Pripombabesedilo"/>
    <w:next w:val="Pripombabesedilo"/>
    <w:link w:val="ZadevapripombeZnak"/>
    <w:uiPriority w:val="99"/>
    <w:semiHidden/>
    <w:unhideWhenUsed/>
    <w:rsid w:val="005E1B03"/>
    <w:rPr>
      <w:b/>
      <w:bCs/>
    </w:rPr>
  </w:style>
  <w:style w:type="character" w:customStyle="1" w:styleId="ZadevapripombeZnak">
    <w:name w:val="Zadeva pripombe Znak"/>
    <w:basedOn w:val="PripombabesediloZnak"/>
    <w:link w:val="Zadevapripombe"/>
    <w:uiPriority w:val="99"/>
    <w:semiHidden/>
    <w:rsid w:val="005E1B03"/>
    <w:rPr>
      <w:rFonts w:ascii="Arial" w:eastAsia="Arial" w:hAnsi="Arial" w:cs="Arial"/>
      <w:b/>
      <w:bCs/>
      <w:color w:val="000000"/>
      <w:sz w:val="20"/>
      <w:szCs w:val="20"/>
    </w:rPr>
  </w:style>
  <w:style w:type="paragraph" w:styleId="Odstavekseznama">
    <w:name w:val="List Paragraph"/>
    <w:basedOn w:val="Navaden"/>
    <w:uiPriority w:val="34"/>
    <w:qFormat/>
    <w:rsid w:val="00A42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94FCE4-FDBC-47FE-B871-C9153E38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1527</Words>
  <Characters>8488</Characters>
  <Application>Microsoft Office Word</Application>
  <DocSecurity>4</DocSecurity>
  <Lines>70</Lines>
  <Paragraphs>19</Paragraphs>
  <ScaleCrop>false</ScaleCrop>
  <HeadingPairs>
    <vt:vector size="2" baseType="variant">
      <vt:variant>
        <vt:lpstr>Naslov</vt:lpstr>
      </vt:variant>
      <vt:variant>
        <vt:i4>1</vt:i4>
      </vt:variant>
    </vt:vector>
  </HeadingPairs>
  <TitlesOfParts>
    <vt:vector size="1" baseType="lpstr">
      <vt:lpstr>pojasnilo 1 k SRS 22</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pojasnilo 1 k SRS 22</dc:title>
  <dc:subject/>
  <dc:creator>Mitja</dc:creator>
  <cp:keywords/>
  <cp:lastModifiedBy>Mirjam Zdovc</cp:lastModifiedBy>
  <cp:revision>2</cp:revision>
  <cp:lastPrinted>2025-05-15T16:07:00Z</cp:lastPrinted>
  <dcterms:created xsi:type="dcterms:W3CDTF">2025-06-16T11:40:00Z</dcterms:created>
  <dcterms:modified xsi:type="dcterms:W3CDTF">2025-06-16T11:40:00Z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f8edc9d7-c03f-4d82-93e5-ee67ea1b6477</vt:lpwstr>
  </property>
</Properties>
</file>