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C3" w:rsidRPr="00D21A83" w:rsidRDefault="003262AB" w:rsidP="009735FC">
      <w:pPr>
        <w:spacing w:after="200" w:line="260" w:lineRule="exact"/>
        <w:rPr>
          <w:lang w:val="sl-SI"/>
        </w:rPr>
      </w:pPr>
      <w:r>
        <w:rPr>
          <w:lang w:val="sl-SI"/>
        </w:rPr>
        <w:t xml:space="preserve"> </w:t>
      </w:r>
    </w:p>
    <w:p w:rsidR="00257B59" w:rsidRPr="00D21A83" w:rsidRDefault="00257B59" w:rsidP="009735FC">
      <w:pPr>
        <w:spacing w:after="200" w:line="260" w:lineRule="exact"/>
        <w:rPr>
          <w:lang w:val="sl-SI"/>
        </w:rPr>
      </w:pPr>
    </w:p>
    <w:p w:rsidR="00257B59" w:rsidRPr="00D21A83" w:rsidRDefault="00257B59" w:rsidP="009735FC">
      <w:pPr>
        <w:spacing w:after="200" w:line="260" w:lineRule="exact"/>
        <w:rPr>
          <w:lang w:val="sl-SI"/>
        </w:rPr>
      </w:pPr>
    </w:p>
    <w:p w:rsidR="001109C3" w:rsidRPr="00D21A83" w:rsidRDefault="001109C3" w:rsidP="009735FC">
      <w:pPr>
        <w:pStyle w:val="ZADEVA"/>
        <w:spacing w:after="200" w:line="260" w:lineRule="exact"/>
        <w:rPr>
          <w:lang w:val="sl-SI"/>
        </w:rPr>
      </w:pPr>
    </w:p>
    <w:p w:rsidR="00CD69B8" w:rsidRPr="00D21A83" w:rsidRDefault="00CD69B8" w:rsidP="009735FC">
      <w:pPr>
        <w:spacing w:after="200" w:line="260" w:lineRule="exact"/>
        <w:jc w:val="center"/>
        <w:rPr>
          <w:rFonts w:ascii="Calibri" w:eastAsia="Calibri" w:hAnsi="Calibri"/>
          <w:b/>
          <w:sz w:val="24"/>
          <w:lang w:val="sl-SI"/>
        </w:rPr>
      </w:pPr>
    </w:p>
    <w:p w:rsidR="00CD69B8" w:rsidRPr="00D21A83" w:rsidRDefault="00CD69B8" w:rsidP="009735FC">
      <w:pPr>
        <w:spacing w:after="200" w:line="260" w:lineRule="exact"/>
        <w:jc w:val="center"/>
        <w:rPr>
          <w:rFonts w:ascii="Calibri" w:eastAsia="Calibri" w:hAnsi="Calibri"/>
          <w:b/>
          <w:sz w:val="24"/>
          <w:lang w:val="sl-SI"/>
        </w:rPr>
      </w:pPr>
    </w:p>
    <w:p w:rsidR="00CD69B8" w:rsidRPr="00D21A83" w:rsidRDefault="00CD69B8" w:rsidP="009735FC">
      <w:pPr>
        <w:spacing w:after="200" w:line="260" w:lineRule="exact"/>
        <w:jc w:val="center"/>
        <w:rPr>
          <w:rFonts w:ascii="Calibri" w:eastAsia="Calibri" w:hAnsi="Calibri"/>
          <w:b/>
          <w:sz w:val="24"/>
          <w:lang w:val="sl-SI"/>
        </w:rPr>
      </w:pPr>
      <w:bookmarkStart w:id="0" w:name="_GoBack"/>
      <w:bookmarkEnd w:id="0"/>
    </w:p>
    <w:p w:rsidR="00CD69B8" w:rsidRPr="00D21A83" w:rsidRDefault="00CD69B8" w:rsidP="009735FC">
      <w:pPr>
        <w:spacing w:after="200" w:line="260" w:lineRule="exact"/>
        <w:jc w:val="center"/>
        <w:rPr>
          <w:rFonts w:ascii="Calibri" w:eastAsia="Calibri" w:hAnsi="Calibri"/>
          <w:b/>
          <w:sz w:val="24"/>
          <w:lang w:val="sl-SI"/>
        </w:rPr>
      </w:pPr>
    </w:p>
    <w:p w:rsidR="00CD69B8" w:rsidRPr="00D21A83" w:rsidRDefault="00CD69B8" w:rsidP="009735FC">
      <w:pPr>
        <w:spacing w:after="200" w:line="260" w:lineRule="exact"/>
        <w:jc w:val="center"/>
        <w:rPr>
          <w:rFonts w:ascii="Calibri" w:eastAsia="Calibri" w:hAnsi="Calibri"/>
          <w:b/>
          <w:sz w:val="24"/>
          <w:lang w:val="sl-SI"/>
        </w:rPr>
      </w:pPr>
    </w:p>
    <w:p w:rsidR="00031EF5" w:rsidRPr="00EE292A" w:rsidRDefault="00031EF5" w:rsidP="009735FC">
      <w:pPr>
        <w:pStyle w:val="NaslovTOC"/>
        <w:spacing w:after="200"/>
        <w:jc w:val="center"/>
        <w:rPr>
          <w:b/>
          <w:color w:val="0070C0"/>
        </w:rPr>
      </w:pPr>
      <w:r w:rsidRPr="00EE292A">
        <w:rPr>
          <w:rFonts w:eastAsia="Calibri"/>
          <w:b/>
          <w:color w:val="0070C0"/>
        </w:rPr>
        <w:t>SMERNICE</w:t>
      </w:r>
      <w:r w:rsidR="008A4C88" w:rsidRPr="00EE292A">
        <w:rPr>
          <w:rFonts w:eastAsia="Calibri"/>
          <w:b/>
          <w:color w:val="0070C0"/>
        </w:rPr>
        <w:t xml:space="preserve"> </w:t>
      </w:r>
      <w:r w:rsidRPr="00EE292A">
        <w:rPr>
          <w:rFonts w:eastAsia="Calibri"/>
          <w:b/>
          <w:color w:val="0070C0"/>
        </w:rPr>
        <w:t>ZA DOLOČITEV IN PRIGLASITEV ORGANOV ZA OCENJEVANJE IN PREVERJANJE NESPREMENLJIVOSTI LASTNOS</w:t>
      </w:r>
      <w:r w:rsidR="008B4CFB" w:rsidRPr="00EE292A">
        <w:rPr>
          <w:rFonts w:eastAsia="Calibri"/>
          <w:b/>
          <w:color w:val="0070C0"/>
        </w:rPr>
        <w:t>T</w:t>
      </w:r>
      <w:r w:rsidRPr="00EE292A">
        <w:rPr>
          <w:rFonts w:eastAsia="Calibri"/>
          <w:b/>
          <w:color w:val="0070C0"/>
        </w:rPr>
        <w:t xml:space="preserve">I NA </w:t>
      </w:r>
      <w:r w:rsidR="00513B28">
        <w:rPr>
          <w:rFonts w:eastAsia="Calibri"/>
          <w:b/>
          <w:color w:val="0070C0"/>
        </w:rPr>
        <w:t>PODROČJU GRADBENIH PROIZVODOV</w:t>
      </w:r>
    </w:p>
    <w:p w:rsidR="00257B59" w:rsidRPr="00D21A83" w:rsidRDefault="00257B59" w:rsidP="009735FC">
      <w:pPr>
        <w:spacing w:after="200" w:line="260" w:lineRule="exact"/>
        <w:jc w:val="center"/>
        <w:rPr>
          <w:rFonts w:ascii="Calibri" w:eastAsia="Calibri" w:hAnsi="Calibri"/>
          <w:b/>
          <w:sz w:val="24"/>
          <w:lang w:val="sl-SI"/>
        </w:rPr>
      </w:pPr>
    </w:p>
    <w:p w:rsidR="00257B59" w:rsidRPr="00D21A83" w:rsidRDefault="00257B59" w:rsidP="009735FC">
      <w:pPr>
        <w:spacing w:after="200" w:line="260" w:lineRule="exact"/>
        <w:jc w:val="center"/>
        <w:rPr>
          <w:rFonts w:ascii="Calibri" w:eastAsia="Calibri" w:hAnsi="Calibri"/>
          <w:b/>
          <w:sz w:val="24"/>
          <w:lang w:val="sl-SI"/>
        </w:rPr>
      </w:pPr>
    </w:p>
    <w:p w:rsidR="0005004A" w:rsidRDefault="0005004A" w:rsidP="009735FC">
      <w:pPr>
        <w:spacing w:after="200" w:line="260" w:lineRule="exact"/>
        <w:jc w:val="center"/>
        <w:rPr>
          <w:rFonts w:ascii="Calibri" w:eastAsia="Calibri" w:hAnsi="Calibri"/>
          <w:b/>
          <w:sz w:val="24"/>
          <w:lang w:val="sl-SI"/>
        </w:rPr>
      </w:pPr>
    </w:p>
    <w:p w:rsidR="0005004A" w:rsidRDefault="0005004A" w:rsidP="009735FC">
      <w:pPr>
        <w:spacing w:after="200" w:line="260" w:lineRule="exact"/>
        <w:jc w:val="center"/>
        <w:rPr>
          <w:rFonts w:ascii="Calibri" w:eastAsia="Calibri" w:hAnsi="Calibri"/>
          <w:b/>
          <w:sz w:val="24"/>
          <w:lang w:val="sl-SI"/>
        </w:rPr>
      </w:pPr>
    </w:p>
    <w:p w:rsidR="0005004A" w:rsidRDefault="0005004A" w:rsidP="009735FC">
      <w:pPr>
        <w:spacing w:after="200" w:line="260" w:lineRule="exact"/>
        <w:jc w:val="center"/>
        <w:rPr>
          <w:rFonts w:ascii="Calibri" w:eastAsia="Calibri" w:hAnsi="Calibri"/>
          <w:b/>
          <w:sz w:val="24"/>
          <w:lang w:val="sl-SI"/>
        </w:rPr>
      </w:pPr>
    </w:p>
    <w:p w:rsidR="0005004A" w:rsidRDefault="0005004A" w:rsidP="009735FC">
      <w:pPr>
        <w:spacing w:after="200" w:line="260" w:lineRule="exact"/>
        <w:jc w:val="center"/>
        <w:rPr>
          <w:rFonts w:ascii="Calibri" w:eastAsia="Calibri" w:hAnsi="Calibri"/>
          <w:b/>
          <w:sz w:val="24"/>
          <w:lang w:val="sl-SI"/>
        </w:rPr>
      </w:pPr>
    </w:p>
    <w:p w:rsidR="0005004A" w:rsidRDefault="0005004A" w:rsidP="009735FC">
      <w:pPr>
        <w:spacing w:after="200" w:line="260" w:lineRule="exact"/>
        <w:jc w:val="center"/>
        <w:rPr>
          <w:rFonts w:ascii="Calibri" w:eastAsia="Calibri" w:hAnsi="Calibri"/>
          <w:b/>
          <w:sz w:val="24"/>
          <w:lang w:val="sl-SI"/>
        </w:rPr>
      </w:pPr>
    </w:p>
    <w:p w:rsidR="0005004A" w:rsidRDefault="0005004A" w:rsidP="009735FC">
      <w:pPr>
        <w:spacing w:after="200" w:line="260" w:lineRule="exact"/>
        <w:jc w:val="center"/>
        <w:rPr>
          <w:rFonts w:ascii="Calibri" w:eastAsia="Calibri" w:hAnsi="Calibri"/>
          <w:b/>
          <w:sz w:val="24"/>
          <w:lang w:val="sl-SI"/>
        </w:rPr>
      </w:pPr>
    </w:p>
    <w:p w:rsidR="0005004A" w:rsidRPr="00D21A83" w:rsidRDefault="0005004A" w:rsidP="009735FC">
      <w:pPr>
        <w:spacing w:after="200" w:line="260" w:lineRule="exact"/>
        <w:jc w:val="center"/>
        <w:rPr>
          <w:rFonts w:ascii="Calibri" w:eastAsia="Calibri" w:hAnsi="Calibri"/>
          <w:b/>
          <w:sz w:val="24"/>
          <w:lang w:val="sl-SI"/>
        </w:rPr>
      </w:pPr>
    </w:p>
    <w:p w:rsidR="00CD69B8" w:rsidRPr="00D21A83" w:rsidRDefault="00CD69B8" w:rsidP="009735FC">
      <w:pPr>
        <w:spacing w:after="200" w:line="260" w:lineRule="exact"/>
        <w:jc w:val="center"/>
        <w:rPr>
          <w:rFonts w:ascii="Calibri" w:eastAsia="Calibri" w:hAnsi="Calibri"/>
          <w:b/>
          <w:sz w:val="24"/>
          <w:lang w:val="sl-SI"/>
        </w:rPr>
      </w:pPr>
    </w:p>
    <w:p w:rsidR="00CD69B8" w:rsidRPr="00D21A83" w:rsidRDefault="00CD69B8" w:rsidP="009735FC">
      <w:pPr>
        <w:spacing w:after="200" w:line="260" w:lineRule="exact"/>
        <w:jc w:val="center"/>
        <w:rPr>
          <w:rFonts w:ascii="Calibri" w:eastAsia="Calibri" w:hAnsi="Calibri"/>
          <w:b/>
          <w:sz w:val="24"/>
          <w:lang w:val="sl-SI"/>
        </w:rPr>
      </w:pPr>
    </w:p>
    <w:p w:rsidR="00CD69B8" w:rsidRPr="00D21A83" w:rsidRDefault="00CD69B8" w:rsidP="009735FC">
      <w:pPr>
        <w:spacing w:after="200" w:line="260" w:lineRule="exact"/>
        <w:jc w:val="center"/>
        <w:rPr>
          <w:rFonts w:ascii="Calibri" w:eastAsia="Calibri" w:hAnsi="Calibri"/>
          <w:b/>
          <w:sz w:val="24"/>
          <w:lang w:val="sl-SI"/>
        </w:rPr>
      </w:pPr>
    </w:p>
    <w:p w:rsidR="00257B59" w:rsidRPr="00D21A83" w:rsidRDefault="00257B59" w:rsidP="009735FC">
      <w:pPr>
        <w:spacing w:after="200" w:line="260" w:lineRule="exact"/>
        <w:jc w:val="center"/>
        <w:rPr>
          <w:rFonts w:ascii="Calibri" w:eastAsia="Calibri" w:hAnsi="Calibri"/>
          <w:b/>
          <w:sz w:val="24"/>
          <w:lang w:val="sl-SI"/>
        </w:rPr>
      </w:pPr>
    </w:p>
    <w:p w:rsidR="00257B59" w:rsidRPr="00D21A83" w:rsidRDefault="00257B59" w:rsidP="009735FC">
      <w:pPr>
        <w:spacing w:after="200" w:line="260" w:lineRule="exact"/>
        <w:jc w:val="center"/>
        <w:rPr>
          <w:rFonts w:ascii="Calibri" w:eastAsia="Calibri" w:hAnsi="Calibri"/>
          <w:sz w:val="24"/>
          <w:lang w:val="sl-SI"/>
        </w:rPr>
      </w:pPr>
      <w:r w:rsidRPr="00D21A83">
        <w:rPr>
          <w:rFonts w:ascii="Calibri" w:eastAsia="Calibri" w:hAnsi="Calibri"/>
          <w:sz w:val="24"/>
          <w:lang w:val="sl-SI"/>
        </w:rPr>
        <w:t>DIREKTORAT ZA NOTRANJI TRG</w:t>
      </w:r>
    </w:p>
    <w:p w:rsidR="00257B59" w:rsidRPr="00D21A83" w:rsidRDefault="00257B59" w:rsidP="009735FC">
      <w:pPr>
        <w:spacing w:after="200" w:line="260" w:lineRule="exact"/>
        <w:jc w:val="center"/>
        <w:rPr>
          <w:rFonts w:ascii="Calibri" w:eastAsia="Calibri" w:hAnsi="Calibri"/>
          <w:sz w:val="24"/>
          <w:lang w:val="sl-SI"/>
        </w:rPr>
      </w:pPr>
      <w:r w:rsidRPr="00D21A83">
        <w:rPr>
          <w:rFonts w:ascii="Calibri" w:eastAsia="Calibri" w:hAnsi="Calibri"/>
          <w:sz w:val="24"/>
          <w:lang w:val="sl-SI"/>
        </w:rPr>
        <w:t xml:space="preserve">Sektor za </w:t>
      </w:r>
      <w:r w:rsidR="00073603" w:rsidRPr="00D21A83">
        <w:rPr>
          <w:rFonts w:ascii="Calibri" w:eastAsia="Calibri" w:hAnsi="Calibri"/>
          <w:sz w:val="24"/>
          <w:lang w:val="sl-SI"/>
        </w:rPr>
        <w:t>prost pretok blaga in storitev</w:t>
      </w:r>
    </w:p>
    <w:p w:rsidR="00257B59" w:rsidRPr="00D21A83" w:rsidRDefault="00257B59" w:rsidP="009735FC">
      <w:pPr>
        <w:spacing w:after="200" w:line="260" w:lineRule="exact"/>
        <w:jc w:val="center"/>
        <w:rPr>
          <w:rFonts w:ascii="Calibri" w:eastAsia="Calibri" w:hAnsi="Calibri"/>
          <w:sz w:val="24"/>
          <w:lang w:val="sl-SI"/>
        </w:rPr>
      </w:pPr>
    </w:p>
    <w:p w:rsidR="00257B59" w:rsidRPr="00D21A83" w:rsidRDefault="008B4CFB" w:rsidP="009735FC">
      <w:pPr>
        <w:spacing w:after="200" w:line="260" w:lineRule="exact"/>
        <w:jc w:val="center"/>
        <w:rPr>
          <w:rFonts w:ascii="Calibri" w:eastAsia="Calibri" w:hAnsi="Calibri"/>
          <w:sz w:val="24"/>
          <w:lang w:val="sl-SI"/>
        </w:rPr>
      </w:pPr>
      <w:r w:rsidRPr="00D21A83">
        <w:rPr>
          <w:rFonts w:ascii="Calibri" w:eastAsia="Calibri" w:hAnsi="Calibri"/>
          <w:sz w:val="24"/>
          <w:lang w:val="sl-SI"/>
        </w:rPr>
        <w:t xml:space="preserve">Ljubljana, </w:t>
      </w:r>
      <w:r w:rsidR="000B5D90">
        <w:rPr>
          <w:rFonts w:ascii="Calibri" w:eastAsia="Calibri" w:hAnsi="Calibri"/>
          <w:sz w:val="24"/>
          <w:lang w:val="sl-SI"/>
        </w:rPr>
        <w:t>junij 2022</w:t>
      </w:r>
    </w:p>
    <w:p w:rsidR="00E04DA0" w:rsidRPr="00D21A83" w:rsidRDefault="00257B59" w:rsidP="009735FC">
      <w:pPr>
        <w:spacing w:after="200" w:line="260" w:lineRule="exact"/>
        <w:jc w:val="center"/>
        <w:rPr>
          <w:rFonts w:eastAsia="Calibri" w:cs="Arial"/>
          <w:b/>
          <w:sz w:val="22"/>
          <w:szCs w:val="22"/>
          <w:lang w:val="sl-SI"/>
        </w:rPr>
      </w:pPr>
      <w:r w:rsidRPr="00D21A83">
        <w:rPr>
          <w:rFonts w:ascii="Calibri" w:eastAsia="Calibri" w:hAnsi="Calibri"/>
          <w:sz w:val="24"/>
          <w:lang w:val="sl-SI"/>
        </w:rPr>
        <w:br w:type="page"/>
      </w:r>
    </w:p>
    <w:p w:rsidR="00E04DA0" w:rsidRDefault="00E04DA0" w:rsidP="009735FC">
      <w:pPr>
        <w:pStyle w:val="NaslovTOC"/>
        <w:spacing w:after="200"/>
      </w:pPr>
      <w:r>
        <w:lastRenderedPageBreak/>
        <w:t>Vsebina</w:t>
      </w:r>
    </w:p>
    <w:p w:rsidR="00E01107" w:rsidRPr="00DB70F3" w:rsidRDefault="00E04DA0">
      <w:pPr>
        <w:pStyle w:val="Kazalovsebine1"/>
        <w:tabs>
          <w:tab w:val="left" w:pos="440"/>
          <w:tab w:val="right" w:leader="dot" w:pos="9204"/>
        </w:tabs>
        <w:rPr>
          <w:rFonts w:ascii="Calibri" w:hAnsi="Calibri"/>
          <w:noProof/>
          <w:sz w:val="22"/>
          <w:szCs w:val="22"/>
          <w:lang w:val="sl-SI" w:eastAsia="sl-SI"/>
        </w:rPr>
      </w:pPr>
      <w:r>
        <w:fldChar w:fldCharType="begin"/>
      </w:r>
      <w:r>
        <w:instrText xml:space="preserve"> TOC \o "1-3" \h \z \u </w:instrText>
      </w:r>
      <w:r>
        <w:fldChar w:fldCharType="separate"/>
      </w:r>
      <w:hyperlink w:anchor="_Toc92353262" w:history="1">
        <w:r w:rsidR="00E01107" w:rsidRPr="001E4FA0">
          <w:rPr>
            <w:rStyle w:val="Hiperpovezava"/>
            <w:rFonts w:eastAsia="Calibri"/>
            <w:noProof/>
          </w:rPr>
          <w:t>1</w:t>
        </w:r>
        <w:r w:rsidR="00E01107" w:rsidRPr="00DB70F3">
          <w:rPr>
            <w:rFonts w:ascii="Calibri" w:hAnsi="Calibri"/>
            <w:noProof/>
            <w:sz w:val="22"/>
            <w:szCs w:val="22"/>
            <w:lang w:val="sl-SI" w:eastAsia="sl-SI"/>
          </w:rPr>
          <w:tab/>
        </w:r>
        <w:r w:rsidR="00E01107" w:rsidRPr="001E4FA0">
          <w:rPr>
            <w:rStyle w:val="Hiperpovezava"/>
            <w:rFonts w:eastAsia="Calibri"/>
            <w:noProof/>
          </w:rPr>
          <w:t>NAMEN</w:t>
        </w:r>
        <w:r w:rsidR="00E01107">
          <w:rPr>
            <w:noProof/>
            <w:webHidden/>
          </w:rPr>
          <w:tab/>
        </w:r>
        <w:r w:rsidR="00E01107">
          <w:rPr>
            <w:noProof/>
            <w:webHidden/>
          </w:rPr>
          <w:fldChar w:fldCharType="begin"/>
        </w:r>
        <w:r w:rsidR="00E01107">
          <w:rPr>
            <w:noProof/>
            <w:webHidden/>
          </w:rPr>
          <w:instrText xml:space="preserve"> PAGEREF _Toc92353262 \h </w:instrText>
        </w:r>
        <w:r w:rsidR="00E01107">
          <w:rPr>
            <w:noProof/>
            <w:webHidden/>
          </w:rPr>
        </w:r>
        <w:r w:rsidR="00E01107">
          <w:rPr>
            <w:noProof/>
            <w:webHidden/>
          </w:rPr>
          <w:fldChar w:fldCharType="separate"/>
        </w:r>
        <w:r w:rsidR="00E01107">
          <w:rPr>
            <w:noProof/>
            <w:webHidden/>
          </w:rPr>
          <w:t>3</w:t>
        </w:r>
        <w:r w:rsidR="00E01107">
          <w:rPr>
            <w:noProof/>
            <w:webHidden/>
          </w:rPr>
          <w:fldChar w:fldCharType="end"/>
        </w:r>
      </w:hyperlink>
    </w:p>
    <w:p w:rsidR="00E01107" w:rsidRPr="00DB70F3" w:rsidRDefault="00E01107">
      <w:pPr>
        <w:pStyle w:val="Kazalovsebine1"/>
        <w:tabs>
          <w:tab w:val="left" w:pos="440"/>
          <w:tab w:val="right" w:leader="dot" w:pos="9204"/>
        </w:tabs>
        <w:rPr>
          <w:rFonts w:ascii="Calibri" w:hAnsi="Calibri"/>
          <w:noProof/>
          <w:sz w:val="22"/>
          <w:szCs w:val="22"/>
          <w:lang w:val="sl-SI" w:eastAsia="sl-SI"/>
        </w:rPr>
      </w:pPr>
      <w:hyperlink w:anchor="_Toc92353263" w:history="1">
        <w:r w:rsidRPr="001E4FA0">
          <w:rPr>
            <w:rStyle w:val="Hiperpovezava"/>
            <w:rFonts w:eastAsia="Calibri"/>
            <w:noProof/>
          </w:rPr>
          <w:t>2</w:t>
        </w:r>
        <w:r w:rsidRPr="00DB70F3">
          <w:rPr>
            <w:rFonts w:ascii="Calibri" w:hAnsi="Calibri"/>
            <w:noProof/>
            <w:sz w:val="22"/>
            <w:szCs w:val="22"/>
            <w:lang w:val="sl-SI" w:eastAsia="sl-SI"/>
          </w:rPr>
          <w:tab/>
        </w:r>
        <w:r w:rsidRPr="001E4FA0">
          <w:rPr>
            <w:rStyle w:val="Hiperpovezava"/>
            <w:rFonts w:eastAsia="Calibri"/>
            <w:noProof/>
          </w:rPr>
          <w:t>PODROČJE UPORABE</w:t>
        </w:r>
        <w:r>
          <w:rPr>
            <w:noProof/>
            <w:webHidden/>
          </w:rPr>
          <w:tab/>
        </w:r>
        <w:r>
          <w:rPr>
            <w:noProof/>
            <w:webHidden/>
          </w:rPr>
          <w:fldChar w:fldCharType="begin"/>
        </w:r>
        <w:r>
          <w:rPr>
            <w:noProof/>
            <w:webHidden/>
          </w:rPr>
          <w:instrText xml:space="preserve"> PAGEREF _Toc92353263 \h </w:instrText>
        </w:r>
        <w:r>
          <w:rPr>
            <w:noProof/>
            <w:webHidden/>
          </w:rPr>
        </w:r>
        <w:r>
          <w:rPr>
            <w:noProof/>
            <w:webHidden/>
          </w:rPr>
          <w:fldChar w:fldCharType="separate"/>
        </w:r>
        <w:r>
          <w:rPr>
            <w:noProof/>
            <w:webHidden/>
          </w:rPr>
          <w:t>3</w:t>
        </w:r>
        <w:r>
          <w:rPr>
            <w:noProof/>
            <w:webHidden/>
          </w:rPr>
          <w:fldChar w:fldCharType="end"/>
        </w:r>
      </w:hyperlink>
    </w:p>
    <w:p w:rsidR="00E01107" w:rsidRPr="00DB70F3" w:rsidRDefault="00E01107">
      <w:pPr>
        <w:pStyle w:val="Kazalovsebine1"/>
        <w:tabs>
          <w:tab w:val="left" w:pos="440"/>
          <w:tab w:val="right" w:leader="dot" w:pos="9204"/>
        </w:tabs>
        <w:rPr>
          <w:rFonts w:ascii="Calibri" w:hAnsi="Calibri"/>
          <w:noProof/>
          <w:sz w:val="22"/>
          <w:szCs w:val="22"/>
          <w:lang w:val="sl-SI" w:eastAsia="sl-SI"/>
        </w:rPr>
      </w:pPr>
      <w:hyperlink w:anchor="_Toc92353264" w:history="1">
        <w:r w:rsidRPr="001E4FA0">
          <w:rPr>
            <w:rStyle w:val="Hiperpovezava"/>
            <w:rFonts w:eastAsia="Calibri"/>
            <w:noProof/>
          </w:rPr>
          <w:t>3</w:t>
        </w:r>
        <w:r w:rsidRPr="00DB70F3">
          <w:rPr>
            <w:rFonts w:ascii="Calibri" w:hAnsi="Calibri"/>
            <w:noProof/>
            <w:sz w:val="22"/>
            <w:szCs w:val="22"/>
            <w:lang w:val="sl-SI" w:eastAsia="sl-SI"/>
          </w:rPr>
          <w:tab/>
        </w:r>
        <w:r w:rsidRPr="001E4FA0">
          <w:rPr>
            <w:rStyle w:val="Hiperpovezava"/>
            <w:rFonts w:eastAsia="Calibri"/>
            <w:noProof/>
          </w:rPr>
          <w:t>POMEN IZRAZOV</w:t>
        </w:r>
        <w:r>
          <w:rPr>
            <w:noProof/>
            <w:webHidden/>
          </w:rPr>
          <w:tab/>
        </w:r>
        <w:r>
          <w:rPr>
            <w:noProof/>
            <w:webHidden/>
          </w:rPr>
          <w:fldChar w:fldCharType="begin"/>
        </w:r>
        <w:r>
          <w:rPr>
            <w:noProof/>
            <w:webHidden/>
          </w:rPr>
          <w:instrText xml:space="preserve"> PAGEREF _Toc92353264 \h </w:instrText>
        </w:r>
        <w:r>
          <w:rPr>
            <w:noProof/>
            <w:webHidden/>
          </w:rPr>
        </w:r>
        <w:r>
          <w:rPr>
            <w:noProof/>
            <w:webHidden/>
          </w:rPr>
          <w:fldChar w:fldCharType="separate"/>
        </w:r>
        <w:r>
          <w:rPr>
            <w:noProof/>
            <w:webHidden/>
          </w:rPr>
          <w:t>3</w:t>
        </w:r>
        <w:r>
          <w:rPr>
            <w:noProof/>
            <w:webHidden/>
          </w:rPr>
          <w:fldChar w:fldCharType="end"/>
        </w:r>
      </w:hyperlink>
    </w:p>
    <w:p w:rsidR="00E01107" w:rsidRPr="00DB70F3" w:rsidRDefault="00E01107">
      <w:pPr>
        <w:pStyle w:val="Kazalovsebine1"/>
        <w:tabs>
          <w:tab w:val="left" w:pos="440"/>
          <w:tab w:val="right" w:leader="dot" w:pos="9204"/>
        </w:tabs>
        <w:rPr>
          <w:rFonts w:ascii="Calibri" w:hAnsi="Calibri"/>
          <w:noProof/>
          <w:sz w:val="22"/>
          <w:szCs w:val="22"/>
          <w:lang w:val="sl-SI" w:eastAsia="sl-SI"/>
        </w:rPr>
      </w:pPr>
      <w:hyperlink w:anchor="_Toc92353265" w:history="1">
        <w:r w:rsidRPr="001E4FA0">
          <w:rPr>
            <w:rStyle w:val="Hiperpovezava"/>
            <w:rFonts w:eastAsia="Calibri"/>
            <w:noProof/>
          </w:rPr>
          <w:t>4</w:t>
        </w:r>
        <w:r w:rsidRPr="00DB70F3">
          <w:rPr>
            <w:rFonts w:ascii="Calibri" w:hAnsi="Calibri"/>
            <w:noProof/>
            <w:sz w:val="22"/>
            <w:szCs w:val="22"/>
            <w:lang w:val="sl-SI" w:eastAsia="sl-SI"/>
          </w:rPr>
          <w:tab/>
        </w:r>
        <w:r w:rsidRPr="001E4FA0">
          <w:rPr>
            <w:rStyle w:val="Hiperpovezava"/>
            <w:rFonts w:eastAsia="Calibri"/>
            <w:noProof/>
          </w:rPr>
          <w:t>PRIGLASITVENI ORGAN</w:t>
        </w:r>
        <w:r>
          <w:rPr>
            <w:noProof/>
            <w:webHidden/>
          </w:rPr>
          <w:tab/>
        </w:r>
        <w:r>
          <w:rPr>
            <w:noProof/>
            <w:webHidden/>
          </w:rPr>
          <w:fldChar w:fldCharType="begin"/>
        </w:r>
        <w:r>
          <w:rPr>
            <w:noProof/>
            <w:webHidden/>
          </w:rPr>
          <w:instrText xml:space="preserve"> PAGEREF _Toc92353265 \h </w:instrText>
        </w:r>
        <w:r>
          <w:rPr>
            <w:noProof/>
            <w:webHidden/>
          </w:rPr>
        </w:r>
        <w:r>
          <w:rPr>
            <w:noProof/>
            <w:webHidden/>
          </w:rPr>
          <w:fldChar w:fldCharType="separate"/>
        </w:r>
        <w:r>
          <w:rPr>
            <w:noProof/>
            <w:webHidden/>
          </w:rPr>
          <w:t>4</w:t>
        </w:r>
        <w:r>
          <w:rPr>
            <w:noProof/>
            <w:webHidden/>
          </w:rPr>
          <w:fldChar w:fldCharType="end"/>
        </w:r>
      </w:hyperlink>
    </w:p>
    <w:p w:rsidR="00E01107" w:rsidRPr="00DB70F3" w:rsidRDefault="00E01107">
      <w:pPr>
        <w:pStyle w:val="Kazalovsebine1"/>
        <w:tabs>
          <w:tab w:val="left" w:pos="440"/>
          <w:tab w:val="right" w:leader="dot" w:pos="9204"/>
        </w:tabs>
        <w:rPr>
          <w:rFonts w:ascii="Calibri" w:hAnsi="Calibri"/>
          <w:noProof/>
          <w:sz w:val="22"/>
          <w:szCs w:val="22"/>
          <w:lang w:val="sl-SI" w:eastAsia="sl-SI"/>
        </w:rPr>
      </w:pPr>
      <w:hyperlink w:anchor="_Toc92353266" w:history="1">
        <w:r w:rsidRPr="001E4FA0">
          <w:rPr>
            <w:rStyle w:val="Hiperpovezava"/>
            <w:rFonts w:eastAsia="Calibri"/>
            <w:noProof/>
          </w:rPr>
          <w:t>5</w:t>
        </w:r>
        <w:r w:rsidRPr="00DB70F3">
          <w:rPr>
            <w:rFonts w:ascii="Calibri" w:hAnsi="Calibri"/>
            <w:noProof/>
            <w:sz w:val="22"/>
            <w:szCs w:val="22"/>
            <w:lang w:val="sl-SI" w:eastAsia="sl-SI"/>
          </w:rPr>
          <w:tab/>
        </w:r>
        <w:r w:rsidRPr="001E4FA0">
          <w:rPr>
            <w:rStyle w:val="Hiperpovezava"/>
            <w:rFonts w:eastAsia="Calibri"/>
            <w:noProof/>
          </w:rPr>
          <w:t>VLOGA ZA DOLOČITEV IN PRIGLASITEV ORGANA</w:t>
        </w:r>
        <w:r>
          <w:rPr>
            <w:noProof/>
            <w:webHidden/>
          </w:rPr>
          <w:tab/>
        </w:r>
        <w:r>
          <w:rPr>
            <w:noProof/>
            <w:webHidden/>
          </w:rPr>
          <w:fldChar w:fldCharType="begin"/>
        </w:r>
        <w:r>
          <w:rPr>
            <w:noProof/>
            <w:webHidden/>
          </w:rPr>
          <w:instrText xml:space="preserve"> PAGEREF _Toc92353266 \h </w:instrText>
        </w:r>
        <w:r>
          <w:rPr>
            <w:noProof/>
            <w:webHidden/>
          </w:rPr>
        </w:r>
        <w:r>
          <w:rPr>
            <w:noProof/>
            <w:webHidden/>
          </w:rPr>
          <w:fldChar w:fldCharType="separate"/>
        </w:r>
        <w:r>
          <w:rPr>
            <w:noProof/>
            <w:webHidden/>
          </w:rPr>
          <w:t>4</w:t>
        </w:r>
        <w:r>
          <w:rPr>
            <w:noProof/>
            <w:webHidden/>
          </w:rPr>
          <w:fldChar w:fldCharType="end"/>
        </w:r>
      </w:hyperlink>
    </w:p>
    <w:p w:rsidR="00E01107" w:rsidRPr="00DB70F3" w:rsidRDefault="00E01107">
      <w:pPr>
        <w:pStyle w:val="Kazalovsebine1"/>
        <w:tabs>
          <w:tab w:val="left" w:pos="440"/>
          <w:tab w:val="right" w:leader="dot" w:pos="9204"/>
        </w:tabs>
        <w:rPr>
          <w:rFonts w:ascii="Calibri" w:hAnsi="Calibri"/>
          <w:noProof/>
          <w:sz w:val="22"/>
          <w:szCs w:val="22"/>
          <w:lang w:val="sl-SI" w:eastAsia="sl-SI"/>
        </w:rPr>
      </w:pPr>
      <w:hyperlink w:anchor="_Toc92353267" w:history="1">
        <w:r w:rsidRPr="001E4FA0">
          <w:rPr>
            <w:rStyle w:val="Hiperpovezava"/>
            <w:rFonts w:eastAsia="Calibri"/>
            <w:noProof/>
          </w:rPr>
          <w:t>6</w:t>
        </w:r>
        <w:r w:rsidRPr="00DB70F3">
          <w:rPr>
            <w:rFonts w:ascii="Calibri" w:hAnsi="Calibri"/>
            <w:noProof/>
            <w:sz w:val="22"/>
            <w:szCs w:val="22"/>
            <w:lang w:val="sl-SI" w:eastAsia="sl-SI"/>
          </w:rPr>
          <w:tab/>
        </w:r>
        <w:r w:rsidRPr="001E4FA0">
          <w:rPr>
            <w:rStyle w:val="Hiperpovezava"/>
            <w:rFonts w:eastAsia="Calibri"/>
            <w:noProof/>
          </w:rPr>
          <w:t>ZAHTEVE ZA PRIGLAŠENE ORGANE NA PODROČJU GRADBENIH PROIZVODOV</w:t>
        </w:r>
        <w:r>
          <w:rPr>
            <w:noProof/>
            <w:webHidden/>
          </w:rPr>
          <w:tab/>
        </w:r>
        <w:r>
          <w:rPr>
            <w:noProof/>
            <w:webHidden/>
          </w:rPr>
          <w:fldChar w:fldCharType="begin"/>
        </w:r>
        <w:r>
          <w:rPr>
            <w:noProof/>
            <w:webHidden/>
          </w:rPr>
          <w:instrText xml:space="preserve"> PAGEREF _Toc92353267 \h </w:instrText>
        </w:r>
        <w:r>
          <w:rPr>
            <w:noProof/>
            <w:webHidden/>
          </w:rPr>
        </w:r>
        <w:r>
          <w:rPr>
            <w:noProof/>
            <w:webHidden/>
          </w:rPr>
          <w:fldChar w:fldCharType="separate"/>
        </w:r>
        <w:r>
          <w:rPr>
            <w:noProof/>
            <w:webHidden/>
          </w:rPr>
          <w:t>4</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68" w:history="1">
        <w:r w:rsidRPr="001E4FA0">
          <w:rPr>
            <w:rStyle w:val="Hiperpovezava"/>
            <w:rFonts w:eastAsia="Calibri"/>
            <w:noProof/>
            <w:lang w:val="sl-SI"/>
          </w:rPr>
          <w:t>6.1</w:t>
        </w:r>
        <w:r w:rsidRPr="00DB70F3">
          <w:rPr>
            <w:rFonts w:ascii="Calibri" w:hAnsi="Calibri"/>
            <w:noProof/>
            <w:sz w:val="22"/>
            <w:szCs w:val="22"/>
            <w:lang w:val="sl-SI" w:eastAsia="sl-SI"/>
          </w:rPr>
          <w:tab/>
        </w:r>
        <w:r w:rsidRPr="001E4FA0">
          <w:rPr>
            <w:rStyle w:val="Hiperpovezava"/>
            <w:rFonts w:eastAsia="Calibri"/>
            <w:noProof/>
            <w:lang w:val="sl-SI"/>
          </w:rPr>
          <w:t>SPLOŠNE ZAHTEVE</w:t>
        </w:r>
        <w:r>
          <w:rPr>
            <w:noProof/>
            <w:webHidden/>
          </w:rPr>
          <w:tab/>
        </w:r>
        <w:r>
          <w:rPr>
            <w:noProof/>
            <w:webHidden/>
          </w:rPr>
          <w:fldChar w:fldCharType="begin"/>
        </w:r>
        <w:r>
          <w:rPr>
            <w:noProof/>
            <w:webHidden/>
          </w:rPr>
          <w:instrText xml:space="preserve"> PAGEREF _Toc92353268 \h </w:instrText>
        </w:r>
        <w:r>
          <w:rPr>
            <w:noProof/>
            <w:webHidden/>
          </w:rPr>
        </w:r>
        <w:r>
          <w:rPr>
            <w:noProof/>
            <w:webHidden/>
          </w:rPr>
          <w:fldChar w:fldCharType="separate"/>
        </w:r>
        <w:r>
          <w:rPr>
            <w:noProof/>
            <w:webHidden/>
          </w:rPr>
          <w:t>4</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69" w:history="1">
        <w:r w:rsidRPr="001E4FA0">
          <w:rPr>
            <w:rStyle w:val="Hiperpovezava"/>
            <w:rFonts w:eastAsia="Calibri"/>
            <w:noProof/>
            <w:lang w:val="sl-SI"/>
          </w:rPr>
          <w:t>6.2</w:t>
        </w:r>
        <w:r w:rsidRPr="00DB70F3">
          <w:rPr>
            <w:rFonts w:ascii="Calibri" w:hAnsi="Calibri"/>
            <w:noProof/>
            <w:sz w:val="22"/>
            <w:szCs w:val="22"/>
            <w:lang w:val="sl-SI" w:eastAsia="sl-SI"/>
          </w:rPr>
          <w:tab/>
        </w:r>
        <w:r w:rsidRPr="001E4FA0">
          <w:rPr>
            <w:rStyle w:val="Hiperpovezava"/>
            <w:rFonts w:eastAsia="Calibri"/>
            <w:noProof/>
            <w:lang w:val="sl-SI"/>
          </w:rPr>
          <w:t>AKREDITACIJA</w:t>
        </w:r>
        <w:r>
          <w:rPr>
            <w:noProof/>
            <w:webHidden/>
          </w:rPr>
          <w:tab/>
        </w:r>
        <w:r>
          <w:rPr>
            <w:noProof/>
            <w:webHidden/>
          </w:rPr>
          <w:fldChar w:fldCharType="begin"/>
        </w:r>
        <w:r>
          <w:rPr>
            <w:noProof/>
            <w:webHidden/>
          </w:rPr>
          <w:instrText xml:space="preserve"> PAGEREF _Toc92353269 \h </w:instrText>
        </w:r>
        <w:r>
          <w:rPr>
            <w:noProof/>
            <w:webHidden/>
          </w:rPr>
        </w:r>
        <w:r>
          <w:rPr>
            <w:noProof/>
            <w:webHidden/>
          </w:rPr>
          <w:fldChar w:fldCharType="separate"/>
        </w:r>
        <w:r>
          <w:rPr>
            <w:noProof/>
            <w:webHidden/>
          </w:rPr>
          <w:t>5</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70" w:history="1">
        <w:r w:rsidRPr="001E4FA0">
          <w:rPr>
            <w:rStyle w:val="Hiperpovezava"/>
            <w:rFonts w:eastAsia="Calibri"/>
            <w:noProof/>
            <w:lang w:val="sl-SI"/>
          </w:rPr>
          <w:t>6.3</w:t>
        </w:r>
        <w:r w:rsidRPr="00DB70F3">
          <w:rPr>
            <w:rFonts w:ascii="Calibri" w:hAnsi="Calibri"/>
            <w:noProof/>
            <w:sz w:val="22"/>
            <w:szCs w:val="22"/>
            <w:lang w:val="sl-SI" w:eastAsia="sl-SI"/>
          </w:rPr>
          <w:tab/>
        </w:r>
        <w:r w:rsidRPr="001E4FA0">
          <w:rPr>
            <w:rStyle w:val="Hiperpovezava"/>
            <w:rFonts w:eastAsia="Calibri"/>
            <w:noProof/>
            <w:lang w:val="sl-SI"/>
          </w:rPr>
          <w:t>PODROČJE PRIGLASITVE</w:t>
        </w:r>
        <w:r>
          <w:rPr>
            <w:noProof/>
            <w:webHidden/>
          </w:rPr>
          <w:tab/>
        </w:r>
        <w:r>
          <w:rPr>
            <w:noProof/>
            <w:webHidden/>
          </w:rPr>
          <w:fldChar w:fldCharType="begin"/>
        </w:r>
        <w:r>
          <w:rPr>
            <w:noProof/>
            <w:webHidden/>
          </w:rPr>
          <w:instrText xml:space="preserve"> PAGEREF _Toc92353270 \h </w:instrText>
        </w:r>
        <w:r>
          <w:rPr>
            <w:noProof/>
            <w:webHidden/>
          </w:rPr>
        </w:r>
        <w:r>
          <w:rPr>
            <w:noProof/>
            <w:webHidden/>
          </w:rPr>
          <w:fldChar w:fldCharType="separate"/>
        </w:r>
        <w:r>
          <w:rPr>
            <w:noProof/>
            <w:webHidden/>
          </w:rPr>
          <w:t>6</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71" w:history="1">
        <w:r w:rsidRPr="001E4FA0">
          <w:rPr>
            <w:rStyle w:val="Hiperpovezava"/>
            <w:rFonts w:eastAsia="Calibri"/>
            <w:noProof/>
            <w:lang w:val="sl-SI"/>
          </w:rPr>
          <w:t>6.4</w:t>
        </w:r>
        <w:r w:rsidRPr="00DB70F3">
          <w:rPr>
            <w:rFonts w:ascii="Calibri" w:hAnsi="Calibri"/>
            <w:noProof/>
            <w:sz w:val="22"/>
            <w:szCs w:val="22"/>
            <w:lang w:val="sl-SI" w:eastAsia="sl-SI"/>
          </w:rPr>
          <w:tab/>
        </w:r>
        <w:r w:rsidRPr="001E4FA0">
          <w:rPr>
            <w:rStyle w:val="Hiperpovezava"/>
            <w:rFonts w:eastAsia="Calibri"/>
            <w:noProof/>
            <w:lang w:val="sl-SI"/>
          </w:rPr>
          <w:t>ZAHTEVE GLEDE OSEBJA (določbe 43/6/2a), 43/7 Uredbe 305/2011/EU)</w:t>
        </w:r>
        <w:r>
          <w:rPr>
            <w:noProof/>
            <w:webHidden/>
          </w:rPr>
          <w:tab/>
        </w:r>
        <w:r>
          <w:rPr>
            <w:noProof/>
            <w:webHidden/>
          </w:rPr>
          <w:fldChar w:fldCharType="begin"/>
        </w:r>
        <w:r>
          <w:rPr>
            <w:noProof/>
            <w:webHidden/>
          </w:rPr>
          <w:instrText xml:space="preserve"> PAGEREF _Toc92353271 \h </w:instrText>
        </w:r>
        <w:r>
          <w:rPr>
            <w:noProof/>
            <w:webHidden/>
          </w:rPr>
        </w:r>
        <w:r>
          <w:rPr>
            <w:noProof/>
            <w:webHidden/>
          </w:rPr>
          <w:fldChar w:fldCharType="separate"/>
        </w:r>
        <w:r>
          <w:rPr>
            <w:noProof/>
            <w:webHidden/>
          </w:rPr>
          <w:t>7</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72" w:history="1">
        <w:r w:rsidRPr="001E4FA0">
          <w:rPr>
            <w:rStyle w:val="Hiperpovezava"/>
            <w:rFonts w:eastAsia="Calibri"/>
            <w:noProof/>
            <w:lang w:val="sl-SI"/>
          </w:rPr>
          <w:t>6.5</w:t>
        </w:r>
        <w:r w:rsidRPr="00DB70F3">
          <w:rPr>
            <w:rFonts w:ascii="Calibri" w:hAnsi="Calibri"/>
            <w:noProof/>
            <w:sz w:val="22"/>
            <w:szCs w:val="22"/>
            <w:lang w:val="sl-SI" w:eastAsia="sl-SI"/>
          </w:rPr>
          <w:tab/>
        </w:r>
        <w:r w:rsidRPr="001E4FA0">
          <w:rPr>
            <w:rStyle w:val="Hiperpovezava"/>
            <w:rFonts w:eastAsia="Calibri"/>
            <w:noProof/>
            <w:lang w:val="sl-SI"/>
          </w:rPr>
          <w:t>STROKOVNA USPOSOBLJENOST IN ORGANIZACIJA VLOŽNIKA (določbe 43/2, 43/6/3, 43/6/2b), 43/6/1, 43/6/2c) Uredbe 305/2011/EU)</w:t>
        </w:r>
        <w:r>
          <w:rPr>
            <w:noProof/>
            <w:webHidden/>
          </w:rPr>
          <w:tab/>
        </w:r>
        <w:r>
          <w:rPr>
            <w:noProof/>
            <w:webHidden/>
          </w:rPr>
          <w:fldChar w:fldCharType="begin"/>
        </w:r>
        <w:r>
          <w:rPr>
            <w:noProof/>
            <w:webHidden/>
          </w:rPr>
          <w:instrText xml:space="preserve"> PAGEREF _Toc92353272 \h </w:instrText>
        </w:r>
        <w:r>
          <w:rPr>
            <w:noProof/>
            <w:webHidden/>
          </w:rPr>
        </w:r>
        <w:r>
          <w:rPr>
            <w:noProof/>
            <w:webHidden/>
          </w:rPr>
          <w:fldChar w:fldCharType="separate"/>
        </w:r>
        <w:r>
          <w:rPr>
            <w:noProof/>
            <w:webHidden/>
          </w:rPr>
          <w:t>8</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73" w:history="1">
        <w:r w:rsidRPr="001E4FA0">
          <w:rPr>
            <w:rStyle w:val="Hiperpovezava"/>
            <w:rFonts w:eastAsia="Calibri"/>
            <w:noProof/>
            <w:lang w:val="sl-SI"/>
          </w:rPr>
          <w:t>6.6</w:t>
        </w:r>
        <w:r w:rsidRPr="00DB70F3">
          <w:rPr>
            <w:rFonts w:ascii="Calibri" w:hAnsi="Calibri"/>
            <w:noProof/>
            <w:sz w:val="22"/>
            <w:szCs w:val="22"/>
            <w:lang w:val="sl-SI" w:eastAsia="sl-SI"/>
          </w:rPr>
          <w:tab/>
        </w:r>
        <w:r w:rsidRPr="001E4FA0">
          <w:rPr>
            <w:rStyle w:val="Hiperpovezava"/>
            <w:rFonts w:eastAsia="Calibri"/>
            <w:noProof/>
            <w:lang w:val="sl-SI"/>
          </w:rPr>
          <w:t>ZAGOTAVLJANJE NEODVISNOSTI IN NEPRISTRANSKOSTI (43/3, 43/4/1, 43/4/3, 43/5, 43/8 Uredbe 305/2011/EU)</w:t>
        </w:r>
        <w:r>
          <w:rPr>
            <w:noProof/>
            <w:webHidden/>
          </w:rPr>
          <w:tab/>
        </w:r>
        <w:r>
          <w:rPr>
            <w:noProof/>
            <w:webHidden/>
          </w:rPr>
          <w:fldChar w:fldCharType="begin"/>
        </w:r>
        <w:r>
          <w:rPr>
            <w:noProof/>
            <w:webHidden/>
          </w:rPr>
          <w:instrText xml:space="preserve"> PAGEREF _Toc92353273 \h </w:instrText>
        </w:r>
        <w:r>
          <w:rPr>
            <w:noProof/>
            <w:webHidden/>
          </w:rPr>
        </w:r>
        <w:r>
          <w:rPr>
            <w:noProof/>
            <w:webHidden/>
          </w:rPr>
          <w:fldChar w:fldCharType="separate"/>
        </w:r>
        <w:r>
          <w:rPr>
            <w:noProof/>
            <w:webHidden/>
          </w:rPr>
          <w:t>9</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74" w:history="1">
        <w:r w:rsidRPr="001E4FA0">
          <w:rPr>
            <w:rStyle w:val="Hiperpovezava"/>
            <w:rFonts w:eastAsia="Calibri"/>
            <w:noProof/>
            <w:lang w:val="sl-SI"/>
          </w:rPr>
          <w:t>6.7</w:t>
        </w:r>
        <w:r w:rsidRPr="00DB70F3">
          <w:rPr>
            <w:rFonts w:ascii="Calibri" w:hAnsi="Calibri"/>
            <w:noProof/>
            <w:sz w:val="22"/>
            <w:szCs w:val="22"/>
            <w:lang w:val="sl-SI" w:eastAsia="sl-SI"/>
          </w:rPr>
          <w:tab/>
        </w:r>
        <w:r w:rsidRPr="001E4FA0">
          <w:rPr>
            <w:rStyle w:val="Hiperpovezava"/>
            <w:rFonts w:eastAsia="Calibri"/>
            <w:noProof/>
            <w:lang w:val="sl-SI"/>
          </w:rPr>
          <w:t>VKLJUČENOST PODIZVAJALCEV (45. člen Uredbe 305/2011/EU)</w:t>
        </w:r>
        <w:r>
          <w:rPr>
            <w:noProof/>
            <w:webHidden/>
          </w:rPr>
          <w:tab/>
        </w:r>
        <w:r>
          <w:rPr>
            <w:noProof/>
            <w:webHidden/>
          </w:rPr>
          <w:fldChar w:fldCharType="begin"/>
        </w:r>
        <w:r>
          <w:rPr>
            <w:noProof/>
            <w:webHidden/>
          </w:rPr>
          <w:instrText xml:space="preserve"> PAGEREF _Toc92353274 \h </w:instrText>
        </w:r>
        <w:r>
          <w:rPr>
            <w:noProof/>
            <w:webHidden/>
          </w:rPr>
        </w:r>
        <w:r>
          <w:rPr>
            <w:noProof/>
            <w:webHidden/>
          </w:rPr>
          <w:fldChar w:fldCharType="separate"/>
        </w:r>
        <w:r>
          <w:rPr>
            <w:noProof/>
            <w:webHidden/>
          </w:rPr>
          <w:t>10</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75" w:history="1">
        <w:r w:rsidRPr="001E4FA0">
          <w:rPr>
            <w:rStyle w:val="Hiperpovezava"/>
            <w:rFonts w:eastAsia="Calibri"/>
            <w:noProof/>
            <w:lang w:val="sl-SI"/>
          </w:rPr>
          <w:t>6.8</w:t>
        </w:r>
        <w:r w:rsidRPr="00DB70F3">
          <w:rPr>
            <w:rFonts w:ascii="Calibri" w:hAnsi="Calibri"/>
            <w:noProof/>
            <w:sz w:val="22"/>
            <w:szCs w:val="22"/>
            <w:lang w:val="sl-SI" w:eastAsia="sl-SI"/>
          </w:rPr>
          <w:tab/>
        </w:r>
        <w:r w:rsidRPr="001E4FA0">
          <w:rPr>
            <w:rStyle w:val="Hiperpovezava"/>
            <w:rFonts w:eastAsia="Calibri"/>
            <w:noProof/>
            <w:lang w:val="sl-SI"/>
          </w:rPr>
          <w:t>ZAVAROVANJE ODGOVORNOSTI (določba 43/9 Uredbe 305/2011/EU)</w:t>
        </w:r>
        <w:r>
          <w:rPr>
            <w:noProof/>
            <w:webHidden/>
          </w:rPr>
          <w:tab/>
        </w:r>
        <w:r>
          <w:rPr>
            <w:noProof/>
            <w:webHidden/>
          </w:rPr>
          <w:fldChar w:fldCharType="begin"/>
        </w:r>
        <w:r>
          <w:rPr>
            <w:noProof/>
            <w:webHidden/>
          </w:rPr>
          <w:instrText xml:space="preserve"> PAGEREF _Toc92353275 \h </w:instrText>
        </w:r>
        <w:r>
          <w:rPr>
            <w:noProof/>
            <w:webHidden/>
          </w:rPr>
        </w:r>
        <w:r>
          <w:rPr>
            <w:noProof/>
            <w:webHidden/>
          </w:rPr>
          <w:fldChar w:fldCharType="separate"/>
        </w:r>
        <w:r>
          <w:rPr>
            <w:noProof/>
            <w:webHidden/>
          </w:rPr>
          <w:t>10</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76" w:history="1">
        <w:r w:rsidRPr="001E4FA0">
          <w:rPr>
            <w:rStyle w:val="Hiperpovezava"/>
            <w:rFonts w:eastAsia="Calibri"/>
            <w:noProof/>
            <w:lang w:val="sl-SI"/>
          </w:rPr>
          <w:t>6.9</w:t>
        </w:r>
        <w:r w:rsidRPr="00DB70F3">
          <w:rPr>
            <w:rFonts w:ascii="Calibri" w:hAnsi="Calibri"/>
            <w:noProof/>
            <w:sz w:val="22"/>
            <w:szCs w:val="22"/>
            <w:lang w:val="sl-SI" w:eastAsia="sl-SI"/>
          </w:rPr>
          <w:tab/>
        </w:r>
        <w:r w:rsidRPr="001E4FA0">
          <w:rPr>
            <w:rStyle w:val="Hiperpovezava"/>
            <w:rFonts w:eastAsia="Calibri"/>
            <w:noProof/>
            <w:lang w:val="sl-SI"/>
          </w:rPr>
          <w:t>SODELOVANJE V MEDNARODNIH SKUPINAH (določba 43/11 Uredbe 305/2011/EU)</w:t>
        </w:r>
        <w:r>
          <w:rPr>
            <w:noProof/>
            <w:webHidden/>
          </w:rPr>
          <w:tab/>
        </w:r>
        <w:r>
          <w:rPr>
            <w:noProof/>
            <w:webHidden/>
          </w:rPr>
          <w:fldChar w:fldCharType="begin"/>
        </w:r>
        <w:r>
          <w:rPr>
            <w:noProof/>
            <w:webHidden/>
          </w:rPr>
          <w:instrText xml:space="preserve"> PAGEREF _Toc92353276 \h </w:instrText>
        </w:r>
        <w:r>
          <w:rPr>
            <w:noProof/>
            <w:webHidden/>
          </w:rPr>
        </w:r>
        <w:r>
          <w:rPr>
            <w:noProof/>
            <w:webHidden/>
          </w:rPr>
          <w:fldChar w:fldCharType="separate"/>
        </w:r>
        <w:r>
          <w:rPr>
            <w:noProof/>
            <w:webHidden/>
          </w:rPr>
          <w:t>10</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77" w:history="1">
        <w:r w:rsidRPr="001E4FA0">
          <w:rPr>
            <w:rStyle w:val="Hiperpovezava"/>
            <w:rFonts w:eastAsia="Calibri"/>
            <w:noProof/>
            <w:lang w:val="sl-SI"/>
          </w:rPr>
          <w:t>6.10</w:t>
        </w:r>
        <w:r w:rsidRPr="00DB70F3">
          <w:rPr>
            <w:rFonts w:ascii="Calibri" w:hAnsi="Calibri"/>
            <w:noProof/>
            <w:sz w:val="22"/>
            <w:szCs w:val="22"/>
            <w:lang w:val="sl-SI" w:eastAsia="sl-SI"/>
          </w:rPr>
          <w:tab/>
        </w:r>
        <w:r w:rsidRPr="001E4FA0">
          <w:rPr>
            <w:rStyle w:val="Hiperpovezava"/>
            <w:rFonts w:eastAsia="Calibri"/>
            <w:noProof/>
            <w:lang w:val="sl-SI"/>
          </w:rPr>
          <w:t>ZAHTEVE PO OBVEŠČANJU (53. člen Uredbe 305/2011/EU)</w:t>
        </w:r>
        <w:r>
          <w:rPr>
            <w:noProof/>
            <w:webHidden/>
          </w:rPr>
          <w:tab/>
        </w:r>
        <w:r>
          <w:rPr>
            <w:noProof/>
            <w:webHidden/>
          </w:rPr>
          <w:fldChar w:fldCharType="begin"/>
        </w:r>
        <w:r>
          <w:rPr>
            <w:noProof/>
            <w:webHidden/>
          </w:rPr>
          <w:instrText xml:space="preserve"> PAGEREF _Toc92353277 \h </w:instrText>
        </w:r>
        <w:r>
          <w:rPr>
            <w:noProof/>
            <w:webHidden/>
          </w:rPr>
        </w:r>
        <w:r>
          <w:rPr>
            <w:noProof/>
            <w:webHidden/>
          </w:rPr>
          <w:fldChar w:fldCharType="separate"/>
        </w:r>
        <w:r>
          <w:rPr>
            <w:noProof/>
            <w:webHidden/>
          </w:rPr>
          <w:t>11</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78" w:history="1">
        <w:r w:rsidRPr="001E4FA0">
          <w:rPr>
            <w:rStyle w:val="Hiperpovezava"/>
            <w:rFonts w:eastAsia="Calibri"/>
            <w:noProof/>
            <w:lang w:val="sl-SI"/>
          </w:rPr>
          <w:t>6.11</w:t>
        </w:r>
        <w:r w:rsidRPr="00DB70F3">
          <w:rPr>
            <w:rFonts w:ascii="Calibri" w:hAnsi="Calibri"/>
            <w:noProof/>
            <w:sz w:val="22"/>
            <w:szCs w:val="22"/>
            <w:lang w:val="sl-SI" w:eastAsia="sl-SI"/>
          </w:rPr>
          <w:tab/>
        </w:r>
        <w:r w:rsidRPr="001E4FA0">
          <w:rPr>
            <w:rStyle w:val="Hiperpovezava"/>
            <w:rFonts w:eastAsia="Calibri"/>
            <w:noProof/>
            <w:lang w:val="sl-SI"/>
          </w:rPr>
          <w:t>OPERATIVNE OBVEZNOSTI PRIGLAŠENIH ORGANOV (52. člen Uredbe 305/2011/EU in 15. člen ZGPro-1)</w:t>
        </w:r>
        <w:r>
          <w:rPr>
            <w:noProof/>
            <w:webHidden/>
          </w:rPr>
          <w:tab/>
        </w:r>
        <w:r>
          <w:rPr>
            <w:noProof/>
            <w:webHidden/>
          </w:rPr>
          <w:fldChar w:fldCharType="begin"/>
        </w:r>
        <w:r>
          <w:rPr>
            <w:noProof/>
            <w:webHidden/>
          </w:rPr>
          <w:instrText xml:space="preserve"> PAGEREF _Toc92353278 \h </w:instrText>
        </w:r>
        <w:r>
          <w:rPr>
            <w:noProof/>
            <w:webHidden/>
          </w:rPr>
        </w:r>
        <w:r>
          <w:rPr>
            <w:noProof/>
            <w:webHidden/>
          </w:rPr>
          <w:fldChar w:fldCharType="separate"/>
        </w:r>
        <w:r>
          <w:rPr>
            <w:noProof/>
            <w:webHidden/>
          </w:rPr>
          <w:t>11</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79" w:history="1">
        <w:r w:rsidRPr="001E4FA0">
          <w:rPr>
            <w:rStyle w:val="Hiperpovezava"/>
            <w:rFonts w:eastAsia="Calibri"/>
            <w:noProof/>
            <w:lang w:val="sl-SI"/>
          </w:rPr>
          <w:t>6.12</w:t>
        </w:r>
        <w:r w:rsidRPr="00DB70F3">
          <w:rPr>
            <w:rFonts w:ascii="Calibri" w:hAnsi="Calibri"/>
            <w:noProof/>
            <w:sz w:val="22"/>
            <w:szCs w:val="22"/>
            <w:lang w:val="sl-SI" w:eastAsia="sl-SI"/>
          </w:rPr>
          <w:tab/>
        </w:r>
        <w:r w:rsidRPr="001E4FA0">
          <w:rPr>
            <w:rStyle w:val="Hiperpovezava"/>
            <w:rFonts w:eastAsia="Calibri"/>
            <w:noProof/>
            <w:lang w:val="sl-SI"/>
          </w:rPr>
          <w:t>OZNAKA CE IN ŠTEVILKA PRIGLAŠENEGA ORGANA (9. člen Uredbe 305/2011/EU)</w:t>
        </w:r>
        <w:r>
          <w:rPr>
            <w:noProof/>
            <w:webHidden/>
          </w:rPr>
          <w:tab/>
        </w:r>
        <w:r>
          <w:rPr>
            <w:noProof/>
            <w:webHidden/>
          </w:rPr>
          <w:fldChar w:fldCharType="begin"/>
        </w:r>
        <w:r>
          <w:rPr>
            <w:noProof/>
            <w:webHidden/>
          </w:rPr>
          <w:instrText xml:space="preserve"> PAGEREF _Toc92353279 \h </w:instrText>
        </w:r>
        <w:r>
          <w:rPr>
            <w:noProof/>
            <w:webHidden/>
          </w:rPr>
        </w:r>
        <w:r>
          <w:rPr>
            <w:noProof/>
            <w:webHidden/>
          </w:rPr>
          <w:fldChar w:fldCharType="separate"/>
        </w:r>
        <w:r>
          <w:rPr>
            <w:noProof/>
            <w:webHidden/>
          </w:rPr>
          <w:t>12</w:t>
        </w:r>
        <w:r>
          <w:rPr>
            <w:noProof/>
            <w:webHidden/>
          </w:rPr>
          <w:fldChar w:fldCharType="end"/>
        </w:r>
      </w:hyperlink>
    </w:p>
    <w:p w:rsidR="00E01107" w:rsidRPr="00DB70F3" w:rsidRDefault="00E01107">
      <w:pPr>
        <w:pStyle w:val="Kazalovsebine2"/>
        <w:tabs>
          <w:tab w:val="left" w:pos="880"/>
          <w:tab w:val="right" w:leader="dot" w:pos="9204"/>
        </w:tabs>
        <w:rPr>
          <w:rFonts w:ascii="Calibri" w:hAnsi="Calibri"/>
          <w:noProof/>
          <w:sz w:val="22"/>
          <w:szCs w:val="22"/>
          <w:lang w:val="sl-SI" w:eastAsia="sl-SI"/>
        </w:rPr>
      </w:pPr>
      <w:hyperlink w:anchor="_Toc92353280" w:history="1">
        <w:r w:rsidRPr="001E4FA0">
          <w:rPr>
            <w:rStyle w:val="Hiperpovezava"/>
            <w:rFonts w:eastAsia="Calibri"/>
            <w:noProof/>
            <w:lang w:val="sl-SI"/>
          </w:rPr>
          <w:t>6.13</w:t>
        </w:r>
        <w:r w:rsidRPr="00DB70F3">
          <w:rPr>
            <w:rFonts w:ascii="Calibri" w:hAnsi="Calibri"/>
            <w:noProof/>
            <w:sz w:val="22"/>
            <w:szCs w:val="22"/>
            <w:lang w:val="sl-SI" w:eastAsia="sl-SI"/>
          </w:rPr>
          <w:tab/>
        </w:r>
        <w:r w:rsidRPr="001E4FA0">
          <w:rPr>
            <w:rStyle w:val="Hiperpovezava"/>
            <w:rFonts w:eastAsia="Calibri"/>
            <w:noProof/>
            <w:lang w:val="sl-SI"/>
          </w:rPr>
          <w:t>DRUGA DOKAZILA ZA IZPOLNJEVANJE ZAHTEV</w:t>
        </w:r>
        <w:r>
          <w:rPr>
            <w:noProof/>
            <w:webHidden/>
          </w:rPr>
          <w:tab/>
        </w:r>
        <w:r>
          <w:rPr>
            <w:noProof/>
            <w:webHidden/>
          </w:rPr>
          <w:fldChar w:fldCharType="begin"/>
        </w:r>
        <w:r>
          <w:rPr>
            <w:noProof/>
            <w:webHidden/>
          </w:rPr>
          <w:instrText xml:space="preserve"> PAGEREF _Toc92353280 \h </w:instrText>
        </w:r>
        <w:r>
          <w:rPr>
            <w:noProof/>
            <w:webHidden/>
          </w:rPr>
        </w:r>
        <w:r>
          <w:rPr>
            <w:noProof/>
            <w:webHidden/>
          </w:rPr>
          <w:fldChar w:fldCharType="separate"/>
        </w:r>
        <w:r>
          <w:rPr>
            <w:noProof/>
            <w:webHidden/>
          </w:rPr>
          <w:t>12</w:t>
        </w:r>
        <w:r>
          <w:rPr>
            <w:noProof/>
            <w:webHidden/>
          </w:rPr>
          <w:fldChar w:fldCharType="end"/>
        </w:r>
      </w:hyperlink>
    </w:p>
    <w:p w:rsidR="00E01107" w:rsidRPr="00DB70F3" w:rsidRDefault="00E01107">
      <w:pPr>
        <w:pStyle w:val="Kazalovsebine1"/>
        <w:tabs>
          <w:tab w:val="left" w:pos="440"/>
          <w:tab w:val="right" w:leader="dot" w:pos="9204"/>
        </w:tabs>
        <w:rPr>
          <w:rFonts w:ascii="Calibri" w:hAnsi="Calibri"/>
          <w:noProof/>
          <w:sz w:val="22"/>
          <w:szCs w:val="22"/>
          <w:lang w:val="sl-SI" w:eastAsia="sl-SI"/>
        </w:rPr>
      </w:pPr>
      <w:hyperlink w:anchor="_Toc92353281" w:history="1">
        <w:r w:rsidRPr="001E4FA0">
          <w:rPr>
            <w:rStyle w:val="Hiperpovezava"/>
            <w:rFonts w:eastAsia="Calibri"/>
            <w:noProof/>
          </w:rPr>
          <w:t>7</w:t>
        </w:r>
        <w:r w:rsidRPr="00DB70F3">
          <w:rPr>
            <w:rFonts w:ascii="Calibri" w:hAnsi="Calibri"/>
            <w:noProof/>
            <w:sz w:val="22"/>
            <w:szCs w:val="22"/>
            <w:lang w:val="sl-SI" w:eastAsia="sl-SI"/>
          </w:rPr>
          <w:tab/>
        </w:r>
        <w:r w:rsidRPr="001E4FA0">
          <w:rPr>
            <w:rStyle w:val="Hiperpovezava"/>
            <w:rFonts w:eastAsia="Calibri"/>
            <w:noProof/>
          </w:rPr>
          <w:t>IMENOVANJE IN PRIGLASITEV</w:t>
        </w:r>
        <w:r>
          <w:rPr>
            <w:noProof/>
            <w:webHidden/>
          </w:rPr>
          <w:tab/>
        </w:r>
        <w:r>
          <w:rPr>
            <w:noProof/>
            <w:webHidden/>
          </w:rPr>
          <w:fldChar w:fldCharType="begin"/>
        </w:r>
        <w:r>
          <w:rPr>
            <w:noProof/>
            <w:webHidden/>
          </w:rPr>
          <w:instrText xml:space="preserve"> PAGEREF _Toc92353281 \h </w:instrText>
        </w:r>
        <w:r>
          <w:rPr>
            <w:noProof/>
            <w:webHidden/>
          </w:rPr>
        </w:r>
        <w:r>
          <w:rPr>
            <w:noProof/>
            <w:webHidden/>
          </w:rPr>
          <w:fldChar w:fldCharType="separate"/>
        </w:r>
        <w:r>
          <w:rPr>
            <w:noProof/>
            <w:webHidden/>
          </w:rPr>
          <w:t>12</w:t>
        </w:r>
        <w:r>
          <w:rPr>
            <w:noProof/>
            <w:webHidden/>
          </w:rPr>
          <w:fldChar w:fldCharType="end"/>
        </w:r>
      </w:hyperlink>
    </w:p>
    <w:p w:rsidR="00E01107" w:rsidRPr="00DB70F3" w:rsidRDefault="00E01107">
      <w:pPr>
        <w:pStyle w:val="Kazalovsebine1"/>
        <w:tabs>
          <w:tab w:val="left" w:pos="440"/>
          <w:tab w:val="right" w:leader="dot" w:pos="9204"/>
        </w:tabs>
        <w:rPr>
          <w:rFonts w:ascii="Calibri" w:hAnsi="Calibri"/>
          <w:noProof/>
          <w:sz w:val="22"/>
          <w:szCs w:val="22"/>
          <w:lang w:val="sl-SI" w:eastAsia="sl-SI"/>
        </w:rPr>
      </w:pPr>
      <w:hyperlink w:anchor="_Toc92353282" w:history="1">
        <w:r w:rsidRPr="001E4FA0">
          <w:rPr>
            <w:rStyle w:val="Hiperpovezava"/>
            <w:rFonts w:eastAsia="Calibri"/>
            <w:noProof/>
          </w:rPr>
          <w:t>8</w:t>
        </w:r>
        <w:r w:rsidRPr="00DB70F3">
          <w:rPr>
            <w:rFonts w:ascii="Calibri" w:hAnsi="Calibri"/>
            <w:noProof/>
            <w:sz w:val="22"/>
            <w:szCs w:val="22"/>
            <w:lang w:val="sl-SI" w:eastAsia="sl-SI"/>
          </w:rPr>
          <w:tab/>
        </w:r>
        <w:r w:rsidRPr="001E4FA0">
          <w:rPr>
            <w:rStyle w:val="Hiperpovezava"/>
            <w:rFonts w:eastAsia="Calibri"/>
            <w:noProof/>
          </w:rPr>
          <w:t>TRAJNO IZPOLNJEVANJE ZAHTEV PRIGLAŠENEGA ORGANA IN OBVEŠČANJE PRIGLASITVENEGA ORGANA O SPREMEMBAH</w:t>
        </w:r>
        <w:r>
          <w:rPr>
            <w:noProof/>
            <w:webHidden/>
          </w:rPr>
          <w:tab/>
        </w:r>
        <w:r>
          <w:rPr>
            <w:noProof/>
            <w:webHidden/>
          </w:rPr>
          <w:fldChar w:fldCharType="begin"/>
        </w:r>
        <w:r>
          <w:rPr>
            <w:noProof/>
            <w:webHidden/>
          </w:rPr>
          <w:instrText xml:space="preserve"> PAGEREF _Toc92353282 \h </w:instrText>
        </w:r>
        <w:r>
          <w:rPr>
            <w:noProof/>
            <w:webHidden/>
          </w:rPr>
        </w:r>
        <w:r>
          <w:rPr>
            <w:noProof/>
            <w:webHidden/>
          </w:rPr>
          <w:fldChar w:fldCharType="separate"/>
        </w:r>
        <w:r>
          <w:rPr>
            <w:noProof/>
            <w:webHidden/>
          </w:rPr>
          <w:t>13</w:t>
        </w:r>
        <w:r>
          <w:rPr>
            <w:noProof/>
            <w:webHidden/>
          </w:rPr>
          <w:fldChar w:fldCharType="end"/>
        </w:r>
      </w:hyperlink>
    </w:p>
    <w:p w:rsidR="00E01107" w:rsidRPr="00DB70F3" w:rsidRDefault="00E01107">
      <w:pPr>
        <w:pStyle w:val="Kazalovsebine1"/>
        <w:tabs>
          <w:tab w:val="left" w:pos="440"/>
          <w:tab w:val="right" w:leader="dot" w:pos="9204"/>
        </w:tabs>
        <w:rPr>
          <w:rFonts w:ascii="Calibri" w:hAnsi="Calibri"/>
          <w:noProof/>
          <w:sz w:val="22"/>
          <w:szCs w:val="22"/>
          <w:lang w:val="sl-SI" w:eastAsia="sl-SI"/>
        </w:rPr>
      </w:pPr>
      <w:hyperlink w:anchor="_Toc92353283" w:history="1">
        <w:r w:rsidRPr="001E4FA0">
          <w:rPr>
            <w:rStyle w:val="Hiperpovezava"/>
            <w:rFonts w:eastAsia="Calibri"/>
            <w:noProof/>
          </w:rPr>
          <w:t>9</w:t>
        </w:r>
        <w:r w:rsidRPr="00DB70F3">
          <w:rPr>
            <w:rFonts w:ascii="Calibri" w:hAnsi="Calibri"/>
            <w:noProof/>
            <w:sz w:val="22"/>
            <w:szCs w:val="22"/>
            <w:lang w:val="sl-SI" w:eastAsia="sl-SI"/>
          </w:rPr>
          <w:tab/>
        </w:r>
        <w:r w:rsidRPr="001E4FA0">
          <w:rPr>
            <w:rStyle w:val="Hiperpovezava"/>
            <w:rFonts w:eastAsia="Calibri"/>
            <w:noProof/>
          </w:rPr>
          <w:t>SPREMEMBA ALI PREKLIC PRIGLASITVE</w:t>
        </w:r>
        <w:r>
          <w:rPr>
            <w:noProof/>
            <w:webHidden/>
          </w:rPr>
          <w:tab/>
        </w:r>
        <w:r>
          <w:rPr>
            <w:noProof/>
            <w:webHidden/>
          </w:rPr>
          <w:fldChar w:fldCharType="begin"/>
        </w:r>
        <w:r>
          <w:rPr>
            <w:noProof/>
            <w:webHidden/>
          </w:rPr>
          <w:instrText xml:space="preserve"> PAGEREF _Toc92353283 \h </w:instrText>
        </w:r>
        <w:r>
          <w:rPr>
            <w:noProof/>
            <w:webHidden/>
          </w:rPr>
        </w:r>
        <w:r>
          <w:rPr>
            <w:noProof/>
            <w:webHidden/>
          </w:rPr>
          <w:fldChar w:fldCharType="separate"/>
        </w:r>
        <w:r>
          <w:rPr>
            <w:noProof/>
            <w:webHidden/>
          </w:rPr>
          <w:t>15</w:t>
        </w:r>
        <w:r>
          <w:rPr>
            <w:noProof/>
            <w:webHidden/>
          </w:rPr>
          <w:fldChar w:fldCharType="end"/>
        </w:r>
      </w:hyperlink>
    </w:p>
    <w:p w:rsidR="00E01107" w:rsidRPr="00DB70F3" w:rsidRDefault="00E01107">
      <w:pPr>
        <w:pStyle w:val="Kazalovsebine1"/>
        <w:tabs>
          <w:tab w:val="left" w:pos="660"/>
          <w:tab w:val="right" w:leader="dot" w:pos="9204"/>
        </w:tabs>
        <w:rPr>
          <w:rFonts w:ascii="Calibri" w:hAnsi="Calibri"/>
          <w:noProof/>
          <w:sz w:val="22"/>
          <w:szCs w:val="22"/>
          <w:lang w:val="sl-SI" w:eastAsia="sl-SI"/>
        </w:rPr>
      </w:pPr>
      <w:hyperlink w:anchor="_Toc92353284" w:history="1">
        <w:r w:rsidRPr="001E4FA0">
          <w:rPr>
            <w:rStyle w:val="Hiperpovezava"/>
            <w:rFonts w:eastAsia="Calibri"/>
            <w:noProof/>
          </w:rPr>
          <w:t>10</w:t>
        </w:r>
        <w:r w:rsidRPr="00DB70F3">
          <w:rPr>
            <w:rFonts w:ascii="Calibri" w:hAnsi="Calibri"/>
            <w:noProof/>
            <w:sz w:val="22"/>
            <w:szCs w:val="22"/>
            <w:lang w:val="sl-SI" w:eastAsia="sl-SI"/>
          </w:rPr>
          <w:tab/>
        </w:r>
        <w:r w:rsidRPr="001E4FA0">
          <w:rPr>
            <w:rStyle w:val="Hiperpovezava"/>
            <w:rFonts w:eastAsia="Calibri"/>
            <w:noProof/>
          </w:rPr>
          <w:t>DODATNE INFORMACIJE</w:t>
        </w:r>
        <w:r>
          <w:rPr>
            <w:noProof/>
            <w:webHidden/>
          </w:rPr>
          <w:tab/>
        </w:r>
        <w:r>
          <w:rPr>
            <w:noProof/>
            <w:webHidden/>
          </w:rPr>
          <w:fldChar w:fldCharType="begin"/>
        </w:r>
        <w:r>
          <w:rPr>
            <w:noProof/>
            <w:webHidden/>
          </w:rPr>
          <w:instrText xml:space="preserve"> PAGEREF _Toc92353284 \h </w:instrText>
        </w:r>
        <w:r>
          <w:rPr>
            <w:noProof/>
            <w:webHidden/>
          </w:rPr>
        </w:r>
        <w:r>
          <w:rPr>
            <w:noProof/>
            <w:webHidden/>
          </w:rPr>
          <w:fldChar w:fldCharType="separate"/>
        </w:r>
        <w:r>
          <w:rPr>
            <w:noProof/>
            <w:webHidden/>
          </w:rPr>
          <w:t>15</w:t>
        </w:r>
        <w:r>
          <w:rPr>
            <w:noProof/>
            <w:webHidden/>
          </w:rPr>
          <w:fldChar w:fldCharType="end"/>
        </w:r>
      </w:hyperlink>
    </w:p>
    <w:p w:rsidR="004E03B9" w:rsidRDefault="00E04DA0" w:rsidP="009735FC">
      <w:pPr>
        <w:spacing w:after="200"/>
        <w:rPr>
          <w:b/>
          <w:bCs/>
        </w:rPr>
      </w:pPr>
      <w:r>
        <w:rPr>
          <w:b/>
          <w:bCs/>
        </w:rPr>
        <w:fldChar w:fldCharType="end"/>
      </w:r>
    </w:p>
    <w:p w:rsidR="00E04DA0" w:rsidRDefault="004E03B9" w:rsidP="009735FC">
      <w:pPr>
        <w:spacing w:after="200"/>
      </w:pPr>
      <w:r>
        <w:rPr>
          <w:b/>
          <w:bCs/>
        </w:rPr>
        <w:br w:type="page"/>
      </w:r>
    </w:p>
    <w:p w:rsidR="00257B59" w:rsidRPr="00D21A83" w:rsidRDefault="00257B59" w:rsidP="009735FC">
      <w:pPr>
        <w:pStyle w:val="Naslov1"/>
        <w:spacing w:after="200"/>
        <w:rPr>
          <w:rFonts w:eastAsia="Calibri"/>
        </w:rPr>
      </w:pPr>
      <w:bookmarkStart w:id="1" w:name="_Toc92353262"/>
      <w:r w:rsidRPr="00D21A83">
        <w:rPr>
          <w:rFonts w:eastAsia="Calibri"/>
        </w:rPr>
        <w:lastRenderedPageBreak/>
        <w:t>NAMEN</w:t>
      </w:r>
      <w:bookmarkEnd w:id="1"/>
    </w:p>
    <w:p w:rsidR="008A4C88" w:rsidRDefault="00257B59" w:rsidP="009735FC">
      <w:pPr>
        <w:spacing w:after="200" w:line="260" w:lineRule="exact"/>
        <w:jc w:val="both"/>
        <w:rPr>
          <w:rFonts w:eastAsia="Calibri" w:cs="Arial"/>
          <w:szCs w:val="20"/>
          <w:lang w:val="sl-SI"/>
        </w:rPr>
      </w:pPr>
      <w:r w:rsidRPr="00D21A83">
        <w:rPr>
          <w:rFonts w:eastAsia="Calibri" w:cs="Arial"/>
          <w:szCs w:val="20"/>
          <w:lang w:val="sl-SI"/>
        </w:rPr>
        <w:t>Namen Smernic za</w:t>
      </w:r>
      <w:r w:rsidR="00513B28">
        <w:rPr>
          <w:rFonts w:eastAsia="Calibri" w:cs="Arial"/>
          <w:szCs w:val="20"/>
          <w:lang w:val="sl-SI"/>
        </w:rPr>
        <w:t xml:space="preserve"> določitev in</w:t>
      </w:r>
      <w:r w:rsidR="00513B28" w:rsidRPr="00D21A83">
        <w:rPr>
          <w:rFonts w:eastAsia="Calibri" w:cs="Arial"/>
          <w:szCs w:val="20"/>
          <w:lang w:val="sl-SI"/>
        </w:rPr>
        <w:t xml:space="preserve"> </w:t>
      </w:r>
      <w:r w:rsidRPr="00D21A83">
        <w:rPr>
          <w:rFonts w:eastAsia="Calibri" w:cs="Arial"/>
          <w:szCs w:val="20"/>
          <w:lang w:val="sl-SI"/>
        </w:rPr>
        <w:t xml:space="preserve">priglasitev organov za </w:t>
      </w:r>
      <w:r w:rsidR="00F46972" w:rsidRPr="00D21A83">
        <w:rPr>
          <w:rFonts w:eastAsia="Calibri" w:cs="Arial"/>
          <w:szCs w:val="20"/>
          <w:lang w:val="sl-SI"/>
        </w:rPr>
        <w:t>ocenjevanje in preverjanje nespremenljivosti lastnosti</w:t>
      </w:r>
      <w:r w:rsidRPr="00D21A83">
        <w:rPr>
          <w:rFonts w:eastAsia="Calibri" w:cs="Arial"/>
          <w:szCs w:val="20"/>
          <w:lang w:val="sl-SI"/>
        </w:rPr>
        <w:t xml:space="preserve"> na področju gradbenih proizvodov (v nadaljevanju: </w:t>
      </w:r>
      <w:r w:rsidR="005B4157" w:rsidRPr="00D21A83">
        <w:rPr>
          <w:rFonts w:eastAsia="Calibri" w:cs="Arial"/>
          <w:szCs w:val="20"/>
          <w:lang w:val="sl-SI"/>
        </w:rPr>
        <w:t>S</w:t>
      </w:r>
      <w:r w:rsidRPr="00D21A83">
        <w:rPr>
          <w:rFonts w:eastAsia="Calibri" w:cs="Arial"/>
          <w:szCs w:val="20"/>
          <w:lang w:val="sl-SI"/>
        </w:rPr>
        <w:t xml:space="preserve">mernice) je </w:t>
      </w:r>
      <w:r w:rsidR="004960BC" w:rsidRPr="00D21A83">
        <w:rPr>
          <w:rFonts w:eastAsia="Calibri" w:cs="Arial"/>
          <w:szCs w:val="20"/>
          <w:lang w:val="sl-SI"/>
        </w:rPr>
        <w:t xml:space="preserve">opis </w:t>
      </w:r>
      <w:r w:rsidR="00BB40E7" w:rsidRPr="00D21A83">
        <w:rPr>
          <w:rFonts w:eastAsia="Calibri" w:cs="Arial"/>
          <w:szCs w:val="20"/>
          <w:lang w:val="sl-SI"/>
        </w:rPr>
        <w:t>meril</w:t>
      </w:r>
      <w:r w:rsidR="004960BC" w:rsidRPr="00D21A83">
        <w:rPr>
          <w:rFonts w:eastAsia="Calibri" w:cs="Arial"/>
          <w:szCs w:val="20"/>
          <w:lang w:val="sl-SI"/>
        </w:rPr>
        <w:t xml:space="preserve"> in postopkov, ki veljajo za</w:t>
      </w:r>
      <w:r w:rsidRPr="00D21A83">
        <w:rPr>
          <w:rFonts w:eastAsia="Calibri" w:cs="Arial"/>
          <w:szCs w:val="20"/>
          <w:lang w:val="sl-SI"/>
        </w:rPr>
        <w:t xml:space="preserve"> </w:t>
      </w:r>
      <w:r w:rsidR="00BB40E7" w:rsidRPr="00D21A83">
        <w:rPr>
          <w:rFonts w:eastAsia="Calibri" w:cs="Arial"/>
          <w:szCs w:val="20"/>
          <w:lang w:val="sl-SI"/>
        </w:rPr>
        <w:t>ocenjevanje</w:t>
      </w:r>
      <w:r w:rsidR="004960BC" w:rsidRPr="00D21A83">
        <w:rPr>
          <w:rFonts w:eastAsia="Calibri" w:cs="Arial"/>
          <w:szCs w:val="20"/>
          <w:lang w:val="sl-SI"/>
        </w:rPr>
        <w:t xml:space="preserve">, določanje in priglasitev </w:t>
      </w:r>
      <w:r w:rsidR="00BB40E7" w:rsidRPr="00D21A83">
        <w:rPr>
          <w:rFonts w:eastAsia="Calibri" w:cs="Arial"/>
          <w:szCs w:val="20"/>
          <w:lang w:val="sl-SI"/>
        </w:rPr>
        <w:t>organov</w:t>
      </w:r>
      <w:r w:rsidR="00CC281A" w:rsidRPr="00D21A83">
        <w:rPr>
          <w:rFonts w:eastAsia="Calibri" w:cs="Arial"/>
          <w:szCs w:val="20"/>
          <w:lang w:val="sl-SI"/>
        </w:rPr>
        <w:t xml:space="preserve">, </w:t>
      </w:r>
      <w:r w:rsidR="00090022">
        <w:rPr>
          <w:rFonts w:eastAsia="Calibri" w:cs="Arial"/>
          <w:szCs w:val="20"/>
          <w:lang w:val="sl-SI"/>
        </w:rPr>
        <w:t xml:space="preserve">pooblaščenih za </w:t>
      </w:r>
      <w:r w:rsidR="00EF7C70" w:rsidRPr="00D21A83">
        <w:rPr>
          <w:rFonts w:eastAsia="Calibri" w:cs="Arial"/>
          <w:szCs w:val="20"/>
          <w:lang w:val="sl-SI"/>
        </w:rPr>
        <w:t>opravlja</w:t>
      </w:r>
      <w:r w:rsidR="00090022">
        <w:rPr>
          <w:rFonts w:eastAsia="Calibri" w:cs="Arial"/>
          <w:szCs w:val="20"/>
          <w:lang w:val="sl-SI"/>
        </w:rPr>
        <w:t>nje</w:t>
      </w:r>
      <w:r w:rsidR="00EF7C70" w:rsidRPr="00D21A83">
        <w:rPr>
          <w:rFonts w:eastAsia="Calibri" w:cs="Arial"/>
          <w:szCs w:val="20"/>
          <w:lang w:val="sl-SI"/>
        </w:rPr>
        <w:t xml:space="preserve"> nalog tretje stranke v postopku ocenjevanja in preverjanja nespremenljivosti lastnosti</w:t>
      </w:r>
      <w:r w:rsidR="00EF7C70">
        <w:rPr>
          <w:rFonts w:eastAsia="Calibri" w:cs="Arial"/>
          <w:szCs w:val="20"/>
          <w:lang w:val="sl-SI"/>
        </w:rPr>
        <w:t xml:space="preserve"> gradbenih proizvodov</w:t>
      </w:r>
      <w:r w:rsidR="001712EC" w:rsidRPr="00D21A83">
        <w:rPr>
          <w:rFonts w:eastAsia="Calibri" w:cs="Arial"/>
          <w:szCs w:val="20"/>
          <w:lang w:val="sl-SI"/>
        </w:rPr>
        <w:t xml:space="preserve"> v </w:t>
      </w:r>
      <w:r w:rsidR="001712EC" w:rsidRPr="00F768D4">
        <w:rPr>
          <w:rFonts w:eastAsia="Calibri" w:cs="Arial"/>
          <w:szCs w:val="20"/>
          <w:lang w:val="sl-SI"/>
        </w:rPr>
        <w:t xml:space="preserve">skladu </w:t>
      </w:r>
      <w:r w:rsidR="00F768D4" w:rsidRPr="00F768D4">
        <w:rPr>
          <w:rFonts w:eastAsia="Calibri" w:cs="Arial"/>
          <w:szCs w:val="20"/>
          <w:lang w:val="sl-SI"/>
        </w:rPr>
        <w:t xml:space="preserve">z Uredbo 305/2011/EU </w:t>
      </w:r>
      <w:r w:rsidR="001712EC" w:rsidRPr="00F768D4">
        <w:rPr>
          <w:rFonts w:eastAsia="Calibri" w:cs="Arial"/>
          <w:szCs w:val="20"/>
          <w:lang w:val="sl-SI"/>
        </w:rPr>
        <w:t xml:space="preserve">in </w:t>
      </w:r>
      <w:r w:rsidR="00F46972" w:rsidRPr="00F768D4">
        <w:rPr>
          <w:rFonts w:eastAsia="Calibri" w:cs="Arial"/>
          <w:szCs w:val="20"/>
          <w:lang w:val="sl-SI"/>
        </w:rPr>
        <w:t>ZGPro-1</w:t>
      </w:r>
      <w:r w:rsidR="00CC281A" w:rsidRPr="00F768D4">
        <w:rPr>
          <w:rFonts w:eastAsia="Calibri" w:cs="Arial"/>
          <w:szCs w:val="20"/>
          <w:lang w:val="sl-SI"/>
        </w:rPr>
        <w:t xml:space="preserve">, ter </w:t>
      </w:r>
      <w:r w:rsidR="003C2743" w:rsidRPr="00F768D4">
        <w:rPr>
          <w:rFonts w:eastAsia="Calibri" w:cs="Arial"/>
          <w:szCs w:val="20"/>
          <w:lang w:val="sl-SI"/>
        </w:rPr>
        <w:t xml:space="preserve">opis zahtev </w:t>
      </w:r>
      <w:r w:rsidR="00CC281A" w:rsidRPr="00F768D4">
        <w:rPr>
          <w:rFonts w:eastAsia="Calibri" w:cs="Arial"/>
          <w:szCs w:val="20"/>
          <w:lang w:val="sl-SI"/>
        </w:rPr>
        <w:t>za spremljanje trajnega izpolnjevanja zahtev</w:t>
      </w:r>
      <w:r w:rsidR="00513B28" w:rsidRPr="00F768D4">
        <w:rPr>
          <w:rFonts w:eastAsia="Calibri" w:cs="Arial"/>
          <w:szCs w:val="20"/>
          <w:lang w:val="sl-SI"/>
        </w:rPr>
        <w:t xml:space="preserve"> za</w:t>
      </w:r>
      <w:r w:rsidR="00DE317A" w:rsidRPr="00F768D4">
        <w:rPr>
          <w:rFonts w:eastAsia="Calibri" w:cs="Arial"/>
          <w:szCs w:val="20"/>
          <w:lang w:val="sl-SI"/>
        </w:rPr>
        <w:t xml:space="preserve"> priglašen</w:t>
      </w:r>
      <w:r w:rsidR="00513B28" w:rsidRPr="00F768D4">
        <w:rPr>
          <w:rFonts w:eastAsia="Calibri" w:cs="Arial"/>
          <w:szCs w:val="20"/>
          <w:lang w:val="sl-SI"/>
        </w:rPr>
        <w:t>e</w:t>
      </w:r>
      <w:r w:rsidR="00DE317A" w:rsidRPr="00F768D4">
        <w:rPr>
          <w:rFonts w:eastAsia="Calibri" w:cs="Arial"/>
          <w:szCs w:val="20"/>
          <w:lang w:val="sl-SI"/>
        </w:rPr>
        <w:t xml:space="preserve"> organ</w:t>
      </w:r>
      <w:r w:rsidR="00513B28" w:rsidRPr="00F768D4">
        <w:rPr>
          <w:rFonts w:eastAsia="Calibri" w:cs="Arial"/>
          <w:szCs w:val="20"/>
          <w:lang w:val="sl-SI"/>
        </w:rPr>
        <w:t>e</w:t>
      </w:r>
      <w:r w:rsidR="00DE317A" w:rsidRPr="00F768D4">
        <w:rPr>
          <w:rFonts w:eastAsia="Calibri" w:cs="Arial"/>
          <w:szCs w:val="20"/>
          <w:lang w:val="sl-SI"/>
        </w:rPr>
        <w:t xml:space="preserve"> in </w:t>
      </w:r>
      <w:r w:rsidR="003C2743" w:rsidRPr="00F768D4">
        <w:rPr>
          <w:rFonts w:eastAsia="Calibri" w:cs="Arial"/>
          <w:szCs w:val="20"/>
          <w:lang w:val="sl-SI"/>
        </w:rPr>
        <w:t xml:space="preserve">za </w:t>
      </w:r>
      <w:r w:rsidR="00DE317A" w:rsidRPr="00F768D4">
        <w:rPr>
          <w:rFonts w:eastAsia="Calibri" w:cs="Arial"/>
          <w:szCs w:val="20"/>
          <w:lang w:val="sl-SI"/>
        </w:rPr>
        <w:t>obveščanje</w:t>
      </w:r>
      <w:r w:rsidR="00DE317A" w:rsidRPr="00D21A83">
        <w:rPr>
          <w:rFonts w:eastAsia="Calibri" w:cs="Arial"/>
          <w:szCs w:val="20"/>
          <w:lang w:val="sl-SI"/>
        </w:rPr>
        <w:t xml:space="preserve"> priglasitvenega organa o spremembah.</w:t>
      </w:r>
      <w:r w:rsidR="004960BC" w:rsidRPr="00D21A83">
        <w:rPr>
          <w:rFonts w:eastAsia="Calibri" w:cs="Arial"/>
          <w:szCs w:val="20"/>
          <w:lang w:val="sl-SI"/>
        </w:rPr>
        <w:t xml:space="preserve"> </w:t>
      </w:r>
    </w:p>
    <w:p w:rsidR="00C05CBD" w:rsidRPr="00D21A83" w:rsidRDefault="00C05CBD" w:rsidP="009735FC">
      <w:pPr>
        <w:pStyle w:val="Naslov1"/>
        <w:spacing w:after="200"/>
        <w:rPr>
          <w:rFonts w:eastAsia="Calibri"/>
        </w:rPr>
      </w:pPr>
      <w:bookmarkStart w:id="2" w:name="_Toc92353263"/>
      <w:r w:rsidRPr="00D21A83">
        <w:rPr>
          <w:rFonts w:eastAsia="Calibri"/>
        </w:rPr>
        <w:t>PODROČJE UPORABE</w:t>
      </w:r>
      <w:bookmarkEnd w:id="2"/>
    </w:p>
    <w:p w:rsidR="008A4C88" w:rsidRDefault="00C05CBD" w:rsidP="009735FC">
      <w:pPr>
        <w:spacing w:after="200" w:line="260" w:lineRule="exact"/>
        <w:jc w:val="both"/>
        <w:rPr>
          <w:rFonts w:eastAsia="Calibri" w:cs="Arial"/>
          <w:szCs w:val="20"/>
          <w:lang w:val="sl-SI"/>
        </w:rPr>
      </w:pPr>
      <w:r w:rsidRPr="00D21A83">
        <w:rPr>
          <w:rFonts w:eastAsia="Calibri" w:cs="Arial"/>
          <w:szCs w:val="20"/>
          <w:lang w:val="sl-SI"/>
        </w:rPr>
        <w:t xml:space="preserve">Smernice podrobneje opisujejo zahteve za </w:t>
      </w:r>
      <w:r w:rsidR="004960BC" w:rsidRPr="00D21A83">
        <w:rPr>
          <w:rFonts w:eastAsia="Calibri" w:cs="Arial"/>
          <w:szCs w:val="20"/>
          <w:lang w:val="sl-SI"/>
        </w:rPr>
        <w:t>vložnike</w:t>
      </w:r>
      <w:r w:rsidRPr="00D21A83">
        <w:rPr>
          <w:rFonts w:eastAsia="Calibri" w:cs="Arial"/>
          <w:szCs w:val="20"/>
          <w:lang w:val="sl-SI"/>
        </w:rPr>
        <w:t xml:space="preserve">, ki želijo pridobiti </w:t>
      </w:r>
      <w:r w:rsidR="0069302E" w:rsidRPr="00D21A83">
        <w:rPr>
          <w:rFonts w:eastAsia="Calibri" w:cs="Arial"/>
          <w:szCs w:val="20"/>
          <w:lang w:val="sl-SI"/>
        </w:rPr>
        <w:t xml:space="preserve">status priglašenega organa </w:t>
      </w:r>
      <w:r w:rsidRPr="00D21A83">
        <w:rPr>
          <w:rFonts w:eastAsia="Calibri" w:cs="Arial"/>
          <w:szCs w:val="20"/>
          <w:lang w:val="sl-SI"/>
        </w:rPr>
        <w:t xml:space="preserve">v skladu z </w:t>
      </w:r>
      <w:r w:rsidR="001712EC" w:rsidRPr="00D21A83">
        <w:rPr>
          <w:rFonts w:eastAsia="Calibri" w:cs="Arial"/>
          <w:szCs w:val="20"/>
          <w:lang w:val="sl-SI"/>
        </w:rPr>
        <w:t>Uredbo 305/2011/EU</w:t>
      </w:r>
      <w:r w:rsidR="001712EC" w:rsidRPr="00D21A83" w:rsidDel="00867CCE">
        <w:rPr>
          <w:rFonts w:eastAsia="Calibri" w:cs="Arial"/>
          <w:szCs w:val="20"/>
          <w:lang w:val="sl-SI"/>
        </w:rPr>
        <w:t xml:space="preserve"> </w:t>
      </w:r>
      <w:r w:rsidR="004960BC" w:rsidRPr="00D21A83">
        <w:rPr>
          <w:rFonts w:eastAsia="Calibri" w:cs="Arial"/>
          <w:szCs w:val="20"/>
          <w:lang w:val="sl-SI"/>
        </w:rPr>
        <w:t xml:space="preserve">in </w:t>
      </w:r>
      <w:r w:rsidR="00F46972" w:rsidRPr="00D21A83">
        <w:rPr>
          <w:rFonts w:eastAsia="Calibri" w:cs="Arial"/>
          <w:szCs w:val="20"/>
          <w:lang w:val="sl-SI"/>
        </w:rPr>
        <w:t>ZGPro-1</w:t>
      </w:r>
      <w:r w:rsidR="0069302E" w:rsidRPr="00D21A83">
        <w:rPr>
          <w:rFonts w:eastAsia="Calibri" w:cs="Arial"/>
          <w:szCs w:val="20"/>
          <w:lang w:val="sl-SI"/>
        </w:rPr>
        <w:t>.</w:t>
      </w:r>
      <w:r w:rsidR="00073603" w:rsidRPr="00D21A83">
        <w:rPr>
          <w:rFonts w:eastAsia="Calibri" w:cs="Arial"/>
          <w:szCs w:val="20"/>
          <w:lang w:val="sl-SI"/>
        </w:rPr>
        <w:t xml:space="preserve"> Hkrati podrobneje določajo </w:t>
      </w:r>
      <w:r w:rsidR="004E03B9">
        <w:rPr>
          <w:rFonts w:eastAsia="Calibri" w:cs="Arial"/>
          <w:szCs w:val="20"/>
          <w:lang w:val="sl-SI"/>
        </w:rPr>
        <w:t>povezavo med</w:t>
      </w:r>
      <w:r w:rsidR="00073603" w:rsidRPr="00D21A83">
        <w:rPr>
          <w:rFonts w:eastAsia="Calibri" w:cs="Arial"/>
          <w:szCs w:val="20"/>
          <w:lang w:val="sl-SI"/>
        </w:rPr>
        <w:t xml:space="preserve"> akreditacijsk</w:t>
      </w:r>
      <w:r w:rsidR="004E03B9">
        <w:rPr>
          <w:rFonts w:eastAsia="Calibri" w:cs="Arial"/>
          <w:szCs w:val="20"/>
          <w:lang w:val="sl-SI"/>
        </w:rPr>
        <w:t>imi</w:t>
      </w:r>
      <w:r w:rsidR="00073603" w:rsidRPr="00D21A83">
        <w:rPr>
          <w:rFonts w:eastAsia="Calibri" w:cs="Arial"/>
          <w:szCs w:val="20"/>
          <w:lang w:val="sl-SI"/>
        </w:rPr>
        <w:t xml:space="preserve"> postopk</w:t>
      </w:r>
      <w:r w:rsidR="004E03B9">
        <w:rPr>
          <w:rFonts w:eastAsia="Calibri" w:cs="Arial"/>
          <w:szCs w:val="20"/>
          <w:lang w:val="sl-SI"/>
        </w:rPr>
        <w:t>i</w:t>
      </w:r>
      <w:r w:rsidR="00073603" w:rsidRPr="00D21A83">
        <w:rPr>
          <w:rFonts w:eastAsia="Calibri" w:cs="Arial"/>
          <w:szCs w:val="20"/>
          <w:lang w:val="sl-SI"/>
        </w:rPr>
        <w:t xml:space="preserve"> </w:t>
      </w:r>
      <w:r w:rsidR="004E03B9">
        <w:rPr>
          <w:rFonts w:eastAsia="Calibri" w:cs="Arial"/>
          <w:szCs w:val="20"/>
          <w:lang w:val="sl-SI"/>
        </w:rPr>
        <w:t xml:space="preserve">in izpolnjevanjem zahtev za </w:t>
      </w:r>
      <w:r w:rsidR="00513B28" w:rsidRPr="00D21A83">
        <w:rPr>
          <w:rFonts w:eastAsia="Calibri" w:cs="Arial"/>
          <w:szCs w:val="20"/>
          <w:lang w:val="sl-SI"/>
        </w:rPr>
        <w:t>organ</w:t>
      </w:r>
      <w:r w:rsidR="00513B28">
        <w:rPr>
          <w:rFonts w:eastAsia="Calibri" w:cs="Arial"/>
          <w:szCs w:val="20"/>
          <w:lang w:val="sl-SI"/>
        </w:rPr>
        <w:t>e</w:t>
      </w:r>
      <w:r w:rsidR="00513B28" w:rsidRPr="00D21A83">
        <w:rPr>
          <w:rFonts w:eastAsia="Calibri" w:cs="Arial"/>
          <w:szCs w:val="20"/>
          <w:lang w:val="sl-SI"/>
        </w:rPr>
        <w:t xml:space="preserve"> za ocenjevanje in preverjanje nespremenljivosti lastnosti </w:t>
      </w:r>
      <w:r w:rsidR="004E03B9">
        <w:rPr>
          <w:rFonts w:eastAsia="Calibri" w:cs="Arial"/>
          <w:szCs w:val="20"/>
          <w:lang w:val="sl-SI"/>
        </w:rPr>
        <w:t>kot jih določa</w:t>
      </w:r>
      <w:r w:rsidR="00073603" w:rsidRPr="00D21A83">
        <w:rPr>
          <w:rFonts w:eastAsia="Calibri" w:cs="Arial"/>
          <w:szCs w:val="20"/>
          <w:lang w:val="sl-SI"/>
        </w:rPr>
        <w:t xml:space="preserve"> Uredb</w:t>
      </w:r>
      <w:r w:rsidR="004E03B9">
        <w:rPr>
          <w:rFonts w:eastAsia="Calibri" w:cs="Arial"/>
          <w:szCs w:val="20"/>
          <w:lang w:val="sl-SI"/>
        </w:rPr>
        <w:t>a</w:t>
      </w:r>
      <w:r w:rsidR="00073603" w:rsidRPr="00D21A83">
        <w:rPr>
          <w:rFonts w:eastAsia="Calibri" w:cs="Arial"/>
          <w:szCs w:val="20"/>
          <w:lang w:val="sl-SI"/>
        </w:rPr>
        <w:t xml:space="preserve"> 305/2011/EU.</w:t>
      </w:r>
      <w:r w:rsidR="00261A13" w:rsidRPr="00D21A83">
        <w:rPr>
          <w:rFonts w:eastAsia="Calibri" w:cs="Arial"/>
          <w:szCs w:val="20"/>
          <w:lang w:val="sl-SI"/>
        </w:rPr>
        <w:t xml:space="preserve">  </w:t>
      </w:r>
    </w:p>
    <w:p w:rsidR="00CC4675" w:rsidRPr="00D21A83" w:rsidRDefault="00CC4675" w:rsidP="009735FC">
      <w:pPr>
        <w:pStyle w:val="Naslov1"/>
        <w:spacing w:after="200"/>
        <w:rPr>
          <w:rFonts w:eastAsia="Calibri"/>
        </w:rPr>
      </w:pPr>
      <w:bookmarkStart w:id="3" w:name="_Toc92353264"/>
      <w:r w:rsidRPr="00D21A83">
        <w:rPr>
          <w:rFonts w:eastAsia="Calibri"/>
        </w:rPr>
        <w:t>POMEN IZRAZOV</w:t>
      </w:r>
      <w:bookmarkEnd w:id="3"/>
    </w:p>
    <w:p w:rsidR="00D17609" w:rsidRPr="00D17609" w:rsidRDefault="00D17609" w:rsidP="009735FC">
      <w:pPr>
        <w:spacing w:after="200" w:line="260" w:lineRule="exact"/>
        <w:jc w:val="both"/>
        <w:rPr>
          <w:rFonts w:eastAsia="Calibri" w:cs="Arial"/>
          <w:szCs w:val="20"/>
          <w:lang w:val="sl-SI"/>
        </w:rPr>
      </w:pPr>
      <w:r>
        <w:rPr>
          <w:rFonts w:eastAsia="Calibri" w:cs="Arial"/>
          <w:i/>
          <w:szCs w:val="20"/>
          <w:lang w:val="sl-SI"/>
        </w:rPr>
        <w:t xml:space="preserve">Dokument EA-2/17 </w:t>
      </w:r>
      <w:r w:rsidRPr="00D17609">
        <w:rPr>
          <w:rFonts w:eastAsia="Calibri" w:cs="Arial"/>
          <w:szCs w:val="20"/>
          <w:lang w:val="sl-SI"/>
        </w:rPr>
        <w:t xml:space="preserve">je EA dokument o akreditaciji za namen </w:t>
      </w:r>
      <w:r w:rsidR="00585AEF">
        <w:rPr>
          <w:rFonts w:eastAsia="Calibri" w:cs="Arial"/>
          <w:szCs w:val="20"/>
          <w:lang w:val="sl-SI"/>
        </w:rPr>
        <w:t>priglasitve</w:t>
      </w:r>
      <w:r w:rsidRPr="00D17609">
        <w:rPr>
          <w:rFonts w:eastAsia="Calibri" w:cs="Arial"/>
          <w:szCs w:val="20"/>
          <w:lang w:val="sl-SI"/>
        </w:rPr>
        <w:t xml:space="preserve"> EA-2/17 M:2020 (angl. EA Document on Accreditation for Notification Purposes), ki ga je izdala European Accreditation.</w:t>
      </w:r>
    </w:p>
    <w:p w:rsidR="00AA1B34" w:rsidRPr="00D21A83" w:rsidRDefault="00895394" w:rsidP="009735FC">
      <w:pPr>
        <w:spacing w:after="200" w:line="260" w:lineRule="exact"/>
        <w:jc w:val="both"/>
        <w:rPr>
          <w:rFonts w:eastAsia="Calibri" w:cs="Arial"/>
          <w:szCs w:val="20"/>
          <w:lang w:val="sl-SI"/>
        </w:rPr>
      </w:pPr>
      <w:r w:rsidRPr="000E2792">
        <w:rPr>
          <w:rFonts w:eastAsia="Calibri" w:cs="Arial"/>
          <w:i/>
          <w:szCs w:val="20"/>
          <w:lang w:val="sl-SI"/>
        </w:rPr>
        <w:t>O</w:t>
      </w:r>
      <w:r w:rsidR="00AA1B34" w:rsidRPr="000E2792">
        <w:rPr>
          <w:rFonts w:eastAsia="Calibri" w:cs="Arial"/>
          <w:i/>
          <w:szCs w:val="20"/>
          <w:lang w:val="sl-SI"/>
        </w:rPr>
        <w:t>rgan AVCP</w:t>
      </w:r>
      <w:r w:rsidR="00AA1B34" w:rsidRPr="000E2792">
        <w:rPr>
          <w:rFonts w:eastAsia="Calibri" w:cs="Arial"/>
          <w:szCs w:val="20"/>
          <w:lang w:val="sl-SI"/>
        </w:rPr>
        <w:t xml:space="preserve"> </w:t>
      </w:r>
      <w:r w:rsidRPr="000E2792">
        <w:rPr>
          <w:rFonts w:eastAsia="Calibri" w:cs="Arial"/>
          <w:szCs w:val="20"/>
          <w:lang w:val="sl-SI"/>
        </w:rPr>
        <w:t>(</w:t>
      </w:r>
      <w:r w:rsidR="00AA1B34" w:rsidRPr="000E2792">
        <w:rPr>
          <w:rFonts w:eastAsia="Calibri" w:cs="Arial"/>
          <w:szCs w:val="20"/>
          <w:lang w:val="sl-SI"/>
        </w:rPr>
        <w:t>angl. Assessment and Verification of Constancy of Perfo</w:t>
      </w:r>
      <w:r w:rsidR="00DE317A" w:rsidRPr="000E2792">
        <w:rPr>
          <w:rFonts w:eastAsia="Calibri" w:cs="Arial"/>
          <w:szCs w:val="20"/>
          <w:lang w:val="sl-SI"/>
        </w:rPr>
        <w:t>rmance)</w:t>
      </w:r>
      <w:r w:rsidR="00AA1B34" w:rsidRPr="000E2792">
        <w:rPr>
          <w:rFonts w:eastAsia="Calibri" w:cs="Arial"/>
          <w:szCs w:val="20"/>
          <w:lang w:val="sl-SI"/>
        </w:rPr>
        <w:t xml:space="preserve"> </w:t>
      </w:r>
      <w:r w:rsidR="0069302E" w:rsidRPr="000E2792">
        <w:rPr>
          <w:rFonts w:eastAsia="Calibri" w:cs="Arial"/>
          <w:szCs w:val="20"/>
          <w:lang w:val="sl-SI"/>
        </w:rPr>
        <w:t>je pravna oseba, ki je</w:t>
      </w:r>
      <w:r w:rsidR="0069302E" w:rsidRPr="00D21A83">
        <w:rPr>
          <w:rFonts w:eastAsia="Calibri" w:cs="Arial"/>
          <w:szCs w:val="20"/>
          <w:lang w:val="sl-SI"/>
        </w:rPr>
        <w:t xml:space="preserve"> na podlagi odločbe ministrstva določena in priglašena za opravljanje nalog</w:t>
      </w:r>
      <w:r w:rsidR="00AA1B34" w:rsidRPr="00D21A83">
        <w:rPr>
          <w:rFonts w:eastAsia="Calibri" w:cs="Arial"/>
          <w:szCs w:val="20"/>
          <w:lang w:val="sl-SI"/>
        </w:rPr>
        <w:t xml:space="preserve"> tretj</w:t>
      </w:r>
      <w:r w:rsidR="0069302E" w:rsidRPr="00D21A83">
        <w:rPr>
          <w:rFonts w:eastAsia="Calibri" w:cs="Arial"/>
          <w:szCs w:val="20"/>
          <w:lang w:val="sl-SI"/>
        </w:rPr>
        <w:t>e</w:t>
      </w:r>
      <w:r w:rsidR="00AA1B34" w:rsidRPr="00D21A83">
        <w:rPr>
          <w:rFonts w:eastAsia="Calibri" w:cs="Arial"/>
          <w:szCs w:val="20"/>
          <w:lang w:val="sl-SI"/>
        </w:rPr>
        <w:t xml:space="preserve"> strank</w:t>
      </w:r>
      <w:r w:rsidR="0069302E" w:rsidRPr="00D21A83">
        <w:rPr>
          <w:rFonts w:eastAsia="Calibri" w:cs="Arial"/>
          <w:szCs w:val="20"/>
          <w:lang w:val="sl-SI"/>
        </w:rPr>
        <w:t>e</w:t>
      </w:r>
      <w:r w:rsidR="00AA1B34" w:rsidRPr="00D21A83">
        <w:rPr>
          <w:rFonts w:eastAsia="Calibri" w:cs="Arial"/>
          <w:szCs w:val="20"/>
          <w:lang w:val="sl-SI"/>
        </w:rPr>
        <w:t xml:space="preserve"> v postopku ocenjevanja in preverjanja nespremenljivosti lastnosti</w:t>
      </w:r>
      <w:r w:rsidR="00513B28">
        <w:rPr>
          <w:rFonts w:eastAsia="Calibri" w:cs="Arial"/>
          <w:szCs w:val="20"/>
          <w:lang w:val="sl-SI"/>
        </w:rPr>
        <w:t xml:space="preserve"> gradbenih proizvodov</w:t>
      </w:r>
      <w:r w:rsidR="00AA1B34" w:rsidRPr="00D21A83">
        <w:rPr>
          <w:rFonts w:eastAsia="Calibri" w:cs="Arial"/>
          <w:szCs w:val="20"/>
          <w:lang w:val="sl-SI"/>
        </w:rPr>
        <w:t xml:space="preserve"> </w:t>
      </w:r>
      <w:r w:rsidR="000122AB">
        <w:rPr>
          <w:rFonts w:eastAsia="Calibri" w:cs="Arial"/>
          <w:szCs w:val="20"/>
          <w:lang w:val="sl-SI"/>
        </w:rPr>
        <w:t>na podlagi</w:t>
      </w:r>
      <w:r w:rsidR="00AA1B34" w:rsidRPr="00D21A83">
        <w:rPr>
          <w:rFonts w:eastAsia="Calibri" w:cs="Arial"/>
          <w:szCs w:val="20"/>
          <w:lang w:val="sl-SI"/>
        </w:rPr>
        <w:t xml:space="preserve"> Uredb</w:t>
      </w:r>
      <w:r w:rsidR="000122AB">
        <w:rPr>
          <w:rFonts w:eastAsia="Calibri" w:cs="Arial"/>
          <w:szCs w:val="20"/>
          <w:lang w:val="sl-SI"/>
        </w:rPr>
        <w:t>e</w:t>
      </w:r>
      <w:r w:rsidR="00AA1B34" w:rsidRPr="00D21A83">
        <w:rPr>
          <w:rFonts w:eastAsia="Calibri" w:cs="Arial"/>
          <w:szCs w:val="20"/>
          <w:lang w:val="sl-SI"/>
        </w:rPr>
        <w:t xml:space="preserve"> </w:t>
      </w:r>
      <w:r w:rsidR="0069302E" w:rsidRPr="00D21A83">
        <w:rPr>
          <w:rFonts w:eastAsia="Calibri" w:cs="Arial"/>
          <w:szCs w:val="20"/>
          <w:lang w:val="sl-SI"/>
        </w:rPr>
        <w:t>305/2011/EU</w:t>
      </w:r>
      <w:r w:rsidR="00513B28">
        <w:rPr>
          <w:rFonts w:eastAsia="Calibri" w:cs="Arial"/>
          <w:szCs w:val="20"/>
          <w:lang w:val="sl-SI"/>
        </w:rPr>
        <w:t xml:space="preserve"> in ZGPro-1</w:t>
      </w:r>
      <w:r w:rsidR="00AA1B34" w:rsidRPr="00D21A83">
        <w:rPr>
          <w:rFonts w:eastAsia="Calibri" w:cs="Arial"/>
          <w:szCs w:val="20"/>
          <w:lang w:val="sl-SI"/>
        </w:rPr>
        <w:t xml:space="preserve">. </w:t>
      </w:r>
    </w:p>
    <w:p w:rsidR="00CC4675" w:rsidRPr="00D21A83" w:rsidRDefault="003A28AC" w:rsidP="009735FC">
      <w:pPr>
        <w:spacing w:after="200" w:line="260" w:lineRule="exact"/>
        <w:jc w:val="both"/>
        <w:rPr>
          <w:rFonts w:eastAsia="Calibri" w:cs="Arial"/>
          <w:szCs w:val="20"/>
          <w:lang w:val="sl-SI"/>
        </w:rPr>
      </w:pPr>
      <w:r w:rsidRPr="00D21A83">
        <w:rPr>
          <w:rFonts w:eastAsia="Calibri" w:cs="Arial"/>
          <w:i/>
          <w:szCs w:val="20"/>
          <w:lang w:val="sl-SI"/>
        </w:rPr>
        <w:t>Priglaše</w:t>
      </w:r>
      <w:r w:rsidR="000034EC" w:rsidRPr="00D21A83">
        <w:rPr>
          <w:rFonts w:eastAsia="Calibri" w:cs="Arial"/>
          <w:i/>
          <w:szCs w:val="20"/>
          <w:lang w:val="sl-SI"/>
        </w:rPr>
        <w:t>ni organ</w:t>
      </w:r>
      <w:r w:rsidR="000034EC" w:rsidRPr="00D21A83">
        <w:rPr>
          <w:rFonts w:eastAsia="Calibri" w:cs="Arial"/>
          <w:szCs w:val="20"/>
          <w:lang w:val="sl-SI"/>
        </w:rPr>
        <w:t xml:space="preserve"> (</w:t>
      </w:r>
      <w:r w:rsidR="00F00098" w:rsidRPr="00D21A83">
        <w:rPr>
          <w:rFonts w:eastAsia="Calibri" w:cs="Arial"/>
          <w:szCs w:val="20"/>
          <w:lang w:val="sl-SI"/>
        </w:rPr>
        <w:t xml:space="preserve">NB, </w:t>
      </w:r>
      <w:r w:rsidR="000034EC" w:rsidRPr="00D21A83">
        <w:rPr>
          <w:rFonts w:eastAsia="Calibri" w:cs="Arial"/>
          <w:szCs w:val="20"/>
          <w:lang w:val="sl-SI"/>
        </w:rPr>
        <w:t>angl. Notified Body)</w:t>
      </w:r>
      <w:r w:rsidRPr="00D21A83">
        <w:rPr>
          <w:rFonts w:eastAsia="Calibri" w:cs="Arial"/>
          <w:szCs w:val="20"/>
          <w:lang w:val="sl-SI"/>
        </w:rPr>
        <w:t xml:space="preserve"> je </w:t>
      </w:r>
      <w:r w:rsidR="00FA70BB" w:rsidRPr="00D21A83">
        <w:rPr>
          <w:rFonts w:eastAsia="Calibri" w:cs="Arial"/>
          <w:szCs w:val="20"/>
          <w:lang w:val="sl-SI"/>
        </w:rPr>
        <w:t>organ</w:t>
      </w:r>
      <w:r w:rsidRPr="00D21A83">
        <w:rPr>
          <w:rFonts w:eastAsia="Calibri" w:cs="Arial"/>
          <w:szCs w:val="20"/>
          <w:lang w:val="sl-SI"/>
        </w:rPr>
        <w:t>, ki je priglašen Evropski komisiji in državam članicam Evropske unije</w:t>
      </w:r>
      <w:r w:rsidR="00CC4675" w:rsidRPr="00D21A83">
        <w:rPr>
          <w:rFonts w:eastAsia="Calibri" w:cs="Arial"/>
          <w:szCs w:val="20"/>
          <w:lang w:val="sl-SI"/>
        </w:rPr>
        <w:t xml:space="preserve"> </w:t>
      </w:r>
      <w:r w:rsidRPr="00D21A83">
        <w:rPr>
          <w:rFonts w:eastAsia="Calibri" w:cs="Arial"/>
          <w:szCs w:val="20"/>
          <w:lang w:val="sl-SI"/>
        </w:rPr>
        <w:t xml:space="preserve">in pridobi štirimestno identifikacijsko številko </w:t>
      </w:r>
      <w:r w:rsidR="00FA70BB" w:rsidRPr="00D21A83">
        <w:rPr>
          <w:rFonts w:eastAsia="Calibri" w:cs="Arial"/>
          <w:szCs w:val="20"/>
          <w:lang w:val="sl-SI"/>
        </w:rPr>
        <w:t xml:space="preserve">od </w:t>
      </w:r>
      <w:r w:rsidRPr="00D21A83">
        <w:rPr>
          <w:rFonts w:eastAsia="Calibri" w:cs="Arial"/>
          <w:szCs w:val="20"/>
          <w:lang w:val="sl-SI"/>
        </w:rPr>
        <w:t>Evropske komisije.</w:t>
      </w:r>
    </w:p>
    <w:p w:rsidR="003A28AC" w:rsidRPr="00D21A83" w:rsidRDefault="003A28AC" w:rsidP="009735FC">
      <w:pPr>
        <w:spacing w:after="200" w:line="260" w:lineRule="exact"/>
        <w:jc w:val="both"/>
        <w:rPr>
          <w:rFonts w:eastAsia="Calibri" w:cs="Arial"/>
          <w:szCs w:val="20"/>
          <w:lang w:val="sl-SI"/>
        </w:rPr>
      </w:pPr>
      <w:r w:rsidRPr="00D21A83">
        <w:rPr>
          <w:rFonts w:eastAsia="Calibri" w:cs="Arial"/>
          <w:i/>
          <w:szCs w:val="20"/>
          <w:lang w:val="sl-SI"/>
        </w:rPr>
        <w:t>Priglasitveni organ</w:t>
      </w:r>
      <w:r w:rsidRPr="00D21A83">
        <w:rPr>
          <w:rFonts w:eastAsia="Calibri" w:cs="Arial"/>
          <w:szCs w:val="20"/>
          <w:lang w:val="sl-SI"/>
        </w:rPr>
        <w:t xml:space="preserve"> (angl. Notifying Au</w:t>
      </w:r>
      <w:r w:rsidR="000034EC" w:rsidRPr="00D21A83">
        <w:rPr>
          <w:rFonts w:eastAsia="Calibri" w:cs="Arial"/>
          <w:szCs w:val="20"/>
          <w:lang w:val="sl-SI"/>
        </w:rPr>
        <w:t>thority)</w:t>
      </w:r>
      <w:r w:rsidRPr="00D21A83">
        <w:rPr>
          <w:rFonts w:eastAsia="Calibri" w:cs="Arial"/>
          <w:szCs w:val="20"/>
          <w:lang w:val="sl-SI"/>
        </w:rPr>
        <w:t xml:space="preserve"> je organ, ki izvede postopek priglasit</w:t>
      </w:r>
      <w:r w:rsidR="000D3614" w:rsidRPr="00D21A83">
        <w:rPr>
          <w:rFonts w:eastAsia="Calibri" w:cs="Arial"/>
          <w:szCs w:val="20"/>
          <w:lang w:val="sl-SI"/>
        </w:rPr>
        <w:t>ve</w:t>
      </w:r>
      <w:r w:rsidR="000E2792">
        <w:rPr>
          <w:rFonts w:eastAsia="Calibri" w:cs="Arial"/>
          <w:szCs w:val="20"/>
          <w:lang w:val="sl-SI"/>
        </w:rPr>
        <w:t>, spremembe ali preklica priglasitve</w:t>
      </w:r>
      <w:r w:rsidRPr="00D21A83">
        <w:rPr>
          <w:rFonts w:eastAsia="Calibri" w:cs="Arial"/>
          <w:szCs w:val="20"/>
          <w:lang w:val="sl-SI"/>
        </w:rPr>
        <w:t xml:space="preserve"> </w:t>
      </w:r>
      <w:r w:rsidR="00FA70BB" w:rsidRPr="00D21A83">
        <w:rPr>
          <w:rFonts w:eastAsia="Calibri" w:cs="Arial"/>
          <w:szCs w:val="20"/>
          <w:lang w:val="sl-SI"/>
        </w:rPr>
        <w:t>organov</w:t>
      </w:r>
      <w:r w:rsidR="000E2792">
        <w:rPr>
          <w:rFonts w:eastAsia="Calibri" w:cs="Arial"/>
          <w:szCs w:val="20"/>
          <w:lang w:val="sl-SI"/>
        </w:rPr>
        <w:t>,</w:t>
      </w:r>
      <w:r w:rsidR="000F2349">
        <w:rPr>
          <w:rFonts w:eastAsia="Calibri" w:cs="Arial"/>
          <w:szCs w:val="20"/>
          <w:lang w:val="sl-SI"/>
        </w:rPr>
        <w:t xml:space="preserve"> </w:t>
      </w:r>
      <w:r w:rsidR="00A77DBC">
        <w:rPr>
          <w:rFonts w:eastAsia="Calibri" w:cs="Arial"/>
          <w:szCs w:val="20"/>
          <w:lang w:val="sl-SI"/>
        </w:rPr>
        <w:t>določenih in priglašenih</w:t>
      </w:r>
      <w:r w:rsidR="00D311A4" w:rsidRPr="00D21A83">
        <w:rPr>
          <w:rFonts w:eastAsia="Calibri" w:cs="Arial"/>
          <w:szCs w:val="20"/>
          <w:lang w:val="sl-SI"/>
        </w:rPr>
        <w:t xml:space="preserve"> za izvajanje nalog tretje stranke v postopku ocenjevanja in preverjanja nespremenljivosti lastnosti</w:t>
      </w:r>
      <w:r w:rsidRPr="00D21A83">
        <w:rPr>
          <w:rFonts w:eastAsia="Calibri" w:cs="Arial"/>
          <w:szCs w:val="20"/>
          <w:lang w:val="sl-SI"/>
        </w:rPr>
        <w:t xml:space="preserve"> </w:t>
      </w:r>
      <w:r w:rsidR="000D3614" w:rsidRPr="00D21A83">
        <w:rPr>
          <w:rFonts w:eastAsia="Calibri" w:cs="Arial"/>
          <w:szCs w:val="20"/>
          <w:lang w:val="sl-SI"/>
        </w:rPr>
        <w:t>z</w:t>
      </w:r>
      <w:r w:rsidRPr="00D21A83">
        <w:rPr>
          <w:rFonts w:eastAsia="Calibri" w:cs="Arial"/>
          <w:szCs w:val="20"/>
          <w:lang w:val="sl-SI"/>
        </w:rPr>
        <w:t>a področje gradbenih proizvodov</w:t>
      </w:r>
      <w:r w:rsidR="009735FC">
        <w:rPr>
          <w:rFonts w:eastAsia="Calibri" w:cs="Arial"/>
          <w:szCs w:val="20"/>
          <w:lang w:val="sl-SI"/>
        </w:rPr>
        <w:t>.</w:t>
      </w:r>
      <w:r w:rsidRPr="00D21A83">
        <w:rPr>
          <w:rFonts w:eastAsia="Calibri" w:cs="Arial"/>
          <w:szCs w:val="20"/>
          <w:lang w:val="sl-SI"/>
        </w:rPr>
        <w:t xml:space="preserve"> </w:t>
      </w:r>
    </w:p>
    <w:p w:rsidR="003A28AC" w:rsidRPr="00D21A83" w:rsidRDefault="003A28AC" w:rsidP="009735FC">
      <w:pPr>
        <w:spacing w:after="200" w:line="260" w:lineRule="exact"/>
        <w:jc w:val="both"/>
        <w:rPr>
          <w:rFonts w:eastAsia="Calibri" w:cs="Arial"/>
          <w:szCs w:val="20"/>
          <w:lang w:val="sl-SI"/>
        </w:rPr>
      </w:pPr>
      <w:r w:rsidRPr="00D21A83">
        <w:rPr>
          <w:rFonts w:eastAsia="Calibri" w:cs="Arial"/>
          <w:i/>
          <w:szCs w:val="20"/>
          <w:lang w:val="sl-SI"/>
        </w:rPr>
        <w:t>Pr</w:t>
      </w:r>
      <w:r w:rsidR="000034EC" w:rsidRPr="00D21A83">
        <w:rPr>
          <w:rFonts w:eastAsia="Calibri" w:cs="Arial"/>
          <w:i/>
          <w:szCs w:val="20"/>
          <w:lang w:val="sl-SI"/>
        </w:rPr>
        <w:t>iglasitev</w:t>
      </w:r>
      <w:r w:rsidR="000034EC" w:rsidRPr="00D21A83">
        <w:rPr>
          <w:rFonts w:eastAsia="Calibri" w:cs="Arial"/>
          <w:szCs w:val="20"/>
          <w:lang w:val="sl-SI"/>
        </w:rPr>
        <w:t xml:space="preserve"> (angl. Notification)</w:t>
      </w:r>
      <w:r w:rsidRPr="00D21A83">
        <w:rPr>
          <w:rFonts w:eastAsia="Calibri" w:cs="Arial"/>
          <w:szCs w:val="20"/>
          <w:lang w:val="sl-SI"/>
        </w:rPr>
        <w:t xml:space="preserve"> je postopek, </w:t>
      </w:r>
      <w:r w:rsidR="00FA70BB" w:rsidRPr="00D21A83">
        <w:rPr>
          <w:rFonts w:eastAsia="Calibri" w:cs="Arial"/>
          <w:szCs w:val="20"/>
          <w:lang w:val="sl-SI"/>
        </w:rPr>
        <w:t xml:space="preserve">ko </w:t>
      </w:r>
      <w:r w:rsidR="000D3614" w:rsidRPr="00D21A83">
        <w:rPr>
          <w:rFonts w:eastAsia="Calibri" w:cs="Arial"/>
          <w:szCs w:val="20"/>
          <w:lang w:val="sl-SI"/>
        </w:rPr>
        <w:t>država</w:t>
      </w:r>
      <w:r w:rsidR="00FA70BB" w:rsidRPr="00D21A83">
        <w:rPr>
          <w:rFonts w:eastAsia="Calibri" w:cs="Arial"/>
          <w:szCs w:val="20"/>
          <w:lang w:val="sl-SI"/>
        </w:rPr>
        <w:t xml:space="preserve"> obvesti </w:t>
      </w:r>
      <w:r w:rsidRPr="00D21A83">
        <w:rPr>
          <w:rFonts w:eastAsia="Calibri" w:cs="Arial"/>
          <w:szCs w:val="20"/>
          <w:lang w:val="sl-SI"/>
        </w:rPr>
        <w:t>Evropsko komisijo in države čla</w:t>
      </w:r>
      <w:r w:rsidR="00AA1B34" w:rsidRPr="00D21A83">
        <w:rPr>
          <w:rFonts w:eastAsia="Calibri" w:cs="Arial"/>
          <w:szCs w:val="20"/>
          <w:lang w:val="sl-SI"/>
        </w:rPr>
        <w:t>nice Evropske unije o</w:t>
      </w:r>
      <w:r w:rsidR="00E25CA6" w:rsidRPr="00D21A83">
        <w:rPr>
          <w:rFonts w:eastAsia="Calibri" w:cs="Arial"/>
          <w:szCs w:val="20"/>
          <w:lang w:val="sl-SI"/>
        </w:rPr>
        <w:t xml:space="preserve"> </w:t>
      </w:r>
      <w:r w:rsidR="00FA70BB" w:rsidRPr="00D21A83">
        <w:rPr>
          <w:rFonts w:eastAsia="Calibri" w:cs="Arial"/>
          <w:szCs w:val="20"/>
          <w:lang w:val="sl-SI"/>
        </w:rPr>
        <w:t>organih,</w:t>
      </w:r>
      <w:r w:rsidR="00A77DBC">
        <w:rPr>
          <w:rFonts w:eastAsia="Calibri" w:cs="Arial"/>
          <w:szCs w:val="20"/>
          <w:lang w:val="sl-SI"/>
        </w:rPr>
        <w:t xml:space="preserve"> določenih </w:t>
      </w:r>
      <w:r w:rsidR="00FA70BB" w:rsidRPr="00D21A83">
        <w:rPr>
          <w:rFonts w:eastAsia="Calibri" w:cs="Arial"/>
          <w:szCs w:val="20"/>
          <w:lang w:val="sl-SI"/>
        </w:rPr>
        <w:t xml:space="preserve">za izvajanje nalog tretje stranke v postopku ocenjevanja in preverjanja nespremenljivosti lastnosti. </w:t>
      </w:r>
    </w:p>
    <w:p w:rsidR="009219A2" w:rsidRPr="00D17609" w:rsidRDefault="009219A2" w:rsidP="009735FC">
      <w:pPr>
        <w:spacing w:after="200" w:line="260" w:lineRule="exact"/>
        <w:jc w:val="both"/>
        <w:rPr>
          <w:rFonts w:eastAsia="Calibri" w:cs="Arial"/>
          <w:szCs w:val="20"/>
          <w:lang w:val="sl-SI"/>
        </w:rPr>
      </w:pPr>
      <w:r w:rsidRPr="00D21A83">
        <w:rPr>
          <w:rFonts w:eastAsia="Calibri" w:cs="Arial"/>
          <w:i/>
          <w:szCs w:val="20"/>
          <w:lang w:val="sl-SI"/>
        </w:rPr>
        <w:t>Sistem ocenjevanja in preverjanja nespremenljivosti lastnosti</w:t>
      </w:r>
      <w:r w:rsidR="005B4157" w:rsidRPr="00D21A83">
        <w:rPr>
          <w:rFonts w:eastAsia="Calibri" w:cs="Arial"/>
          <w:i/>
          <w:szCs w:val="20"/>
          <w:lang w:val="sl-SI"/>
        </w:rPr>
        <w:t xml:space="preserve"> (sistem AVCP)</w:t>
      </w:r>
      <w:r w:rsidR="00CC094D" w:rsidRPr="00D21A83">
        <w:rPr>
          <w:rFonts w:eastAsia="Calibri" w:cs="Arial"/>
          <w:szCs w:val="20"/>
          <w:lang w:val="sl-SI"/>
        </w:rPr>
        <w:t xml:space="preserve"> je sistem</w:t>
      </w:r>
      <w:r w:rsidR="00F768D4">
        <w:rPr>
          <w:rFonts w:eastAsia="Calibri" w:cs="Arial"/>
          <w:szCs w:val="20"/>
          <w:lang w:val="sl-SI"/>
        </w:rPr>
        <w:t xml:space="preserve"> za ugotavljanje lastnosti gradbenih proizvodov in njihove nespremenljivosti</w:t>
      </w:r>
      <w:r w:rsidR="00CC094D" w:rsidRPr="00D21A83">
        <w:rPr>
          <w:rFonts w:eastAsia="Calibri" w:cs="Arial"/>
          <w:szCs w:val="20"/>
          <w:lang w:val="sl-SI"/>
        </w:rPr>
        <w:t xml:space="preserve">, ki je </w:t>
      </w:r>
      <w:r w:rsidRPr="00D21A83">
        <w:rPr>
          <w:rFonts w:eastAsia="Calibri" w:cs="Arial"/>
          <w:szCs w:val="20"/>
          <w:lang w:val="sl-SI"/>
        </w:rPr>
        <w:t xml:space="preserve">določen v Prilogi V Uredbe </w:t>
      </w:r>
      <w:r w:rsidR="00D311A4" w:rsidRPr="00D21A83">
        <w:rPr>
          <w:rFonts w:eastAsia="Calibri" w:cs="Arial"/>
          <w:szCs w:val="20"/>
          <w:lang w:val="sl-SI"/>
        </w:rPr>
        <w:t xml:space="preserve">305/2011/EU. </w:t>
      </w:r>
      <w:r w:rsidRPr="00D21A83">
        <w:rPr>
          <w:rFonts w:eastAsia="Calibri" w:cs="Arial"/>
          <w:szCs w:val="20"/>
          <w:lang w:val="sl-SI"/>
        </w:rPr>
        <w:t xml:space="preserve">To je lahko </w:t>
      </w:r>
      <w:r w:rsidR="00E25CA6" w:rsidRPr="00D21A83">
        <w:rPr>
          <w:rFonts w:eastAsia="Calibri" w:cs="Arial"/>
          <w:szCs w:val="20"/>
          <w:lang w:val="sl-SI"/>
        </w:rPr>
        <w:t xml:space="preserve">sistem certificiranja </w:t>
      </w:r>
      <w:r w:rsidRPr="00D21A83">
        <w:rPr>
          <w:rFonts w:eastAsia="Calibri" w:cs="Arial"/>
          <w:szCs w:val="20"/>
          <w:lang w:val="sl-SI"/>
        </w:rPr>
        <w:t>proizvod</w:t>
      </w:r>
      <w:r w:rsidR="00E25CA6" w:rsidRPr="00D21A83">
        <w:rPr>
          <w:rFonts w:eastAsia="Calibri" w:cs="Arial"/>
          <w:szCs w:val="20"/>
          <w:lang w:val="sl-SI"/>
        </w:rPr>
        <w:t>ov</w:t>
      </w:r>
      <w:r w:rsidRPr="00D21A83">
        <w:rPr>
          <w:rFonts w:eastAsia="Calibri" w:cs="Arial"/>
          <w:szCs w:val="20"/>
          <w:lang w:val="sl-SI"/>
        </w:rPr>
        <w:t xml:space="preserve"> (sistem</w:t>
      </w:r>
      <w:r w:rsidR="00E25CA6" w:rsidRPr="00D21A83">
        <w:rPr>
          <w:rFonts w:eastAsia="Calibri" w:cs="Arial"/>
          <w:szCs w:val="20"/>
          <w:lang w:val="sl-SI"/>
        </w:rPr>
        <w:t>a</w:t>
      </w:r>
      <w:r w:rsidRPr="00D21A83">
        <w:rPr>
          <w:rFonts w:eastAsia="Calibri" w:cs="Arial"/>
          <w:szCs w:val="20"/>
          <w:lang w:val="sl-SI"/>
        </w:rPr>
        <w:t xml:space="preserve"> 1+</w:t>
      </w:r>
      <w:r w:rsidR="00E25CA6" w:rsidRPr="00D21A83">
        <w:rPr>
          <w:rFonts w:eastAsia="Calibri" w:cs="Arial"/>
          <w:szCs w:val="20"/>
          <w:lang w:val="sl-SI"/>
        </w:rPr>
        <w:t xml:space="preserve"> in</w:t>
      </w:r>
      <w:r w:rsidRPr="00D21A83">
        <w:rPr>
          <w:rFonts w:eastAsia="Calibri" w:cs="Arial"/>
          <w:szCs w:val="20"/>
          <w:lang w:val="sl-SI"/>
        </w:rPr>
        <w:t xml:space="preserve"> 1), </w:t>
      </w:r>
      <w:r w:rsidR="00E25CA6" w:rsidRPr="00D21A83">
        <w:rPr>
          <w:rFonts w:eastAsia="Calibri" w:cs="Arial"/>
          <w:szCs w:val="20"/>
          <w:lang w:val="sl-SI"/>
        </w:rPr>
        <w:t>sistem certificiranja kontrole</w:t>
      </w:r>
      <w:r w:rsidRPr="00D21A83">
        <w:rPr>
          <w:rFonts w:eastAsia="Calibri" w:cs="Arial"/>
          <w:szCs w:val="20"/>
          <w:lang w:val="sl-SI"/>
        </w:rPr>
        <w:t xml:space="preserve"> proizvodnje (sistem 2+) ali </w:t>
      </w:r>
      <w:r w:rsidR="00E25CA6" w:rsidRPr="00D21A83">
        <w:rPr>
          <w:rFonts w:eastAsia="Calibri" w:cs="Arial"/>
          <w:szCs w:val="20"/>
          <w:lang w:val="sl-SI"/>
        </w:rPr>
        <w:t xml:space="preserve">sistem določanja tipa proizvoda s preskušanjem, </w:t>
      </w:r>
      <w:r w:rsidR="00E25CA6" w:rsidRPr="00D17609">
        <w:rPr>
          <w:rFonts w:eastAsia="Calibri" w:cs="Arial"/>
          <w:szCs w:val="20"/>
          <w:lang w:val="sl-SI"/>
        </w:rPr>
        <w:t>izračunom, ipd.</w:t>
      </w:r>
      <w:r w:rsidRPr="00D17609">
        <w:rPr>
          <w:rFonts w:eastAsia="Calibri" w:cs="Arial"/>
          <w:szCs w:val="20"/>
          <w:lang w:val="sl-SI"/>
        </w:rPr>
        <w:t xml:space="preserve"> (sistem 3).</w:t>
      </w:r>
    </w:p>
    <w:p w:rsidR="00AA0CE9" w:rsidRPr="00F768D4" w:rsidRDefault="00AA0CE9" w:rsidP="009735FC">
      <w:pPr>
        <w:spacing w:after="200" w:line="260" w:lineRule="exact"/>
        <w:jc w:val="both"/>
        <w:rPr>
          <w:rFonts w:eastAsia="Calibri" w:cs="Arial"/>
          <w:i/>
          <w:szCs w:val="20"/>
          <w:lang w:val="sl-SI"/>
        </w:rPr>
      </w:pPr>
      <w:r w:rsidRPr="00F768D4">
        <w:rPr>
          <w:rFonts w:eastAsia="Calibri" w:cs="Arial"/>
          <w:i/>
          <w:szCs w:val="20"/>
          <w:lang w:val="sl-SI"/>
        </w:rPr>
        <w:t xml:space="preserve">Standardi </w:t>
      </w:r>
    </w:p>
    <w:p w:rsidR="00AA0CE9" w:rsidRPr="00D17609" w:rsidRDefault="00AA0CE9" w:rsidP="009735FC">
      <w:pPr>
        <w:numPr>
          <w:ilvl w:val="0"/>
          <w:numId w:val="43"/>
        </w:numPr>
        <w:spacing w:after="200" w:line="260" w:lineRule="exact"/>
        <w:rPr>
          <w:lang w:val="sl-SI"/>
        </w:rPr>
      </w:pPr>
      <w:r w:rsidRPr="00D17609">
        <w:rPr>
          <w:i/>
          <w:lang w:val="sl-SI"/>
        </w:rPr>
        <w:t>SIST EN ISO/IEC 17065</w:t>
      </w:r>
      <w:r w:rsidRPr="00D17609">
        <w:rPr>
          <w:lang w:val="sl-SI"/>
        </w:rPr>
        <w:t xml:space="preserve"> je veljaven standard družine 17000 za ugotavljanje skladnosti organa, ki certificira proizvode, procese in storitve (v času prenove </w:t>
      </w:r>
      <w:r w:rsidR="005B4157" w:rsidRPr="00D17609">
        <w:rPr>
          <w:lang w:val="sl-SI"/>
        </w:rPr>
        <w:t>S</w:t>
      </w:r>
      <w:r w:rsidRPr="00D17609">
        <w:rPr>
          <w:lang w:val="sl-SI"/>
        </w:rPr>
        <w:t>mernic je to standard SIST EN ISO/IEC 17065:2012 Ugotavljanje skladnosti – Zahteve za organe, ki certificirajo proizvode, procese in storitve)</w:t>
      </w:r>
      <w:r w:rsidR="009735FC">
        <w:rPr>
          <w:lang w:val="sl-SI"/>
        </w:rPr>
        <w:t>;</w:t>
      </w:r>
    </w:p>
    <w:p w:rsidR="00AA0CE9" w:rsidRPr="00D17609" w:rsidRDefault="001A17E3" w:rsidP="009735FC">
      <w:pPr>
        <w:numPr>
          <w:ilvl w:val="0"/>
          <w:numId w:val="42"/>
        </w:numPr>
        <w:spacing w:after="200" w:line="260" w:lineRule="exact"/>
        <w:jc w:val="both"/>
        <w:rPr>
          <w:rFonts w:eastAsia="Calibri" w:cs="Arial"/>
          <w:szCs w:val="20"/>
          <w:lang w:val="sl-SI"/>
        </w:rPr>
      </w:pPr>
      <w:r w:rsidRPr="00D17609">
        <w:rPr>
          <w:i/>
          <w:lang w:val="sl-SI"/>
        </w:rPr>
        <w:t>SIST EN ISO/IEC 17025</w:t>
      </w:r>
      <w:r w:rsidRPr="00D17609">
        <w:rPr>
          <w:lang w:val="sl-SI"/>
        </w:rPr>
        <w:t xml:space="preserve"> je veljaven standard družine 17000 za ugotavljanje usposobljenost preskuševalnih in kalibracijskih laboratorijev (času prenove</w:t>
      </w:r>
      <w:r w:rsidR="005B4157" w:rsidRPr="00D17609">
        <w:rPr>
          <w:lang w:val="sl-SI"/>
        </w:rPr>
        <w:t xml:space="preserve"> S</w:t>
      </w:r>
      <w:r w:rsidRPr="00D17609">
        <w:rPr>
          <w:lang w:val="sl-SI"/>
        </w:rPr>
        <w:t>mernic je to standard SIST EN ISO/IEC 17025:2017 Splošne zahteve za usposobljenost preskuševalnih in kalibracijskih laboratorijev)</w:t>
      </w:r>
      <w:r w:rsidR="009735FC">
        <w:rPr>
          <w:lang w:val="sl-SI"/>
        </w:rPr>
        <w:t>;</w:t>
      </w:r>
    </w:p>
    <w:p w:rsidR="001A17E3" w:rsidRPr="00D17609" w:rsidRDefault="001A17E3" w:rsidP="009735FC">
      <w:pPr>
        <w:numPr>
          <w:ilvl w:val="0"/>
          <w:numId w:val="42"/>
        </w:numPr>
        <w:spacing w:after="200" w:line="260" w:lineRule="exact"/>
        <w:rPr>
          <w:lang w:val="sl-SI"/>
        </w:rPr>
      </w:pPr>
      <w:r w:rsidRPr="00D17609">
        <w:rPr>
          <w:i/>
          <w:lang w:val="sl-SI"/>
        </w:rPr>
        <w:lastRenderedPageBreak/>
        <w:t>SIST EN ISO/IEC 17020</w:t>
      </w:r>
      <w:r w:rsidRPr="00D17609">
        <w:rPr>
          <w:lang w:val="sl-SI"/>
        </w:rPr>
        <w:t xml:space="preserve"> je veljaven standard družine 17000 za ugotavljanje skladnosti organa, ki izvaja kontrolo (v času prenove</w:t>
      </w:r>
      <w:r w:rsidR="005B4157" w:rsidRPr="00D17609">
        <w:rPr>
          <w:lang w:val="sl-SI"/>
        </w:rPr>
        <w:t xml:space="preserve"> S</w:t>
      </w:r>
      <w:r w:rsidRPr="00D17609">
        <w:rPr>
          <w:lang w:val="sl-SI"/>
        </w:rPr>
        <w:t>mernic je to standard SIST EN ISO/IEC 17020:2012 Ugotavljanje skladnosti - Zahteve za delovanje različnih organov, ki izvajajo kontrolo)</w:t>
      </w:r>
      <w:r w:rsidR="009735FC">
        <w:rPr>
          <w:lang w:val="sl-SI"/>
        </w:rPr>
        <w:t>.</w:t>
      </w:r>
    </w:p>
    <w:p w:rsidR="00257C9B" w:rsidRPr="00A918D7" w:rsidRDefault="00257C9B" w:rsidP="00A918D7">
      <w:pPr>
        <w:spacing w:after="200" w:line="260" w:lineRule="exact"/>
        <w:jc w:val="both"/>
        <w:rPr>
          <w:rFonts w:eastAsia="Calibri" w:cs="Arial"/>
          <w:szCs w:val="20"/>
          <w:lang w:val="sl-SI"/>
        </w:rPr>
      </w:pPr>
      <w:r w:rsidRPr="00A918D7">
        <w:rPr>
          <w:rFonts w:eastAsia="Calibri" w:cs="Arial"/>
          <w:i/>
          <w:szCs w:val="20"/>
          <w:lang w:val="sl-SI"/>
        </w:rPr>
        <w:t>Uredba 305/2011/EU</w:t>
      </w:r>
      <w:r w:rsidRPr="00A918D7">
        <w:rPr>
          <w:rFonts w:eastAsia="Calibri" w:cs="Arial"/>
          <w:szCs w:val="20"/>
          <w:lang w:val="sl-SI"/>
        </w:rPr>
        <w:t xml:space="preserve"> je</w:t>
      </w:r>
      <w:r w:rsidRPr="00A918D7">
        <w:rPr>
          <w:rFonts w:cs="Arial"/>
          <w:szCs w:val="20"/>
          <w:lang w:val="sl-SI"/>
        </w:rPr>
        <w:t xml:space="preserve"> U</w:t>
      </w:r>
      <w:r w:rsidR="006965FD" w:rsidRPr="00A918D7">
        <w:rPr>
          <w:rFonts w:cs="Arial"/>
          <w:szCs w:val="20"/>
          <w:lang w:val="sl-SI"/>
        </w:rPr>
        <w:t>redba</w:t>
      </w:r>
      <w:r w:rsidRPr="00A918D7">
        <w:rPr>
          <w:rFonts w:cs="Arial"/>
          <w:szCs w:val="20"/>
          <w:lang w:val="sl-SI"/>
        </w:rPr>
        <w:t xml:space="preserve"> (EU) št. 305/2011 </w:t>
      </w:r>
      <w:r w:rsidR="006965FD" w:rsidRPr="00A918D7">
        <w:rPr>
          <w:rFonts w:cs="Arial"/>
          <w:szCs w:val="20"/>
          <w:lang w:val="sl-SI"/>
        </w:rPr>
        <w:t xml:space="preserve">Evropskega parlamenta in Sveta </w:t>
      </w:r>
      <w:r w:rsidRPr="00A918D7">
        <w:rPr>
          <w:rFonts w:cs="Arial"/>
          <w:szCs w:val="20"/>
          <w:lang w:val="sl-SI"/>
        </w:rPr>
        <w:t>z dne 9. marca 2011 o določitvi usklajenih pogojev za trženje gradbenih proizvodov in razveljav</w:t>
      </w:r>
      <w:r w:rsidR="00F768D4">
        <w:rPr>
          <w:rFonts w:cs="Arial"/>
          <w:szCs w:val="20"/>
          <w:lang w:val="sl-SI"/>
        </w:rPr>
        <w:t xml:space="preserve">itvi Direktive Sveta 89/106/EGS </w:t>
      </w:r>
      <w:r w:rsidR="00F768D4" w:rsidRPr="00D21A83">
        <w:rPr>
          <w:rFonts w:eastAsia="Calibri" w:cs="Arial"/>
          <w:szCs w:val="20"/>
          <w:lang w:val="sl-SI"/>
        </w:rPr>
        <w:t>(</w:t>
      </w:r>
      <w:r w:rsidR="00F768D4" w:rsidRPr="00A918D7">
        <w:rPr>
          <w:rFonts w:cs="Arial"/>
          <w:szCs w:val="20"/>
          <w:lang w:val="sl-SI"/>
        </w:rPr>
        <w:t>UL L 088, 4.4.2011, p.5</w:t>
      </w:r>
      <w:r w:rsidR="00F768D4" w:rsidRPr="00D21A83">
        <w:rPr>
          <w:rFonts w:eastAsia="Calibri" w:cs="Arial"/>
          <w:szCs w:val="20"/>
          <w:lang w:val="sl-SI"/>
        </w:rPr>
        <w:t>)</w:t>
      </w:r>
      <w:r w:rsidR="009735FC" w:rsidRPr="00A918D7">
        <w:rPr>
          <w:rFonts w:cs="Arial"/>
          <w:szCs w:val="20"/>
          <w:lang w:val="sl-SI"/>
        </w:rPr>
        <w:t>.</w:t>
      </w:r>
    </w:p>
    <w:p w:rsidR="00257C9B" w:rsidRPr="00A918D7" w:rsidRDefault="00257C9B" w:rsidP="009735FC">
      <w:pPr>
        <w:spacing w:after="200" w:line="260" w:lineRule="exact"/>
        <w:rPr>
          <w:lang w:val="sl-SI"/>
        </w:rPr>
      </w:pPr>
      <w:r w:rsidRPr="00A918D7">
        <w:rPr>
          <w:rFonts w:eastAsia="Calibri" w:cs="Arial"/>
          <w:i/>
          <w:szCs w:val="20"/>
          <w:lang w:val="sl-SI"/>
        </w:rPr>
        <w:t>ZGPro-1</w:t>
      </w:r>
      <w:r w:rsidRPr="00A918D7">
        <w:rPr>
          <w:rFonts w:eastAsia="Calibri" w:cs="Arial"/>
          <w:szCs w:val="20"/>
          <w:lang w:val="sl-SI"/>
        </w:rPr>
        <w:t xml:space="preserve"> je </w:t>
      </w:r>
      <w:r w:rsidRPr="00A918D7">
        <w:rPr>
          <w:bCs/>
          <w:szCs w:val="20"/>
          <w:lang w:val="sl-SI"/>
        </w:rPr>
        <w:t xml:space="preserve">Zakon o gradbenih proizvodih (Uradni list RS, št. </w:t>
      </w:r>
      <w:hyperlink r:id="rId8" w:tgtFrame="_blank" w:tooltip="Zakon o gradbenih proizvodih (ZGPro-1)" w:history="1">
        <w:r w:rsidRPr="00A918D7">
          <w:rPr>
            <w:bCs/>
            <w:szCs w:val="20"/>
            <w:lang w:val="sl-SI"/>
          </w:rPr>
          <w:t>82/13</w:t>
        </w:r>
      </w:hyperlink>
      <w:r w:rsidR="009735FC" w:rsidRPr="00A918D7">
        <w:rPr>
          <w:bCs/>
          <w:szCs w:val="20"/>
          <w:lang w:val="sl-SI"/>
        </w:rPr>
        <w:t>).</w:t>
      </w:r>
    </w:p>
    <w:p w:rsidR="008A4C88" w:rsidRDefault="009219A2" w:rsidP="009735FC">
      <w:pPr>
        <w:spacing w:after="200" w:line="260" w:lineRule="exact"/>
        <w:jc w:val="both"/>
        <w:rPr>
          <w:rFonts w:eastAsia="Calibri" w:cs="Arial"/>
          <w:szCs w:val="20"/>
          <w:lang w:val="sl-SI"/>
        </w:rPr>
      </w:pPr>
      <w:r w:rsidRPr="00D21A83">
        <w:rPr>
          <w:rFonts w:eastAsia="Calibri" w:cs="Arial"/>
          <w:szCs w:val="20"/>
          <w:lang w:val="sl-SI"/>
        </w:rPr>
        <w:t xml:space="preserve">Pomen drugih izrazov </w:t>
      </w:r>
      <w:r w:rsidR="00C02C1D" w:rsidRPr="00D21A83">
        <w:rPr>
          <w:rFonts w:eastAsia="Calibri" w:cs="Arial"/>
          <w:szCs w:val="20"/>
          <w:lang w:val="sl-SI"/>
        </w:rPr>
        <w:t xml:space="preserve">je enak kot v Uredbi 305/2011/EU in </w:t>
      </w:r>
      <w:r w:rsidR="00BE5348" w:rsidRPr="00D21A83">
        <w:rPr>
          <w:rFonts w:eastAsia="Calibri" w:cs="Arial"/>
          <w:szCs w:val="20"/>
          <w:lang w:val="sl-SI"/>
        </w:rPr>
        <w:t>ZGP</w:t>
      </w:r>
      <w:r w:rsidRPr="00D21A83">
        <w:rPr>
          <w:rFonts w:eastAsia="Calibri" w:cs="Arial"/>
          <w:szCs w:val="20"/>
          <w:lang w:val="sl-SI"/>
        </w:rPr>
        <w:t>ro-1</w:t>
      </w:r>
      <w:r w:rsidR="00C02C1D" w:rsidRPr="00D21A83">
        <w:rPr>
          <w:rFonts w:eastAsia="Calibri" w:cs="Arial"/>
          <w:szCs w:val="20"/>
          <w:lang w:val="sl-SI"/>
        </w:rPr>
        <w:t>.</w:t>
      </w:r>
      <w:r w:rsidRPr="00D21A83">
        <w:rPr>
          <w:rFonts w:eastAsia="Calibri" w:cs="Arial"/>
          <w:szCs w:val="20"/>
          <w:lang w:val="sl-SI"/>
        </w:rPr>
        <w:t xml:space="preserve">  </w:t>
      </w:r>
    </w:p>
    <w:p w:rsidR="00F00098" w:rsidRPr="00D21A83" w:rsidRDefault="000D3614" w:rsidP="009735FC">
      <w:pPr>
        <w:pStyle w:val="Naslov1"/>
        <w:spacing w:after="200"/>
        <w:rPr>
          <w:rFonts w:eastAsia="Calibri"/>
        </w:rPr>
      </w:pPr>
      <w:bookmarkStart w:id="4" w:name="_Toc92353265"/>
      <w:r w:rsidRPr="00D21A83">
        <w:rPr>
          <w:rFonts w:eastAsia="Calibri"/>
        </w:rPr>
        <w:t>PRIGLASITVENI ORGAN</w:t>
      </w:r>
      <w:bookmarkEnd w:id="4"/>
    </w:p>
    <w:p w:rsidR="008A4C88" w:rsidRDefault="000D3614" w:rsidP="009735FC">
      <w:pPr>
        <w:spacing w:after="200" w:line="260" w:lineRule="exact"/>
        <w:jc w:val="both"/>
        <w:rPr>
          <w:rFonts w:eastAsia="Calibri" w:cs="Arial"/>
          <w:szCs w:val="20"/>
          <w:lang w:val="sl-SI"/>
        </w:rPr>
      </w:pPr>
      <w:r w:rsidRPr="00D21A83">
        <w:rPr>
          <w:rFonts w:eastAsia="Calibri" w:cs="Arial"/>
          <w:szCs w:val="20"/>
          <w:lang w:val="sl-SI"/>
        </w:rPr>
        <w:t xml:space="preserve">Priglasitveni organ je organ Republike Slovenije, </w:t>
      </w:r>
      <w:r w:rsidR="00574A55" w:rsidRPr="00D21A83">
        <w:rPr>
          <w:rFonts w:eastAsia="Calibri" w:cs="Arial"/>
          <w:szCs w:val="20"/>
          <w:lang w:val="sl-SI"/>
        </w:rPr>
        <w:t>ki izvede postopek priglasitve</w:t>
      </w:r>
      <w:r w:rsidR="00574A55">
        <w:rPr>
          <w:rFonts w:eastAsia="Calibri" w:cs="Arial"/>
          <w:szCs w:val="20"/>
          <w:lang w:val="sl-SI"/>
        </w:rPr>
        <w:t>, spremembe ali preklica priglasitve</w:t>
      </w:r>
      <w:r w:rsidR="00574A55" w:rsidRPr="00D21A83">
        <w:rPr>
          <w:rFonts w:eastAsia="Calibri" w:cs="Arial"/>
          <w:szCs w:val="20"/>
          <w:lang w:val="sl-SI"/>
        </w:rPr>
        <w:t xml:space="preserve"> organov</w:t>
      </w:r>
      <w:r w:rsidR="00574A55">
        <w:rPr>
          <w:rFonts w:eastAsia="Calibri" w:cs="Arial"/>
          <w:szCs w:val="20"/>
          <w:lang w:val="sl-SI"/>
        </w:rPr>
        <w:t>, določenih in priglašenih</w:t>
      </w:r>
      <w:r w:rsidR="00574A55" w:rsidRPr="00D21A83">
        <w:rPr>
          <w:rFonts w:eastAsia="Calibri" w:cs="Arial"/>
          <w:szCs w:val="20"/>
          <w:lang w:val="sl-SI"/>
        </w:rPr>
        <w:t xml:space="preserve"> za</w:t>
      </w:r>
      <w:r w:rsidR="00090022">
        <w:rPr>
          <w:rFonts w:eastAsia="Calibri" w:cs="Arial"/>
          <w:szCs w:val="20"/>
          <w:lang w:val="sl-SI"/>
        </w:rPr>
        <w:t xml:space="preserve"> opravljanje</w:t>
      </w:r>
      <w:r w:rsidR="00574A55" w:rsidRPr="00D21A83">
        <w:rPr>
          <w:rFonts w:eastAsia="Calibri" w:cs="Arial"/>
          <w:szCs w:val="20"/>
          <w:lang w:val="sl-SI"/>
        </w:rPr>
        <w:t xml:space="preserve"> nalog tretje stranke v postopku ocenjevanja in preverjanja nespremenljivosti lastnosti za področje gradbenih proizvodov</w:t>
      </w:r>
      <w:r w:rsidR="00757D4C" w:rsidRPr="00D21A83">
        <w:rPr>
          <w:rFonts w:eastAsia="Calibri" w:cs="Arial"/>
          <w:szCs w:val="20"/>
          <w:lang w:val="sl-SI"/>
        </w:rPr>
        <w:t>.</w:t>
      </w:r>
      <w:r w:rsidRPr="00D21A83">
        <w:rPr>
          <w:rFonts w:eastAsia="Calibri" w:cs="Arial"/>
          <w:szCs w:val="20"/>
          <w:lang w:val="sl-SI"/>
        </w:rPr>
        <w:t xml:space="preserve"> Za področje gradbenih proizvodov je </w:t>
      </w:r>
      <w:r w:rsidR="00F04692">
        <w:rPr>
          <w:rFonts w:eastAsia="Calibri" w:cs="Arial"/>
          <w:szCs w:val="20"/>
          <w:lang w:val="sl-SI"/>
        </w:rPr>
        <w:t xml:space="preserve">v skladu s 16. členom ZGPro-1 </w:t>
      </w:r>
      <w:r w:rsidR="00757D4C" w:rsidRPr="00D21A83">
        <w:rPr>
          <w:rFonts w:eastAsia="Calibri" w:cs="Arial"/>
          <w:szCs w:val="20"/>
          <w:lang w:val="sl-SI"/>
        </w:rPr>
        <w:t>priglasitveni organ</w:t>
      </w:r>
      <w:r w:rsidRPr="00D21A83">
        <w:rPr>
          <w:rFonts w:eastAsia="Calibri" w:cs="Arial"/>
          <w:szCs w:val="20"/>
          <w:lang w:val="sl-SI"/>
        </w:rPr>
        <w:t xml:space="preserve"> Ministrstvo za gospodarski razvoj in tehnologijo (v nadaljevanju: ministrstvo).</w:t>
      </w:r>
    </w:p>
    <w:p w:rsidR="009219A2" w:rsidRPr="00D21A83" w:rsidRDefault="009219A2" w:rsidP="009735FC">
      <w:pPr>
        <w:pStyle w:val="Naslov1"/>
        <w:spacing w:after="200"/>
        <w:rPr>
          <w:rFonts w:eastAsia="Calibri"/>
        </w:rPr>
      </w:pPr>
      <w:bookmarkStart w:id="5" w:name="_Toc92353266"/>
      <w:r w:rsidRPr="00D21A83">
        <w:rPr>
          <w:rFonts w:eastAsia="Calibri"/>
        </w:rPr>
        <w:t xml:space="preserve">VLOGA ZA </w:t>
      </w:r>
      <w:r w:rsidR="009C2E69" w:rsidRPr="00D21A83">
        <w:rPr>
          <w:rFonts w:eastAsia="Calibri"/>
        </w:rPr>
        <w:t>DOLOČITEV IN</w:t>
      </w:r>
      <w:r w:rsidRPr="00D21A83">
        <w:rPr>
          <w:rFonts w:eastAsia="Calibri"/>
        </w:rPr>
        <w:t xml:space="preserve"> PRIGLA</w:t>
      </w:r>
      <w:r w:rsidR="009C2E69" w:rsidRPr="00D21A83">
        <w:rPr>
          <w:rFonts w:eastAsia="Calibri"/>
        </w:rPr>
        <w:t>SITEV</w:t>
      </w:r>
      <w:r w:rsidRPr="00D21A83">
        <w:rPr>
          <w:rFonts w:eastAsia="Calibri"/>
        </w:rPr>
        <w:t xml:space="preserve"> ORGANA</w:t>
      </w:r>
      <w:bookmarkEnd w:id="5"/>
    </w:p>
    <w:p w:rsidR="00F00098" w:rsidRPr="00D21A83" w:rsidRDefault="00D73D04" w:rsidP="009735FC">
      <w:pPr>
        <w:spacing w:after="200" w:line="260" w:lineRule="exact"/>
        <w:jc w:val="both"/>
        <w:rPr>
          <w:rFonts w:eastAsia="Calibri" w:cs="Arial"/>
          <w:szCs w:val="20"/>
          <w:lang w:val="sl-SI"/>
        </w:rPr>
      </w:pPr>
      <w:r w:rsidRPr="00D21A83">
        <w:rPr>
          <w:rFonts w:eastAsia="Calibri" w:cs="Arial"/>
          <w:szCs w:val="20"/>
          <w:lang w:val="sl-SI"/>
        </w:rPr>
        <w:t>Vlog</w:t>
      </w:r>
      <w:r w:rsidR="00F768D4">
        <w:rPr>
          <w:rFonts w:eastAsia="Calibri" w:cs="Arial"/>
          <w:szCs w:val="20"/>
          <w:lang w:val="sl-SI"/>
        </w:rPr>
        <w:t>o</w:t>
      </w:r>
      <w:r w:rsidR="000D3614" w:rsidRPr="00D21A83">
        <w:rPr>
          <w:rFonts w:eastAsia="Calibri" w:cs="Arial"/>
          <w:szCs w:val="20"/>
          <w:lang w:val="sl-SI"/>
        </w:rPr>
        <w:t xml:space="preserve"> za določitev in priglasitev </w:t>
      </w:r>
      <w:r w:rsidR="003C2743" w:rsidRPr="00D21A83">
        <w:rPr>
          <w:rFonts w:eastAsia="Calibri" w:cs="Arial"/>
          <w:szCs w:val="20"/>
          <w:lang w:val="sl-SI"/>
        </w:rPr>
        <w:t xml:space="preserve">organa, </w:t>
      </w:r>
      <w:r w:rsidR="00EF7C70">
        <w:rPr>
          <w:rFonts w:eastAsia="Calibri" w:cs="Arial"/>
          <w:szCs w:val="20"/>
          <w:lang w:val="sl-SI"/>
        </w:rPr>
        <w:t xml:space="preserve">ki opravlja </w:t>
      </w:r>
      <w:r w:rsidR="003C2743" w:rsidRPr="00D21A83">
        <w:rPr>
          <w:rFonts w:eastAsia="Calibri" w:cs="Arial"/>
          <w:szCs w:val="20"/>
          <w:lang w:val="sl-SI"/>
        </w:rPr>
        <w:t>nalog</w:t>
      </w:r>
      <w:r w:rsidR="00EF7C70">
        <w:rPr>
          <w:rFonts w:eastAsia="Calibri" w:cs="Arial"/>
          <w:szCs w:val="20"/>
          <w:lang w:val="sl-SI"/>
        </w:rPr>
        <w:t>e</w:t>
      </w:r>
      <w:r w:rsidR="003C2743" w:rsidRPr="00D21A83">
        <w:rPr>
          <w:rFonts w:eastAsia="Calibri" w:cs="Arial"/>
          <w:szCs w:val="20"/>
          <w:lang w:val="sl-SI"/>
        </w:rPr>
        <w:t xml:space="preserve"> tretje stranke v postopku ocenjevanja in preverjanja nespremenljivosti lastnosti</w:t>
      </w:r>
      <w:r w:rsidR="00670580">
        <w:rPr>
          <w:rFonts w:eastAsia="Calibri" w:cs="Arial"/>
          <w:szCs w:val="20"/>
          <w:lang w:val="sl-SI"/>
        </w:rPr>
        <w:t xml:space="preserve"> (organ AVCP)</w:t>
      </w:r>
      <w:r w:rsidR="003C2743" w:rsidRPr="00D21A83">
        <w:rPr>
          <w:rFonts w:eastAsia="Calibri" w:cs="Arial"/>
          <w:szCs w:val="20"/>
          <w:lang w:val="sl-SI"/>
        </w:rPr>
        <w:t xml:space="preserve">, </w:t>
      </w:r>
      <w:r w:rsidRPr="00D21A83">
        <w:rPr>
          <w:rFonts w:eastAsia="Calibri" w:cs="Arial"/>
          <w:szCs w:val="20"/>
          <w:lang w:val="sl-SI"/>
        </w:rPr>
        <w:t xml:space="preserve">se </w:t>
      </w:r>
      <w:r w:rsidR="000D3614" w:rsidRPr="00D21A83">
        <w:rPr>
          <w:rFonts w:eastAsia="Calibri" w:cs="Arial"/>
          <w:szCs w:val="20"/>
          <w:lang w:val="sl-SI"/>
        </w:rPr>
        <w:t xml:space="preserve">vloži </w:t>
      </w:r>
      <w:r w:rsidR="004D2240" w:rsidRPr="00D21A83">
        <w:rPr>
          <w:rFonts w:eastAsia="Calibri" w:cs="Arial"/>
          <w:szCs w:val="20"/>
          <w:lang w:val="sl-SI"/>
        </w:rPr>
        <w:t xml:space="preserve">za </w:t>
      </w:r>
      <w:r w:rsidR="000455EC" w:rsidRPr="00D21A83">
        <w:rPr>
          <w:rFonts w:eastAsia="Calibri" w:cs="Arial"/>
          <w:szCs w:val="20"/>
          <w:lang w:val="sl-SI"/>
        </w:rPr>
        <w:t>na ministrstvo</w:t>
      </w:r>
      <w:r w:rsidR="000D3614" w:rsidRPr="00D21A83">
        <w:rPr>
          <w:rFonts w:eastAsia="Calibri" w:cs="Arial"/>
          <w:szCs w:val="20"/>
          <w:lang w:val="sl-SI"/>
        </w:rPr>
        <w:t xml:space="preserve">. </w:t>
      </w:r>
      <w:r w:rsidRPr="00D21A83">
        <w:rPr>
          <w:rFonts w:eastAsia="Calibri" w:cs="Arial"/>
          <w:szCs w:val="20"/>
          <w:lang w:val="sl-SI"/>
        </w:rPr>
        <w:t xml:space="preserve">V vlogi </w:t>
      </w:r>
      <w:r w:rsidR="00D311A4" w:rsidRPr="00D21A83">
        <w:rPr>
          <w:rFonts w:eastAsia="Calibri" w:cs="Arial"/>
          <w:szCs w:val="20"/>
          <w:lang w:val="sl-SI"/>
        </w:rPr>
        <w:t xml:space="preserve">vložnik </w:t>
      </w:r>
      <w:r w:rsidRPr="00D21A83">
        <w:rPr>
          <w:rFonts w:eastAsia="Calibri" w:cs="Arial"/>
          <w:szCs w:val="20"/>
          <w:lang w:val="sl-SI"/>
        </w:rPr>
        <w:t xml:space="preserve">navede </w:t>
      </w:r>
      <w:r w:rsidR="00F768D4">
        <w:rPr>
          <w:rFonts w:eastAsia="Calibri" w:cs="Arial"/>
          <w:szCs w:val="20"/>
          <w:lang w:val="sl-SI"/>
        </w:rPr>
        <w:t xml:space="preserve">gradbene </w:t>
      </w:r>
      <w:r w:rsidRPr="00D21A83">
        <w:rPr>
          <w:rFonts w:eastAsia="Calibri" w:cs="Arial"/>
          <w:szCs w:val="20"/>
          <w:lang w:val="sl-SI"/>
        </w:rPr>
        <w:t>proizvode, za katere namerava izvajati naloge tretje stranke v postopku ocenjevanja in preverjanja nespremenljivosti lastnosti</w:t>
      </w:r>
      <w:r w:rsidR="00EA5F75" w:rsidRPr="00D21A83">
        <w:rPr>
          <w:rFonts w:eastAsia="Calibri" w:cs="Arial"/>
          <w:szCs w:val="20"/>
          <w:lang w:val="sl-SI"/>
        </w:rPr>
        <w:t>,</w:t>
      </w:r>
      <w:r w:rsidRPr="00D21A83">
        <w:rPr>
          <w:rFonts w:eastAsia="Calibri" w:cs="Arial"/>
          <w:szCs w:val="20"/>
          <w:lang w:val="sl-SI"/>
        </w:rPr>
        <w:t xml:space="preserve"> in podatke o izpolnjevanju zahtev. </w:t>
      </w:r>
    </w:p>
    <w:p w:rsidR="00A06A0F" w:rsidRDefault="00DF1A91" w:rsidP="009735FC">
      <w:pPr>
        <w:spacing w:after="200" w:line="260" w:lineRule="exact"/>
        <w:jc w:val="both"/>
        <w:rPr>
          <w:rFonts w:eastAsia="Calibri" w:cs="Arial"/>
          <w:szCs w:val="20"/>
          <w:lang w:val="sl-SI"/>
        </w:rPr>
      </w:pPr>
      <w:r w:rsidRPr="00D21A83">
        <w:rPr>
          <w:rFonts w:eastAsia="Calibri" w:cs="Arial"/>
          <w:szCs w:val="20"/>
          <w:lang w:val="sl-SI"/>
        </w:rPr>
        <w:t>Vložnik</w:t>
      </w:r>
      <w:r w:rsidR="00F768D4">
        <w:rPr>
          <w:rFonts w:eastAsia="Calibri" w:cs="Arial"/>
          <w:szCs w:val="20"/>
          <w:lang w:val="sl-SI"/>
        </w:rPr>
        <w:t xml:space="preserve"> lahko</w:t>
      </w:r>
      <w:r w:rsidR="000D3614" w:rsidRPr="00D21A83">
        <w:rPr>
          <w:rFonts w:eastAsia="Calibri" w:cs="Arial"/>
          <w:szCs w:val="20"/>
          <w:lang w:val="sl-SI"/>
        </w:rPr>
        <w:t xml:space="preserve"> </w:t>
      </w:r>
      <w:r w:rsidR="000455EC" w:rsidRPr="00D21A83">
        <w:rPr>
          <w:rFonts w:eastAsia="Calibri" w:cs="Arial"/>
          <w:szCs w:val="20"/>
          <w:lang w:val="sl-SI"/>
        </w:rPr>
        <w:t xml:space="preserve">posreduje </w:t>
      </w:r>
      <w:r w:rsidRPr="00D21A83">
        <w:rPr>
          <w:rFonts w:eastAsia="Calibri" w:cs="Arial"/>
          <w:szCs w:val="20"/>
          <w:lang w:val="sl-SI"/>
        </w:rPr>
        <w:t xml:space="preserve">vlogo </w:t>
      </w:r>
      <w:r w:rsidR="009219A2" w:rsidRPr="00D21A83">
        <w:rPr>
          <w:rFonts w:eastAsia="Calibri" w:cs="Arial"/>
          <w:szCs w:val="20"/>
          <w:lang w:val="sl-SI"/>
        </w:rPr>
        <w:t>tako,</w:t>
      </w:r>
      <w:r w:rsidR="00A06A0F">
        <w:rPr>
          <w:rFonts w:eastAsia="Calibri" w:cs="Arial"/>
          <w:szCs w:val="20"/>
          <w:lang w:val="sl-SI"/>
        </w:rPr>
        <w:t xml:space="preserve"> da </w:t>
      </w:r>
      <w:r w:rsidR="00D311A4" w:rsidRPr="00D21A83">
        <w:rPr>
          <w:rFonts w:eastAsia="Calibri" w:cs="Arial"/>
          <w:szCs w:val="20"/>
          <w:lang w:val="sl-SI"/>
        </w:rPr>
        <w:t>izpolni</w:t>
      </w:r>
      <w:r w:rsidR="00F00098" w:rsidRPr="00D21A83">
        <w:rPr>
          <w:rFonts w:eastAsia="Calibri" w:cs="Arial"/>
          <w:szCs w:val="20"/>
          <w:lang w:val="sl-SI"/>
        </w:rPr>
        <w:t xml:space="preserve"> </w:t>
      </w:r>
      <w:r w:rsidR="000455EC" w:rsidRPr="00D21A83">
        <w:rPr>
          <w:rFonts w:eastAsia="Calibri" w:cs="Arial"/>
          <w:szCs w:val="20"/>
          <w:lang w:val="sl-SI"/>
        </w:rPr>
        <w:t>e-</w:t>
      </w:r>
      <w:r w:rsidR="009219A2" w:rsidRPr="00D21A83">
        <w:rPr>
          <w:rFonts w:eastAsia="Calibri" w:cs="Arial"/>
          <w:szCs w:val="20"/>
          <w:lang w:val="sl-SI"/>
        </w:rPr>
        <w:t>obraz</w:t>
      </w:r>
      <w:r w:rsidR="00D311A4" w:rsidRPr="00D21A83">
        <w:rPr>
          <w:rFonts w:eastAsia="Calibri" w:cs="Arial"/>
          <w:szCs w:val="20"/>
          <w:lang w:val="sl-SI"/>
        </w:rPr>
        <w:t>e</w:t>
      </w:r>
      <w:r w:rsidR="009219A2" w:rsidRPr="00D21A83">
        <w:rPr>
          <w:rFonts w:eastAsia="Calibri" w:cs="Arial"/>
          <w:szCs w:val="20"/>
          <w:lang w:val="sl-SI"/>
        </w:rPr>
        <w:t xml:space="preserve">c </w:t>
      </w:r>
      <w:r w:rsidR="000455EC" w:rsidRPr="00D21A83">
        <w:rPr>
          <w:rFonts w:eastAsia="Calibri" w:cs="Arial"/>
          <w:szCs w:val="20"/>
          <w:lang w:val="sl-SI"/>
        </w:rPr>
        <w:t>»</w:t>
      </w:r>
      <w:hyperlink r:id="rId9" w:history="1">
        <w:r w:rsidR="00EA5F75" w:rsidRPr="00D21A83">
          <w:rPr>
            <w:rStyle w:val="Hiperpovezava"/>
            <w:rFonts w:cs="Arial"/>
            <w:color w:val="auto"/>
            <w:szCs w:val="20"/>
            <w:u w:val="none"/>
            <w:lang w:val="sl-SI"/>
          </w:rPr>
          <w:t>Obrazec vloge za določitev organa</w:t>
        </w:r>
        <w:r w:rsidR="00700546">
          <w:rPr>
            <w:rStyle w:val="Hiperpovezava"/>
            <w:rFonts w:cs="Arial"/>
            <w:color w:val="auto"/>
            <w:szCs w:val="20"/>
            <w:u w:val="none"/>
            <w:lang w:val="sl-SI"/>
          </w:rPr>
          <w:t xml:space="preserve"> AVCP – gradbeni proizvodi</w:t>
        </w:r>
      </w:hyperlink>
      <w:r w:rsidR="000455EC" w:rsidRPr="00D21A83">
        <w:rPr>
          <w:rFonts w:eastAsia="Calibri" w:cs="Arial"/>
          <w:szCs w:val="20"/>
          <w:lang w:val="sl-SI"/>
        </w:rPr>
        <w:t>«</w:t>
      </w:r>
      <w:r w:rsidR="009219A2" w:rsidRPr="00D21A83">
        <w:rPr>
          <w:rFonts w:eastAsia="Calibri" w:cs="Arial"/>
          <w:szCs w:val="20"/>
          <w:lang w:val="sl-SI"/>
        </w:rPr>
        <w:t xml:space="preserve">, ki </w:t>
      </w:r>
      <w:r w:rsidR="000455EC" w:rsidRPr="00D21A83">
        <w:rPr>
          <w:rFonts w:eastAsia="Calibri" w:cs="Arial"/>
          <w:szCs w:val="20"/>
          <w:lang w:val="sl-SI"/>
        </w:rPr>
        <w:t>je dosegljiv</w:t>
      </w:r>
      <w:r w:rsidR="009219A2" w:rsidRPr="00D21A83">
        <w:rPr>
          <w:rFonts w:eastAsia="Calibri" w:cs="Arial"/>
          <w:szCs w:val="20"/>
          <w:lang w:val="sl-SI"/>
        </w:rPr>
        <w:t xml:space="preserve"> na spletnih straneh ministrstva</w:t>
      </w:r>
      <w:r w:rsidR="00D311A4" w:rsidRPr="00D21A83">
        <w:rPr>
          <w:rFonts w:eastAsia="Calibri" w:cs="Arial"/>
          <w:szCs w:val="20"/>
          <w:lang w:val="sl-SI"/>
        </w:rPr>
        <w:t xml:space="preserve"> </w:t>
      </w:r>
      <w:r w:rsidRPr="00D21A83">
        <w:rPr>
          <w:rFonts w:eastAsia="Calibri" w:cs="Arial"/>
          <w:sz w:val="18"/>
          <w:szCs w:val="18"/>
          <w:lang w:val="sl-SI"/>
        </w:rPr>
        <w:t>(</w:t>
      </w:r>
      <w:hyperlink r:id="rId10" w:history="1">
        <w:r w:rsidR="00EA5F75" w:rsidRPr="00D21A83">
          <w:rPr>
            <w:rFonts w:cs="Arial"/>
            <w:color w:val="0000FF"/>
            <w:szCs w:val="20"/>
            <w:u w:val="single"/>
            <w:lang w:val="sl-SI" w:eastAsia="sl-SI"/>
          </w:rPr>
          <w:t>https://www.gov.si/zbirke/storitve/vloga-za-pridobitev-odlocbe/</w:t>
        </w:r>
      </w:hyperlink>
      <w:r w:rsidRPr="00D21A83">
        <w:rPr>
          <w:rFonts w:eastAsia="Calibri" w:cs="Arial"/>
          <w:sz w:val="18"/>
          <w:szCs w:val="18"/>
          <w:lang w:val="sl-SI"/>
        </w:rPr>
        <w:t xml:space="preserve">) </w:t>
      </w:r>
      <w:r w:rsidR="00D311A4" w:rsidRPr="00D21A83">
        <w:rPr>
          <w:rFonts w:eastAsia="Calibri" w:cs="Arial"/>
          <w:szCs w:val="20"/>
          <w:lang w:val="sl-SI"/>
        </w:rPr>
        <w:t>in priloži zahtevane priloge.</w:t>
      </w:r>
      <w:r w:rsidR="001E0EB4" w:rsidRPr="00D21A83">
        <w:rPr>
          <w:rFonts w:eastAsia="Calibri" w:cs="Arial"/>
          <w:szCs w:val="20"/>
          <w:lang w:val="sl-SI"/>
        </w:rPr>
        <w:t xml:space="preserve"> </w:t>
      </w:r>
      <w:r w:rsidR="00A06A0F">
        <w:rPr>
          <w:rFonts w:eastAsia="Calibri" w:cs="Arial"/>
          <w:szCs w:val="20"/>
          <w:lang w:val="sl-SI"/>
        </w:rPr>
        <w:t xml:space="preserve">Namesto obrazca lahko vložnik ministrstvu posreduje dopis s podatki, ki jih vsebuje obrazec. </w:t>
      </w:r>
    </w:p>
    <w:p w:rsidR="008A4C88" w:rsidRDefault="00234D8D" w:rsidP="009735FC">
      <w:pPr>
        <w:spacing w:after="200" w:line="260" w:lineRule="exact"/>
        <w:jc w:val="both"/>
        <w:rPr>
          <w:rFonts w:eastAsia="Calibri" w:cs="Arial"/>
          <w:szCs w:val="20"/>
          <w:lang w:val="sl-SI"/>
        </w:rPr>
      </w:pPr>
      <w:r w:rsidRPr="00D21A83">
        <w:rPr>
          <w:rFonts w:eastAsia="Calibri" w:cs="Arial"/>
          <w:szCs w:val="20"/>
          <w:lang w:val="sl-SI"/>
        </w:rPr>
        <w:t xml:space="preserve">Ministrstvo obravnava vlogo. Če </w:t>
      </w:r>
      <w:r w:rsidR="008A7288">
        <w:rPr>
          <w:rFonts w:eastAsia="Calibri" w:cs="Arial"/>
          <w:szCs w:val="20"/>
          <w:lang w:val="sl-SI"/>
        </w:rPr>
        <w:t xml:space="preserve">se </w:t>
      </w:r>
      <w:r w:rsidRPr="00D21A83">
        <w:rPr>
          <w:rFonts w:eastAsia="Calibri" w:cs="Arial"/>
          <w:szCs w:val="20"/>
          <w:lang w:val="sl-SI"/>
        </w:rPr>
        <w:t>ugotovi, da vložnik izpolnjuje zahteve</w:t>
      </w:r>
      <w:r w:rsidR="008A7288">
        <w:rPr>
          <w:rFonts w:eastAsia="Calibri" w:cs="Arial"/>
          <w:szCs w:val="20"/>
          <w:lang w:val="sl-SI"/>
        </w:rPr>
        <w:t xml:space="preserve"> za</w:t>
      </w:r>
      <w:r w:rsidRPr="00D21A83">
        <w:rPr>
          <w:rFonts w:eastAsia="Calibri" w:cs="Arial"/>
          <w:szCs w:val="20"/>
          <w:lang w:val="sl-SI"/>
        </w:rPr>
        <w:t xml:space="preserve"> </w:t>
      </w:r>
      <w:r w:rsidR="008966CC">
        <w:rPr>
          <w:rFonts w:eastAsia="Calibri" w:cs="Arial"/>
          <w:szCs w:val="20"/>
          <w:lang w:val="sl-SI"/>
        </w:rPr>
        <w:t>organ AVCP</w:t>
      </w:r>
      <w:r w:rsidRPr="00D21A83">
        <w:rPr>
          <w:rFonts w:eastAsia="Calibri" w:cs="Arial"/>
          <w:szCs w:val="20"/>
          <w:lang w:val="sl-SI"/>
        </w:rPr>
        <w:t>, minister izda odločbo o določitvi organa. Veljavnost odločbe je lahko časovno omejena ali pa velja do preklica.</w:t>
      </w:r>
      <w:r w:rsidR="00E45564" w:rsidRPr="00D21A83">
        <w:rPr>
          <w:rFonts w:eastAsia="Calibri" w:cs="Arial"/>
          <w:szCs w:val="20"/>
          <w:lang w:val="sl-SI"/>
        </w:rPr>
        <w:t xml:space="preserve"> </w:t>
      </w:r>
    </w:p>
    <w:p w:rsidR="000E75F3" w:rsidRPr="00D21A83" w:rsidRDefault="00F01F83" w:rsidP="009735FC">
      <w:pPr>
        <w:pStyle w:val="Naslov1"/>
        <w:spacing w:after="200"/>
        <w:rPr>
          <w:rFonts w:eastAsia="Calibri"/>
        </w:rPr>
      </w:pPr>
      <w:bookmarkStart w:id="6" w:name="_Toc92353267"/>
      <w:r w:rsidRPr="00D21A83">
        <w:rPr>
          <w:rFonts w:eastAsia="Calibri"/>
        </w:rPr>
        <w:t>ZAHTEV</w:t>
      </w:r>
      <w:r w:rsidR="007816AE" w:rsidRPr="00D21A83">
        <w:rPr>
          <w:rFonts w:eastAsia="Calibri"/>
        </w:rPr>
        <w:t>E</w:t>
      </w:r>
      <w:r w:rsidR="000455EC" w:rsidRPr="00D21A83">
        <w:rPr>
          <w:rFonts w:eastAsia="Calibri"/>
        </w:rPr>
        <w:t xml:space="preserve"> ZA PRIGLAŠEN</w:t>
      </w:r>
      <w:r w:rsidR="00190F74" w:rsidRPr="00D21A83">
        <w:rPr>
          <w:rFonts w:eastAsia="Calibri"/>
        </w:rPr>
        <w:t>E</w:t>
      </w:r>
      <w:r w:rsidR="000455EC" w:rsidRPr="00D21A83">
        <w:rPr>
          <w:rFonts w:eastAsia="Calibri"/>
        </w:rPr>
        <w:t xml:space="preserve"> ORGAN</w:t>
      </w:r>
      <w:r w:rsidR="00190F74" w:rsidRPr="00D21A83">
        <w:rPr>
          <w:rFonts w:eastAsia="Calibri"/>
        </w:rPr>
        <w:t>E</w:t>
      </w:r>
      <w:r w:rsidRPr="00D21A83">
        <w:rPr>
          <w:rFonts w:eastAsia="Calibri"/>
        </w:rPr>
        <w:t xml:space="preserve"> NA PODROČJU GRADBENIH PROIZVODOV</w:t>
      </w:r>
      <w:bookmarkEnd w:id="6"/>
    </w:p>
    <w:p w:rsidR="000E75F3" w:rsidRPr="00D21A83" w:rsidRDefault="000E75F3" w:rsidP="009735FC">
      <w:pPr>
        <w:pStyle w:val="Odstavekseznama"/>
        <w:numPr>
          <w:ilvl w:val="0"/>
          <w:numId w:val="38"/>
        </w:numPr>
        <w:spacing w:after="200" w:line="260" w:lineRule="exact"/>
        <w:jc w:val="both"/>
        <w:rPr>
          <w:rFonts w:eastAsia="Calibri" w:cs="Arial"/>
          <w:b/>
          <w:vanish/>
          <w:szCs w:val="20"/>
          <w:lang w:val="sl-SI"/>
        </w:rPr>
      </w:pPr>
    </w:p>
    <w:p w:rsidR="000E75F3" w:rsidRPr="00D21A83" w:rsidRDefault="000E75F3" w:rsidP="009735FC">
      <w:pPr>
        <w:pStyle w:val="Odstavekseznama"/>
        <w:numPr>
          <w:ilvl w:val="0"/>
          <w:numId w:val="38"/>
        </w:numPr>
        <w:spacing w:after="200" w:line="260" w:lineRule="exact"/>
        <w:jc w:val="both"/>
        <w:rPr>
          <w:rFonts w:eastAsia="Calibri" w:cs="Arial"/>
          <w:b/>
          <w:vanish/>
          <w:szCs w:val="20"/>
          <w:lang w:val="sl-SI"/>
        </w:rPr>
      </w:pPr>
    </w:p>
    <w:p w:rsidR="000E75F3" w:rsidRPr="00D21A83" w:rsidRDefault="000E75F3" w:rsidP="009735FC">
      <w:pPr>
        <w:pStyle w:val="Odstavekseznama"/>
        <w:numPr>
          <w:ilvl w:val="0"/>
          <w:numId w:val="38"/>
        </w:numPr>
        <w:spacing w:after="200" w:line="260" w:lineRule="exact"/>
        <w:jc w:val="both"/>
        <w:rPr>
          <w:rFonts w:eastAsia="Calibri" w:cs="Arial"/>
          <w:b/>
          <w:vanish/>
          <w:szCs w:val="20"/>
          <w:lang w:val="sl-SI"/>
        </w:rPr>
      </w:pPr>
    </w:p>
    <w:p w:rsidR="000E75F3" w:rsidRPr="00D21A83" w:rsidRDefault="000E75F3" w:rsidP="009735FC">
      <w:pPr>
        <w:pStyle w:val="Odstavekseznama"/>
        <w:numPr>
          <w:ilvl w:val="0"/>
          <w:numId w:val="38"/>
        </w:numPr>
        <w:spacing w:after="200" w:line="260" w:lineRule="exact"/>
        <w:jc w:val="both"/>
        <w:rPr>
          <w:rFonts w:eastAsia="Calibri" w:cs="Arial"/>
          <w:b/>
          <w:vanish/>
          <w:szCs w:val="20"/>
          <w:lang w:val="sl-SI"/>
        </w:rPr>
      </w:pPr>
    </w:p>
    <w:p w:rsidR="000E75F3" w:rsidRPr="00D21A83" w:rsidRDefault="000E75F3" w:rsidP="009735FC">
      <w:pPr>
        <w:pStyle w:val="Odstavekseznama"/>
        <w:numPr>
          <w:ilvl w:val="0"/>
          <w:numId w:val="38"/>
        </w:numPr>
        <w:spacing w:after="200" w:line="260" w:lineRule="exact"/>
        <w:jc w:val="both"/>
        <w:rPr>
          <w:rFonts w:eastAsia="Calibri" w:cs="Arial"/>
          <w:b/>
          <w:vanish/>
          <w:szCs w:val="20"/>
          <w:lang w:val="sl-SI"/>
        </w:rPr>
      </w:pPr>
    </w:p>
    <w:p w:rsidR="000E75F3" w:rsidRPr="00D21A83" w:rsidRDefault="000E75F3" w:rsidP="009735FC">
      <w:pPr>
        <w:pStyle w:val="Odstavekseznama"/>
        <w:numPr>
          <w:ilvl w:val="0"/>
          <w:numId w:val="38"/>
        </w:numPr>
        <w:spacing w:after="200" w:line="260" w:lineRule="exact"/>
        <w:jc w:val="both"/>
        <w:rPr>
          <w:rFonts w:eastAsia="Calibri" w:cs="Arial"/>
          <w:b/>
          <w:vanish/>
          <w:szCs w:val="20"/>
          <w:lang w:val="sl-SI"/>
        </w:rPr>
      </w:pPr>
    </w:p>
    <w:p w:rsidR="007E680A" w:rsidRPr="00D21A83" w:rsidRDefault="000E75F3" w:rsidP="009735FC">
      <w:pPr>
        <w:pStyle w:val="Naslov2"/>
        <w:spacing w:after="200"/>
        <w:rPr>
          <w:rFonts w:eastAsia="Calibri"/>
          <w:sz w:val="22"/>
          <w:szCs w:val="22"/>
          <w:lang w:val="sl-SI"/>
        </w:rPr>
      </w:pPr>
      <w:bookmarkStart w:id="7" w:name="_Toc92353268"/>
      <w:r w:rsidRPr="00D21A83">
        <w:rPr>
          <w:rFonts w:eastAsia="Calibri"/>
          <w:lang w:val="sl-SI"/>
        </w:rPr>
        <w:t>SP</w:t>
      </w:r>
      <w:r w:rsidR="007E680A" w:rsidRPr="00D21A83">
        <w:rPr>
          <w:rFonts w:eastAsia="Calibri"/>
          <w:lang w:val="sl-SI"/>
        </w:rPr>
        <w:t>LOŠNE ZAHTEVE</w:t>
      </w:r>
      <w:bookmarkEnd w:id="7"/>
    </w:p>
    <w:p w:rsidR="004314D5" w:rsidRDefault="004314D5" w:rsidP="009735FC">
      <w:pPr>
        <w:spacing w:after="200" w:line="260" w:lineRule="exact"/>
        <w:jc w:val="both"/>
        <w:rPr>
          <w:rFonts w:eastAsia="Calibri" w:cs="Arial"/>
          <w:szCs w:val="20"/>
          <w:lang w:val="sl-SI"/>
        </w:rPr>
      </w:pPr>
      <w:r w:rsidRPr="00D21A83">
        <w:rPr>
          <w:rFonts w:eastAsia="Calibri" w:cs="Arial"/>
          <w:szCs w:val="20"/>
          <w:lang w:val="sl-SI"/>
        </w:rPr>
        <w:t xml:space="preserve">Vložnik, ki </w:t>
      </w:r>
      <w:r w:rsidR="00670580">
        <w:rPr>
          <w:rFonts w:eastAsia="Calibri" w:cs="Arial"/>
          <w:szCs w:val="20"/>
          <w:lang w:val="sl-SI"/>
        </w:rPr>
        <w:t>želi</w:t>
      </w:r>
      <w:r w:rsidRPr="00D21A83">
        <w:rPr>
          <w:rFonts w:eastAsia="Calibri" w:cs="Arial"/>
          <w:szCs w:val="20"/>
          <w:lang w:val="sl-SI"/>
        </w:rPr>
        <w:t xml:space="preserve"> biti </w:t>
      </w:r>
      <w:r w:rsidR="00895394" w:rsidRPr="00D21A83">
        <w:rPr>
          <w:rFonts w:eastAsia="Calibri" w:cs="Arial"/>
          <w:szCs w:val="20"/>
          <w:lang w:val="sl-SI"/>
        </w:rPr>
        <w:t>organ AVCP</w:t>
      </w:r>
      <w:r w:rsidRPr="00D21A83">
        <w:rPr>
          <w:rFonts w:eastAsia="Calibri" w:cs="Arial"/>
          <w:szCs w:val="20"/>
          <w:lang w:val="sl-SI"/>
        </w:rPr>
        <w:t>, mora izpolnjevati zahteve</w:t>
      </w:r>
      <w:r w:rsidR="006B5BEA">
        <w:rPr>
          <w:rFonts w:eastAsia="Calibri" w:cs="Arial"/>
          <w:szCs w:val="20"/>
          <w:lang w:val="sl-SI"/>
        </w:rPr>
        <w:t xml:space="preserve">, ki so za tovrstne organe predpisane v </w:t>
      </w:r>
      <w:r w:rsidRPr="00D21A83">
        <w:rPr>
          <w:rFonts w:eastAsia="Calibri" w:cs="Arial"/>
          <w:szCs w:val="20"/>
          <w:lang w:val="sl-SI"/>
        </w:rPr>
        <w:t>Uredb</w:t>
      </w:r>
      <w:r w:rsidR="006B5BEA">
        <w:rPr>
          <w:rFonts w:eastAsia="Calibri" w:cs="Arial"/>
          <w:szCs w:val="20"/>
          <w:lang w:val="sl-SI"/>
        </w:rPr>
        <w:t>i</w:t>
      </w:r>
      <w:r w:rsidRPr="00D21A83">
        <w:rPr>
          <w:rFonts w:eastAsia="Calibri" w:cs="Arial"/>
          <w:szCs w:val="20"/>
          <w:lang w:val="sl-SI"/>
        </w:rPr>
        <w:t xml:space="preserve"> 305/2011/EU.</w:t>
      </w:r>
    </w:p>
    <w:p w:rsidR="00C23427" w:rsidRPr="00D21A83" w:rsidRDefault="00C23427" w:rsidP="009735FC">
      <w:pPr>
        <w:spacing w:after="200" w:line="260" w:lineRule="exact"/>
        <w:jc w:val="both"/>
        <w:rPr>
          <w:lang w:val="sl-SI"/>
        </w:rPr>
      </w:pPr>
      <w:r w:rsidRPr="00D21A83">
        <w:rPr>
          <w:rFonts w:eastAsia="Calibri" w:cs="Arial"/>
          <w:szCs w:val="20"/>
          <w:lang w:val="sl-SI"/>
        </w:rPr>
        <w:t>Skladno z določbo 1. odst. 40. člena Uredbe 305/2011/EU</w:t>
      </w:r>
      <w:r w:rsidRPr="00D21A83">
        <w:rPr>
          <w:rFonts w:cs="Arial"/>
          <w:szCs w:val="20"/>
          <w:lang w:val="sl-SI"/>
        </w:rPr>
        <w:t xml:space="preserve">  države članice določijo priglasitveni organ, ki je pristojen za uvedbo in izvajanje potrebnih postopkov za ocenjevanje in priglasitev organov, pooblaščenih za izvajanje nalog tretje stranke v postopku ocenjevanja in preverjanja nespremenljivosti lastnosti za namene te uredbe, ter za spremljanje priglašenih organov, vključno z upoštevanjem določb iz člena 43. Skladno z 2. odstavkom istega člena se države članice lahko odločijo, da ocenjevanje in spremljanje iz odstavka 1 izvajajo njihovi nacionalni akreditacijski organi v smislu in v skladu z </w:t>
      </w:r>
      <w:r w:rsidRPr="00D21A83">
        <w:rPr>
          <w:rFonts w:eastAsia="Calibri" w:cs="Arial"/>
          <w:i/>
          <w:szCs w:val="20"/>
          <w:lang w:val="sl-SI"/>
        </w:rPr>
        <w:t>Uredbo (ES) št. 765/2008 Evropskega Parlamenta in Sveta z dne 9. julija 2008 o določitvi zahtev za akreditacijo in nadzor trga v zvezi s trženjem proizvodov ter razveljavitvi Uredbe (EGS), št. 339/93 (Uradni list EU, št. 218 z dne 13. 8. 2008, str. 30; v nadaljevanju: Uredba (ES) 765/2008)</w:t>
      </w:r>
      <w:r w:rsidRPr="00D21A83">
        <w:rPr>
          <w:rFonts w:cs="Arial"/>
          <w:szCs w:val="20"/>
          <w:lang w:val="sl-SI"/>
        </w:rPr>
        <w:t xml:space="preserve">. Skladno s 3. členom </w:t>
      </w:r>
      <w:r w:rsidRPr="00D21A83">
        <w:rPr>
          <w:lang w:val="sl-SI"/>
        </w:rPr>
        <w:t xml:space="preserve">Zakona o </w:t>
      </w:r>
      <w:r w:rsidRPr="00D21A83">
        <w:rPr>
          <w:lang w:val="sl-SI"/>
        </w:rPr>
        <w:lastRenderedPageBreak/>
        <w:t xml:space="preserve">akreditaciji (Uradni list RS, št. 59/99) je takšen </w:t>
      </w:r>
      <w:r w:rsidRPr="00D21A83">
        <w:rPr>
          <w:rFonts w:cs="Arial"/>
          <w:szCs w:val="20"/>
          <w:lang w:val="sl-SI"/>
        </w:rPr>
        <w:t>nacionalni akreditacijski organ v Republiki Sloveniji Slo</w:t>
      </w:r>
      <w:r w:rsidR="009735FC">
        <w:rPr>
          <w:rFonts w:cs="Arial"/>
          <w:szCs w:val="20"/>
          <w:lang w:val="sl-SI"/>
        </w:rPr>
        <w:t>v</w:t>
      </w:r>
      <w:r w:rsidRPr="00D21A83">
        <w:rPr>
          <w:rFonts w:cs="Arial"/>
          <w:szCs w:val="20"/>
          <w:lang w:val="sl-SI"/>
        </w:rPr>
        <w:t>enska akreditacija.</w:t>
      </w:r>
      <w:r w:rsidRPr="00D21A83">
        <w:rPr>
          <w:lang w:val="sl-SI"/>
        </w:rPr>
        <w:t xml:space="preserve"> </w:t>
      </w:r>
    </w:p>
    <w:p w:rsidR="001E0EB4" w:rsidRPr="00D21A83" w:rsidRDefault="001E0EB4" w:rsidP="009735FC">
      <w:pPr>
        <w:spacing w:after="200" w:line="260" w:lineRule="exact"/>
        <w:jc w:val="both"/>
        <w:rPr>
          <w:rFonts w:cs="Arial"/>
          <w:szCs w:val="20"/>
          <w:lang w:val="sl-SI"/>
        </w:rPr>
      </w:pPr>
      <w:r w:rsidRPr="00D21A83">
        <w:rPr>
          <w:rFonts w:cs="Arial"/>
          <w:szCs w:val="20"/>
          <w:lang w:val="sl-SI"/>
        </w:rPr>
        <w:t>Uredba 305/2011/EU v 44. členu določa, da kadar priglašeni organ, ki se pooblasti za izvajanje nalog tretje stranke v postopku ocenjevanja in preverjanja nespremenljivosti lastnosti, dokaže, da izpolnjuje merila, ki so določena v ustreznih harmoniziranih standardih ali njihovih delih, katerih sklici so bili objavljeni v Uradnem listu Evropske unije, se domneva, da je skladen z zahtevami iz člena 43, kolikor veljavni harmonizirani standardi zajemajo te zahteve.</w:t>
      </w:r>
    </w:p>
    <w:p w:rsidR="004314D5" w:rsidRPr="00D21A83" w:rsidRDefault="004314D5" w:rsidP="009735FC">
      <w:pPr>
        <w:spacing w:after="200" w:line="260" w:lineRule="exact"/>
        <w:jc w:val="both"/>
        <w:rPr>
          <w:rFonts w:eastAsia="Calibri" w:cs="Arial"/>
          <w:szCs w:val="20"/>
          <w:lang w:val="sl-SI"/>
        </w:rPr>
      </w:pPr>
      <w:r w:rsidRPr="00D21A83">
        <w:rPr>
          <w:rFonts w:eastAsia="Calibri" w:cs="Arial"/>
          <w:szCs w:val="20"/>
          <w:lang w:val="sl-SI"/>
        </w:rPr>
        <w:t xml:space="preserve">Šteje se, da </w:t>
      </w:r>
      <w:r w:rsidR="003C2743" w:rsidRPr="00D21A83">
        <w:rPr>
          <w:rFonts w:eastAsia="Calibri" w:cs="Arial"/>
          <w:szCs w:val="20"/>
          <w:lang w:val="sl-SI"/>
        </w:rPr>
        <w:t>vložnik</w:t>
      </w:r>
      <w:r w:rsidRPr="00D21A83">
        <w:rPr>
          <w:rFonts w:eastAsia="Calibri" w:cs="Arial"/>
          <w:szCs w:val="20"/>
          <w:lang w:val="sl-SI"/>
        </w:rPr>
        <w:t xml:space="preserve"> izpolnjuje zahteve </w:t>
      </w:r>
      <w:r w:rsidR="00C23427" w:rsidRPr="00D21A83">
        <w:rPr>
          <w:rFonts w:eastAsia="Calibri" w:cs="Arial"/>
          <w:szCs w:val="20"/>
          <w:lang w:val="sl-SI"/>
        </w:rPr>
        <w:t xml:space="preserve">za priglašene organe </w:t>
      </w:r>
      <w:r w:rsidRPr="00D21A83">
        <w:rPr>
          <w:rFonts w:eastAsia="Calibri" w:cs="Arial"/>
          <w:szCs w:val="20"/>
          <w:lang w:val="sl-SI"/>
        </w:rPr>
        <w:t>iz Uredbe 305/2011/EU</w:t>
      </w:r>
      <w:r w:rsidR="001E0EB4" w:rsidRPr="00D21A83">
        <w:rPr>
          <w:rFonts w:eastAsia="Calibri" w:cs="Arial"/>
          <w:szCs w:val="20"/>
          <w:lang w:val="sl-SI"/>
        </w:rPr>
        <w:t>,</w:t>
      </w:r>
      <w:r w:rsidR="00A85954" w:rsidRPr="00D21A83">
        <w:rPr>
          <w:rFonts w:eastAsia="Calibri" w:cs="Arial"/>
          <w:szCs w:val="20"/>
          <w:lang w:val="sl-SI"/>
        </w:rPr>
        <w:t xml:space="preserve"> </w:t>
      </w:r>
      <w:r w:rsidRPr="00D21A83">
        <w:rPr>
          <w:rFonts w:eastAsia="Calibri" w:cs="Arial"/>
          <w:szCs w:val="20"/>
          <w:lang w:val="sl-SI"/>
        </w:rPr>
        <w:t xml:space="preserve">če ocenjevanje in spremljanje iz prvega odstavka 40. člena Uredbe 305/2011/EU izvaja Slovenska akreditacija v smislu in v skladu z Uredbo (ES) </w:t>
      </w:r>
      <w:r w:rsidR="00F00098" w:rsidRPr="00D21A83">
        <w:rPr>
          <w:rFonts w:eastAsia="Calibri" w:cs="Arial"/>
          <w:szCs w:val="20"/>
          <w:lang w:val="sl-SI"/>
        </w:rPr>
        <w:t xml:space="preserve">št. 765/2008, </w:t>
      </w:r>
      <w:r w:rsidR="003C2743" w:rsidRPr="00D21A83">
        <w:rPr>
          <w:rFonts w:eastAsia="Calibri" w:cs="Arial"/>
          <w:szCs w:val="20"/>
          <w:lang w:val="sl-SI"/>
        </w:rPr>
        <w:t>vložnik</w:t>
      </w:r>
      <w:r w:rsidR="00DF1A91" w:rsidRPr="00D21A83">
        <w:rPr>
          <w:rFonts w:eastAsia="Calibri" w:cs="Arial"/>
          <w:szCs w:val="20"/>
          <w:lang w:val="sl-SI"/>
        </w:rPr>
        <w:t xml:space="preserve"> pa</w:t>
      </w:r>
      <w:r w:rsidRPr="00D21A83">
        <w:rPr>
          <w:rFonts w:eastAsia="Calibri" w:cs="Arial"/>
          <w:szCs w:val="20"/>
          <w:lang w:val="sl-SI"/>
        </w:rPr>
        <w:t xml:space="preserve"> kot dokazilo predloži </w:t>
      </w:r>
      <w:r w:rsidR="005B4157" w:rsidRPr="00C831DE">
        <w:rPr>
          <w:rFonts w:eastAsia="Calibri" w:cs="Arial"/>
          <w:szCs w:val="20"/>
          <w:lang w:val="sl-SI"/>
        </w:rPr>
        <w:t>ustrezno</w:t>
      </w:r>
      <w:r w:rsidR="005B4157" w:rsidRPr="00D21A83">
        <w:rPr>
          <w:rFonts w:eastAsia="Calibri" w:cs="Arial"/>
          <w:szCs w:val="20"/>
          <w:lang w:val="sl-SI"/>
        </w:rPr>
        <w:t xml:space="preserve"> </w:t>
      </w:r>
      <w:r w:rsidRPr="00D21A83">
        <w:rPr>
          <w:rFonts w:eastAsia="Calibri" w:cs="Arial"/>
          <w:szCs w:val="20"/>
          <w:lang w:val="sl-SI"/>
        </w:rPr>
        <w:t xml:space="preserve">akreditacijsko listino za </w:t>
      </w:r>
      <w:r w:rsidR="00D6509E" w:rsidRPr="00D21A83">
        <w:rPr>
          <w:rFonts w:eastAsia="Calibri" w:cs="Arial"/>
          <w:szCs w:val="20"/>
          <w:lang w:val="sl-SI"/>
        </w:rPr>
        <w:t xml:space="preserve">namen </w:t>
      </w:r>
      <w:r w:rsidR="006D2485">
        <w:rPr>
          <w:rFonts w:eastAsia="Calibri" w:cs="Arial"/>
          <w:szCs w:val="20"/>
          <w:lang w:val="sl-SI"/>
        </w:rPr>
        <w:t>priglasitv</w:t>
      </w:r>
      <w:r w:rsidR="00D6509E" w:rsidRPr="00D21A83">
        <w:rPr>
          <w:rFonts w:eastAsia="Calibri" w:cs="Arial"/>
          <w:szCs w:val="20"/>
          <w:lang w:val="sl-SI"/>
        </w:rPr>
        <w:t xml:space="preserve">e za </w:t>
      </w:r>
      <w:r w:rsidRPr="00D21A83">
        <w:rPr>
          <w:rFonts w:eastAsia="Calibri" w:cs="Arial"/>
          <w:szCs w:val="20"/>
          <w:lang w:val="sl-SI"/>
        </w:rPr>
        <w:t xml:space="preserve">določeno vrsto in obseg </w:t>
      </w:r>
      <w:r w:rsidR="00043F7E" w:rsidRPr="00D21A83">
        <w:rPr>
          <w:rFonts w:eastAsia="Calibri" w:cs="Arial"/>
          <w:szCs w:val="20"/>
          <w:lang w:val="sl-SI"/>
        </w:rPr>
        <w:t xml:space="preserve">nalog </w:t>
      </w:r>
      <w:r w:rsidRPr="00D21A83">
        <w:rPr>
          <w:rFonts w:eastAsia="Calibri" w:cs="Arial"/>
          <w:szCs w:val="20"/>
          <w:lang w:val="sl-SI"/>
        </w:rPr>
        <w:t>tretje stranke v postopku ocenjevanja in preverjanja nespremenljivosti lastnosti</w:t>
      </w:r>
      <w:r w:rsidR="005B4157" w:rsidRPr="00D21A83">
        <w:rPr>
          <w:rFonts w:eastAsia="Calibri" w:cs="Arial"/>
          <w:szCs w:val="20"/>
          <w:lang w:val="sl-SI"/>
        </w:rPr>
        <w:t xml:space="preserve">, skladno </w:t>
      </w:r>
      <w:r w:rsidR="005B4157" w:rsidRPr="00C831DE">
        <w:rPr>
          <w:rFonts w:eastAsia="Calibri" w:cs="Arial"/>
          <w:szCs w:val="20"/>
          <w:lang w:val="sl-SI"/>
        </w:rPr>
        <w:t>s točko 6.2 teh</w:t>
      </w:r>
      <w:r w:rsidR="005B4157" w:rsidRPr="00D21A83">
        <w:rPr>
          <w:rFonts w:eastAsia="Calibri" w:cs="Arial"/>
          <w:szCs w:val="20"/>
          <w:lang w:val="sl-SI"/>
        </w:rPr>
        <w:t xml:space="preserve"> Smernic</w:t>
      </w:r>
      <w:r w:rsidRPr="00D21A83">
        <w:rPr>
          <w:rFonts w:eastAsia="Calibri" w:cs="Arial"/>
          <w:szCs w:val="20"/>
          <w:lang w:val="sl-SI"/>
        </w:rPr>
        <w:t>.</w:t>
      </w:r>
    </w:p>
    <w:p w:rsidR="004C0386" w:rsidRPr="00D21A83" w:rsidRDefault="004C0386" w:rsidP="009735FC">
      <w:pPr>
        <w:pStyle w:val="Naslov2"/>
        <w:spacing w:after="200"/>
        <w:rPr>
          <w:rFonts w:eastAsia="Calibri"/>
          <w:lang w:val="sl-SI"/>
        </w:rPr>
      </w:pPr>
      <w:bookmarkStart w:id="8" w:name="_Toc92353269"/>
      <w:r w:rsidRPr="00D21A83">
        <w:rPr>
          <w:rFonts w:eastAsia="Calibri"/>
          <w:lang w:val="sl-SI"/>
        </w:rPr>
        <w:t>AKREDITACIJA</w:t>
      </w:r>
      <w:bookmarkEnd w:id="8"/>
    </w:p>
    <w:p w:rsidR="004C0386" w:rsidRPr="00D21A83" w:rsidRDefault="00654DAA" w:rsidP="009735FC">
      <w:pPr>
        <w:spacing w:after="200" w:line="260" w:lineRule="exact"/>
        <w:jc w:val="both"/>
        <w:rPr>
          <w:rFonts w:eastAsia="Calibri" w:cs="Arial"/>
          <w:szCs w:val="20"/>
          <w:lang w:val="sl-SI"/>
        </w:rPr>
      </w:pPr>
      <w:r w:rsidRPr="00D21A83">
        <w:rPr>
          <w:rFonts w:eastAsia="Calibri" w:cs="Arial"/>
          <w:szCs w:val="20"/>
          <w:lang w:val="sl-SI"/>
        </w:rPr>
        <w:t xml:space="preserve">Akreditacija </w:t>
      </w:r>
      <w:r w:rsidR="00DF1A91" w:rsidRPr="00D21A83">
        <w:rPr>
          <w:rFonts w:eastAsia="Calibri" w:cs="Arial"/>
          <w:szCs w:val="20"/>
          <w:lang w:val="sl-SI"/>
        </w:rPr>
        <w:t xml:space="preserve">v skladu z Uredbo (ES) 765/2008 pomeni </w:t>
      </w:r>
      <w:r w:rsidRPr="00D21A83">
        <w:rPr>
          <w:rFonts w:eastAsia="Calibri" w:cs="Arial"/>
          <w:szCs w:val="20"/>
          <w:lang w:val="sl-SI"/>
        </w:rPr>
        <w:t xml:space="preserve">postopek, </w:t>
      </w:r>
      <w:r w:rsidR="00DF1A91" w:rsidRPr="00D21A83">
        <w:rPr>
          <w:rFonts w:eastAsia="Calibri" w:cs="Arial"/>
          <w:szCs w:val="20"/>
          <w:lang w:val="sl-SI"/>
        </w:rPr>
        <w:t>v katerem</w:t>
      </w:r>
      <w:r w:rsidRPr="00D21A83">
        <w:rPr>
          <w:rFonts w:eastAsia="Calibri" w:cs="Arial"/>
          <w:szCs w:val="20"/>
          <w:lang w:val="sl-SI"/>
        </w:rPr>
        <w:t xml:space="preserve"> u</w:t>
      </w:r>
      <w:r w:rsidR="00014EA5" w:rsidRPr="00D21A83">
        <w:rPr>
          <w:rFonts w:eastAsia="Calibri" w:cs="Arial"/>
          <w:szCs w:val="20"/>
          <w:lang w:val="sl-SI"/>
        </w:rPr>
        <w:t xml:space="preserve">sposobljenost vložnika </w:t>
      </w:r>
      <w:r w:rsidR="005E0F24" w:rsidRPr="00D21A83">
        <w:rPr>
          <w:rFonts w:eastAsia="Calibri" w:cs="Arial"/>
          <w:szCs w:val="20"/>
          <w:lang w:val="sl-SI"/>
        </w:rPr>
        <w:t xml:space="preserve">za </w:t>
      </w:r>
      <w:r w:rsidR="00873817" w:rsidRPr="00D21A83">
        <w:rPr>
          <w:rFonts w:eastAsia="Calibri" w:cs="Arial"/>
          <w:szCs w:val="20"/>
          <w:lang w:val="sl-SI"/>
        </w:rPr>
        <w:t>izvajanje določene vrste in obsega nalog tretje stranke v postopku ocenjevanja in preverjanja nespremenljivosti</w:t>
      </w:r>
      <w:r w:rsidR="00FA706E">
        <w:rPr>
          <w:rFonts w:eastAsia="Calibri" w:cs="Arial"/>
          <w:szCs w:val="20"/>
          <w:lang w:val="sl-SI"/>
        </w:rPr>
        <w:t xml:space="preserve"> lastnosti</w:t>
      </w:r>
      <w:r w:rsidR="00873817" w:rsidRPr="00D21A83">
        <w:rPr>
          <w:rFonts w:eastAsia="Calibri" w:cs="Arial"/>
          <w:szCs w:val="20"/>
          <w:lang w:val="sl-SI"/>
        </w:rPr>
        <w:t xml:space="preserve"> </w:t>
      </w:r>
      <w:r w:rsidR="00014EA5" w:rsidRPr="00D21A83">
        <w:rPr>
          <w:rFonts w:eastAsia="Calibri" w:cs="Arial"/>
          <w:szCs w:val="20"/>
          <w:lang w:val="sl-SI"/>
        </w:rPr>
        <w:t xml:space="preserve">potrdi </w:t>
      </w:r>
      <w:r w:rsidR="00043F7E" w:rsidRPr="00D21A83">
        <w:rPr>
          <w:rFonts w:eastAsia="Calibri" w:cs="Arial"/>
          <w:szCs w:val="20"/>
          <w:lang w:val="sl-SI"/>
        </w:rPr>
        <w:t>j</w:t>
      </w:r>
      <w:r w:rsidR="004C0386" w:rsidRPr="00D21A83">
        <w:rPr>
          <w:rFonts w:eastAsia="Calibri" w:cs="Arial"/>
          <w:szCs w:val="20"/>
          <w:lang w:val="sl-SI"/>
        </w:rPr>
        <w:t>avni zavod Slovenska akreditacija</w:t>
      </w:r>
      <w:r w:rsidR="00873817" w:rsidRPr="00D21A83">
        <w:rPr>
          <w:rFonts w:eastAsia="Calibri" w:cs="Arial"/>
          <w:szCs w:val="20"/>
          <w:lang w:val="sl-SI"/>
        </w:rPr>
        <w:t>, ki je nacionalni akreditacijski organ v Republiki Sloveniji.</w:t>
      </w:r>
    </w:p>
    <w:p w:rsidR="00DF1A91" w:rsidRPr="00C831DE" w:rsidRDefault="005E0F24" w:rsidP="009735FC">
      <w:pPr>
        <w:spacing w:after="200" w:line="260" w:lineRule="exact"/>
        <w:jc w:val="both"/>
        <w:rPr>
          <w:rFonts w:eastAsia="Calibri" w:cs="Arial"/>
          <w:szCs w:val="20"/>
          <w:lang w:val="sl-SI"/>
        </w:rPr>
      </w:pPr>
      <w:r w:rsidRPr="00D21A83">
        <w:rPr>
          <w:rFonts w:eastAsia="Calibri" w:cs="Arial"/>
          <w:szCs w:val="20"/>
          <w:lang w:val="sl-SI"/>
        </w:rPr>
        <w:t xml:space="preserve">Z akreditacijsko listino vložnik </w:t>
      </w:r>
      <w:r w:rsidR="00873817" w:rsidRPr="00D21A83">
        <w:rPr>
          <w:rFonts w:eastAsia="Calibri" w:cs="Arial"/>
          <w:szCs w:val="20"/>
          <w:lang w:val="sl-SI"/>
        </w:rPr>
        <w:t>izk</w:t>
      </w:r>
      <w:r w:rsidRPr="00D21A83">
        <w:rPr>
          <w:rFonts w:eastAsia="Calibri" w:cs="Arial"/>
          <w:szCs w:val="20"/>
          <w:lang w:val="sl-SI"/>
        </w:rPr>
        <w:t>azuje usposobljenost za izpolnjevanje zahtev v skladu s standard</w:t>
      </w:r>
      <w:r w:rsidR="004D29BD" w:rsidRPr="00D21A83">
        <w:rPr>
          <w:rFonts w:eastAsia="Calibri" w:cs="Arial"/>
          <w:szCs w:val="20"/>
          <w:lang w:val="sl-SI"/>
        </w:rPr>
        <w:t>i</w:t>
      </w:r>
      <w:r w:rsidRPr="00D21A83">
        <w:rPr>
          <w:rFonts w:eastAsia="Calibri" w:cs="Arial"/>
          <w:szCs w:val="20"/>
          <w:lang w:val="sl-SI"/>
        </w:rPr>
        <w:t xml:space="preserve"> iz serije SIST EN ISO/IEC 17000. </w:t>
      </w:r>
      <w:r w:rsidR="004D29BD" w:rsidRPr="00D21A83">
        <w:rPr>
          <w:rFonts w:eastAsia="Calibri" w:cs="Arial"/>
          <w:szCs w:val="20"/>
          <w:lang w:val="sl-SI"/>
        </w:rPr>
        <w:t>Z akreditacijsko listino dokazuje tudi kompetentnost za izpolnjevanje zahtev har</w:t>
      </w:r>
      <w:r w:rsidR="00D84EBA">
        <w:rPr>
          <w:rFonts w:eastAsia="Calibri" w:cs="Arial"/>
          <w:szCs w:val="20"/>
          <w:lang w:val="sl-SI"/>
        </w:rPr>
        <w:t xml:space="preserve">moniziranih tehničnih specifikacij (to je harmoniziranih standardov in evropskih ocenjevalnih dokumentov), ki so skladno z Uredbo 305/2011/EU podlaga za delo priglašenih organov </w:t>
      </w:r>
      <w:r w:rsidR="00756C76">
        <w:rPr>
          <w:rFonts w:eastAsia="Calibri" w:cs="Arial"/>
          <w:szCs w:val="20"/>
          <w:lang w:val="sl-SI"/>
        </w:rPr>
        <w:t>v procesu ocenjevanja in preverjanja nespremenljivosti lastnosti</w:t>
      </w:r>
      <w:r w:rsidR="00D84EBA">
        <w:rPr>
          <w:rFonts w:eastAsia="Calibri" w:cs="Arial"/>
          <w:szCs w:val="20"/>
          <w:lang w:val="sl-SI"/>
        </w:rPr>
        <w:t xml:space="preserve"> gradbenih proizvodov</w:t>
      </w:r>
      <w:r w:rsidR="008B4CFB" w:rsidRPr="00D21A83">
        <w:rPr>
          <w:rFonts w:eastAsia="Calibri" w:cs="Arial"/>
          <w:szCs w:val="20"/>
          <w:lang w:val="sl-SI"/>
        </w:rPr>
        <w:t>.</w:t>
      </w:r>
      <w:r w:rsidR="00DF1A91" w:rsidRPr="00D21A83">
        <w:rPr>
          <w:rFonts w:eastAsia="Calibri" w:cs="Arial"/>
          <w:szCs w:val="20"/>
          <w:lang w:val="sl-SI"/>
        </w:rPr>
        <w:t xml:space="preserve"> Seznam </w:t>
      </w:r>
      <w:r w:rsidR="00DF1A91" w:rsidRPr="00C831DE">
        <w:rPr>
          <w:rFonts w:eastAsia="Calibri" w:cs="Arial"/>
          <w:szCs w:val="20"/>
          <w:lang w:val="sl-SI"/>
        </w:rPr>
        <w:t xml:space="preserve">standardov je </w:t>
      </w:r>
      <w:r w:rsidR="00FA706E">
        <w:rPr>
          <w:rFonts w:eastAsia="Calibri" w:cs="Arial"/>
          <w:szCs w:val="20"/>
          <w:lang w:val="sl-SI"/>
        </w:rPr>
        <w:t xml:space="preserve">na </w:t>
      </w:r>
      <w:r w:rsidR="00DF1A91" w:rsidRPr="00C831DE">
        <w:rPr>
          <w:rFonts w:eastAsia="Calibri" w:cs="Arial"/>
          <w:szCs w:val="20"/>
          <w:lang w:val="sl-SI"/>
        </w:rPr>
        <w:t>voljo na spletni strani ministrstva</w:t>
      </w:r>
      <w:r w:rsidR="00512B85" w:rsidRPr="00C831DE">
        <w:rPr>
          <w:rFonts w:eastAsia="Calibri" w:cs="Arial"/>
          <w:szCs w:val="20"/>
          <w:lang w:val="sl-SI"/>
        </w:rPr>
        <w:t xml:space="preserve"> </w:t>
      </w:r>
      <w:r w:rsidR="00DF1A91" w:rsidRPr="00C831DE">
        <w:rPr>
          <w:rFonts w:eastAsia="Calibri" w:cs="Arial"/>
          <w:szCs w:val="20"/>
          <w:lang w:val="sl-SI"/>
        </w:rPr>
        <w:t>(</w:t>
      </w:r>
      <w:hyperlink r:id="rId11" w:history="1">
        <w:r w:rsidR="00FA706E" w:rsidRPr="00EA0D11">
          <w:rPr>
            <w:rStyle w:val="Hiperpovezava"/>
            <w:rFonts w:eastAsia="Calibri" w:cs="Arial"/>
            <w:szCs w:val="20"/>
            <w:lang w:val="sl-SI"/>
          </w:rPr>
          <w:t>https://www.gov.si/teme/gradbeni-proizvodi/</w:t>
        </w:r>
      </w:hyperlink>
      <w:hyperlink r:id="rId12" w:history="1"/>
      <w:r w:rsidR="00DF1A91" w:rsidRPr="00C831DE">
        <w:rPr>
          <w:rFonts w:eastAsia="Calibri" w:cs="Arial"/>
          <w:szCs w:val="20"/>
          <w:lang w:val="sl-SI"/>
        </w:rPr>
        <w:t>)</w:t>
      </w:r>
      <w:r w:rsidR="00FA706E">
        <w:rPr>
          <w:rFonts w:eastAsia="Calibri" w:cs="Arial"/>
          <w:szCs w:val="20"/>
          <w:lang w:val="sl-SI"/>
        </w:rPr>
        <w:t>, seznam evropskih ocenjevalnih dokumentov pa na spletni strani organizacije organov za tehnično ocenjevanje EOTA (</w:t>
      </w:r>
      <w:r w:rsidR="00FA706E" w:rsidRPr="00FA706E">
        <w:rPr>
          <w:rFonts w:eastAsia="Calibri" w:cs="Arial"/>
          <w:szCs w:val="20"/>
          <w:lang w:val="sl-SI"/>
        </w:rPr>
        <w:t>https://www.eota.eu/eads</w:t>
      </w:r>
      <w:r w:rsidR="00FA706E">
        <w:rPr>
          <w:rFonts w:eastAsia="Calibri" w:cs="Arial"/>
          <w:szCs w:val="20"/>
          <w:lang w:val="sl-SI"/>
        </w:rPr>
        <w:t>)</w:t>
      </w:r>
      <w:r w:rsidR="00FA706E">
        <w:rPr>
          <w:rStyle w:val="Sprotnaopomba-sklic"/>
          <w:rFonts w:eastAsia="Calibri" w:cs="Arial"/>
          <w:szCs w:val="20"/>
          <w:lang w:val="sl-SI"/>
        </w:rPr>
        <w:footnoteReference w:id="1"/>
      </w:r>
      <w:r w:rsidR="00DF1A91" w:rsidRPr="00C831DE">
        <w:rPr>
          <w:rFonts w:eastAsia="Calibri" w:cs="Arial"/>
          <w:szCs w:val="20"/>
          <w:lang w:val="sl-SI"/>
        </w:rPr>
        <w:t>.</w:t>
      </w:r>
    </w:p>
    <w:p w:rsidR="004D29BD" w:rsidRPr="00C831DE" w:rsidRDefault="004D29BD" w:rsidP="009735FC">
      <w:pPr>
        <w:spacing w:after="200" w:line="260" w:lineRule="exact"/>
        <w:jc w:val="both"/>
        <w:rPr>
          <w:rFonts w:eastAsia="Calibri" w:cs="Arial"/>
          <w:szCs w:val="20"/>
          <w:lang w:val="sl-SI"/>
        </w:rPr>
      </w:pPr>
      <w:r w:rsidRPr="00C831DE">
        <w:rPr>
          <w:rFonts w:eastAsia="Calibri" w:cs="Arial"/>
          <w:szCs w:val="20"/>
          <w:lang w:val="sl-SI"/>
        </w:rPr>
        <w:t xml:space="preserve">Glede na naloge priglašenega organa so </w:t>
      </w:r>
      <w:r w:rsidR="00031EF5" w:rsidRPr="00C831DE">
        <w:rPr>
          <w:rFonts w:eastAsia="Calibri" w:cs="Arial"/>
          <w:szCs w:val="20"/>
          <w:lang w:val="sl-SI"/>
        </w:rPr>
        <w:t>podlaga za akreditacijo</w:t>
      </w:r>
      <w:r w:rsidR="009B098E" w:rsidRPr="00C831DE">
        <w:rPr>
          <w:rFonts w:eastAsia="Calibri" w:cs="Arial"/>
          <w:szCs w:val="20"/>
          <w:lang w:val="sl-SI"/>
        </w:rPr>
        <w:t xml:space="preserve"> za namen </w:t>
      </w:r>
      <w:r w:rsidR="006D2485">
        <w:rPr>
          <w:rFonts w:eastAsia="Calibri" w:cs="Arial"/>
          <w:szCs w:val="20"/>
          <w:lang w:val="sl-SI"/>
        </w:rPr>
        <w:t>priglasitv</w:t>
      </w:r>
      <w:r w:rsidR="006D2485" w:rsidRPr="00D21A83">
        <w:rPr>
          <w:rFonts w:eastAsia="Calibri" w:cs="Arial"/>
          <w:szCs w:val="20"/>
          <w:lang w:val="sl-SI"/>
        </w:rPr>
        <w:t>e</w:t>
      </w:r>
      <w:r w:rsidR="006D2485" w:rsidRPr="00C831DE">
        <w:rPr>
          <w:rFonts w:eastAsia="Calibri" w:cs="Arial"/>
          <w:szCs w:val="20"/>
          <w:lang w:val="sl-SI"/>
        </w:rPr>
        <w:t xml:space="preserve"> </w:t>
      </w:r>
      <w:r w:rsidR="009B098E" w:rsidRPr="00C831DE">
        <w:rPr>
          <w:rFonts w:eastAsia="Calibri" w:cs="Arial"/>
          <w:szCs w:val="20"/>
          <w:lang w:val="sl-SI"/>
        </w:rPr>
        <w:t>organa</w:t>
      </w:r>
      <w:r w:rsidRPr="00C831DE">
        <w:rPr>
          <w:rFonts w:eastAsia="Calibri" w:cs="Arial"/>
          <w:szCs w:val="20"/>
          <w:lang w:val="sl-SI"/>
        </w:rPr>
        <w:t xml:space="preserve"> naslednji standardi</w:t>
      </w:r>
      <w:r w:rsidR="00AA0CE9" w:rsidRPr="00C831DE">
        <w:rPr>
          <w:rFonts w:eastAsia="Calibri" w:cs="Arial"/>
          <w:szCs w:val="20"/>
          <w:lang w:val="sl-SI"/>
        </w:rPr>
        <w:t xml:space="preserve"> (povzeto po tabeli 4 aneksa B </w:t>
      </w:r>
      <w:r w:rsidR="00D17609" w:rsidRPr="00C831DE">
        <w:rPr>
          <w:rFonts w:eastAsia="Calibri" w:cs="Arial"/>
          <w:szCs w:val="20"/>
          <w:lang w:val="sl-SI"/>
        </w:rPr>
        <w:t>D</w:t>
      </w:r>
      <w:r w:rsidR="00AA0CE9" w:rsidRPr="00C831DE">
        <w:rPr>
          <w:rFonts w:eastAsia="Calibri" w:cs="Arial"/>
          <w:szCs w:val="20"/>
          <w:lang w:val="sl-SI"/>
        </w:rPr>
        <w:t>okumenta EA-2/17)</w:t>
      </w:r>
      <w:r w:rsidRPr="00C831DE">
        <w:rPr>
          <w:rFonts w:eastAsia="Calibri" w:cs="Arial"/>
          <w:szCs w:val="20"/>
          <w:lang w:val="sl-S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5317"/>
      </w:tblGrid>
      <w:tr w:rsidR="00043F7E" w:rsidRPr="00C831DE" w:rsidTr="00715A88">
        <w:trPr>
          <w:trHeight w:val="889"/>
          <w:tblHeader/>
        </w:trPr>
        <w:tc>
          <w:tcPr>
            <w:tcW w:w="3936" w:type="dxa"/>
            <w:shd w:val="clear" w:color="auto" w:fill="auto"/>
            <w:vAlign w:val="center"/>
          </w:tcPr>
          <w:p w:rsidR="00043F7E" w:rsidRPr="00C831DE" w:rsidRDefault="00AA0CE9" w:rsidP="005F4820">
            <w:pPr>
              <w:spacing w:line="260" w:lineRule="exact"/>
              <w:jc w:val="center"/>
              <w:rPr>
                <w:rFonts w:eastAsia="Calibri" w:cs="Arial"/>
                <w:b/>
                <w:szCs w:val="20"/>
                <w:lang w:val="sl-SI"/>
              </w:rPr>
            </w:pPr>
            <w:r w:rsidRPr="00C831DE">
              <w:rPr>
                <w:rFonts w:eastAsia="Calibri" w:cs="Arial"/>
                <w:b/>
                <w:szCs w:val="20"/>
                <w:lang w:val="sl-SI"/>
              </w:rPr>
              <w:t>Sistem AVCP</w:t>
            </w:r>
          </w:p>
        </w:tc>
        <w:tc>
          <w:tcPr>
            <w:tcW w:w="5386" w:type="dxa"/>
            <w:shd w:val="clear" w:color="auto" w:fill="auto"/>
          </w:tcPr>
          <w:p w:rsidR="00AA0CE9" w:rsidRPr="00C831DE" w:rsidRDefault="00AA0CE9" w:rsidP="004B0785">
            <w:pPr>
              <w:spacing w:line="260" w:lineRule="exact"/>
              <w:jc w:val="center"/>
              <w:rPr>
                <w:b/>
                <w:lang w:val="sl-SI"/>
              </w:rPr>
            </w:pPr>
            <w:r w:rsidRPr="00C831DE">
              <w:rPr>
                <w:b/>
                <w:lang w:val="sl-SI"/>
              </w:rPr>
              <w:t xml:space="preserve">Standardi za </w:t>
            </w:r>
            <w:r w:rsidRPr="006D2485">
              <w:rPr>
                <w:b/>
                <w:lang w:val="sl-SI"/>
              </w:rPr>
              <w:t xml:space="preserve">ugotavljanje skladnosti organa za akreditacijo za namen </w:t>
            </w:r>
            <w:r w:rsidR="006D2485" w:rsidRPr="006D2485">
              <w:rPr>
                <w:rFonts w:eastAsia="Calibri" w:cs="Arial"/>
                <w:b/>
                <w:szCs w:val="20"/>
                <w:lang w:val="sl-SI"/>
              </w:rPr>
              <w:t>priglasitv</w:t>
            </w:r>
            <w:r w:rsidRPr="006D2485">
              <w:rPr>
                <w:b/>
                <w:lang w:val="sl-SI"/>
              </w:rPr>
              <w:t>e</w:t>
            </w:r>
            <w:r w:rsidRPr="00C831DE">
              <w:rPr>
                <w:b/>
                <w:lang w:val="sl-SI"/>
              </w:rPr>
              <w:t xml:space="preserve"> vključno z dodatnimi zahtevami</w:t>
            </w:r>
            <w:r w:rsidR="003475B4" w:rsidRPr="00C831DE">
              <w:rPr>
                <w:rStyle w:val="Sprotnaopomba-sklic"/>
                <w:b/>
                <w:lang w:val="sl-SI"/>
              </w:rPr>
              <w:footnoteReference w:id="2"/>
            </w:r>
          </w:p>
        </w:tc>
      </w:tr>
      <w:tr w:rsidR="00AA0CE9" w:rsidRPr="00C831DE" w:rsidTr="00715A88">
        <w:trPr>
          <w:trHeight w:val="889"/>
        </w:trPr>
        <w:tc>
          <w:tcPr>
            <w:tcW w:w="3936" w:type="dxa"/>
            <w:shd w:val="clear" w:color="auto" w:fill="auto"/>
            <w:vAlign w:val="center"/>
          </w:tcPr>
          <w:p w:rsidR="00AA0CE9" w:rsidRPr="00C831DE" w:rsidRDefault="00AA0CE9" w:rsidP="005F4820">
            <w:pPr>
              <w:spacing w:line="260" w:lineRule="exact"/>
              <w:jc w:val="center"/>
              <w:rPr>
                <w:rFonts w:eastAsia="Calibri" w:cs="Arial"/>
                <w:szCs w:val="20"/>
                <w:lang w:val="sl-SI"/>
              </w:rPr>
            </w:pPr>
            <w:r w:rsidRPr="00C831DE">
              <w:rPr>
                <w:rFonts w:eastAsia="Calibri" w:cs="Arial"/>
                <w:szCs w:val="20"/>
                <w:lang w:val="sl-SI"/>
              </w:rPr>
              <w:t xml:space="preserve">Certificiranje proizvodov – </w:t>
            </w:r>
          </w:p>
          <w:p w:rsidR="00AA0CE9" w:rsidRPr="00C831DE" w:rsidRDefault="00AA0CE9" w:rsidP="005F4820">
            <w:pPr>
              <w:spacing w:line="260" w:lineRule="exact"/>
              <w:jc w:val="center"/>
              <w:rPr>
                <w:rFonts w:eastAsia="Calibri" w:cs="Arial"/>
                <w:szCs w:val="20"/>
                <w:lang w:val="sl-SI"/>
              </w:rPr>
            </w:pPr>
            <w:r w:rsidRPr="00C831DE">
              <w:rPr>
                <w:rFonts w:eastAsia="Calibri" w:cs="Arial"/>
                <w:szCs w:val="20"/>
                <w:lang w:val="sl-SI"/>
              </w:rPr>
              <w:t>sistema 1+ in 1</w:t>
            </w:r>
          </w:p>
        </w:tc>
        <w:tc>
          <w:tcPr>
            <w:tcW w:w="5386" w:type="dxa"/>
            <w:shd w:val="clear" w:color="auto" w:fill="auto"/>
          </w:tcPr>
          <w:p w:rsidR="00AA0CE9" w:rsidRPr="00C831DE" w:rsidRDefault="00AA0CE9" w:rsidP="005F4820">
            <w:pPr>
              <w:spacing w:line="260" w:lineRule="exact"/>
              <w:rPr>
                <w:lang w:val="sl-SI"/>
              </w:rPr>
            </w:pPr>
            <w:r w:rsidRPr="00C831DE">
              <w:rPr>
                <w:lang w:val="sl-SI"/>
              </w:rPr>
              <w:t>SIST EN ISO/IEC 17065</w:t>
            </w:r>
            <w:r w:rsidR="001A17E3" w:rsidRPr="00C831DE">
              <w:rPr>
                <w:lang w:val="sl-SI"/>
              </w:rPr>
              <w:t xml:space="preserve"> in dodatno:</w:t>
            </w:r>
          </w:p>
          <w:p w:rsidR="00AA0CE9" w:rsidRPr="00C831DE" w:rsidRDefault="00AA0CE9" w:rsidP="005F4820">
            <w:pPr>
              <w:numPr>
                <w:ilvl w:val="0"/>
                <w:numId w:val="41"/>
              </w:numPr>
              <w:spacing w:line="260" w:lineRule="exact"/>
              <w:rPr>
                <w:lang w:val="sl-SI"/>
              </w:rPr>
            </w:pPr>
            <w:r w:rsidRPr="00C831DE">
              <w:rPr>
                <w:lang w:val="sl-SI"/>
              </w:rPr>
              <w:t xml:space="preserve">Če </w:t>
            </w:r>
            <w:r w:rsidR="001A17E3" w:rsidRPr="00C831DE">
              <w:rPr>
                <w:lang w:val="sl-SI"/>
              </w:rPr>
              <w:t>je zahtevano</w:t>
            </w:r>
            <w:r w:rsidRPr="00C831DE">
              <w:rPr>
                <w:lang w:val="sl-SI"/>
              </w:rPr>
              <w:t xml:space="preserve"> preskušanje proizvodov, </w:t>
            </w:r>
            <w:r w:rsidR="001A17E3" w:rsidRPr="00C831DE">
              <w:rPr>
                <w:lang w:val="sl-SI"/>
              </w:rPr>
              <w:t>izpolnjevanje zahtev točke 6. in 7. (razen 7.9)</w:t>
            </w:r>
            <w:r w:rsidRPr="00C831DE">
              <w:rPr>
                <w:lang w:val="sl-SI"/>
              </w:rPr>
              <w:t xml:space="preserve"> standard</w:t>
            </w:r>
            <w:r w:rsidR="001A17E3" w:rsidRPr="00C831DE">
              <w:rPr>
                <w:lang w:val="sl-SI"/>
              </w:rPr>
              <w:t>a</w:t>
            </w:r>
            <w:r w:rsidRPr="00C831DE">
              <w:rPr>
                <w:lang w:val="sl-SI"/>
              </w:rPr>
              <w:t xml:space="preserve"> SIST EN ISO/IEC 17025</w:t>
            </w:r>
          </w:p>
          <w:p w:rsidR="00AA0CE9" w:rsidRPr="00C831DE" w:rsidRDefault="001A17E3" w:rsidP="005F4820">
            <w:pPr>
              <w:numPr>
                <w:ilvl w:val="0"/>
                <w:numId w:val="41"/>
              </w:numPr>
              <w:spacing w:line="260" w:lineRule="exact"/>
              <w:rPr>
                <w:lang w:val="sl-SI"/>
              </w:rPr>
            </w:pPr>
            <w:r w:rsidRPr="00C831DE">
              <w:rPr>
                <w:lang w:val="sl-SI"/>
              </w:rPr>
              <w:t>Če je zahtevano poznavanje zahtev za proizvod, izpolnjevanje zahtev točk 6.1.2, 6.1.3 in 6.1.6 do 6.1.10 standarda SIST EN ISO/IEC 17020</w:t>
            </w:r>
          </w:p>
        </w:tc>
      </w:tr>
      <w:tr w:rsidR="00AA0CE9" w:rsidRPr="00C831DE" w:rsidTr="00715A88">
        <w:trPr>
          <w:trHeight w:val="845"/>
        </w:trPr>
        <w:tc>
          <w:tcPr>
            <w:tcW w:w="3936" w:type="dxa"/>
            <w:shd w:val="clear" w:color="auto" w:fill="auto"/>
            <w:vAlign w:val="center"/>
          </w:tcPr>
          <w:p w:rsidR="00AA0CE9" w:rsidRPr="00C831DE" w:rsidRDefault="00AA0CE9" w:rsidP="005F4820">
            <w:pPr>
              <w:spacing w:line="260" w:lineRule="exact"/>
              <w:jc w:val="center"/>
              <w:rPr>
                <w:rFonts w:eastAsia="Calibri" w:cs="Arial"/>
                <w:szCs w:val="20"/>
                <w:lang w:val="sl-SI"/>
              </w:rPr>
            </w:pPr>
            <w:r w:rsidRPr="00C831DE">
              <w:rPr>
                <w:rFonts w:eastAsia="Calibri" w:cs="Arial"/>
                <w:szCs w:val="20"/>
                <w:lang w:val="sl-SI"/>
              </w:rPr>
              <w:t>Certificiranje sistemov kontrole proizvodnje – sistem 2+</w:t>
            </w:r>
          </w:p>
        </w:tc>
        <w:tc>
          <w:tcPr>
            <w:tcW w:w="5386" w:type="dxa"/>
            <w:shd w:val="clear" w:color="auto" w:fill="auto"/>
          </w:tcPr>
          <w:p w:rsidR="001A17E3" w:rsidRPr="00C831DE" w:rsidRDefault="00AA0CE9" w:rsidP="005F4820">
            <w:pPr>
              <w:spacing w:line="260" w:lineRule="exact"/>
              <w:rPr>
                <w:lang w:val="sl-SI"/>
              </w:rPr>
            </w:pPr>
            <w:r w:rsidRPr="00C831DE">
              <w:rPr>
                <w:lang w:val="sl-SI"/>
              </w:rPr>
              <w:t>SIST EN ISO/IEC 17065</w:t>
            </w:r>
            <w:r w:rsidR="001A17E3" w:rsidRPr="00C831DE">
              <w:rPr>
                <w:lang w:val="sl-SI"/>
              </w:rPr>
              <w:t xml:space="preserve"> in dodatno:</w:t>
            </w:r>
          </w:p>
          <w:p w:rsidR="00AA0CE9" w:rsidRPr="00C831DE" w:rsidRDefault="001A17E3" w:rsidP="005F4820">
            <w:pPr>
              <w:numPr>
                <w:ilvl w:val="0"/>
                <w:numId w:val="41"/>
              </w:numPr>
              <w:spacing w:line="260" w:lineRule="exact"/>
              <w:rPr>
                <w:lang w:val="sl-SI"/>
              </w:rPr>
            </w:pPr>
            <w:r w:rsidRPr="00C831DE">
              <w:rPr>
                <w:lang w:val="sl-SI"/>
              </w:rPr>
              <w:t>Če je zahtevano poznavanje zahtev za proizvod, izpolnjevanje zahtev točk 6.1.2, 6.1.3 in 6.1.6 do 6.1.10 standarda SIST EN ISO/IEC 17020</w:t>
            </w:r>
          </w:p>
        </w:tc>
      </w:tr>
      <w:tr w:rsidR="00AA0CE9" w:rsidRPr="00C831DE" w:rsidTr="00715A88">
        <w:trPr>
          <w:trHeight w:val="843"/>
        </w:trPr>
        <w:tc>
          <w:tcPr>
            <w:tcW w:w="3936" w:type="dxa"/>
            <w:shd w:val="clear" w:color="auto" w:fill="auto"/>
            <w:vAlign w:val="center"/>
          </w:tcPr>
          <w:p w:rsidR="00AA0CE9" w:rsidRPr="00C831DE" w:rsidRDefault="00AA0CE9" w:rsidP="005F4820">
            <w:pPr>
              <w:spacing w:line="260" w:lineRule="exact"/>
              <w:jc w:val="center"/>
              <w:rPr>
                <w:rFonts w:eastAsia="Calibri" w:cs="Arial"/>
                <w:szCs w:val="20"/>
                <w:lang w:val="sl-SI"/>
              </w:rPr>
            </w:pPr>
            <w:r w:rsidRPr="00C831DE">
              <w:rPr>
                <w:rFonts w:eastAsia="Calibri" w:cs="Arial"/>
                <w:szCs w:val="20"/>
                <w:lang w:val="sl-SI"/>
              </w:rPr>
              <w:lastRenderedPageBreak/>
              <w:t xml:space="preserve">Določanje tipa proizvoda – </w:t>
            </w:r>
          </w:p>
          <w:p w:rsidR="00AA0CE9" w:rsidRPr="00C831DE" w:rsidRDefault="00AA0CE9" w:rsidP="005F4820">
            <w:pPr>
              <w:spacing w:line="260" w:lineRule="exact"/>
              <w:jc w:val="center"/>
              <w:rPr>
                <w:rFonts w:eastAsia="Calibri" w:cs="Arial"/>
                <w:szCs w:val="20"/>
                <w:lang w:val="sl-SI"/>
              </w:rPr>
            </w:pPr>
            <w:r w:rsidRPr="00C831DE">
              <w:rPr>
                <w:rFonts w:eastAsia="Calibri" w:cs="Arial"/>
                <w:szCs w:val="20"/>
                <w:lang w:val="sl-SI"/>
              </w:rPr>
              <w:t>sistem 3</w:t>
            </w:r>
          </w:p>
        </w:tc>
        <w:tc>
          <w:tcPr>
            <w:tcW w:w="5386" w:type="dxa"/>
            <w:shd w:val="clear" w:color="auto" w:fill="auto"/>
          </w:tcPr>
          <w:p w:rsidR="00AA0CE9" w:rsidRPr="00C831DE" w:rsidRDefault="00AA0CE9" w:rsidP="005F4820">
            <w:pPr>
              <w:spacing w:line="260" w:lineRule="exact"/>
              <w:rPr>
                <w:lang w:val="sl-SI"/>
              </w:rPr>
            </w:pPr>
            <w:r w:rsidRPr="00C831DE">
              <w:rPr>
                <w:lang w:val="sl-SI"/>
              </w:rPr>
              <w:t>SIST EN ISO/IEC 17025</w:t>
            </w:r>
          </w:p>
        </w:tc>
      </w:tr>
    </w:tbl>
    <w:p w:rsidR="004C0386" w:rsidRPr="00D21A83" w:rsidRDefault="001365E2" w:rsidP="009735FC">
      <w:pPr>
        <w:pStyle w:val="Naslov2"/>
        <w:spacing w:after="200"/>
        <w:rPr>
          <w:rFonts w:eastAsia="Calibri"/>
          <w:lang w:val="sl-SI"/>
        </w:rPr>
      </w:pPr>
      <w:bookmarkStart w:id="9" w:name="_Toc92353270"/>
      <w:r w:rsidRPr="00D21A83">
        <w:rPr>
          <w:rFonts w:eastAsia="Calibri"/>
          <w:lang w:val="sl-SI"/>
        </w:rPr>
        <w:t>PODROČJE PRIGLASITVE</w:t>
      </w:r>
      <w:bookmarkEnd w:id="9"/>
    </w:p>
    <w:p w:rsidR="00F65C84" w:rsidRPr="00E60344" w:rsidRDefault="009C2E69" w:rsidP="009735FC">
      <w:pPr>
        <w:spacing w:after="200" w:line="260" w:lineRule="exact"/>
        <w:jc w:val="both"/>
        <w:rPr>
          <w:rFonts w:eastAsia="Calibri" w:cs="Arial"/>
          <w:szCs w:val="20"/>
          <w:lang w:val="sl-SI"/>
        </w:rPr>
      </w:pPr>
      <w:r w:rsidRPr="00E60344">
        <w:rPr>
          <w:rFonts w:eastAsia="Calibri" w:cs="Arial"/>
          <w:szCs w:val="20"/>
          <w:lang w:val="sl-SI"/>
        </w:rPr>
        <w:t xml:space="preserve">Vložnik, ki </w:t>
      </w:r>
      <w:r w:rsidR="00637071">
        <w:rPr>
          <w:rFonts w:eastAsia="Calibri" w:cs="Arial"/>
          <w:szCs w:val="20"/>
          <w:lang w:val="sl-SI"/>
        </w:rPr>
        <w:t>želi biti organ AVCP</w:t>
      </w:r>
      <w:r w:rsidRPr="00E60344">
        <w:rPr>
          <w:rFonts w:eastAsia="Calibri" w:cs="Arial"/>
          <w:szCs w:val="20"/>
          <w:lang w:val="sl-SI"/>
        </w:rPr>
        <w:t xml:space="preserve">, </w:t>
      </w:r>
      <w:r w:rsidR="004C0386" w:rsidRPr="00E60344">
        <w:rPr>
          <w:rFonts w:eastAsia="Calibri" w:cs="Arial"/>
          <w:szCs w:val="20"/>
          <w:lang w:val="sl-SI"/>
        </w:rPr>
        <w:t>mora</w:t>
      </w:r>
      <w:r w:rsidR="006D0CCB" w:rsidRPr="00E60344">
        <w:rPr>
          <w:rFonts w:eastAsia="Calibri" w:cs="Arial"/>
          <w:szCs w:val="20"/>
          <w:lang w:val="sl-SI"/>
        </w:rPr>
        <w:t xml:space="preserve"> v vlogi za določitev in priglasitev organa</w:t>
      </w:r>
      <w:r w:rsidR="00574A55">
        <w:rPr>
          <w:rFonts w:eastAsia="Calibri" w:cs="Arial"/>
          <w:szCs w:val="20"/>
          <w:lang w:val="sl-SI"/>
        </w:rPr>
        <w:t xml:space="preserve"> AVCP</w:t>
      </w:r>
      <w:r w:rsidR="006D0CCB" w:rsidRPr="00E60344">
        <w:rPr>
          <w:rFonts w:eastAsia="Calibri" w:cs="Arial"/>
          <w:szCs w:val="20"/>
          <w:lang w:val="sl-SI"/>
        </w:rPr>
        <w:t xml:space="preserve">, </w:t>
      </w:r>
      <w:r w:rsidR="004C0386" w:rsidRPr="00E60344">
        <w:rPr>
          <w:rFonts w:eastAsia="Calibri" w:cs="Arial"/>
          <w:szCs w:val="20"/>
          <w:lang w:val="sl-SI"/>
        </w:rPr>
        <w:t>navesti</w:t>
      </w:r>
      <w:r w:rsidR="00F65C84" w:rsidRPr="00E60344">
        <w:rPr>
          <w:rFonts w:eastAsia="Calibri" w:cs="Arial"/>
          <w:szCs w:val="20"/>
          <w:lang w:val="sl-SI"/>
        </w:rPr>
        <w:t>:</w:t>
      </w:r>
    </w:p>
    <w:p w:rsidR="00F65C84" w:rsidRPr="00E60344" w:rsidRDefault="00F65C84" w:rsidP="009735FC">
      <w:pPr>
        <w:numPr>
          <w:ilvl w:val="0"/>
          <w:numId w:val="20"/>
        </w:numPr>
        <w:spacing w:after="200" w:line="260" w:lineRule="exact"/>
        <w:ind w:left="714" w:hanging="357"/>
        <w:jc w:val="both"/>
        <w:rPr>
          <w:rFonts w:eastAsia="Calibri" w:cs="Arial"/>
          <w:szCs w:val="20"/>
          <w:lang w:val="sl-SI"/>
        </w:rPr>
      </w:pPr>
      <w:r w:rsidRPr="00E60344">
        <w:rPr>
          <w:rFonts w:eastAsia="Calibri" w:cs="Arial"/>
          <w:szCs w:val="20"/>
          <w:lang w:val="sl-SI"/>
        </w:rPr>
        <w:t xml:space="preserve">sklic na </w:t>
      </w:r>
      <w:r w:rsidR="00D311A4" w:rsidRPr="00E60344">
        <w:rPr>
          <w:rFonts w:eastAsia="Calibri" w:cs="Arial"/>
          <w:szCs w:val="20"/>
          <w:lang w:val="sl-SI"/>
        </w:rPr>
        <w:t>zakonodajo, ki je podlaga za delovanje priglašenega organa</w:t>
      </w:r>
      <w:r w:rsidRPr="00E60344">
        <w:rPr>
          <w:rFonts w:eastAsia="Calibri" w:cs="Arial"/>
          <w:szCs w:val="20"/>
          <w:lang w:val="sl-SI"/>
        </w:rPr>
        <w:t>,</w:t>
      </w:r>
    </w:p>
    <w:p w:rsidR="00F65C84" w:rsidRPr="00E60344" w:rsidRDefault="00995C65" w:rsidP="009735FC">
      <w:pPr>
        <w:numPr>
          <w:ilvl w:val="0"/>
          <w:numId w:val="20"/>
        </w:numPr>
        <w:spacing w:after="200" w:line="260" w:lineRule="exact"/>
        <w:ind w:left="714" w:hanging="357"/>
        <w:jc w:val="both"/>
        <w:rPr>
          <w:rFonts w:eastAsia="Calibri" w:cs="Arial"/>
          <w:szCs w:val="20"/>
          <w:lang w:val="sl-SI"/>
        </w:rPr>
      </w:pPr>
      <w:r w:rsidRPr="00E60344">
        <w:rPr>
          <w:rFonts w:eastAsia="Calibri" w:cs="Arial"/>
          <w:szCs w:val="20"/>
          <w:lang w:val="sl-SI"/>
        </w:rPr>
        <w:t>vrsto, področje in obseg nalog ter proizvodov</w:t>
      </w:r>
      <w:r w:rsidR="00F65C84" w:rsidRPr="00E60344">
        <w:rPr>
          <w:rFonts w:eastAsia="Calibri" w:cs="Arial"/>
          <w:szCs w:val="20"/>
          <w:lang w:val="sl-SI"/>
        </w:rPr>
        <w:t xml:space="preserve"> na katere se naloge nanašajo,</w:t>
      </w:r>
    </w:p>
    <w:p w:rsidR="00F65C84" w:rsidRPr="00E60344" w:rsidRDefault="009C2E69" w:rsidP="009735FC">
      <w:pPr>
        <w:numPr>
          <w:ilvl w:val="0"/>
          <w:numId w:val="20"/>
        </w:numPr>
        <w:spacing w:after="200" w:line="260" w:lineRule="exact"/>
        <w:ind w:left="714" w:hanging="357"/>
        <w:jc w:val="both"/>
        <w:rPr>
          <w:rFonts w:eastAsia="Calibri" w:cs="Arial"/>
          <w:szCs w:val="20"/>
          <w:lang w:val="sl-SI"/>
        </w:rPr>
      </w:pPr>
      <w:r w:rsidRPr="00E60344">
        <w:rPr>
          <w:rFonts w:eastAsia="Calibri" w:cs="Arial"/>
          <w:szCs w:val="20"/>
          <w:lang w:val="sl-SI"/>
        </w:rPr>
        <w:t>referenčno oznako in naslov harmoniziranega standarda</w:t>
      </w:r>
      <w:r w:rsidR="001E637C" w:rsidRPr="00E60344">
        <w:rPr>
          <w:rFonts w:eastAsia="Calibri" w:cs="Arial"/>
          <w:szCs w:val="20"/>
          <w:lang w:val="sl-SI"/>
        </w:rPr>
        <w:t xml:space="preserve"> oziroma evropskega ocenjevalnega dokumenta</w:t>
      </w:r>
      <w:r w:rsidR="00F65C84" w:rsidRPr="00E60344">
        <w:rPr>
          <w:rFonts w:eastAsia="Calibri" w:cs="Arial"/>
          <w:szCs w:val="20"/>
          <w:lang w:val="sl-SI"/>
        </w:rPr>
        <w:t>,</w:t>
      </w:r>
    </w:p>
    <w:p w:rsidR="00F65C84" w:rsidRPr="00E60344" w:rsidRDefault="00995C65" w:rsidP="009735FC">
      <w:pPr>
        <w:numPr>
          <w:ilvl w:val="0"/>
          <w:numId w:val="20"/>
        </w:numPr>
        <w:spacing w:after="200" w:line="260" w:lineRule="exact"/>
        <w:ind w:left="714" w:hanging="357"/>
        <w:jc w:val="both"/>
        <w:rPr>
          <w:rFonts w:eastAsia="Calibri" w:cs="Arial"/>
          <w:szCs w:val="20"/>
          <w:lang w:val="sl-SI"/>
        </w:rPr>
      </w:pPr>
      <w:r w:rsidRPr="00E60344">
        <w:rPr>
          <w:rFonts w:eastAsia="Calibri" w:cs="Arial"/>
          <w:szCs w:val="20"/>
          <w:lang w:val="sl-SI"/>
        </w:rPr>
        <w:t xml:space="preserve">sistem </w:t>
      </w:r>
      <w:r w:rsidR="005B26ED" w:rsidRPr="00E60344">
        <w:rPr>
          <w:rFonts w:eastAsia="Calibri" w:cs="Arial"/>
          <w:szCs w:val="20"/>
          <w:lang w:val="sl-SI"/>
        </w:rPr>
        <w:t>ocenjevanja in preverjanja nespremenljivosti lastnosti</w:t>
      </w:r>
      <w:r w:rsidR="005B26ED" w:rsidRPr="00E60344" w:rsidDel="005B26ED">
        <w:rPr>
          <w:rFonts w:eastAsia="Calibri" w:cs="Arial"/>
          <w:szCs w:val="20"/>
          <w:lang w:val="sl-SI"/>
        </w:rPr>
        <w:t xml:space="preserve"> </w:t>
      </w:r>
      <w:r w:rsidR="009C2E69" w:rsidRPr="00E60344">
        <w:rPr>
          <w:rFonts w:eastAsia="Calibri" w:cs="Arial"/>
          <w:szCs w:val="20"/>
          <w:lang w:val="sl-SI"/>
        </w:rPr>
        <w:t xml:space="preserve">iz priloge V Uredbe 305/2011/EU </w:t>
      </w:r>
      <w:r w:rsidRPr="00E60344">
        <w:rPr>
          <w:rFonts w:eastAsia="Calibri" w:cs="Arial"/>
          <w:szCs w:val="20"/>
          <w:lang w:val="sl-SI"/>
        </w:rPr>
        <w:t>(sis</w:t>
      </w:r>
      <w:r w:rsidR="00043F7E" w:rsidRPr="00E60344">
        <w:rPr>
          <w:rFonts w:eastAsia="Calibri" w:cs="Arial"/>
          <w:szCs w:val="20"/>
          <w:lang w:val="sl-SI"/>
        </w:rPr>
        <w:t>tem 1, 1+, 2+, 3</w:t>
      </w:r>
      <w:r w:rsidRPr="00E60344">
        <w:rPr>
          <w:rFonts w:eastAsia="Calibri" w:cs="Arial"/>
          <w:szCs w:val="20"/>
          <w:lang w:val="sl-SI"/>
        </w:rPr>
        <w:t xml:space="preserve">) ter </w:t>
      </w:r>
    </w:p>
    <w:p w:rsidR="004C0386" w:rsidRPr="00555EF5" w:rsidRDefault="009C2E69" w:rsidP="009735FC">
      <w:pPr>
        <w:numPr>
          <w:ilvl w:val="0"/>
          <w:numId w:val="20"/>
        </w:numPr>
        <w:spacing w:after="200" w:line="260" w:lineRule="exact"/>
        <w:ind w:left="714" w:hanging="357"/>
        <w:jc w:val="both"/>
        <w:rPr>
          <w:rFonts w:eastAsia="Calibri" w:cs="Arial"/>
          <w:szCs w:val="20"/>
          <w:lang w:val="sl-SI"/>
        </w:rPr>
      </w:pPr>
      <w:r w:rsidRPr="00F43874">
        <w:rPr>
          <w:rFonts w:eastAsia="Calibri" w:cs="Arial"/>
          <w:szCs w:val="20"/>
          <w:lang w:val="sl-SI"/>
        </w:rPr>
        <w:t>naloge, ki jih namerava izvajati</w:t>
      </w:r>
      <w:r w:rsidR="00995C65" w:rsidRPr="00F43874">
        <w:rPr>
          <w:rFonts w:eastAsia="Calibri" w:cs="Arial"/>
          <w:szCs w:val="20"/>
          <w:lang w:val="sl-SI"/>
        </w:rPr>
        <w:t xml:space="preserve"> (</w:t>
      </w:r>
      <w:r w:rsidR="00D871BC" w:rsidRPr="00F43874">
        <w:rPr>
          <w:rFonts w:eastAsia="Calibri" w:cs="Arial"/>
          <w:szCs w:val="20"/>
          <w:lang w:val="sl-SI"/>
        </w:rPr>
        <w:t xml:space="preserve">certificiranje proizvodov, </w:t>
      </w:r>
      <w:r w:rsidRPr="00F43874">
        <w:rPr>
          <w:rFonts w:eastAsia="Calibri" w:cs="Arial"/>
          <w:szCs w:val="20"/>
          <w:lang w:val="sl-SI"/>
        </w:rPr>
        <w:t xml:space="preserve">certificiranje kontrole proizvodnje, </w:t>
      </w:r>
      <w:r w:rsidR="00D311A4" w:rsidRPr="00555EF5">
        <w:rPr>
          <w:rFonts w:eastAsia="Calibri" w:cs="Arial"/>
          <w:szCs w:val="20"/>
          <w:lang w:val="sl-SI"/>
        </w:rPr>
        <w:t>določanje tipa proizvoda</w:t>
      </w:r>
      <w:r w:rsidR="00D871BC" w:rsidRPr="00555EF5">
        <w:rPr>
          <w:rFonts w:eastAsia="Calibri" w:cs="Arial"/>
          <w:szCs w:val="20"/>
          <w:lang w:val="sl-SI"/>
        </w:rPr>
        <w:t>).</w:t>
      </w:r>
    </w:p>
    <w:p w:rsidR="00670580" w:rsidRPr="00555EF5" w:rsidRDefault="00395634" w:rsidP="00395634">
      <w:pPr>
        <w:spacing w:after="200" w:line="260" w:lineRule="exact"/>
        <w:jc w:val="both"/>
        <w:rPr>
          <w:rFonts w:eastAsia="Calibri"/>
          <w:lang w:val="sl-SI"/>
        </w:rPr>
      </w:pPr>
      <w:r w:rsidRPr="00555EF5">
        <w:rPr>
          <w:rFonts w:cs="Arial"/>
          <w:lang w:val="sl-SI"/>
        </w:rPr>
        <w:t xml:space="preserve">V kolikor vložnik vlogi priloži oziroma se v vlogi sklicuje na akreditacijsko listino za namen </w:t>
      </w:r>
      <w:r w:rsidRPr="00555EF5">
        <w:rPr>
          <w:rFonts w:eastAsia="Calibri" w:cs="Arial"/>
          <w:szCs w:val="20"/>
          <w:lang w:val="sl-SI"/>
        </w:rPr>
        <w:t>priglasitve</w:t>
      </w:r>
      <w:r w:rsidRPr="00555EF5">
        <w:rPr>
          <w:rFonts w:cs="Arial"/>
          <w:lang w:val="sl-SI"/>
        </w:rPr>
        <w:t xml:space="preserve">, izdano za gradbene proizvode, ki so predmet vloge, mu vlogi za določitev za organ AVCP ni potrebno priložiti dokumentov, ki izkazujejo izpolnjevanje zahtev Uredbe 305/2011/EU za priglašene organe. </w:t>
      </w:r>
      <w:r w:rsidR="00670580" w:rsidRPr="00555EF5">
        <w:rPr>
          <w:rFonts w:eastAsia="Calibri"/>
          <w:lang w:val="sl-SI"/>
        </w:rPr>
        <w:t xml:space="preserve">V akreditacijski listini za namen </w:t>
      </w:r>
      <w:r w:rsidR="00670580" w:rsidRPr="00555EF5">
        <w:rPr>
          <w:rFonts w:eastAsia="Calibri" w:cs="Arial"/>
          <w:szCs w:val="20"/>
          <w:lang w:val="sl-SI"/>
        </w:rPr>
        <w:t>priglasitve</w:t>
      </w:r>
      <w:r w:rsidR="00670580" w:rsidRPr="00555EF5">
        <w:rPr>
          <w:rFonts w:eastAsia="Calibri"/>
          <w:lang w:val="sl-SI"/>
        </w:rPr>
        <w:t xml:space="preserve"> morajo biti navedeni vsaj naslednji podatki:</w:t>
      </w:r>
    </w:p>
    <w:p w:rsidR="00670580" w:rsidRPr="00555EF5" w:rsidRDefault="00670580" w:rsidP="00670580">
      <w:pPr>
        <w:numPr>
          <w:ilvl w:val="0"/>
          <w:numId w:val="40"/>
        </w:numPr>
        <w:spacing w:after="200" w:line="260" w:lineRule="exact"/>
        <w:ind w:left="714" w:hanging="357"/>
        <w:rPr>
          <w:rFonts w:cs="Arial"/>
          <w:lang w:val="sl-SI"/>
        </w:rPr>
      </w:pPr>
      <w:r w:rsidRPr="00555EF5">
        <w:rPr>
          <w:rFonts w:cs="Arial"/>
          <w:lang w:val="sl-SI"/>
        </w:rPr>
        <w:t>harmoniziran standard družine 17000, uporabljen za akreditacijsko presojo organa,</w:t>
      </w:r>
    </w:p>
    <w:p w:rsidR="00670580" w:rsidRPr="00555EF5" w:rsidRDefault="00670580" w:rsidP="00670580">
      <w:pPr>
        <w:numPr>
          <w:ilvl w:val="0"/>
          <w:numId w:val="40"/>
        </w:numPr>
        <w:spacing w:after="200" w:line="260" w:lineRule="exact"/>
        <w:ind w:left="714" w:hanging="357"/>
        <w:rPr>
          <w:rFonts w:cs="Arial"/>
          <w:lang w:val="sl-SI"/>
        </w:rPr>
      </w:pPr>
      <w:r w:rsidRPr="00555EF5">
        <w:rPr>
          <w:rFonts w:cs="Arial"/>
          <w:lang w:val="sl-SI"/>
        </w:rPr>
        <w:t>sklic na Uredbo 305/2011/EU,</w:t>
      </w:r>
    </w:p>
    <w:p w:rsidR="00670580" w:rsidRPr="00555EF5" w:rsidRDefault="00670580" w:rsidP="00670580">
      <w:pPr>
        <w:numPr>
          <w:ilvl w:val="0"/>
          <w:numId w:val="40"/>
        </w:numPr>
        <w:spacing w:after="200" w:line="260" w:lineRule="exact"/>
        <w:ind w:left="714" w:hanging="357"/>
        <w:rPr>
          <w:rFonts w:cs="Arial"/>
          <w:lang w:val="sl-SI"/>
        </w:rPr>
      </w:pPr>
      <w:r w:rsidRPr="00555EF5">
        <w:rPr>
          <w:rFonts w:cs="Arial"/>
          <w:lang w:val="sl-SI"/>
        </w:rPr>
        <w:t>družina proizvodov, zajetih z akreditacijsko listino (npr. Sklep 97/176/ES Lesni konstrukcijski proizvodi),</w:t>
      </w:r>
    </w:p>
    <w:p w:rsidR="00395634" w:rsidRPr="00555EF5" w:rsidRDefault="00670580" w:rsidP="00670580">
      <w:pPr>
        <w:numPr>
          <w:ilvl w:val="0"/>
          <w:numId w:val="40"/>
        </w:numPr>
        <w:spacing w:after="200" w:line="260" w:lineRule="exact"/>
        <w:ind w:left="714" w:hanging="357"/>
        <w:rPr>
          <w:rFonts w:cs="Arial"/>
          <w:lang w:val="sl-SI"/>
        </w:rPr>
      </w:pPr>
      <w:r w:rsidRPr="00555EF5">
        <w:rPr>
          <w:rFonts w:cs="Arial"/>
          <w:lang w:val="sl-SI"/>
        </w:rPr>
        <w:t>specifikacija proizvodov, zajetih z akreditacijsko listino (naveden harmoniziran standard oziroma evropski ocenjevalni dokument)</w:t>
      </w:r>
      <w:r w:rsidR="00395634" w:rsidRPr="00555EF5">
        <w:rPr>
          <w:rFonts w:cs="Arial"/>
          <w:lang w:val="sl-SI"/>
        </w:rPr>
        <w:t>,</w:t>
      </w:r>
    </w:p>
    <w:p w:rsidR="00670580" w:rsidRPr="00555EF5" w:rsidRDefault="00395634" w:rsidP="00395634">
      <w:pPr>
        <w:numPr>
          <w:ilvl w:val="0"/>
          <w:numId w:val="40"/>
        </w:numPr>
        <w:spacing w:after="200" w:line="260" w:lineRule="exact"/>
        <w:ind w:left="714" w:hanging="357"/>
        <w:rPr>
          <w:rFonts w:cs="Arial"/>
          <w:lang w:val="sl-SI"/>
        </w:rPr>
      </w:pPr>
      <w:r w:rsidRPr="00555EF5">
        <w:rPr>
          <w:rFonts w:cs="Arial"/>
          <w:lang w:val="sl-SI"/>
        </w:rPr>
        <w:t>sistemi AVCP (1+, 1, 2+ in/ali 3) glede na Prilogo V Uredbe 305/2011/EU</w:t>
      </w:r>
      <w:r w:rsidR="00670580" w:rsidRPr="00555EF5">
        <w:rPr>
          <w:rFonts w:cs="Arial"/>
          <w:lang w:val="sl-SI"/>
        </w:rPr>
        <w:t>.</w:t>
      </w:r>
    </w:p>
    <w:p w:rsidR="0076222B" w:rsidRPr="00555EF5" w:rsidRDefault="0076222B" w:rsidP="0076222B">
      <w:pPr>
        <w:spacing w:after="200" w:line="260" w:lineRule="exact"/>
        <w:jc w:val="both"/>
        <w:rPr>
          <w:rFonts w:cs="Arial"/>
          <w:lang w:val="sl-SI"/>
        </w:rPr>
      </w:pPr>
      <w:r w:rsidRPr="00555EF5">
        <w:rPr>
          <w:rFonts w:cs="Arial"/>
          <w:lang w:val="sl-SI"/>
        </w:rPr>
        <w:t xml:space="preserve">V kolikor ima vložnik akreditacijsko listino za gradbene proizvode za namen </w:t>
      </w:r>
      <w:r w:rsidRPr="00555EF5">
        <w:rPr>
          <w:rFonts w:eastAsia="Calibri" w:cs="Arial"/>
          <w:szCs w:val="20"/>
          <w:lang w:val="sl-SI"/>
        </w:rPr>
        <w:t>priglasitve</w:t>
      </w:r>
      <w:r w:rsidRPr="00555EF5">
        <w:rPr>
          <w:rFonts w:cs="Arial"/>
          <w:lang w:val="sl-SI"/>
        </w:rPr>
        <w:t xml:space="preserve">, ki ni izdana za gradbene proizvode, ki so predmet vloge, vendar pa velja za gradbene proizvode v </w:t>
      </w:r>
      <w:r w:rsidR="00293150" w:rsidRPr="00555EF5">
        <w:rPr>
          <w:rFonts w:cs="Arial"/>
          <w:lang w:val="sl-SI"/>
        </w:rPr>
        <w:t xml:space="preserve">akreditacijski </w:t>
      </w:r>
      <w:r w:rsidRPr="00555EF5">
        <w:rPr>
          <w:rFonts w:cs="Arial"/>
          <w:lang w:val="sl-SI"/>
        </w:rPr>
        <w:t>listini in vlogi</w:t>
      </w:r>
      <w:r w:rsidR="00293150" w:rsidRPr="00555EF5">
        <w:rPr>
          <w:rFonts w:eastAsia="Calibri" w:cs="Arial"/>
          <w:szCs w:val="20"/>
          <w:lang w:val="sl-SI"/>
        </w:rPr>
        <w:t xml:space="preserve"> za določitev in priglasitev organa AVCP</w:t>
      </w:r>
      <w:r w:rsidRPr="00555EF5">
        <w:rPr>
          <w:rFonts w:cs="Arial"/>
          <w:lang w:val="sl-SI"/>
        </w:rPr>
        <w:t xml:space="preserve"> isti sistem AVCP</w:t>
      </w:r>
      <w:r w:rsidR="009C5512" w:rsidRPr="00555EF5">
        <w:rPr>
          <w:rFonts w:cs="Arial"/>
          <w:lang w:val="sl-SI"/>
        </w:rPr>
        <w:t xml:space="preserve"> oziroma gre za proizvode iz iste družine proizvodov</w:t>
      </w:r>
      <w:r w:rsidRPr="00555EF5">
        <w:rPr>
          <w:rFonts w:cs="Arial"/>
          <w:lang w:val="sl-SI"/>
        </w:rPr>
        <w:t>, mora vlogi priložiti dokazila, ki izkazujejo izpolnjevanje zahtev</w:t>
      </w:r>
      <w:r w:rsidRPr="00555EF5">
        <w:rPr>
          <w:lang w:val="sl-SI"/>
        </w:rPr>
        <w:t xml:space="preserve"> točk 6.4, 6.5 in 6.7</w:t>
      </w:r>
      <w:r w:rsidRPr="00555EF5">
        <w:rPr>
          <w:rStyle w:val="Sprotnaopomba-sklic"/>
          <w:lang w:val="sl-SI"/>
        </w:rPr>
        <w:footnoteReference w:id="3"/>
      </w:r>
      <w:r w:rsidRPr="00555EF5">
        <w:rPr>
          <w:lang w:val="sl-SI"/>
        </w:rPr>
        <w:t xml:space="preserve"> teh Smernic.</w:t>
      </w:r>
      <w:r w:rsidR="00293150" w:rsidRPr="00555EF5">
        <w:rPr>
          <w:lang w:val="sl-SI"/>
        </w:rPr>
        <w:t xml:space="preserve"> Akreditacijska listina mora izkazovati </w:t>
      </w:r>
      <w:r w:rsidR="00293150" w:rsidRPr="00555EF5">
        <w:rPr>
          <w:rFonts w:eastAsia="Calibri" w:cs="Arial"/>
          <w:szCs w:val="20"/>
          <w:lang w:val="sl-SI"/>
        </w:rPr>
        <w:t xml:space="preserve">usposobljenost za izpolnjevanje zahtev v skladu s tistim standardom iz serije SIST EN ISO/IEC 17000, ki je ustrezen glede na </w:t>
      </w:r>
      <w:r w:rsidR="00030575" w:rsidRPr="00555EF5">
        <w:rPr>
          <w:rFonts w:eastAsia="Calibri" w:cs="Arial"/>
          <w:szCs w:val="20"/>
          <w:lang w:val="sl-SI"/>
        </w:rPr>
        <w:t>dejavnost, ki jo namerava opravljati.</w:t>
      </w:r>
    </w:p>
    <w:p w:rsidR="00670580" w:rsidRPr="00555EF5" w:rsidRDefault="00670580" w:rsidP="00670580">
      <w:pPr>
        <w:spacing w:after="200" w:line="260" w:lineRule="exact"/>
        <w:jc w:val="both"/>
        <w:rPr>
          <w:rFonts w:cs="Arial"/>
          <w:lang w:val="sl-SI"/>
        </w:rPr>
      </w:pPr>
      <w:r w:rsidRPr="00555EF5">
        <w:rPr>
          <w:rFonts w:cs="Arial"/>
          <w:lang w:val="sl-SI"/>
        </w:rPr>
        <w:lastRenderedPageBreak/>
        <w:t xml:space="preserve">V kolikor vložnik vlogi priloži oziroma se v vlogi sklicuje na akreditacijsko listino, ki ni izdana za namen </w:t>
      </w:r>
      <w:r w:rsidRPr="00555EF5">
        <w:rPr>
          <w:rFonts w:eastAsia="Calibri" w:cs="Arial"/>
          <w:szCs w:val="20"/>
          <w:lang w:val="sl-SI"/>
        </w:rPr>
        <w:t>priglasitve</w:t>
      </w:r>
      <w:r w:rsidRPr="00555EF5">
        <w:rPr>
          <w:rFonts w:cs="Arial"/>
          <w:lang w:val="sl-SI"/>
        </w:rPr>
        <w:t xml:space="preserve">, </w:t>
      </w:r>
      <w:r w:rsidR="00463DB5" w:rsidRPr="00555EF5">
        <w:rPr>
          <w:rFonts w:cs="Arial"/>
          <w:lang w:val="sl-SI"/>
        </w:rPr>
        <w:t xml:space="preserve">izdano za gradbene proizvode, ki so predmet vloge, </w:t>
      </w:r>
      <w:r w:rsidRPr="00555EF5">
        <w:rPr>
          <w:rFonts w:cs="Arial"/>
          <w:lang w:val="sl-SI"/>
        </w:rPr>
        <w:t>mora vlogi priložiti dokazila, ki izkazujejo izpolnjevanje naslednjih zahtev:</w:t>
      </w:r>
    </w:p>
    <w:p w:rsidR="00670580" w:rsidRPr="003A0E76" w:rsidRDefault="00670580" w:rsidP="00670580">
      <w:pPr>
        <w:numPr>
          <w:ilvl w:val="0"/>
          <w:numId w:val="44"/>
        </w:numPr>
        <w:spacing w:after="200" w:line="260" w:lineRule="exact"/>
        <w:jc w:val="both"/>
        <w:rPr>
          <w:rFonts w:cs="Arial"/>
          <w:lang w:val="sl-SI"/>
        </w:rPr>
      </w:pPr>
      <w:r w:rsidRPr="00555EF5">
        <w:rPr>
          <w:rFonts w:cs="Arial"/>
          <w:lang w:val="sl-SI"/>
        </w:rPr>
        <w:t xml:space="preserve">v kolikor ima vložnik akreditacijsko listino, ki izkazuje izpolnjevanje zahtev standarda </w:t>
      </w:r>
      <w:r w:rsidRPr="00555EF5">
        <w:rPr>
          <w:lang w:val="sl-SI"/>
        </w:rPr>
        <w:t>SIST EN ISO/IEC 17065, in se želi priglasiti kot organ AVCP za sisteme AVCP 1+, 1 in/ali 2+:</w:t>
      </w:r>
      <w:r w:rsidRPr="00555EF5">
        <w:rPr>
          <w:rFonts w:cs="Arial"/>
          <w:lang w:val="sl-SI"/>
        </w:rPr>
        <w:t xml:space="preserve"> </w:t>
      </w:r>
      <w:r w:rsidRPr="00555EF5">
        <w:rPr>
          <w:lang w:val="sl-SI"/>
        </w:rPr>
        <w:t>zahteve</w:t>
      </w:r>
      <w:r w:rsidRPr="003A0E76">
        <w:rPr>
          <w:lang w:val="sl-SI"/>
        </w:rPr>
        <w:t xml:space="preserve"> točk 6.9, 6.10 in 6.12 teh Smernic;</w:t>
      </w:r>
      <w:r w:rsidR="00395634" w:rsidRPr="003A0E76">
        <w:rPr>
          <w:lang w:val="sl-SI"/>
        </w:rPr>
        <w:t xml:space="preserve"> </w:t>
      </w:r>
    </w:p>
    <w:p w:rsidR="00670580" w:rsidRPr="00F43874" w:rsidRDefault="00670580" w:rsidP="00670580">
      <w:pPr>
        <w:numPr>
          <w:ilvl w:val="0"/>
          <w:numId w:val="44"/>
        </w:numPr>
        <w:spacing w:after="200" w:line="260" w:lineRule="exact"/>
        <w:jc w:val="both"/>
        <w:rPr>
          <w:rFonts w:cs="Arial"/>
          <w:lang w:val="sl-SI"/>
        </w:rPr>
      </w:pPr>
      <w:r w:rsidRPr="003A0E76">
        <w:rPr>
          <w:rFonts w:cs="Arial"/>
          <w:lang w:val="sl-SI"/>
        </w:rPr>
        <w:t xml:space="preserve">v kolikor ima vložnik akreditacijsko listino, ki izkazuje izpolnjevanje zahtev standarda </w:t>
      </w:r>
      <w:r w:rsidRPr="003A0E76">
        <w:rPr>
          <w:lang w:val="sl-SI"/>
        </w:rPr>
        <w:t xml:space="preserve">SIST EN ISO/IEC 17025, in se želi priglasiti kot organ AVCP za sistem AVCP 3: zahteve točk 6.8, 6.9, 6.10, </w:t>
      </w:r>
      <w:r w:rsidR="00395634" w:rsidRPr="003A0E76">
        <w:rPr>
          <w:lang w:val="sl-SI"/>
        </w:rPr>
        <w:t>točke 6.12 ter</w:t>
      </w:r>
      <w:r w:rsidR="00463DB5">
        <w:rPr>
          <w:lang w:val="sl-SI"/>
        </w:rPr>
        <w:t xml:space="preserve"> del</w:t>
      </w:r>
      <w:r w:rsidR="00395634" w:rsidRPr="003A0E76">
        <w:rPr>
          <w:lang w:val="sl-SI"/>
        </w:rPr>
        <w:t xml:space="preserve"> </w:t>
      </w:r>
      <w:r w:rsidRPr="003A0E76">
        <w:rPr>
          <w:lang w:val="sl-SI"/>
        </w:rPr>
        <w:t xml:space="preserve">točke 6.11 </w:t>
      </w:r>
      <w:r w:rsidR="00395634" w:rsidRPr="003A0E76">
        <w:rPr>
          <w:lang w:val="sl-SI"/>
        </w:rPr>
        <w:t>(</w:t>
      </w:r>
      <w:r w:rsidR="00463DB5">
        <w:rPr>
          <w:lang w:val="sl-SI"/>
        </w:rPr>
        <w:t>izvzet je</w:t>
      </w:r>
      <w:r w:rsidRPr="003A0E76">
        <w:rPr>
          <w:lang w:val="sl-SI"/>
        </w:rPr>
        <w:t xml:space="preserve"> del, ki se nanaša na </w:t>
      </w:r>
      <w:r w:rsidRPr="003A0E76">
        <w:rPr>
          <w:rFonts w:eastAsia="Calibri" w:cs="Arial"/>
          <w:szCs w:val="20"/>
          <w:lang w:val="sl-SI"/>
        </w:rPr>
        <w:t>spremljanje, ki je namenjeno</w:t>
      </w:r>
      <w:r w:rsidRPr="00F43874">
        <w:rPr>
          <w:rFonts w:eastAsia="Calibri" w:cs="Arial"/>
          <w:szCs w:val="20"/>
          <w:lang w:val="sl-SI"/>
        </w:rPr>
        <w:t xml:space="preserve"> preverjanju nespremenljivosti lastnosti proizvedenega proizvoda</w:t>
      </w:r>
      <w:r w:rsidR="00395634" w:rsidRPr="00F43874">
        <w:rPr>
          <w:rFonts w:eastAsia="Calibri" w:cs="Arial"/>
          <w:szCs w:val="20"/>
          <w:lang w:val="sl-SI"/>
        </w:rPr>
        <w:t xml:space="preserve"> kot določa člen </w:t>
      </w:r>
      <w:r w:rsidRPr="00F43874">
        <w:rPr>
          <w:rFonts w:eastAsia="Calibri"/>
          <w:lang w:val="sl-SI"/>
        </w:rPr>
        <w:t>52/4 in 52/5 Uredbe 305/2011/EU</w:t>
      </w:r>
      <w:r w:rsidRPr="00F43874">
        <w:rPr>
          <w:rFonts w:eastAsia="Calibri" w:cs="Arial"/>
          <w:szCs w:val="20"/>
          <w:lang w:val="sl-SI"/>
        </w:rPr>
        <w:t>)</w:t>
      </w:r>
      <w:r w:rsidRPr="00F43874">
        <w:rPr>
          <w:lang w:val="sl-SI"/>
        </w:rPr>
        <w:t xml:space="preserve"> teh Smernic;</w:t>
      </w:r>
    </w:p>
    <w:p w:rsidR="00670580" w:rsidRPr="00555EF5" w:rsidRDefault="00670580" w:rsidP="00670580">
      <w:pPr>
        <w:numPr>
          <w:ilvl w:val="0"/>
          <w:numId w:val="44"/>
        </w:numPr>
        <w:spacing w:after="200" w:line="260" w:lineRule="exact"/>
        <w:jc w:val="both"/>
        <w:rPr>
          <w:rFonts w:cs="Arial"/>
          <w:lang w:val="sl-SI"/>
        </w:rPr>
      </w:pPr>
      <w:r w:rsidRPr="00F43874">
        <w:rPr>
          <w:rFonts w:cs="Arial"/>
          <w:lang w:val="sl-SI"/>
        </w:rPr>
        <w:t xml:space="preserve">v kolikor ima vložnik akreditacijsko listino, ki izkazuje izpolnjevanje zahtev standarda </w:t>
      </w:r>
      <w:r w:rsidRPr="00F43874">
        <w:rPr>
          <w:lang w:val="sl-SI"/>
        </w:rPr>
        <w:t xml:space="preserve">SIST EN </w:t>
      </w:r>
      <w:r w:rsidRPr="003A0E76">
        <w:rPr>
          <w:lang w:val="sl-SI"/>
        </w:rPr>
        <w:t xml:space="preserve">ISO/IEC 17025, in se želi priglasiti kot organ AVCP za sistem AVCP 1+, 1 ali/in 2+: v tem primeru mora </w:t>
      </w:r>
      <w:r w:rsidRPr="003A0E76">
        <w:rPr>
          <w:rFonts w:cs="Arial"/>
          <w:lang w:val="sl-SI"/>
        </w:rPr>
        <w:t>vlogi priložiti sklenjeno pogodbo s SA za akreditacijo</w:t>
      </w:r>
      <w:r w:rsidR="00F43874" w:rsidRPr="003A0E76">
        <w:rPr>
          <w:rFonts w:cs="Arial"/>
          <w:lang w:val="sl-SI"/>
        </w:rPr>
        <w:t xml:space="preserve"> za namen priglasitve</w:t>
      </w:r>
      <w:r w:rsidRPr="003A0E76">
        <w:rPr>
          <w:rFonts w:cs="Arial"/>
          <w:lang w:val="sl-SI"/>
        </w:rPr>
        <w:t xml:space="preserve"> po standardu </w:t>
      </w:r>
      <w:r w:rsidRPr="003A0E76">
        <w:rPr>
          <w:lang w:val="sl-SI"/>
        </w:rPr>
        <w:t>SIST EN ISO/IEC</w:t>
      </w:r>
      <w:r w:rsidRPr="003A0E76">
        <w:rPr>
          <w:rFonts w:cs="Arial"/>
          <w:lang w:val="sl-SI"/>
        </w:rPr>
        <w:t xml:space="preserve"> 17065 in dokazila, ki izkazujejo izpolnjevanje zahtev točk 6.8 do 6.12 t</w:t>
      </w:r>
      <w:r w:rsidRPr="003A0E76">
        <w:rPr>
          <w:rFonts w:eastAsia="Calibri"/>
          <w:lang w:val="sl-SI"/>
        </w:rPr>
        <w:t>eh Smernic ter na zahtevo ministrstva tudi druga dokazila, skladno s točko 6.13 Smernic</w:t>
      </w:r>
      <w:r w:rsidRPr="003A0E76">
        <w:rPr>
          <w:lang w:val="sl-SI"/>
        </w:rPr>
        <w:t>.</w:t>
      </w:r>
      <w:r w:rsidRPr="00F43874">
        <w:rPr>
          <w:lang w:val="sl-SI"/>
        </w:rPr>
        <w:t xml:space="preserve"> </w:t>
      </w:r>
      <w:r w:rsidRPr="00555EF5">
        <w:rPr>
          <w:rFonts w:eastAsia="Calibri"/>
          <w:lang w:val="sl-SI"/>
        </w:rPr>
        <w:t>V kolikor vložnik izpolnjuje naštete pogoje, je v tem primeru rok veljavnosti odločbe omejen.</w:t>
      </w:r>
    </w:p>
    <w:p w:rsidR="0076222B" w:rsidRPr="00555EF5" w:rsidRDefault="0076222B" w:rsidP="003A0E76">
      <w:pPr>
        <w:spacing w:after="200" w:line="260" w:lineRule="exact"/>
        <w:jc w:val="both"/>
        <w:rPr>
          <w:rFonts w:cs="Arial"/>
          <w:lang w:val="sl-SI"/>
        </w:rPr>
      </w:pPr>
      <w:r w:rsidRPr="00555EF5">
        <w:rPr>
          <w:rFonts w:cs="Arial"/>
          <w:lang w:val="sl-SI"/>
        </w:rPr>
        <w:t>V kolikor vložnik vlogi priloži oziroma se v vlogi sklicuje na akreditacijsko listino, ki ni izdana za namen priglasitve in je izdana za gradbene proizvode, ki niso predmet vloge, mora vlogi priložiti dokazila, ki izkazujejo izpolnjevanje naslednjih zahtev:</w:t>
      </w:r>
    </w:p>
    <w:p w:rsidR="0076222B" w:rsidRPr="00555EF5" w:rsidRDefault="0076222B" w:rsidP="0076222B">
      <w:pPr>
        <w:numPr>
          <w:ilvl w:val="0"/>
          <w:numId w:val="45"/>
        </w:numPr>
        <w:spacing w:after="200" w:line="260" w:lineRule="exact"/>
        <w:jc w:val="both"/>
        <w:rPr>
          <w:lang w:val="sl-SI"/>
        </w:rPr>
      </w:pPr>
      <w:r w:rsidRPr="00555EF5">
        <w:rPr>
          <w:rFonts w:cs="Arial"/>
          <w:lang w:val="sl-SI"/>
        </w:rPr>
        <w:t xml:space="preserve">v kolikor ima vložnik akreditacijsko listino, ki izkazuje izpolnjevanje zahtev standarda </w:t>
      </w:r>
      <w:r w:rsidRPr="00555EF5">
        <w:rPr>
          <w:lang w:val="sl-SI"/>
        </w:rPr>
        <w:t>SIST EN ISO/IEC 17065, in se želi priglasiti kot organ AVCP za sisteme AVCP 1+, 1 in/ali 2+:</w:t>
      </w:r>
      <w:r w:rsidRPr="00555EF5">
        <w:rPr>
          <w:rFonts w:cs="Arial"/>
          <w:lang w:val="sl-SI"/>
        </w:rPr>
        <w:t xml:space="preserve"> </w:t>
      </w:r>
      <w:r w:rsidRPr="00555EF5">
        <w:rPr>
          <w:lang w:val="sl-SI"/>
        </w:rPr>
        <w:t>zahteve točk 6.4.,.6.5., 6.7</w:t>
      </w:r>
      <w:r w:rsidRPr="00555EF5">
        <w:rPr>
          <w:rStyle w:val="Sprotnaopomba-sklic"/>
          <w:lang w:val="sl-SI"/>
        </w:rPr>
        <w:footnoteReference w:id="4"/>
      </w:r>
      <w:r w:rsidRPr="00555EF5">
        <w:rPr>
          <w:lang w:val="sl-SI"/>
        </w:rPr>
        <w:t>, 6.9, 6.10 in 6.12</w:t>
      </w:r>
    </w:p>
    <w:p w:rsidR="00670580" w:rsidRPr="00F43874" w:rsidRDefault="00670580" w:rsidP="00670580">
      <w:pPr>
        <w:spacing w:after="200" w:line="260" w:lineRule="exact"/>
        <w:jc w:val="both"/>
        <w:rPr>
          <w:rFonts w:cs="Arial"/>
          <w:lang w:val="sl-SI"/>
        </w:rPr>
      </w:pPr>
      <w:r w:rsidRPr="00555EF5">
        <w:rPr>
          <w:rFonts w:cs="Arial"/>
          <w:lang w:val="sl-SI"/>
        </w:rPr>
        <w:t xml:space="preserve">V kolikor vložnik </w:t>
      </w:r>
      <w:r w:rsidR="009B6302" w:rsidRPr="00555EF5">
        <w:rPr>
          <w:rFonts w:cs="Arial"/>
          <w:lang w:val="sl-SI"/>
        </w:rPr>
        <w:t>ne sodi v eno izmed zgoraj opisanih situacij</w:t>
      </w:r>
      <w:r w:rsidRPr="00555EF5">
        <w:rPr>
          <w:rFonts w:cs="Arial"/>
          <w:lang w:val="sl-SI"/>
        </w:rPr>
        <w:t>, mora vlogi priložiti sklenjeno pogodbo s S</w:t>
      </w:r>
      <w:r w:rsidR="00F43874" w:rsidRPr="00555EF5">
        <w:rPr>
          <w:rFonts w:cs="Arial"/>
          <w:lang w:val="sl-SI"/>
        </w:rPr>
        <w:t>lovensko akreditacijo</w:t>
      </w:r>
      <w:r w:rsidRPr="00555EF5">
        <w:rPr>
          <w:rFonts w:cs="Arial"/>
          <w:lang w:val="sl-SI"/>
        </w:rPr>
        <w:t xml:space="preserve"> za akreditacijo</w:t>
      </w:r>
      <w:r w:rsidR="00F43874" w:rsidRPr="00555EF5">
        <w:rPr>
          <w:rFonts w:cs="Arial"/>
          <w:lang w:val="sl-SI"/>
        </w:rPr>
        <w:t xml:space="preserve"> </w:t>
      </w:r>
      <w:r w:rsidR="0076222B" w:rsidRPr="00555EF5">
        <w:rPr>
          <w:rFonts w:cs="Arial"/>
          <w:lang w:val="sl-SI"/>
        </w:rPr>
        <w:t xml:space="preserve">na podlagi standarda </w:t>
      </w:r>
      <w:r w:rsidR="0076222B" w:rsidRPr="00555EF5">
        <w:rPr>
          <w:lang w:val="sl-SI"/>
        </w:rPr>
        <w:t xml:space="preserve">SIST EN ISO/IEC 17065 ali SIST EN ISO/IEC 17025 </w:t>
      </w:r>
      <w:r w:rsidR="009B6302" w:rsidRPr="00555EF5">
        <w:rPr>
          <w:lang w:val="sl-SI"/>
        </w:rPr>
        <w:t xml:space="preserve">(tisti standard, ki ustreza nameravani dejavnosti in namenu akreditacije) </w:t>
      </w:r>
      <w:r w:rsidRPr="00555EF5">
        <w:rPr>
          <w:rFonts w:cs="Arial"/>
          <w:lang w:val="sl-SI"/>
        </w:rPr>
        <w:t>in dokazila, ki izkazujejo izpolnjevanje zahtev točk 6.</w:t>
      </w:r>
      <w:r w:rsidR="00463DB5" w:rsidRPr="00555EF5">
        <w:rPr>
          <w:rFonts w:cs="Arial"/>
          <w:lang w:val="sl-SI"/>
        </w:rPr>
        <w:t>4</w:t>
      </w:r>
      <w:r w:rsidRPr="00555EF5">
        <w:rPr>
          <w:rFonts w:cs="Arial"/>
          <w:lang w:val="sl-SI"/>
        </w:rPr>
        <w:t xml:space="preserve"> do 6.12 t</w:t>
      </w:r>
      <w:r w:rsidRPr="00555EF5">
        <w:rPr>
          <w:rFonts w:eastAsia="Calibri"/>
          <w:lang w:val="sl-SI"/>
        </w:rPr>
        <w:t>eh Smernic ter na zahtevo ministrstva tudi druga dokazila, skladno s točko 6.13 Smernic. Izpolnjevanje pogojev se v tem primeru izvede z upoštevanjem dejstva, da izpolnjevanja nekaterih zahtev ob prvi določitvi in priglasitvi za organ AVCP ni mogoče preveriti (npr.</w:t>
      </w:r>
      <w:r w:rsidRPr="00F43874">
        <w:rPr>
          <w:rFonts w:eastAsia="Calibri"/>
          <w:lang w:val="sl-SI"/>
        </w:rPr>
        <w:t xml:space="preserve"> zahtev po obveščanju priglasitvenega organa</w:t>
      </w:r>
      <w:r w:rsidR="00F43874" w:rsidRPr="00F43874">
        <w:rPr>
          <w:rFonts w:eastAsia="Calibri"/>
          <w:lang w:val="sl-SI"/>
        </w:rPr>
        <w:t>).</w:t>
      </w:r>
      <w:r w:rsidRPr="00F43874">
        <w:rPr>
          <w:rFonts w:eastAsia="Calibri"/>
          <w:lang w:val="sl-SI"/>
        </w:rPr>
        <w:t xml:space="preserve"> V kolikor vložnik izpolnjuje naštete pogoje, je v tem primeru rok veljavnosti odločbe omejen. </w:t>
      </w:r>
    </w:p>
    <w:p w:rsidR="0076152A" w:rsidRPr="00D21A83" w:rsidRDefault="00187FAF" w:rsidP="009735FC">
      <w:pPr>
        <w:pStyle w:val="Naslov2"/>
        <w:spacing w:after="200"/>
        <w:rPr>
          <w:rFonts w:eastAsia="Calibri"/>
          <w:lang w:val="sl-SI"/>
        </w:rPr>
      </w:pPr>
      <w:bookmarkStart w:id="10" w:name="_Toc92353271"/>
      <w:r w:rsidRPr="00D21A83">
        <w:rPr>
          <w:rFonts w:eastAsia="Calibri"/>
          <w:lang w:val="sl-SI"/>
        </w:rPr>
        <w:t>ZAH</w:t>
      </w:r>
      <w:r w:rsidR="00721A12" w:rsidRPr="00D21A83">
        <w:rPr>
          <w:rFonts w:eastAsia="Calibri"/>
          <w:lang w:val="sl-SI"/>
        </w:rPr>
        <w:t>T</w:t>
      </w:r>
      <w:r w:rsidRPr="00D21A83">
        <w:rPr>
          <w:rFonts w:eastAsia="Calibri"/>
          <w:lang w:val="sl-SI"/>
        </w:rPr>
        <w:t>EVE GLEDE OSEBJA (</w:t>
      </w:r>
      <w:r w:rsidR="00721A12" w:rsidRPr="00D21A83">
        <w:rPr>
          <w:rFonts w:eastAsia="Calibri"/>
          <w:lang w:val="sl-SI"/>
        </w:rPr>
        <w:t>določbe 43/6/2a)</w:t>
      </w:r>
      <w:r w:rsidR="00E60344">
        <w:rPr>
          <w:rFonts w:eastAsia="Calibri"/>
          <w:lang w:val="sl-SI"/>
        </w:rPr>
        <w:t>,</w:t>
      </w:r>
      <w:r w:rsidR="00721A12" w:rsidRPr="00D21A83">
        <w:rPr>
          <w:rFonts w:eastAsia="Calibri"/>
          <w:lang w:val="sl-SI"/>
        </w:rPr>
        <w:t xml:space="preserve"> 43/7 Uredbe 305/2011/EU)</w:t>
      </w:r>
      <w:bookmarkEnd w:id="10"/>
    </w:p>
    <w:p w:rsidR="009934F5" w:rsidRPr="004774D1" w:rsidRDefault="009934F5" w:rsidP="009735FC">
      <w:pPr>
        <w:spacing w:after="200" w:line="260" w:lineRule="exact"/>
        <w:jc w:val="both"/>
        <w:rPr>
          <w:rFonts w:eastAsia="Calibri" w:cs="Arial"/>
          <w:szCs w:val="20"/>
          <w:lang w:val="sl-SI"/>
        </w:rPr>
      </w:pPr>
      <w:r w:rsidRPr="004774D1">
        <w:rPr>
          <w:rFonts w:eastAsia="Calibri" w:cs="Arial"/>
          <w:szCs w:val="20"/>
          <w:lang w:val="sl-SI"/>
        </w:rPr>
        <w:t>Določbe Uredbe 305/2011/EU, ki se nanašajo na osebje:</w:t>
      </w:r>
    </w:p>
    <w:p w:rsidR="007636C7" w:rsidRPr="004774D1" w:rsidRDefault="007636C7" w:rsidP="009735FC">
      <w:pPr>
        <w:spacing w:after="200" w:line="260" w:lineRule="exact"/>
        <w:jc w:val="both"/>
        <w:rPr>
          <w:rFonts w:eastAsia="Calibri" w:cs="Arial"/>
          <w:i/>
          <w:szCs w:val="20"/>
          <w:lang w:val="sl-SI"/>
        </w:rPr>
      </w:pPr>
      <w:r w:rsidRPr="004774D1">
        <w:rPr>
          <w:rFonts w:eastAsia="Calibri" w:cs="Arial"/>
          <w:i/>
          <w:szCs w:val="20"/>
          <w:lang w:val="sl-SI"/>
        </w:rPr>
        <w:t>Priglašeni organ ima vedno in za vsak sistem ocenjevanja in preverjanja nespremenljivosti lastnosti ter za vsako vrsto ali kategorijo gradbenih proizvodov, bistvenih značilnosti in nalog, v zvezi s katerimi je bil priglašen, na voljo potrebno osebje s tehničnim znanjem ter zadostnimi in ustreznimi izkušnjami za izvajanje nalog tretje stranke v postopku ocenjevanja in preverjanja nespremenljivosti lastnosti.</w:t>
      </w:r>
    </w:p>
    <w:p w:rsidR="007636C7" w:rsidRPr="004774D1" w:rsidRDefault="007636C7" w:rsidP="009735FC">
      <w:pPr>
        <w:spacing w:after="200" w:line="260" w:lineRule="exact"/>
        <w:jc w:val="both"/>
        <w:rPr>
          <w:rFonts w:cs="Arial"/>
          <w:i/>
          <w:szCs w:val="20"/>
          <w:lang w:val="sl-SI"/>
        </w:rPr>
      </w:pPr>
      <w:r w:rsidRPr="004774D1">
        <w:rPr>
          <w:rFonts w:cs="Arial"/>
          <w:i/>
          <w:szCs w:val="20"/>
          <w:lang w:val="sl-SI"/>
        </w:rPr>
        <w:t>Osebje, odgovorno za izvajanje dejavnosti, v zvezi s katerimi je bil organ priglašen:</w:t>
      </w:r>
    </w:p>
    <w:p w:rsidR="007636C7" w:rsidRPr="004774D1" w:rsidRDefault="007636C7" w:rsidP="009735FC">
      <w:pPr>
        <w:spacing w:after="200" w:line="260" w:lineRule="exact"/>
        <w:jc w:val="both"/>
        <w:rPr>
          <w:rFonts w:cs="Arial"/>
          <w:i/>
          <w:szCs w:val="20"/>
          <w:lang w:val="sl-SI"/>
        </w:rPr>
      </w:pPr>
      <w:r w:rsidRPr="004774D1">
        <w:rPr>
          <w:rFonts w:cs="Arial"/>
          <w:i/>
          <w:szCs w:val="20"/>
          <w:lang w:val="sl-SI"/>
        </w:rPr>
        <w:lastRenderedPageBreak/>
        <w:t>(a) razpolaga z dobro tehnično in poklicno usposobljenostjo, ki vključuje vse naloge tretje stranke v postopku ocenjevanja in preverjanja nespremenljivosti lastnosti na zadevnem področju, za katero je bil organ priglašen;</w:t>
      </w:r>
    </w:p>
    <w:p w:rsidR="007636C7" w:rsidRPr="004774D1" w:rsidRDefault="007636C7" w:rsidP="009735FC">
      <w:pPr>
        <w:spacing w:after="200" w:line="260" w:lineRule="exact"/>
        <w:jc w:val="both"/>
        <w:rPr>
          <w:rFonts w:cs="Arial"/>
          <w:i/>
          <w:szCs w:val="20"/>
          <w:lang w:val="sl-SI"/>
        </w:rPr>
      </w:pPr>
      <w:r w:rsidRPr="004774D1">
        <w:rPr>
          <w:rFonts w:cs="Arial"/>
          <w:i/>
          <w:szCs w:val="20"/>
          <w:lang w:val="sl-SI"/>
        </w:rPr>
        <w:t>(b) ima zadovoljivo znanje o zahtevah glede ocenjevanj in preverjanj, ki jih izvaja, in ustrezna pooblastila za izvajanje takšnih dejavnosti;</w:t>
      </w:r>
    </w:p>
    <w:p w:rsidR="007636C7" w:rsidRPr="004774D1" w:rsidRDefault="007636C7" w:rsidP="009735FC">
      <w:pPr>
        <w:spacing w:after="200" w:line="260" w:lineRule="exact"/>
        <w:jc w:val="both"/>
        <w:rPr>
          <w:rFonts w:cs="Arial"/>
          <w:i/>
          <w:szCs w:val="20"/>
          <w:lang w:val="sl-SI"/>
        </w:rPr>
      </w:pPr>
      <w:r w:rsidRPr="004774D1">
        <w:rPr>
          <w:rFonts w:cs="Arial"/>
          <w:i/>
          <w:szCs w:val="20"/>
          <w:lang w:val="sl-SI"/>
        </w:rPr>
        <w:t>(c) ima ustrezno znanje in razumevanje veljavnih harmoniziranih standardov in ustreznih določb Uredbe;</w:t>
      </w:r>
    </w:p>
    <w:p w:rsidR="007636C7" w:rsidRPr="004774D1" w:rsidRDefault="007636C7" w:rsidP="009735FC">
      <w:pPr>
        <w:spacing w:after="200" w:line="260" w:lineRule="exact"/>
        <w:jc w:val="both"/>
        <w:rPr>
          <w:rFonts w:cs="Arial"/>
          <w:i/>
          <w:szCs w:val="20"/>
          <w:lang w:val="sl-SI"/>
        </w:rPr>
      </w:pPr>
      <w:r w:rsidRPr="004774D1">
        <w:rPr>
          <w:rFonts w:cs="Arial"/>
          <w:i/>
          <w:szCs w:val="20"/>
          <w:lang w:val="sl-SI"/>
        </w:rPr>
        <w:t>(d) ima sposobnost, ki je potrebna za pripravo potrdil, zapisov in poročil kot dokaz, da so bila ocenjevanja in preverjanja izvedena.</w:t>
      </w:r>
    </w:p>
    <w:p w:rsidR="00FA1342" w:rsidRPr="004774D1" w:rsidRDefault="00FA1342" w:rsidP="009735FC">
      <w:pPr>
        <w:spacing w:after="200" w:line="260" w:lineRule="exact"/>
        <w:jc w:val="both"/>
        <w:rPr>
          <w:rFonts w:cs="Arial"/>
          <w:i/>
          <w:szCs w:val="20"/>
          <w:lang w:val="sl-SI" w:eastAsia="sl-SI"/>
        </w:rPr>
      </w:pPr>
      <w:r w:rsidRPr="004774D1">
        <w:rPr>
          <w:rFonts w:cs="Arial"/>
          <w:i/>
          <w:szCs w:val="20"/>
          <w:lang w:val="sl-SI" w:eastAsia="sl-SI"/>
        </w:rPr>
        <w:t>Osebje priglašenega organa je zavezano k varovanju poklicne skrivnosti v zvezi z vsemi informacijami, pridobljenimi med izvajanjem nalog v skladu s Prilogo V Uredbe 305/2011/EU, razen v zvezi s pristojnimi upravnimi organi države članice, v kateri izvaja svoje dejavnosti. Lastninske pravice so zaščitene.</w:t>
      </w:r>
    </w:p>
    <w:p w:rsidR="00F65C84" w:rsidRPr="00D21A83" w:rsidRDefault="00D871BC" w:rsidP="009735FC">
      <w:pPr>
        <w:spacing w:after="200" w:line="260" w:lineRule="exact"/>
        <w:jc w:val="both"/>
        <w:rPr>
          <w:rFonts w:eastAsia="Calibri" w:cs="Arial"/>
          <w:szCs w:val="20"/>
          <w:lang w:val="sl-SI"/>
        </w:rPr>
      </w:pPr>
      <w:r w:rsidRPr="00D21A83">
        <w:rPr>
          <w:rFonts w:eastAsia="Calibri" w:cs="Arial"/>
          <w:szCs w:val="20"/>
          <w:lang w:val="sl-SI"/>
        </w:rPr>
        <w:t>Vložnik mora izka</w:t>
      </w:r>
      <w:r w:rsidR="0076152A" w:rsidRPr="00D21A83">
        <w:rPr>
          <w:rFonts w:eastAsia="Calibri" w:cs="Arial"/>
          <w:szCs w:val="20"/>
          <w:lang w:val="sl-SI"/>
        </w:rPr>
        <w:t>zovati ustrezen nivo strokovne usposobljenosti osebja</w:t>
      </w:r>
      <w:r w:rsidR="009C2E69" w:rsidRPr="00D21A83">
        <w:rPr>
          <w:rFonts w:eastAsia="Calibri" w:cs="Arial"/>
          <w:szCs w:val="20"/>
          <w:lang w:val="sl-SI"/>
        </w:rPr>
        <w:t>.</w:t>
      </w:r>
      <w:r w:rsidR="00F65C84" w:rsidRPr="00D21A83">
        <w:rPr>
          <w:rFonts w:eastAsia="Calibri" w:cs="Arial"/>
          <w:szCs w:val="20"/>
          <w:lang w:val="sl-SI"/>
        </w:rPr>
        <w:t xml:space="preserve"> </w:t>
      </w:r>
      <w:r w:rsidR="009C2E69" w:rsidRPr="00D21A83">
        <w:rPr>
          <w:rFonts w:eastAsia="Calibri" w:cs="Arial"/>
          <w:szCs w:val="20"/>
          <w:lang w:val="sl-SI"/>
        </w:rPr>
        <w:t>O</w:t>
      </w:r>
      <w:r w:rsidR="00BC1A0F" w:rsidRPr="00D21A83">
        <w:rPr>
          <w:rFonts w:eastAsia="Calibri" w:cs="Arial"/>
          <w:szCs w:val="20"/>
          <w:lang w:val="sl-SI"/>
        </w:rPr>
        <w:t xml:space="preserve">sebje mora </w:t>
      </w:r>
      <w:r w:rsidR="00F65C84" w:rsidRPr="00D21A83">
        <w:rPr>
          <w:rFonts w:eastAsia="Calibri" w:cs="Arial"/>
          <w:szCs w:val="20"/>
          <w:lang w:val="sl-SI"/>
        </w:rPr>
        <w:t xml:space="preserve">imeti izkušnje na </w:t>
      </w:r>
      <w:r w:rsidR="009C2E69" w:rsidRPr="00D21A83">
        <w:rPr>
          <w:rFonts w:eastAsia="Calibri" w:cs="Arial"/>
          <w:szCs w:val="20"/>
          <w:lang w:val="sl-SI"/>
        </w:rPr>
        <w:t>strokovnem</w:t>
      </w:r>
      <w:r w:rsidR="00F65C84" w:rsidRPr="00D21A83">
        <w:rPr>
          <w:rFonts w:eastAsia="Calibri" w:cs="Arial"/>
          <w:szCs w:val="20"/>
          <w:lang w:val="sl-SI"/>
        </w:rPr>
        <w:t xml:space="preserve"> področju</w:t>
      </w:r>
      <w:r w:rsidRPr="00D21A83">
        <w:rPr>
          <w:rFonts w:eastAsia="Calibri" w:cs="Arial"/>
          <w:szCs w:val="20"/>
          <w:lang w:val="sl-SI"/>
        </w:rPr>
        <w:t>, kar dokazuje z</w:t>
      </w:r>
      <w:r w:rsidR="00F65C84" w:rsidRPr="00D21A83">
        <w:rPr>
          <w:rFonts w:eastAsia="Calibri" w:cs="Arial"/>
          <w:szCs w:val="20"/>
          <w:lang w:val="sl-SI"/>
        </w:rPr>
        <w:t>:</w:t>
      </w:r>
    </w:p>
    <w:p w:rsidR="00F65C84" w:rsidRPr="00D21A83" w:rsidRDefault="00F65C84" w:rsidP="009735FC">
      <w:pPr>
        <w:numPr>
          <w:ilvl w:val="0"/>
          <w:numId w:val="20"/>
        </w:numPr>
        <w:spacing w:after="200" w:line="260" w:lineRule="exact"/>
        <w:ind w:left="714" w:hanging="357"/>
        <w:jc w:val="both"/>
        <w:rPr>
          <w:rFonts w:eastAsia="Calibri" w:cs="Arial"/>
          <w:szCs w:val="20"/>
          <w:lang w:val="sl-SI"/>
        </w:rPr>
      </w:pPr>
      <w:r w:rsidRPr="00D21A83">
        <w:rPr>
          <w:rFonts w:eastAsia="Calibri" w:cs="Arial"/>
          <w:szCs w:val="20"/>
          <w:lang w:val="sl-SI"/>
        </w:rPr>
        <w:t xml:space="preserve">navedbo kadrovskih zmogljivosti (npr. organigramom), </w:t>
      </w:r>
    </w:p>
    <w:p w:rsidR="00F65C84" w:rsidRPr="00D21A83" w:rsidRDefault="00F65C84" w:rsidP="009735FC">
      <w:pPr>
        <w:numPr>
          <w:ilvl w:val="0"/>
          <w:numId w:val="20"/>
        </w:numPr>
        <w:spacing w:after="200" w:line="260" w:lineRule="exact"/>
        <w:ind w:left="714" w:hanging="357"/>
        <w:jc w:val="both"/>
        <w:rPr>
          <w:rFonts w:eastAsia="Calibri" w:cs="Arial"/>
          <w:szCs w:val="20"/>
          <w:lang w:val="sl-SI"/>
        </w:rPr>
      </w:pPr>
      <w:r w:rsidRPr="00D21A83">
        <w:rPr>
          <w:rFonts w:eastAsia="Calibri" w:cs="Arial"/>
          <w:szCs w:val="20"/>
          <w:lang w:val="sl-SI"/>
        </w:rPr>
        <w:t xml:space="preserve">opisom referenc zaposlenih (stopnja in smer izobrazbe, navedba let delovnih izkušenj na </w:t>
      </w:r>
      <w:r w:rsidR="009C2E69" w:rsidRPr="00D21A83">
        <w:rPr>
          <w:rFonts w:eastAsia="Calibri" w:cs="Arial"/>
          <w:szCs w:val="20"/>
          <w:lang w:val="sl-SI"/>
        </w:rPr>
        <w:t>določenem strokovnem</w:t>
      </w:r>
      <w:r w:rsidRPr="00D21A83">
        <w:rPr>
          <w:rFonts w:eastAsia="Calibri" w:cs="Arial"/>
          <w:szCs w:val="20"/>
          <w:lang w:val="sl-SI"/>
        </w:rPr>
        <w:t xml:space="preserve"> področju),</w:t>
      </w:r>
    </w:p>
    <w:p w:rsidR="00F65C84" w:rsidRPr="00D21A83" w:rsidRDefault="00F65C84" w:rsidP="009735FC">
      <w:pPr>
        <w:numPr>
          <w:ilvl w:val="0"/>
          <w:numId w:val="20"/>
        </w:numPr>
        <w:spacing w:after="200" w:line="260" w:lineRule="exact"/>
        <w:ind w:left="714" w:hanging="357"/>
        <w:jc w:val="both"/>
        <w:rPr>
          <w:rFonts w:eastAsia="Calibri" w:cs="Arial"/>
          <w:szCs w:val="20"/>
          <w:lang w:val="sl-SI"/>
        </w:rPr>
      </w:pPr>
      <w:r w:rsidRPr="00D21A83">
        <w:rPr>
          <w:rFonts w:eastAsia="Calibri" w:cs="Arial"/>
          <w:szCs w:val="20"/>
          <w:lang w:val="sl-SI"/>
        </w:rPr>
        <w:t>članstvom</w:t>
      </w:r>
      <w:r w:rsidR="00637308" w:rsidRPr="00D21A83">
        <w:rPr>
          <w:rFonts w:eastAsia="Calibri" w:cs="Arial"/>
          <w:szCs w:val="20"/>
          <w:lang w:val="sl-SI"/>
        </w:rPr>
        <w:t xml:space="preserve"> in sodelovanjem</w:t>
      </w:r>
      <w:r w:rsidRPr="00D21A83">
        <w:rPr>
          <w:rFonts w:eastAsia="Calibri" w:cs="Arial"/>
          <w:szCs w:val="20"/>
          <w:lang w:val="sl-SI"/>
        </w:rPr>
        <w:t xml:space="preserve"> v mednarodnih organizacijah, združenjih ali shemah,</w:t>
      </w:r>
    </w:p>
    <w:p w:rsidR="00F65C84" w:rsidRPr="00D21A83" w:rsidRDefault="001365E2" w:rsidP="009735FC">
      <w:pPr>
        <w:numPr>
          <w:ilvl w:val="0"/>
          <w:numId w:val="20"/>
        </w:numPr>
        <w:spacing w:after="200" w:line="260" w:lineRule="exact"/>
        <w:ind w:left="714" w:hanging="357"/>
        <w:jc w:val="both"/>
        <w:rPr>
          <w:rFonts w:eastAsia="Calibri" w:cs="Arial"/>
          <w:szCs w:val="20"/>
          <w:lang w:val="sl-SI"/>
        </w:rPr>
      </w:pPr>
      <w:r w:rsidRPr="00D21A83">
        <w:rPr>
          <w:rFonts w:eastAsia="Calibri" w:cs="Arial"/>
          <w:szCs w:val="20"/>
          <w:lang w:val="sl-SI"/>
        </w:rPr>
        <w:t>drugimi</w:t>
      </w:r>
      <w:r w:rsidR="006D23DE" w:rsidRPr="00D21A83">
        <w:rPr>
          <w:rFonts w:eastAsia="Calibri" w:cs="Arial"/>
          <w:szCs w:val="20"/>
          <w:lang w:val="sl-SI"/>
        </w:rPr>
        <w:t xml:space="preserve"> dokazil</w:t>
      </w:r>
      <w:r w:rsidRPr="00D21A83">
        <w:rPr>
          <w:rFonts w:eastAsia="Calibri" w:cs="Arial"/>
          <w:szCs w:val="20"/>
          <w:lang w:val="sl-SI"/>
        </w:rPr>
        <w:t>i</w:t>
      </w:r>
      <w:r w:rsidR="006D23DE" w:rsidRPr="00D21A83">
        <w:rPr>
          <w:rFonts w:eastAsia="Calibri" w:cs="Arial"/>
          <w:szCs w:val="20"/>
          <w:lang w:val="sl-SI"/>
        </w:rPr>
        <w:t xml:space="preserve"> (</w:t>
      </w:r>
      <w:r w:rsidR="009536CA" w:rsidRPr="00D21A83">
        <w:rPr>
          <w:rFonts w:eastAsia="Calibri" w:cs="Arial"/>
          <w:szCs w:val="20"/>
          <w:lang w:val="sl-SI"/>
        </w:rPr>
        <w:t>potrdila</w:t>
      </w:r>
      <w:r w:rsidR="008A628D" w:rsidRPr="00D21A83">
        <w:rPr>
          <w:rFonts w:eastAsia="Calibri" w:cs="Arial"/>
          <w:szCs w:val="20"/>
          <w:lang w:val="sl-SI"/>
        </w:rPr>
        <w:t xml:space="preserve"> o </w:t>
      </w:r>
      <w:r w:rsidR="009536CA" w:rsidRPr="00D21A83">
        <w:rPr>
          <w:rFonts w:eastAsia="Calibri" w:cs="Arial"/>
          <w:szCs w:val="20"/>
          <w:lang w:val="sl-SI"/>
        </w:rPr>
        <w:t>izobraževanjih, usposabljanjih</w:t>
      </w:r>
      <w:r w:rsidR="008A628D" w:rsidRPr="00D21A83">
        <w:rPr>
          <w:rFonts w:eastAsia="Calibri" w:cs="Arial"/>
          <w:szCs w:val="20"/>
          <w:lang w:val="sl-SI"/>
        </w:rPr>
        <w:t xml:space="preserve">, </w:t>
      </w:r>
      <w:r w:rsidR="006D23DE" w:rsidRPr="00D21A83">
        <w:rPr>
          <w:rFonts w:eastAsia="Calibri" w:cs="Arial"/>
          <w:szCs w:val="20"/>
          <w:lang w:val="sl-SI"/>
        </w:rPr>
        <w:t>ipd.)</w:t>
      </w:r>
      <w:r w:rsidR="00D871BC" w:rsidRPr="00D21A83">
        <w:rPr>
          <w:rFonts w:eastAsia="Calibri" w:cs="Arial"/>
          <w:szCs w:val="20"/>
          <w:lang w:val="sl-SI"/>
        </w:rPr>
        <w:t xml:space="preserve">. </w:t>
      </w:r>
    </w:p>
    <w:p w:rsidR="00D871BC" w:rsidRPr="00D21A83" w:rsidRDefault="00D871BC" w:rsidP="009735FC">
      <w:pPr>
        <w:spacing w:after="200" w:line="260" w:lineRule="exact"/>
        <w:jc w:val="both"/>
        <w:rPr>
          <w:rFonts w:eastAsia="Calibri" w:cs="Arial"/>
          <w:szCs w:val="20"/>
          <w:lang w:val="sl-SI"/>
        </w:rPr>
      </w:pPr>
      <w:r w:rsidRPr="00D21A83">
        <w:rPr>
          <w:rFonts w:eastAsia="Calibri" w:cs="Arial"/>
          <w:szCs w:val="20"/>
          <w:lang w:val="sl-SI"/>
        </w:rPr>
        <w:t xml:space="preserve">Vložnik mora imeti zadostno strokovno znanje o proizvodu in znanje o </w:t>
      </w:r>
      <w:r w:rsidR="005B26ED" w:rsidRPr="00D21A83">
        <w:rPr>
          <w:rFonts w:eastAsia="Calibri" w:cs="Arial"/>
          <w:szCs w:val="20"/>
          <w:lang w:val="sl-SI"/>
        </w:rPr>
        <w:t>ocenjevanju in preverjanju nespremenljivosti lastnosti</w:t>
      </w:r>
      <w:r w:rsidRPr="00D21A83">
        <w:rPr>
          <w:rFonts w:eastAsia="Calibri" w:cs="Arial"/>
          <w:szCs w:val="20"/>
          <w:lang w:val="sl-SI"/>
        </w:rPr>
        <w:t xml:space="preserve"> (certificiranje in/ali testiranje), </w:t>
      </w:r>
      <w:r w:rsidR="00DE317A" w:rsidRPr="00D21A83">
        <w:rPr>
          <w:rFonts w:eastAsia="Calibri" w:cs="Arial"/>
          <w:szCs w:val="20"/>
          <w:lang w:val="sl-SI"/>
        </w:rPr>
        <w:t xml:space="preserve">imeti mora zadostne in ustrezne izkušnje, </w:t>
      </w:r>
      <w:r w:rsidR="009E3064" w:rsidRPr="00D21A83">
        <w:rPr>
          <w:rFonts w:eastAsia="Calibri" w:cs="Arial"/>
          <w:szCs w:val="20"/>
          <w:lang w:val="sl-SI"/>
        </w:rPr>
        <w:t xml:space="preserve">razumeti mora </w:t>
      </w:r>
      <w:r w:rsidR="00C83F10" w:rsidRPr="00D21A83">
        <w:rPr>
          <w:rFonts w:eastAsia="Calibri" w:cs="Arial"/>
          <w:szCs w:val="20"/>
          <w:lang w:val="sl-SI"/>
        </w:rPr>
        <w:t xml:space="preserve">nacionalno in evropsko </w:t>
      </w:r>
      <w:r w:rsidR="009E3064" w:rsidRPr="00D21A83">
        <w:rPr>
          <w:rFonts w:eastAsia="Calibri" w:cs="Arial"/>
          <w:szCs w:val="20"/>
          <w:lang w:val="sl-SI"/>
        </w:rPr>
        <w:t>zakonodajo s področja gradbenih proizvodov</w:t>
      </w:r>
      <w:r w:rsidR="00C83F10" w:rsidRPr="00D21A83">
        <w:rPr>
          <w:rFonts w:eastAsia="Calibri" w:cs="Arial"/>
          <w:szCs w:val="20"/>
          <w:lang w:val="sl-SI"/>
        </w:rPr>
        <w:t>, slediti mora napredku pri razvoju tehnologij in uporabi proizvodov</w:t>
      </w:r>
      <w:r w:rsidRPr="00D21A83">
        <w:rPr>
          <w:rFonts w:eastAsia="Calibri" w:cs="Arial"/>
          <w:szCs w:val="20"/>
          <w:lang w:val="sl-SI"/>
        </w:rPr>
        <w:t>.</w:t>
      </w:r>
    </w:p>
    <w:p w:rsidR="009536CA" w:rsidRPr="00E04DA0" w:rsidRDefault="00F1588B" w:rsidP="009735FC">
      <w:pPr>
        <w:pStyle w:val="Naslov2"/>
        <w:spacing w:after="200"/>
        <w:rPr>
          <w:rFonts w:eastAsia="Calibri"/>
          <w:lang w:val="sl-SI"/>
        </w:rPr>
      </w:pPr>
      <w:bookmarkStart w:id="11" w:name="_Toc92353272"/>
      <w:r w:rsidRPr="00E04DA0">
        <w:rPr>
          <w:rFonts w:eastAsia="Calibri"/>
          <w:lang w:val="sl-SI"/>
        </w:rPr>
        <w:t xml:space="preserve">STROKOVNA USPOSOBLJENOST </w:t>
      </w:r>
      <w:r w:rsidR="00DC703B" w:rsidRPr="00E04DA0">
        <w:rPr>
          <w:rFonts w:eastAsia="Calibri"/>
          <w:lang w:val="sl-SI"/>
        </w:rPr>
        <w:t xml:space="preserve">IN ORGANIZACIJA </w:t>
      </w:r>
      <w:r w:rsidRPr="00E04DA0">
        <w:rPr>
          <w:rFonts w:eastAsia="Calibri"/>
          <w:lang w:val="sl-SI"/>
        </w:rPr>
        <w:t>VLOŽNIKA</w:t>
      </w:r>
      <w:r w:rsidR="004B2557" w:rsidRPr="00E04DA0">
        <w:rPr>
          <w:rFonts w:eastAsia="Calibri"/>
          <w:lang w:val="sl-SI"/>
        </w:rPr>
        <w:t xml:space="preserve"> (določbe 43/2, 43/6/3, 43/6/2b), 43/6/1, 43/6/2c) Uredbe 305/2011/EU)</w:t>
      </w:r>
      <w:bookmarkEnd w:id="11"/>
    </w:p>
    <w:p w:rsidR="009934F5" w:rsidRPr="00C831DE" w:rsidRDefault="009934F5" w:rsidP="009735FC">
      <w:pPr>
        <w:spacing w:after="200" w:line="260" w:lineRule="exact"/>
        <w:jc w:val="both"/>
        <w:rPr>
          <w:rFonts w:eastAsia="Calibri" w:cs="Arial"/>
          <w:szCs w:val="20"/>
          <w:lang w:val="sl-SI"/>
        </w:rPr>
      </w:pPr>
      <w:r w:rsidRPr="00C831DE">
        <w:rPr>
          <w:rFonts w:eastAsia="Calibri" w:cs="Arial"/>
          <w:szCs w:val="20"/>
          <w:lang w:val="sl-SI"/>
        </w:rPr>
        <w:t>Določbe Uredbe 305/2011/EU, ki se nanašajo na strokovno usposobljenost in organizacijo vložnika:</w:t>
      </w:r>
    </w:p>
    <w:p w:rsidR="007636C7" w:rsidRPr="00C831DE" w:rsidRDefault="007636C7" w:rsidP="009735FC">
      <w:pPr>
        <w:spacing w:after="200" w:line="260" w:lineRule="exact"/>
        <w:jc w:val="both"/>
        <w:rPr>
          <w:rFonts w:eastAsia="Calibri" w:cs="Arial"/>
          <w:i/>
          <w:szCs w:val="20"/>
          <w:lang w:val="sl-SI"/>
        </w:rPr>
      </w:pPr>
      <w:r w:rsidRPr="00C831DE">
        <w:rPr>
          <w:rFonts w:eastAsia="Calibri" w:cs="Arial"/>
          <w:i/>
          <w:szCs w:val="20"/>
          <w:lang w:val="sl-SI"/>
        </w:rPr>
        <w:t>Priglašeni organ je ustanovljen v skladu z nacionalnim pravom in je pravna oseba.</w:t>
      </w:r>
    </w:p>
    <w:p w:rsidR="007636C7" w:rsidRPr="00C831DE" w:rsidRDefault="007636C7" w:rsidP="009735FC">
      <w:pPr>
        <w:spacing w:after="200" w:line="260" w:lineRule="exact"/>
        <w:jc w:val="both"/>
        <w:rPr>
          <w:rFonts w:eastAsia="Calibri" w:cs="Arial"/>
          <w:i/>
          <w:szCs w:val="20"/>
          <w:lang w:val="sl-SI"/>
        </w:rPr>
      </w:pPr>
      <w:r w:rsidRPr="00C831DE">
        <w:rPr>
          <w:rFonts w:eastAsia="Calibri" w:cs="Arial"/>
          <w:i/>
          <w:szCs w:val="20"/>
          <w:lang w:val="sl-SI"/>
        </w:rPr>
        <w:t>Priglašeni organ ima potrebna sredstva za ustrezno izvajanje tehničnih in upravnih nalog, povezanih z dejavnostmi, za katere je priglašen, ter dostop do vse potrebne opreme ali prostorov.</w:t>
      </w:r>
    </w:p>
    <w:p w:rsidR="00DC703B" w:rsidRPr="00C831DE" w:rsidRDefault="00DC703B" w:rsidP="009735FC">
      <w:pPr>
        <w:spacing w:after="200" w:line="260" w:lineRule="exact"/>
        <w:jc w:val="both"/>
        <w:rPr>
          <w:rFonts w:cs="Arial"/>
          <w:i/>
          <w:szCs w:val="20"/>
          <w:lang w:val="sl-SI" w:eastAsia="sl-SI"/>
        </w:rPr>
      </w:pPr>
      <w:r w:rsidRPr="00C831DE">
        <w:rPr>
          <w:rFonts w:cs="Arial"/>
          <w:i/>
          <w:szCs w:val="20"/>
          <w:lang w:val="sl-SI" w:eastAsia="sl-SI"/>
        </w:rPr>
        <w:t>Priglašeni organ ima vedno in za vsak sistem ocenjevanja in preverjanja nespremenljivosti lastnosti ter za vsako vrsto ali kategorijo gradbenih proizvodov, bistvenih značilnosti in nalog, v zvezi s katerimi je bil priglašen, na voljo potreben opis postopkov, v skladu s katerimi se izvaja ocenjevanje lastnosti, kar zagotavlja preglednost in možnost ponovne izvedbe teh postopkov. Vzpostavljeno ima ustrezno politiko in postopke, ki razlikujejo med nalogami, ki jih izvaja kot priglašeni organ, in drugimi dejavnostmi.</w:t>
      </w:r>
    </w:p>
    <w:p w:rsidR="00DC703B" w:rsidRPr="00C831DE" w:rsidRDefault="00DC703B" w:rsidP="009735FC">
      <w:pPr>
        <w:spacing w:after="200" w:line="260" w:lineRule="exact"/>
        <w:jc w:val="both"/>
        <w:rPr>
          <w:rFonts w:cs="Arial"/>
          <w:i/>
          <w:szCs w:val="20"/>
          <w:lang w:val="sl-SI" w:eastAsia="sl-SI"/>
        </w:rPr>
      </w:pPr>
      <w:r w:rsidRPr="00C831DE">
        <w:rPr>
          <w:rFonts w:cs="Arial"/>
          <w:i/>
          <w:szCs w:val="20"/>
          <w:lang w:val="sl-SI" w:eastAsia="sl-SI"/>
        </w:rPr>
        <w:t>Priglašeni organ je sposoben izvajati vse naloge tretje stranke v postopku ocenjevanja in preverjanja nespremenljivosti lastnosti, ki so mu dodeljene v skladu s Prilogo V in v zvezi s katerimi je bil priglašen, ne glede na to, ali navedene naloge izvaja priglašeni organ sam ali se izvajajo v njegovem imenu in pod njegovo pristojnostjo.</w:t>
      </w:r>
    </w:p>
    <w:p w:rsidR="00DC703B" w:rsidRPr="00C831DE" w:rsidRDefault="00DC703B" w:rsidP="009735FC">
      <w:pPr>
        <w:spacing w:after="200" w:line="260" w:lineRule="exact"/>
        <w:jc w:val="both"/>
        <w:rPr>
          <w:rFonts w:cs="Arial"/>
          <w:i/>
          <w:szCs w:val="20"/>
          <w:lang w:val="sl-SI" w:eastAsia="sl-SI"/>
        </w:rPr>
      </w:pPr>
      <w:r w:rsidRPr="00C831DE">
        <w:rPr>
          <w:rFonts w:cs="Arial"/>
          <w:i/>
          <w:szCs w:val="20"/>
          <w:lang w:val="sl-SI" w:eastAsia="sl-SI"/>
        </w:rPr>
        <w:lastRenderedPageBreak/>
        <w:t xml:space="preserve">Priglašeni organ ima vedno in za vsak sistem ocenjevanja in preverjanja nespremenljivosti lastnosti ter za vsako vrsto ali kategorijo gradbenih proizvodov, bistvenih značilnosti in nalog, v zvezi s katerimi je bil priglašen, na voljo potrebne postopke za izvajanje dejavnosti, v katerih so ustrezno upoštevani velikost podjetja, sektor, v katerem ta deluje, in njegova struktura, stopnja zahtevnosti zadevne proizvodne tehnologije ter vrsta proizvodnega postopka, tj. masovna ali serijska proizvodnja. </w:t>
      </w:r>
    </w:p>
    <w:p w:rsidR="00863F57" w:rsidRDefault="00BC1A0F" w:rsidP="009735FC">
      <w:pPr>
        <w:spacing w:after="200" w:line="260" w:lineRule="exact"/>
        <w:jc w:val="both"/>
        <w:rPr>
          <w:rFonts w:eastAsia="Calibri" w:cs="Arial"/>
          <w:szCs w:val="20"/>
          <w:lang w:val="sl-SI"/>
        </w:rPr>
      </w:pPr>
      <w:r w:rsidRPr="00D21A83">
        <w:rPr>
          <w:rFonts w:eastAsia="Calibri" w:cs="Arial"/>
          <w:szCs w:val="20"/>
          <w:lang w:val="sl-SI"/>
        </w:rPr>
        <w:t>Vložnik mora imeti primerno opremo in prostore, kar dokazuje z</w:t>
      </w:r>
      <w:r w:rsidR="00462C72" w:rsidRPr="00D21A83">
        <w:rPr>
          <w:rFonts w:eastAsia="Calibri" w:cs="Arial"/>
          <w:szCs w:val="20"/>
          <w:lang w:val="sl-SI"/>
        </w:rPr>
        <w:t xml:space="preserve"> </w:t>
      </w:r>
      <w:r w:rsidRPr="00D21A83">
        <w:rPr>
          <w:rFonts w:eastAsia="Calibri" w:cs="Arial"/>
          <w:szCs w:val="20"/>
          <w:lang w:val="sl-SI"/>
        </w:rPr>
        <w:t>opisom tehničnih zm</w:t>
      </w:r>
      <w:r w:rsidR="00332F88" w:rsidRPr="00D21A83">
        <w:rPr>
          <w:rFonts w:eastAsia="Calibri" w:cs="Arial"/>
          <w:szCs w:val="20"/>
          <w:lang w:val="sl-SI"/>
        </w:rPr>
        <w:t>ogljivosti (lastni laboratoriji</w:t>
      </w:r>
      <w:r w:rsidRPr="00D21A83">
        <w:rPr>
          <w:rFonts w:eastAsia="Calibri" w:cs="Arial"/>
          <w:szCs w:val="20"/>
          <w:lang w:val="sl-SI"/>
        </w:rPr>
        <w:t xml:space="preserve">, dostop </w:t>
      </w:r>
      <w:r w:rsidR="00DE317A" w:rsidRPr="00D21A83">
        <w:rPr>
          <w:rFonts w:eastAsia="Calibri" w:cs="Arial"/>
          <w:szCs w:val="20"/>
          <w:lang w:val="sl-SI"/>
        </w:rPr>
        <w:t>in uporaba drugih laboratorijev</w:t>
      </w:r>
      <w:r w:rsidRPr="00D21A83">
        <w:rPr>
          <w:rFonts w:eastAsia="Calibri" w:cs="Arial"/>
          <w:szCs w:val="20"/>
          <w:lang w:val="sl-SI"/>
        </w:rPr>
        <w:t>, spiskom ključne opreme, i</w:t>
      </w:r>
      <w:r w:rsidR="009536CA" w:rsidRPr="00D21A83">
        <w:rPr>
          <w:rFonts w:eastAsia="Calibri" w:cs="Arial"/>
          <w:szCs w:val="20"/>
          <w:lang w:val="sl-SI"/>
        </w:rPr>
        <w:t>pd</w:t>
      </w:r>
      <w:r w:rsidRPr="00D21A83">
        <w:rPr>
          <w:rFonts w:eastAsia="Calibri" w:cs="Arial"/>
          <w:szCs w:val="20"/>
          <w:lang w:val="sl-SI"/>
        </w:rPr>
        <w:t>.</w:t>
      </w:r>
      <w:r w:rsidR="00DE317A" w:rsidRPr="00D21A83">
        <w:rPr>
          <w:rFonts w:eastAsia="Calibri" w:cs="Arial"/>
          <w:szCs w:val="20"/>
          <w:lang w:val="sl-SI"/>
        </w:rPr>
        <w:t>)</w:t>
      </w:r>
      <w:r w:rsidR="008B4CFB" w:rsidRPr="00D21A83">
        <w:rPr>
          <w:rFonts w:eastAsia="Calibri" w:cs="Arial"/>
          <w:szCs w:val="20"/>
          <w:lang w:val="sl-SI"/>
        </w:rPr>
        <w:t>.</w:t>
      </w:r>
    </w:p>
    <w:p w:rsidR="009C6D14" w:rsidRPr="00D21A83" w:rsidRDefault="0007041D" w:rsidP="009735FC">
      <w:pPr>
        <w:spacing w:after="200" w:line="260" w:lineRule="exact"/>
        <w:jc w:val="both"/>
        <w:rPr>
          <w:rFonts w:eastAsia="Calibri" w:cs="Arial"/>
          <w:szCs w:val="20"/>
          <w:lang w:val="sl-SI"/>
        </w:rPr>
      </w:pPr>
      <w:r w:rsidRPr="00D21A83">
        <w:rPr>
          <w:rFonts w:eastAsia="Calibri" w:cs="Arial"/>
          <w:szCs w:val="20"/>
          <w:lang w:val="sl-SI"/>
        </w:rPr>
        <w:t xml:space="preserve">Vložnik mora navesti vse lokacije, na katerih opravlja naloge </w:t>
      </w:r>
      <w:r w:rsidR="009536CA" w:rsidRPr="00D21A83">
        <w:rPr>
          <w:rFonts w:eastAsia="Calibri" w:cs="Arial"/>
          <w:szCs w:val="20"/>
          <w:lang w:val="sl-SI"/>
        </w:rPr>
        <w:t xml:space="preserve">tretje stranke v postopku ocenjevanja in preverjanja nespremenljivosti lastnosti, </w:t>
      </w:r>
      <w:r w:rsidRPr="00D21A83">
        <w:rPr>
          <w:rFonts w:eastAsia="Calibri" w:cs="Arial"/>
          <w:szCs w:val="20"/>
          <w:lang w:val="sl-SI"/>
        </w:rPr>
        <w:t xml:space="preserve">v </w:t>
      </w:r>
      <w:r w:rsidR="009536CA" w:rsidRPr="00D21A83">
        <w:rPr>
          <w:rFonts w:eastAsia="Calibri" w:cs="Arial"/>
          <w:szCs w:val="20"/>
          <w:lang w:val="sl-SI"/>
        </w:rPr>
        <w:t>primeru, da</w:t>
      </w:r>
      <w:r w:rsidRPr="00D21A83">
        <w:rPr>
          <w:rFonts w:eastAsia="Calibri" w:cs="Arial"/>
          <w:szCs w:val="20"/>
          <w:lang w:val="sl-SI"/>
        </w:rPr>
        <w:t xml:space="preserve"> se te ne izvajajo na sedežu.</w:t>
      </w:r>
      <w:r w:rsidR="00332F88" w:rsidRPr="00D21A83">
        <w:rPr>
          <w:rFonts w:eastAsia="Calibri" w:cs="Arial"/>
          <w:szCs w:val="20"/>
          <w:lang w:val="sl-SI"/>
        </w:rPr>
        <w:t xml:space="preserve"> Navesti mora</w:t>
      </w:r>
      <w:r w:rsidR="00325969">
        <w:rPr>
          <w:rFonts w:eastAsia="Calibri" w:cs="Arial"/>
          <w:szCs w:val="20"/>
          <w:lang w:val="sl-SI"/>
        </w:rPr>
        <w:t>,</w:t>
      </w:r>
      <w:r w:rsidR="00332F88" w:rsidRPr="00D21A83">
        <w:rPr>
          <w:rFonts w:eastAsia="Calibri" w:cs="Arial"/>
          <w:szCs w:val="20"/>
          <w:lang w:val="sl-SI"/>
        </w:rPr>
        <w:t xml:space="preserve"> katere naloge </w:t>
      </w:r>
      <w:r w:rsidR="005B26ED" w:rsidRPr="00D21A83">
        <w:rPr>
          <w:rFonts w:eastAsia="Calibri" w:cs="Arial"/>
          <w:szCs w:val="20"/>
          <w:lang w:val="sl-SI"/>
        </w:rPr>
        <w:t>ocenjevanja in preverjanja nespremenljivosti lastnosti</w:t>
      </w:r>
      <w:r w:rsidR="005B26ED" w:rsidRPr="00D21A83" w:rsidDel="005B26ED">
        <w:rPr>
          <w:rFonts w:eastAsia="Calibri" w:cs="Arial"/>
          <w:szCs w:val="20"/>
          <w:lang w:val="sl-SI"/>
        </w:rPr>
        <w:t xml:space="preserve"> </w:t>
      </w:r>
      <w:r w:rsidR="00332F88" w:rsidRPr="00D21A83">
        <w:rPr>
          <w:rFonts w:eastAsia="Calibri" w:cs="Arial"/>
          <w:szCs w:val="20"/>
          <w:lang w:val="sl-SI"/>
        </w:rPr>
        <w:t>se na lokacijah izvajajo.</w:t>
      </w:r>
    </w:p>
    <w:p w:rsidR="0007041D" w:rsidRPr="00D21A83" w:rsidRDefault="0007041D" w:rsidP="009735FC">
      <w:pPr>
        <w:pStyle w:val="Naslov2"/>
        <w:spacing w:after="200"/>
        <w:rPr>
          <w:rFonts w:eastAsia="Calibri"/>
          <w:lang w:val="sl-SI"/>
        </w:rPr>
      </w:pPr>
      <w:bookmarkStart w:id="12" w:name="_Toc92353273"/>
      <w:r w:rsidRPr="00D21A83">
        <w:rPr>
          <w:rFonts w:eastAsia="Calibri"/>
          <w:lang w:val="sl-SI"/>
        </w:rPr>
        <w:t xml:space="preserve">ZAGOTAVLJANJE NEODVISNOSTI IN NEPRISTRANSKOSTI </w:t>
      </w:r>
      <w:r w:rsidR="0064620C" w:rsidRPr="00D21A83">
        <w:rPr>
          <w:rFonts w:eastAsia="Calibri"/>
          <w:lang w:val="sl-SI"/>
        </w:rPr>
        <w:t>(43/3, 43/4/1, 43/4/3, 43/5, 43/8 Uredbe 305/2011/EU)</w:t>
      </w:r>
      <w:bookmarkEnd w:id="12"/>
    </w:p>
    <w:p w:rsidR="009934F5" w:rsidRPr="00C831DE" w:rsidRDefault="009934F5" w:rsidP="009735FC">
      <w:pPr>
        <w:spacing w:after="200" w:line="260" w:lineRule="exact"/>
        <w:jc w:val="both"/>
        <w:rPr>
          <w:rFonts w:eastAsia="Calibri" w:cs="Arial"/>
          <w:szCs w:val="20"/>
          <w:lang w:val="sl-SI"/>
        </w:rPr>
      </w:pPr>
      <w:r w:rsidRPr="00C831DE">
        <w:rPr>
          <w:rFonts w:eastAsia="Calibri" w:cs="Arial"/>
          <w:szCs w:val="20"/>
          <w:lang w:val="sl-SI"/>
        </w:rPr>
        <w:t>Določbe Uredbe 305/2011/EU, ki se nanašajo na zagotavljanje neodvisnosti in nepristranskosti:</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Priglašeni organ je neodvisni tretji organ, ki ni povezan z organizacijo ali gradbenim proizvodom, ki ga ocenjuje.</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Organ, ki je član poslovnega združenja ali poklicnega združenja, ki zastopa podjetja, vključena v oblikovanje, proizvodnjo, ponudbo, sestavljanje, uporabo ali vzdrževanje gradbenih proizvodov, ki jih ta organ ocenjuje, se lahko pod pogojem, da sta dokazana njegova neodvisnost in odsotnost vsakega navzkrižja interesov, obravnava kot takšen organ.</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Priglašeni organ, njegovo najvišje vodstvo in osebje, pristojno za izvajanje nalog tretje stranke v postopku ocenjevanja in preverjanja nespremenljivosti lastnosti, niso oblikovalci, proizvajalci, dobavitelji, monterji, kupci, lastniki, uporabniki ali vzdrževalci gradbenih proizvodov, ki jih ocenjuje, niti pooblaščeni zastopniki katere koli izmed teh strank. To ne onemogoča uporabe ocenjenih proizvodov, ki so nujni za delovanje priglašenega organa, ali uporabe proizvodov za osebne namene.</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Priglašeni organ, njegovo najvišje vodstvo in osebje, pristojno za izvajanje nalog tretje stranke v postopku ocenjevanja in preverjanja nespremenljivosti lastnosti ne sodelujejo neposredno pri oblikovanju, proizvodnji ali konstrukciji, trženju, montaži, uporabi ali vzdrževanju navedenih gradbenih proizvodov in ne zastopajo strank, ki se ukvarjajo z navedenimi dejavnostmi. Ne izvajajo nobene dejavnosti, ki bi lahko bila v nasprotju z njihovo neodvisnostjo presoje in neoporečnostjo v zvezi z dejavnostmi, za katere so bili priglašeni. To velja še posebej za svetovalne storitve.</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Priglašeni organ zagotovi, da dejavnosti hčerinskih družb ali podizvajalcev ne vplivajo na zaupnost, objektivnost in nepristranskost njegovih dejavnosti ocenjevanja in/ali preverjanja.</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Priglašeni organ in njegovo osebje izvajata naloge tretje stranke v postopku ocenjevanja in preverjanja nespremenljivosti lastnosti z največjo strokovno neoporečnostjo in potrebno tehnično usposobljenostjo na določenem področju, brez pritiskov in spodbud, zlasti finančnih, ki bi lahko vplivali na njuno presojo ali rezultate njunih dejavnosti ocenjevanja in/ali preverjanja, zlasti od oseb ali skupin oseb, ki jih zanimajo rezultati navedenih dejavnosti.</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Zagotovljena je nepristranskost priglašenega organa, njegovega najvišjega vodstva in osebja za ocenjevanje.</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Plačilo najvišjega vodstva priglašenega organa in njegovega osebja za ocenjevanje ni odvisno od števila izvedenih ocenjevanj ali od rezultatov takšnih ocenjevanj.</w:t>
      </w:r>
    </w:p>
    <w:p w:rsidR="006D23DE" w:rsidRPr="00D21A83" w:rsidRDefault="0007041D" w:rsidP="009735FC">
      <w:pPr>
        <w:spacing w:after="200" w:line="260" w:lineRule="exact"/>
        <w:jc w:val="both"/>
        <w:rPr>
          <w:rFonts w:eastAsia="Calibri" w:cs="Arial"/>
          <w:szCs w:val="20"/>
          <w:lang w:val="sl-SI"/>
        </w:rPr>
      </w:pPr>
      <w:r w:rsidRPr="00D21A83">
        <w:rPr>
          <w:rFonts w:eastAsia="Calibri" w:cs="Arial"/>
          <w:szCs w:val="20"/>
          <w:lang w:val="sl-SI"/>
        </w:rPr>
        <w:lastRenderedPageBreak/>
        <w:t xml:space="preserve">V postopku </w:t>
      </w:r>
      <w:r w:rsidR="00152E3B" w:rsidRPr="00D21A83">
        <w:rPr>
          <w:rFonts w:eastAsia="Calibri" w:cs="Arial"/>
          <w:szCs w:val="20"/>
          <w:lang w:val="sl-SI"/>
        </w:rPr>
        <w:t xml:space="preserve">ocenjevanja in preverjanja nespremenljivosti lastnosti </w:t>
      </w:r>
      <w:r w:rsidRPr="00D21A83">
        <w:rPr>
          <w:rFonts w:eastAsia="Calibri" w:cs="Arial"/>
          <w:szCs w:val="20"/>
          <w:lang w:val="sl-SI"/>
        </w:rPr>
        <w:t>mora vložnik zagotoviti neodvisnost in nepristranskost do organizacije ali proizvoda, ki ga ocenjuje, o čemer mora v vlogi podati izjavo o zagotavljanju zaupnosti podatkov in izjavo o zagotavljanju neodvisnosti in nepristranskosti</w:t>
      </w:r>
      <w:r w:rsidR="00250A00" w:rsidRPr="00D21A83">
        <w:rPr>
          <w:rFonts w:eastAsia="Calibri" w:cs="Arial"/>
          <w:szCs w:val="20"/>
          <w:lang w:val="sl-SI"/>
        </w:rPr>
        <w:t xml:space="preserve"> njegovih dejavnosti</w:t>
      </w:r>
      <w:r w:rsidRPr="00D21A83">
        <w:rPr>
          <w:rFonts w:eastAsia="Calibri" w:cs="Arial"/>
          <w:szCs w:val="20"/>
          <w:lang w:val="sl-SI"/>
        </w:rPr>
        <w:t xml:space="preserve">. V kolikor vložnik opravlja naloge, ki bi utegnile vplivati na </w:t>
      </w:r>
      <w:r w:rsidR="00250A00" w:rsidRPr="00D21A83">
        <w:rPr>
          <w:rFonts w:eastAsia="Calibri" w:cs="Arial"/>
          <w:szCs w:val="20"/>
          <w:lang w:val="sl-SI"/>
        </w:rPr>
        <w:t>neodvisnost in</w:t>
      </w:r>
      <w:r w:rsidR="00D21A83">
        <w:rPr>
          <w:rFonts w:eastAsia="Calibri" w:cs="Arial"/>
          <w:szCs w:val="20"/>
          <w:lang w:val="sl-SI"/>
        </w:rPr>
        <w:t>/ali</w:t>
      </w:r>
      <w:r w:rsidR="00250A00" w:rsidRPr="00D21A83">
        <w:rPr>
          <w:rFonts w:eastAsia="Calibri" w:cs="Arial"/>
          <w:szCs w:val="20"/>
          <w:lang w:val="sl-SI"/>
        </w:rPr>
        <w:t xml:space="preserve"> </w:t>
      </w:r>
      <w:r w:rsidRPr="00D21A83">
        <w:rPr>
          <w:rFonts w:eastAsia="Calibri" w:cs="Arial"/>
          <w:szCs w:val="20"/>
          <w:lang w:val="sl-SI"/>
        </w:rPr>
        <w:t>nepristranskost dela</w:t>
      </w:r>
      <w:r w:rsidR="00637308" w:rsidRPr="00D21A83">
        <w:rPr>
          <w:rFonts w:eastAsia="Calibri" w:cs="Arial"/>
          <w:szCs w:val="20"/>
          <w:lang w:val="sl-SI"/>
        </w:rPr>
        <w:t xml:space="preserve"> (npr. komercialni, finančni</w:t>
      </w:r>
      <w:r w:rsidR="003F5884" w:rsidRPr="00D21A83">
        <w:rPr>
          <w:rFonts w:eastAsia="Calibri" w:cs="Arial"/>
          <w:szCs w:val="20"/>
          <w:lang w:val="sl-SI"/>
        </w:rPr>
        <w:t>, lastniški</w:t>
      </w:r>
      <w:r w:rsidR="00637308" w:rsidRPr="00D21A83">
        <w:rPr>
          <w:rFonts w:eastAsia="Calibri" w:cs="Arial"/>
          <w:szCs w:val="20"/>
          <w:lang w:val="sl-SI"/>
        </w:rPr>
        <w:t xml:space="preserve"> ali drugi vplivi)</w:t>
      </w:r>
      <w:r w:rsidRPr="00D21A83">
        <w:rPr>
          <w:rFonts w:eastAsia="Calibri" w:cs="Arial"/>
          <w:szCs w:val="20"/>
          <w:lang w:val="sl-SI"/>
        </w:rPr>
        <w:t xml:space="preserve">, mora na to opozoriti. </w:t>
      </w:r>
    </w:p>
    <w:p w:rsidR="006D23DE" w:rsidRPr="00D21A83" w:rsidRDefault="004228B3" w:rsidP="009735FC">
      <w:pPr>
        <w:pStyle w:val="Naslov2"/>
        <w:spacing w:after="200"/>
        <w:rPr>
          <w:rFonts w:eastAsia="Calibri"/>
          <w:lang w:val="sl-SI"/>
        </w:rPr>
      </w:pPr>
      <w:bookmarkStart w:id="13" w:name="_Toc92353274"/>
      <w:r w:rsidRPr="00D21A83">
        <w:rPr>
          <w:rFonts w:eastAsia="Calibri"/>
          <w:lang w:val="sl-SI"/>
        </w:rPr>
        <w:t>VKLJUČENOST PODIZVAJALCEV</w:t>
      </w:r>
      <w:r w:rsidR="006D21CE" w:rsidRPr="00D21A83">
        <w:rPr>
          <w:rFonts w:eastAsia="Calibri"/>
          <w:lang w:val="sl-SI"/>
        </w:rPr>
        <w:t xml:space="preserve"> (45. člen Uredbe 305/2011/EU)</w:t>
      </w:r>
      <w:bookmarkEnd w:id="13"/>
    </w:p>
    <w:p w:rsidR="009934F5" w:rsidRPr="00C831DE" w:rsidRDefault="009934F5" w:rsidP="009735FC">
      <w:pPr>
        <w:spacing w:after="200" w:line="260" w:lineRule="exact"/>
        <w:jc w:val="both"/>
        <w:rPr>
          <w:rFonts w:eastAsia="Calibri" w:cs="Arial"/>
          <w:szCs w:val="20"/>
          <w:lang w:val="sl-SI"/>
        </w:rPr>
      </w:pPr>
      <w:r w:rsidRPr="00C831DE">
        <w:rPr>
          <w:rFonts w:eastAsia="Calibri" w:cs="Arial"/>
          <w:szCs w:val="20"/>
          <w:lang w:val="sl-SI"/>
        </w:rPr>
        <w:t>Določbe Uredbe 305/2011/EU, ki se nanašajo na podizvajalce:</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Kadar priglašeni organ za določene naloge, povezane z nalogami tretje stranke v postopku ocenjevanja in preverjanja nespremenljivosti lastnosti, sklene pogodbo s podizvajalci ali jih prenese na hčerinsko podjetje, zagotovi, da podizvajalec ali hčerinsko podjetje izpolnjuje zahteve iz člena 43, in o tem ustrezno obvesti priglasitveni organ.</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Priglašeni organ prevzame polno odgovornost za naloge, ki jih izvajajo podizvajalci ali hčerinska podjetja, ne glede na njihov sedež podjetja.</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Dejavnosti se lahko prenesejo na podizvajalca ali hčerinsko podjetje samo, če s tem soglaša stranka.</w:t>
      </w:r>
    </w:p>
    <w:p w:rsidR="007636C7" w:rsidRPr="00C831DE" w:rsidRDefault="007636C7" w:rsidP="009735FC">
      <w:pPr>
        <w:spacing w:after="200" w:line="260" w:lineRule="exact"/>
        <w:jc w:val="both"/>
        <w:rPr>
          <w:rFonts w:cs="Arial"/>
          <w:i/>
          <w:szCs w:val="20"/>
          <w:lang w:val="sl-SI"/>
        </w:rPr>
      </w:pPr>
      <w:r w:rsidRPr="00C831DE">
        <w:rPr>
          <w:rFonts w:cs="Arial"/>
          <w:i/>
          <w:szCs w:val="20"/>
          <w:lang w:val="sl-SI"/>
        </w:rPr>
        <w:t>Priglašeni organi za priglasitvene organe hranijo zadevne dokumente v zvezi z ocenjevanjem usposobljenosti katerega koli podizvajalca ali hčerinskega podjetja in z nalogami, ki jih te stranke izvajajo v skladu s Prilogo V.</w:t>
      </w:r>
    </w:p>
    <w:p w:rsidR="0007041D" w:rsidRDefault="004228B3" w:rsidP="009735FC">
      <w:pPr>
        <w:spacing w:after="200" w:line="260" w:lineRule="exact"/>
        <w:jc w:val="both"/>
        <w:rPr>
          <w:rFonts w:eastAsia="Calibri" w:cs="Arial"/>
          <w:szCs w:val="20"/>
          <w:lang w:val="sl-SI"/>
        </w:rPr>
      </w:pPr>
      <w:r w:rsidRPr="00D21A83">
        <w:rPr>
          <w:rFonts w:eastAsia="Calibri" w:cs="Arial"/>
          <w:szCs w:val="20"/>
          <w:lang w:val="sl-SI"/>
        </w:rPr>
        <w:t>V kolikor vložnik</w:t>
      </w:r>
      <w:r w:rsidR="004D2240" w:rsidRPr="00D21A83">
        <w:rPr>
          <w:rFonts w:eastAsia="Calibri" w:cs="Arial"/>
          <w:szCs w:val="20"/>
          <w:lang w:val="sl-SI"/>
        </w:rPr>
        <w:t xml:space="preserve"> </w:t>
      </w:r>
      <w:r w:rsidR="00D93150" w:rsidRPr="00D21A83">
        <w:rPr>
          <w:rFonts w:eastAsia="Calibri" w:cs="Arial"/>
          <w:szCs w:val="20"/>
          <w:lang w:val="sl-SI"/>
        </w:rPr>
        <w:t>namerava za</w:t>
      </w:r>
      <w:r w:rsidRPr="00D21A83">
        <w:rPr>
          <w:rFonts w:eastAsia="Calibri" w:cs="Arial"/>
          <w:szCs w:val="20"/>
          <w:lang w:val="sl-SI"/>
        </w:rPr>
        <w:t xml:space="preserve"> del postopkov </w:t>
      </w:r>
      <w:r w:rsidR="00D93150" w:rsidRPr="00D21A83">
        <w:rPr>
          <w:rFonts w:eastAsia="Calibri" w:cs="Arial"/>
          <w:szCs w:val="20"/>
          <w:lang w:val="sl-SI"/>
        </w:rPr>
        <w:t xml:space="preserve">skleniti pogodbo </w:t>
      </w:r>
      <w:r w:rsidRPr="00D21A83">
        <w:rPr>
          <w:rFonts w:eastAsia="Calibri" w:cs="Arial"/>
          <w:szCs w:val="20"/>
          <w:lang w:val="sl-SI"/>
        </w:rPr>
        <w:t xml:space="preserve">s podizvajalci, </w:t>
      </w:r>
      <w:r w:rsidR="008B4CFB" w:rsidRPr="00D21A83">
        <w:rPr>
          <w:rFonts w:eastAsia="Calibri" w:cs="Arial"/>
          <w:szCs w:val="20"/>
          <w:lang w:val="sl-SI"/>
        </w:rPr>
        <w:t xml:space="preserve">mora </w:t>
      </w:r>
      <w:r w:rsidR="00D21A83" w:rsidRPr="00D21A83">
        <w:rPr>
          <w:rFonts w:eastAsia="Calibri" w:cs="Arial"/>
          <w:szCs w:val="20"/>
          <w:lang w:val="sl-SI"/>
        </w:rPr>
        <w:t>o tem obvesti</w:t>
      </w:r>
      <w:r w:rsidR="00D21A83">
        <w:rPr>
          <w:rFonts w:eastAsia="Calibri" w:cs="Arial"/>
          <w:szCs w:val="20"/>
          <w:lang w:val="sl-SI"/>
        </w:rPr>
        <w:t>ti</w:t>
      </w:r>
      <w:r w:rsidR="00D21A83" w:rsidRPr="00D21A83">
        <w:rPr>
          <w:rFonts w:eastAsia="Calibri" w:cs="Arial"/>
          <w:szCs w:val="20"/>
          <w:lang w:val="sl-SI"/>
        </w:rPr>
        <w:t xml:space="preserve"> ministrstvo </w:t>
      </w:r>
      <w:r w:rsidR="00D21A83">
        <w:rPr>
          <w:rFonts w:eastAsia="Calibri" w:cs="Arial"/>
          <w:szCs w:val="20"/>
          <w:lang w:val="sl-SI"/>
        </w:rPr>
        <w:t xml:space="preserve">in </w:t>
      </w:r>
      <w:r w:rsidR="00D93150" w:rsidRPr="00D21A83">
        <w:rPr>
          <w:rFonts w:eastAsia="Calibri" w:cs="Arial"/>
          <w:szCs w:val="20"/>
          <w:lang w:val="sl-SI"/>
        </w:rPr>
        <w:t>zagotovi</w:t>
      </w:r>
      <w:r w:rsidR="008B4CFB" w:rsidRPr="00D21A83">
        <w:rPr>
          <w:rFonts w:eastAsia="Calibri" w:cs="Arial"/>
          <w:szCs w:val="20"/>
          <w:lang w:val="sl-SI"/>
        </w:rPr>
        <w:t>ti</w:t>
      </w:r>
      <w:r w:rsidR="00D93150" w:rsidRPr="00D21A83">
        <w:rPr>
          <w:rFonts w:eastAsia="Calibri" w:cs="Arial"/>
          <w:szCs w:val="20"/>
          <w:lang w:val="sl-SI"/>
        </w:rPr>
        <w:t xml:space="preserve">, da ti izpolnjujejo zahteve </w:t>
      </w:r>
      <w:r w:rsidR="008B4CFB" w:rsidRPr="00D21A83">
        <w:rPr>
          <w:rFonts w:eastAsia="Calibri" w:cs="Arial"/>
          <w:szCs w:val="20"/>
          <w:lang w:val="sl-SI"/>
        </w:rPr>
        <w:t xml:space="preserve">43. </w:t>
      </w:r>
      <w:r w:rsidR="00D93150" w:rsidRPr="00D21A83">
        <w:rPr>
          <w:rFonts w:eastAsia="Calibri" w:cs="Arial"/>
          <w:szCs w:val="20"/>
          <w:lang w:val="sl-SI"/>
        </w:rPr>
        <w:t>člena Uredbe 305/2011/EU. N</w:t>
      </w:r>
      <w:r w:rsidRPr="00D21A83">
        <w:rPr>
          <w:rFonts w:eastAsia="Calibri" w:cs="Arial"/>
          <w:szCs w:val="20"/>
          <w:lang w:val="sl-SI"/>
        </w:rPr>
        <w:t xml:space="preserve">avesti </w:t>
      </w:r>
      <w:r w:rsidR="00D93150" w:rsidRPr="00D21A83">
        <w:rPr>
          <w:rFonts w:eastAsia="Calibri" w:cs="Arial"/>
          <w:szCs w:val="20"/>
          <w:lang w:val="sl-SI"/>
        </w:rPr>
        <w:t xml:space="preserve">mora </w:t>
      </w:r>
      <w:r w:rsidRPr="00D21A83">
        <w:rPr>
          <w:rFonts w:eastAsia="Calibri" w:cs="Arial"/>
          <w:szCs w:val="20"/>
          <w:lang w:val="sl-SI"/>
        </w:rPr>
        <w:t>vse pod</w:t>
      </w:r>
      <w:r w:rsidR="00D93150" w:rsidRPr="00D21A83">
        <w:rPr>
          <w:rFonts w:eastAsia="Calibri" w:cs="Arial"/>
          <w:szCs w:val="20"/>
          <w:lang w:val="sl-SI"/>
        </w:rPr>
        <w:t>izvajalc</w:t>
      </w:r>
      <w:r w:rsidRPr="00D21A83">
        <w:rPr>
          <w:rFonts w:eastAsia="Calibri" w:cs="Arial"/>
          <w:szCs w:val="20"/>
          <w:lang w:val="sl-SI"/>
        </w:rPr>
        <w:t xml:space="preserve">e, vrsto, področje in obseg nalog ter proizvodov, na katere se nanašajo </w:t>
      </w:r>
      <w:r w:rsidR="00D21A83">
        <w:rPr>
          <w:rFonts w:eastAsia="Calibri" w:cs="Arial"/>
          <w:szCs w:val="20"/>
          <w:lang w:val="sl-SI"/>
        </w:rPr>
        <w:t>njihove naloge</w:t>
      </w:r>
      <w:r w:rsidRPr="00D21A83">
        <w:rPr>
          <w:rFonts w:eastAsia="Calibri" w:cs="Arial"/>
          <w:szCs w:val="20"/>
          <w:lang w:val="sl-SI"/>
        </w:rPr>
        <w:t xml:space="preserve">. </w:t>
      </w:r>
      <w:r w:rsidR="00FF4D6B" w:rsidRPr="00D21A83">
        <w:rPr>
          <w:rFonts w:eastAsia="Calibri" w:cs="Arial"/>
          <w:szCs w:val="20"/>
          <w:lang w:val="sl-SI"/>
        </w:rPr>
        <w:t xml:space="preserve">Podizvajalce vključi lahko le s soglasjem stranke. </w:t>
      </w:r>
      <w:r w:rsidRPr="00D21A83">
        <w:rPr>
          <w:rFonts w:eastAsia="Calibri" w:cs="Arial"/>
          <w:szCs w:val="20"/>
          <w:lang w:val="sl-SI"/>
        </w:rPr>
        <w:t xml:space="preserve">Vložnik je </w:t>
      </w:r>
      <w:r w:rsidR="00250A00" w:rsidRPr="00D21A83">
        <w:rPr>
          <w:rFonts w:eastAsia="Calibri" w:cs="Arial"/>
          <w:szCs w:val="20"/>
          <w:lang w:val="sl-SI"/>
        </w:rPr>
        <w:t xml:space="preserve">polno </w:t>
      </w:r>
      <w:r w:rsidRPr="00D21A83">
        <w:rPr>
          <w:rFonts w:eastAsia="Calibri" w:cs="Arial"/>
          <w:szCs w:val="20"/>
          <w:lang w:val="sl-SI"/>
        </w:rPr>
        <w:t xml:space="preserve">odgovoren za ustreznost izvajanja postopkov podizvajalcev, imeti mora dostop oziroma </w:t>
      </w:r>
      <w:r w:rsidR="001365E2" w:rsidRPr="00D21A83">
        <w:rPr>
          <w:rFonts w:eastAsia="Calibri" w:cs="Arial"/>
          <w:szCs w:val="20"/>
          <w:lang w:val="sl-SI"/>
        </w:rPr>
        <w:t xml:space="preserve">imeti mora </w:t>
      </w:r>
      <w:r w:rsidRPr="00D21A83">
        <w:rPr>
          <w:rFonts w:eastAsia="Calibri" w:cs="Arial"/>
          <w:szCs w:val="20"/>
          <w:lang w:val="sl-SI"/>
        </w:rPr>
        <w:t xml:space="preserve">dokumentirane vse postopke </w:t>
      </w:r>
      <w:r w:rsidR="005B26ED" w:rsidRPr="00D21A83">
        <w:rPr>
          <w:rFonts w:eastAsia="Calibri" w:cs="Arial"/>
          <w:szCs w:val="20"/>
          <w:lang w:val="sl-SI"/>
        </w:rPr>
        <w:t>ocenjevanja in preverjanja nespremenljivosti lastnosti</w:t>
      </w:r>
      <w:r w:rsidRPr="00D21A83">
        <w:rPr>
          <w:rFonts w:eastAsia="Calibri" w:cs="Arial"/>
          <w:szCs w:val="20"/>
          <w:lang w:val="sl-SI"/>
        </w:rPr>
        <w:t>, ki jih izvajajo podizvajalci</w:t>
      </w:r>
      <w:r w:rsidR="00D93150" w:rsidRPr="00D21A83">
        <w:rPr>
          <w:rFonts w:eastAsia="Calibri" w:cs="Arial"/>
          <w:szCs w:val="20"/>
          <w:lang w:val="sl-SI"/>
        </w:rPr>
        <w:t xml:space="preserve">, hraniti dokumente </w:t>
      </w:r>
      <w:r w:rsidRPr="00D21A83">
        <w:rPr>
          <w:rFonts w:eastAsia="Calibri" w:cs="Arial"/>
          <w:szCs w:val="20"/>
          <w:lang w:val="sl-SI"/>
        </w:rPr>
        <w:t>ter jih na zahtevo ministrstva predložiti na vpogled.</w:t>
      </w:r>
    </w:p>
    <w:p w:rsidR="004228B3" w:rsidRPr="00D21A83" w:rsidRDefault="004228B3" w:rsidP="009735FC">
      <w:pPr>
        <w:pStyle w:val="Naslov2"/>
        <w:spacing w:after="200"/>
        <w:rPr>
          <w:rFonts w:eastAsia="Calibri"/>
          <w:lang w:val="sl-SI"/>
        </w:rPr>
      </w:pPr>
      <w:bookmarkStart w:id="14" w:name="_Toc92353275"/>
      <w:r w:rsidRPr="00D21A83">
        <w:rPr>
          <w:rFonts w:eastAsia="Calibri"/>
          <w:lang w:val="sl-SI"/>
        </w:rPr>
        <w:t>ZAVAROVANJE ODGOVORNOSTI</w:t>
      </w:r>
      <w:r w:rsidR="00EC41B6" w:rsidRPr="00D21A83">
        <w:rPr>
          <w:rFonts w:eastAsia="Calibri"/>
          <w:lang w:val="sl-SI"/>
        </w:rPr>
        <w:t xml:space="preserve"> (določba 43/9 Uredbe 305/2011/EU)</w:t>
      </w:r>
      <w:bookmarkEnd w:id="14"/>
    </w:p>
    <w:p w:rsidR="009934F5" w:rsidRPr="00C831DE" w:rsidRDefault="009934F5" w:rsidP="009735FC">
      <w:pPr>
        <w:spacing w:after="200" w:line="260" w:lineRule="exact"/>
        <w:jc w:val="both"/>
        <w:rPr>
          <w:rFonts w:eastAsia="Calibri" w:cs="Arial"/>
          <w:szCs w:val="20"/>
          <w:lang w:val="sl-SI"/>
        </w:rPr>
      </w:pPr>
      <w:r w:rsidRPr="00C831DE">
        <w:rPr>
          <w:rFonts w:eastAsia="Calibri" w:cs="Arial"/>
          <w:szCs w:val="20"/>
          <w:lang w:val="sl-SI"/>
        </w:rPr>
        <w:t>Določbe Uredbe 305/2011/EU, ki se nanašajo na zavarovanje odgovornosti:</w:t>
      </w:r>
    </w:p>
    <w:p w:rsidR="00DC703B" w:rsidRPr="00C831DE" w:rsidRDefault="00DC703B" w:rsidP="009735FC">
      <w:pPr>
        <w:spacing w:after="200" w:line="260" w:lineRule="exact"/>
        <w:jc w:val="both"/>
        <w:rPr>
          <w:rFonts w:eastAsia="Calibri" w:cs="Arial"/>
          <w:i/>
          <w:szCs w:val="20"/>
          <w:lang w:val="sl-SI"/>
        </w:rPr>
      </w:pPr>
      <w:r w:rsidRPr="00C831DE">
        <w:rPr>
          <w:rFonts w:eastAsia="Calibri" w:cs="Arial"/>
          <w:i/>
          <w:szCs w:val="20"/>
          <w:lang w:val="sl-SI"/>
        </w:rPr>
        <w:t>Priglašeni organ sklene zavarovanje odgovornosti, razen če odgovornosti v skladu z nacionalno zakonodajo ne prevzame država članica ali če je država članica sama neposredno pristojna za ocenjevanje in/ali preverjanje.</w:t>
      </w:r>
    </w:p>
    <w:p w:rsidR="004228B3" w:rsidRDefault="004228B3" w:rsidP="009735FC">
      <w:pPr>
        <w:spacing w:after="200" w:line="260" w:lineRule="exact"/>
        <w:jc w:val="both"/>
        <w:rPr>
          <w:rFonts w:eastAsia="Calibri" w:cs="Arial"/>
          <w:szCs w:val="20"/>
          <w:lang w:val="sl-SI"/>
        </w:rPr>
      </w:pPr>
      <w:r w:rsidRPr="00C831DE">
        <w:rPr>
          <w:rFonts w:eastAsia="Calibri" w:cs="Arial"/>
          <w:szCs w:val="20"/>
          <w:lang w:val="sl-SI"/>
        </w:rPr>
        <w:t>Vložnik mora izkaz</w:t>
      </w:r>
      <w:r w:rsidR="00D21A83" w:rsidRPr="00C831DE">
        <w:rPr>
          <w:rFonts w:eastAsia="Calibri" w:cs="Arial"/>
          <w:szCs w:val="20"/>
          <w:lang w:val="sl-SI"/>
        </w:rPr>
        <w:t>a</w:t>
      </w:r>
      <w:r w:rsidRPr="00C831DE">
        <w:rPr>
          <w:rFonts w:eastAsia="Calibri" w:cs="Arial"/>
          <w:szCs w:val="20"/>
          <w:lang w:val="sl-SI"/>
        </w:rPr>
        <w:t>ti</w:t>
      </w:r>
      <w:r w:rsidR="0007041D" w:rsidRPr="00C831DE">
        <w:rPr>
          <w:rFonts w:eastAsia="Calibri" w:cs="Arial"/>
          <w:szCs w:val="20"/>
          <w:lang w:val="sl-SI"/>
        </w:rPr>
        <w:t>, da ima sklenjeno zavarovanje odgovornosti</w:t>
      </w:r>
      <w:r w:rsidR="00D21A83" w:rsidRPr="00C831DE">
        <w:rPr>
          <w:rFonts w:eastAsia="Calibri" w:cs="Arial"/>
          <w:szCs w:val="20"/>
          <w:lang w:val="sl-SI"/>
        </w:rPr>
        <w:t xml:space="preserve"> za izvajanje dejavnosti organa AVCP</w:t>
      </w:r>
      <w:r w:rsidR="0007041D" w:rsidRPr="00C831DE">
        <w:rPr>
          <w:rFonts w:eastAsia="Calibri" w:cs="Arial"/>
          <w:szCs w:val="20"/>
          <w:lang w:val="sl-SI"/>
        </w:rPr>
        <w:t xml:space="preserve">, </w:t>
      </w:r>
      <w:r w:rsidR="001365E2" w:rsidRPr="00C831DE">
        <w:rPr>
          <w:rFonts w:eastAsia="Calibri" w:cs="Arial"/>
          <w:szCs w:val="20"/>
          <w:lang w:val="sl-SI"/>
        </w:rPr>
        <w:t>tako</w:t>
      </w:r>
      <w:r w:rsidR="004D2240" w:rsidRPr="00C831DE">
        <w:rPr>
          <w:rFonts w:eastAsia="Calibri" w:cs="Arial"/>
          <w:szCs w:val="20"/>
          <w:lang w:val="sl-SI"/>
        </w:rPr>
        <w:t xml:space="preserve"> da </w:t>
      </w:r>
      <w:r w:rsidR="0007041D" w:rsidRPr="00C831DE">
        <w:rPr>
          <w:rFonts w:eastAsia="Calibri" w:cs="Arial"/>
          <w:szCs w:val="20"/>
          <w:lang w:val="sl-SI"/>
        </w:rPr>
        <w:t>predloži</w:t>
      </w:r>
      <w:r w:rsidR="004D2240" w:rsidRPr="00C831DE">
        <w:rPr>
          <w:rFonts w:eastAsia="Calibri" w:cs="Arial"/>
          <w:szCs w:val="20"/>
          <w:lang w:val="sl-SI"/>
        </w:rPr>
        <w:t xml:space="preserve"> kopijo</w:t>
      </w:r>
      <w:r w:rsidR="0007041D" w:rsidRPr="00C831DE">
        <w:rPr>
          <w:rFonts w:eastAsia="Calibri" w:cs="Arial"/>
          <w:szCs w:val="20"/>
          <w:lang w:val="sl-SI"/>
        </w:rPr>
        <w:t xml:space="preserve"> zavarovalne poli</w:t>
      </w:r>
      <w:r w:rsidR="004D2240" w:rsidRPr="00C831DE">
        <w:rPr>
          <w:rFonts w:eastAsia="Calibri" w:cs="Arial"/>
          <w:szCs w:val="20"/>
          <w:lang w:val="sl-SI"/>
        </w:rPr>
        <w:t>ce in navede višino</w:t>
      </w:r>
      <w:r w:rsidR="0007041D" w:rsidRPr="00C831DE">
        <w:rPr>
          <w:rFonts w:eastAsia="Calibri" w:cs="Arial"/>
          <w:szCs w:val="20"/>
          <w:lang w:val="sl-SI"/>
        </w:rPr>
        <w:t xml:space="preserve"> odškodnine oziroma </w:t>
      </w:r>
      <w:r w:rsidR="004D2240" w:rsidRPr="00C831DE">
        <w:rPr>
          <w:rFonts w:eastAsia="Calibri" w:cs="Arial"/>
          <w:szCs w:val="20"/>
          <w:lang w:val="sl-SI"/>
        </w:rPr>
        <w:t xml:space="preserve">poda </w:t>
      </w:r>
      <w:r w:rsidR="0007041D" w:rsidRPr="00C831DE">
        <w:rPr>
          <w:rFonts w:eastAsia="Calibri" w:cs="Arial"/>
          <w:szCs w:val="20"/>
          <w:lang w:val="sl-SI"/>
        </w:rPr>
        <w:t>izjavo o s</w:t>
      </w:r>
      <w:r w:rsidR="004D2240" w:rsidRPr="00C831DE">
        <w:rPr>
          <w:rFonts w:eastAsia="Calibri" w:cs="Arial"/>
          <w:szCs w:val="20"/>
          <w:lang w:val="sl-SI"/>
        </w:rPr>
        <w:t>klenjenem zavarovanju in navede</w:t>
      </w:r>
      <w:r w:rsidR="0007041D" w:rsidRPr="00C831DE">
        <w:rPr>
          <w:rFonts w:eastAsia="Calibri" w:cs="Arial"/>
          <w:szCs w:val="20"/>
          <w:lang w:val="sl-SI"/>
        </w:rPr>
        <w:t xml:space="preserve"> </w:t>
      </w:r>
      <w:r w:rsidR="004D2240" w:rsidRPr="00C831DE">
        <w:rPr>
          <w:rFonts w:eastAsia="Calibri" w:cs="Arial"/>
          <w:szCs w:val="20"/>
          <w:lang w:val="sl-SI"/>
        </w:rPr>
        <w:t>višino</w:t>
      </w:r>
      <w:r w:rsidR="0007041D" w:rsidRPr="00C831DE">
        <w:rPr>
          <w:rFonts w:eastAsia="Calibri" w:cs="Arial"/>
          <w:szCs w:val="20"/>
          <w:lang w:val="sl-SI"/>
        </w:rPr>
        <w:t xml:space="preserve"> odškodnine.</w:t>
      </w:r>
      <w:r w:rsidR="004D2240" w:rsidRPr="00C831DE">
        <w:rPr>
          <w:rFonts w:eastAsia="Calibri" w:cs="Arial"/>
          <w:szCs w:val="20"/>
          <w:lang w:val="sl-SI"/>
        </w:rPr>
        <w:t xml:space="preserve"> </w:t>
      </w:r>
      <w:r w:rsidR="009E3064" w:rsidRPr="00C831DE">
        <w:rPr>
          <w:rFonts w:eastAsia="Calibri" w:cs="Arial"/>
          <w:szCs w:val="20"/>
          <w:lang w:val="sl-SI"/>
        </w:rPr>
        <w:t>Obseg zavarovalne police in višina odškodnine</w:t>
      </w:r>
      <w:r w:rsidR="009E3064" w:rsidRPr="00D21A83">
        <w:rPr>
          <w:rFonts w:eastAsia="Calibri" w:cs="Arial"/>
          <w:szCs w:val="20"/>
          <w:lang w:val="sl-SI"/>
        </w:rPr>
        <w:t xml:space="preserve"> mora</w:t>
      </w:r>
      <w:r w:rsidR="00325969">
        <w:rPr>
          <w:rFonts w:eastAsia="Calibri" w:cs="Arial"/>
          <w:szCs w:val="20"/>
          <w:lang w:val="sl-SI"/>
        </w:rPr>
        <w:t xml:space="preserve">ta </w:t>
      </w:r>
      <w:r w:rsidR="009E3064" w:rsidRPr="00D21A83">
        <w:rPr>
          <w:rFonts w:eastAsia="Calibri" w:cs="Arial"/>
          <w:szCs w:val="20"/>
          <w:lang w:val="sl-SI"/>
        </w:rPr>
        <w:t xml:space="preserve"> </w:t>
      </w:r>
      <w:r w:rsidR="00325969">
        <w:rPr>
          <w:rFonts w:eastAsia="Calibri" w:cs="Arial"/>
          <w:szCs w:val="20"/>
          <w:lang w:val="sl-SI"/>
        </w:rPr>
        <w:t>biti sorazmerna s</w:t>
      </w:r>
      <w:r w:rsidR="009E3064" w:rsidRPr="00D21A83">
        <w:rPr>
          <w:rFonts w:eastAsia="Calibri" w:cs="Arial"/>
          <w:szCs w:val="20"/>
          <w:lang w:val="sl-SI"/>
        </w:rPr>
        <w:t xml:space="preserve"> tveganj</w:t>
      </w:r>
      <w:r w:rsidR="00325969">
        <w:rPr>
          <w:rFonts w:eastAsia="Calibri" w:cs="Arial"/>
          <w:szCs w:val="20"/>
          <w:lang w:val="sl-SI"/>
        </w:rPr>
        <w:t>em opravljanja</w:t>
      </w:r>
      <w:r w:rsidR="009E3064" w:rsidRPr="00D21A83">
        <w:rPr>
          <w:rFonts w:eastAsia="Calibri" w:cs="Arial"/>
          <w:szCs w:val="20"/>
          <w:lang w:val="sl-SI"/>
        </w:rPr>
        <w:t xml:space="preserve"> dejavnosti na vseh trgih, kjer deluje </w:t>
      </w:r>
      <w:r w:rsidR="00C66CF8" w:rsidRPr="00D21A83">
        <w:rPr>
          <w:rFonts w:eastAsia="Calibri" w:cs="Arial"/>
          <w:szCs w:val="20"/>
          <w:lang w:val="sl-SI"/>
        </w:rPr>
        <w:t>vložnik.</w:t>
      </w:r>
    </w:p>
    <w:p w:rsidR="00C66CF8" w:rsidRPr="00D21A83" w:rsidRDefault="00D67925" w:rsidP="009735FC">
      <w:pPr>
        <w:pStyle w:val="Naslov2"/>
        <w:spacing w:after="200"/>
        <w:rPr>
          <w:rFonts w:eastAsia="Calibri"/>
          <w:lang w:val="sl-SI"/>
        </w:rPr>
      </w:pPr>
      <w:bookmarkStart w:id="15" w:name="_Toc92353276"/>
      <w:r w:rsidRPr="00D21A83">
        <w:rPr>
          <w:rFonts w:eastAsia="Calibri"/>
          <w:lang w:val="sl-SI"/>
        </w:rPr>
        <w:t xml:space="preserve">SODELOVANJE V MEDNARODNIH SKUPINAH </w:t>
      </w:r>
      <w:r w:rsidR="007F1E40" w:rsidRPr="00D21A83">
        <w:rPr>
          <w:rFonts w:eastAsia="Calibri"/>
          <w:lang w:val="sl-SI"/>
        </w:rPr>
        <w:t>(določba 43/11 Uredbe 305/2011/EU)</w:t>
      </w:r>
      <w:bookmarkEnd w:id="15"/>
    </w:p>
    <w:p w:rsidR="009934F5" w:rsidRPr="00C831DE" w:rsidRDefault="009934F5" w:rsidP="009735FC">
      <w:pPr>
        <w:spacing w:after="200" w:line="260" w:lineRule="exact"/>
        <w:jc w:val="both"/>
        <w:rPr>
          <w:rFonts w:eastAsia="Calibri" w:cs="Arial"/>
          <w:szCs w:val="20"/>
          <w:lang w:val="sl-SI"/>
        </w:rPr>
      </w:pPr>
      <w:r w:rsidRPr="00C831DE">
        <w:rPr>
          <w:rFonts w:eastAsia="Calibri" w:cs="Arial"/>
          <w:szCs w:val="20"/>
          <w:lang w:val="sl-SI"/>
        </w:rPr>
        <w:t>Določbe Uredbe 305/2011/EU, ki se nanašajo na sodelovanje v mednarodnih skupinah:</w:t>
      </w:r>
    </w:p>
    <w:p w:rsidR="00DC703B" w:rsidRPr="00C831DE" w:rsidRDefault="00DC703B" w:rsidP="009735FC">
      <w:pPr>
        <w:spacing w:after="200" w:line="260" w:lineRule="exact"/>
        <w:jc w:val="both"/>
        <w:rPr>
          <w:rFonts w:cs="Arial"/>
          <w:i/>
          <w:szCs w:val="20"/>
          <w:lang w:val="sl-SI" w:eastAsia="sl-SI"/>
        </w:rPr>
      </w:pPr>
      <w:r w:rsidRPr="00C831DE">
        <w:rPr>
          <w:rFonts w:cs="Arial"/>
          <w:i/>
          <w:szCs w:val="20"/>
          <w:lang w:val="sl-SI" w:eastAsia="sl-SI"/>
        </w:rPr>
        <w:t>Priglašeni organ sodeluje v ustreznih dejavnostih standardizacije in dejavnostih skupine za usklajevanje dela priglašenih organov, ustanovljene v skladu s to uredbo, ali zagotovi, da je njegovo osebje za ocenjevanje obveščeno o teh dejavnostih, ter uporablja upravne odločbe in dokumente, ki so rezultat dela navedene skupine, kot splošne smernice.</w:t>
      </w:r>
    </w:p>
    <w:p w:rsidR="00C66CF8" w:rsidRDefault="00D67925" w:rsidP="009735FC">
      <w:pPr>
        <w:spacing w:after="200" w:line="260" w:lineRule="exact"/>
        <w:jc w:val="both"/>
        <w:rPr>
          <w:rFonts w:eastAsia="Calibri" w:cs="Arial"/>
          <w:szCs w:val="20"/>
          <w:lang w:val="sl-SI"/>
        </w:rPr>
      </w:pPr>
      <w:r w:rsidRPr="00D21A83">
        <w:rPr>
          <w:rFonts w:eastAsia="Calibri" w:cs="Arial"/>
          <w:szCs w:val="20"/>
          <w:lang w:val="sl-SI"/>
        </w:rPr>
        <w:lastRenderedPageBreak/>
        <w:t>Vložnik mora dokazati sodelovanje v ustreznih dejavnostih standardizacije in v evropski skupini za usklajevanje dela priglašenih organov (</w:t>
      </w:r>
      <w:r w:rsidR="009C6D14" w:rsidRPr="00D21A83">
        <w:rPr>
          <w:rFonts w:eastAsia="Calibri" w:cs="Arial"/>
          <w:szCs w:val="20"/>
          <w:lang w:val="sl-SI"/>
        </w:rPr>
        <w:t xml:space="preserve">angl. </w:t>
      </w:r>
      <w:r w:rsidRPr="00D21A83">
        <w:rPr>
          <w:rFonts w:eastAsia="Calibri" w:cs="Arial"/>
          <w:szCs w:val="20"/>
          <w:lang w:val="sl-SI"/>
        </w:rPr>
        <w:t xml:space="preserve">Group of Notified Bodies), ki je ustanovljena v okviru Uredbe 305/2011/EU. </w:t>
      </w:r>
      <w:r w:rsidR="00FF4D6B" w:rsidRPr="00D21A83">
        <w:rPr>
          <w:rFonts w:eastAsia="Calibri" w:cs="Arial"/>
          <w:szCs w:val="20"/>
          <w:lang w:val="sl-SI"/>
        </w:rPr>
        <w:t>Sodelovanje lahko poteka neposredno ali pa preko nacionalne zrcalne  skupine, ki je v ta namen ustanovljena v Republiki Sloveniji.</w:t>
      </w:r>
    </w:p>
    <w:p w:rsidR="007F1E40" w:rsidRPr="00D21A83" w:rsidRDefault="00E04DA0" w:rsidP="009735FC">
      <w:pPr>
        <w:pStyle w:val="Naslov2"/>
        <w:spacing w:after="200"/>
        <w:rPr>
          <w:rFonts w:eastAsia="Calibri"/>
          <w:lang w:val="sl-SI"/>
        </w:rPr>
      </w:pPr>
      <w:r>
        <w:rPr>
          <w:rFonts w:eastAsia="Calibri"/>
          <w:lang w:val="sl-SI"/>
        </w:rPr>
        <w:t xml:space="preserve"> </w:t>
      </w:r>
      <w:bookmarkStart w:id="16" w:name="_Toc92353277"/>
      <w:r w:rsidR="007F1E40" w:rsidRPr="00D21A83">
        <w:rPr>
          <w:rFonts w:eastAsia="Calibri"/>
          <w:lang w:val="sl-SI"/>
        </w:rPr>
        <w:t>ZAHTEVE PO OBVEŠČANJU (53. člen Uredbe 305/2011/EU)</w:t>
      </w:r>
      <w:bookmarkEnd w:id="16"/>
    </w:p>
    <w:p w:rsidR="009934F5" w:rsidRPr="00C831DE" w:rsidRDefault="009934F5" w:rsidP="009735FC">
      <w:pPr>
        <w:spacing w:after="200" w:line="260" w:lineRule="exact"/>
        <w:jc w:val="both"/>
        <w:rPr>
          <w:rFonts w:eastAsia="Calibri" w:cs="Arial"/>
          <w:szCs w:val="20"/>
          <w:lang w:val="sl-SI"/>
        </w:rPr>
      </w:pPr>
      <w:r w:rsidRPr="00C831DE">
        <w:rPr>
          <w:rFonts w:eastAsia="Calibri" w:cs="Arial"/>
          <w:szCs w:val="20"/>
          <w:lang w:val="sl-SI"/>
        </w:rPr>
        <w:t>Določbe Uredbe 305/2011/EU, ki se nanašajo na obveščanje:</w:t>
      </w:r>
    </w:p>
    <w:p w:rsidR="007F1E40" w:rsidRPr="00C831DE" w:rsidRDefault="007F1E40" w:rsidP="009735FC">
      <w:pPr>
        <w:spacing w:after="200" w:line="260" w:lineRule="exact"/>
        <w:jc w:val="both"/>
        <w:rPr>
          <w:rFonts w:eastAsia="Calibri" w:cs="Arial"/>
          <w:i/>
          <w:szCs w:val="20"/>
          <w:lang w:val="sl-SI"/>
        </w:rPr>
      </w:pPr>
      <w:r w:rsidRPr="00C831DE">
        <w:rPr>
          <w:rFonts w:eastAsia="Calibri" w:cs="Arial"/>
          <w:i/>
          <w:szCs w:val="20"/>
          <w:lang w:val="sl-SI"/>
        </w:rPr>
        <w:t>Priglašeni organi obveščajo priglasitveni organ o:</w:t>
      </w:r>
    </w:p>
    <w:p w:rsidR="007F1E40" w:rsidRPr="00C831DE" w:rsidRDefault="007F1E40" w:rsidP="009735FC">
      <w:pPr>
        <w:spacing w:after="200" w:line="260" w:lineRule="exact"/>
        <w:jc w:val="both"/>
        <w:rPr>
          <w:rFonts w:eastAsia="Calibri" w:cs="Arial"/>
          <w:i/>
          <w:szCs w:val="20"/>
          <w:lang w:val="sl-SI"/>
        </w:rPr>
      </w:pPr>
      <w:r w:rsidRPr="00C831DE">
        <w:rPr>
          <w:rFonts w:eastAsia="Calibri" w:cs="Arial"/>
          <w:i/>
          <w:szCs w:val="20"/>
          <w:lang w:val="sl-SI"/>
        </w:rPr>
        <w:t>(a) vsaki zavrnitvi, omejitvi, začasnem preklicu ali umiku potrdil;</w:t>
      </w:r>
    </w:p>
    <w:p w:rsidR="007F1E40" w:rsidRPr="00C831DE" w:rsidRDefault="007F1E40" w:rsidP="009735FC">
      <w:pPr>
        <w:spacing w:after="200" w:line="260" w:lineRule="exact"/>
        <w:jc w:val="both"/>
        <w:rPr>
          <w:rFonts w:eastAsia="Calibri" w:cs="Arial"/>
          <w:i/>
          <w:szCs w:val="20"/>
          <w:lang w:val="sl-SI"/>
        </w:rPr>
      </w:pPr>
      <w:r w:rsidRPr="00C831DE">
        <w:rPr>
          <w:rFonts w:eastAsia="Calibri" w:cs="Arial"/>
          <w:i/>
          <w:szCs w:val="20"/>
          <w:lang w:val="sl-SI"/>
        </w:rPr>
        <w:t>(b) vseh okoliščinah, ki vplivajo na področje uporabe priglasitve in pogoje za priglasitev;</w:t>
      </w:r>
    </w:p>
    <w:p w:rsidR="007F1E40" w:rsidRPr="00C831DE" w:rsidRDefault="007F1E40" w:rsidP="009735FC">
      <w:pPr>
        <w:spacing w:after="200" w:line="260" w:lineRule="exact"/>
        <w:jc w:val="both"/>
        <w:rPr>
          <w:rFonts w:eastAsia="Calibri" w:cs="Arial"/>
          <w:i/>
          <w:szCs w:val="20"/>
          <w:lang w:val="sl-SI"/>
        </w:rPr>
      </w:pPr>
      <w:r w:rsidRPr="00C831DE">
        <w:rPr>
          <w:rFonts w:eastAsia="Calibri" w:cs="Arial"/>
          <w:i/>
          <w:szCs w:val="20"/>
          <w:lang w:val="sl-SI"/>
        </w:rPr>
        <w:t>(c) vsaki zahtevi v zvezi z informacijami o dejavnostih ocenjevanja in/ali preverjanja nespremenljivosti lastnosti, ki so jo prejeli od organov za nadzor trga;</w:t>
      </w:r>
    </w:p>
    <w:p w:rsidR="007F1E40" w:rsidRPr="00C831DE" w:rsidRDefault="007F1E40" w:rsidP="009735FC">
      <w:pPr>
        <w:spacing w:after="200" w:line="260" w:lineRule="exact"/>
        <w:jc w:val="both"/>
        <w:rPr>
          <w:rFonts w:eastAsia="Calibri" w:cs="Arial"/>
          <w:i/>
          <w:szCs w:val="20"/>
          <w:lang w:val="sl-SI"/>
        </w:rPr>
      </w:pPr>
      <w:r w:rsidRPr="00C831DE">
        <w:rPr>
          <w:rFonts w:eastAsia="Calibri" w:cs="Arial"/>
          <w:i/>
          <w:szCs w:val="20"/>
          <w:lang w:val="sl-SI"/>
        </w:rPr>
        <w:t>(d) na zahtevo priglasitvenega organa, o nalogah tretje stranke v skladu s sistemi ocenjevanja in preverjanja nespremenljivosti lastnosti, ki so bile izvedene v okviru njihove priglasitve, ter kakršnih koli drugih izvedenih dejavnostih, vključno s čezmejnimi dejavnostmi in sklepanjem pogodb s podizvajalci.</w:t>
      </w:r>
    </w:p>
    <w:p w:rsidR="007F1E40" w:rsidRDefault="007F1E40" w:rsidP="009735FC">
      <w:pPr>
        <w:spacing w:after="200" w:line="260" w:lineRule="exact"/>
        <w:jc w:val="both"/>
        <w:rPr>
          <w:rFonts w:eastAsia="Calibri" w:cs="Arial"/>
          <w:i/>
          <w:szCs w:val="20"/>
          <w:lang w:val="sl-SI"/>
        </w:rPr>
      </w:pPr>
      <w:r w:rsidRPr="00C831DE">
        <w:rPr>
          <w:rFonts w:eastAsia="Calibri" w:cs="Arial"/>
          <w:i/>
          <w:szCs w:val="20"/>
          <w:lang w:val="sl-SI"/>
        </w:rPr>
        <w:t>Priglašeni organi zagotovijo drugim organom, priglašenim na podlagi te uredbe, ki izvajajo podobne naloge tretje stranke v skladu s sistemi ocenjevanja in preverjanja nespremenljivosti lastnosti gradbenih proizvodov, za katere veljajo iste tehnične specifikacije, ustrezne informacije o vprašanjih v zvezi z negativnimi in na zahtevo pozitivnimi rezultati teh ocenjevanj in/ali preverjanj.</w:t>
      </w:r>
    </w:p>
    <w:p w:rsidR="00F5084F" w:rsidRPr="00D24700" w:rsidRDefault="00F5084F" w:rsidP="00F5084F">
      <w:pPr>
        <w:spacing w:after="200" w:line="260" w:lineRule="exact"/>
        <w:jc w:val="both"/>
        <w:rPr>
          <w:rFonts w:eastAsia="Calibri" w:cs="Arial"/>
          <w:szCs w:val="20"/>
          <w:lang w:val="sl-SI"/>
        </w:rPr>
      </w:pPr>
      <w:r w:rsidRPr="00D21A83">
        <w:rPr>
          <w:rFonts w:eastAsia="Calibri" w:cs="Arial"/>
          <w:szCs w:val="20"/>
          <w:lang w:val="sl-SI"/>
        </w:rPr>
        <w:t>Priglašeni organ je dolžan</w:t>
      </w:r>
      <w:r>
        <w:rPr>
          <w:rFonts w:eastAsia="Calibri" w:cs="Arial"/>
          <w:szCs w:val="20"/>
          <w:lang w:val="sl-SI"/>
        </w:rPr>
        <w:t xml:space="preserve"> </w:t>
      </w:r>
      <w:r w:rsidRPr="00D21A83">
        <w:rPr>
          <w:rFonts w:eastAsia="Calibri" w:cs="Arial"/>
          <w:szCs w:val="20"/>
          <w:lang w:val="sl-SI"/>
        </w:rPr>
        <w:t>nemudoma obvestiti ministrstvo o vseh spremembah, ki bi lahko vplivale na njegovo usposobljenost, vrsto in obseg nalog tretje stranke v postopku ocenjevanja in preverjanja nespremenljivosti lastnosti, za katere je priglašen, ali na izpolnjevanje zahtev za priglašeni organ</w:t>
      </w:r>
      <w:r>
        <w:rPr>
          <w:rFonts w:eastAsia="Calibri" w:cs="Arial"/>
          <w:szCs w:val="20"/>
          <w:lang w:val="sl-SI"/>
        </w:rPr>
        <w:t>. E</w:t>
      </w:r>
      <w:r w:rsidRPr="00D24700">
        <w:rPr>
          <w:rFonts w:eastAsia="Calibri" w:cs="Arial"/>
          <w:szCs w:val="20"/>
          <w:lang w:val="sl-SI"/>
        </w:rPr>
        <w:t xml:space="preserve">nkrat letno oziroma na podlagi poziva ministrstva </w:t>
      </w:r>
      <w:r>
        <w:rPr>
          <w:rFonts w:eastAsia="Calibri" w:cs="Arial"/>
          <w:szCs w:val="20"/>
          <w:lang w:val="sl-SI"/>
        </w:rPr>
        <w:t xml:space="preserve">priglašeni organ </w:t>
      </w:r>
      <w:r w:rsidRPr="00D24700">
        <w:rPr>
          <w:rFonts w:eastAsia="Calibri" w:cs="Arial"/>
          <w:szCs w:val="20"/>
          <w:lang w:val="sl-SI"/>
        </w:rPr>
        <w:t>poroča o izpolnjevanju zahtev, o zavrnitvi, omejitvi, začasnem preklicu ali umiku potrdil ter razlogih zanje, o številu preskušanih proizvodov iz programa nadzora na trgu s strani Tržnega inšpektorata RS ter razlogih zanje, o nalogah tretje stranke v skladu s sistemi ocenjevanja in preverjanja nespremenljivosti lastnosti, ki so bile izvedene v okviru njihove priglasitve, ter kakršnih koli drugih izvedenih dejavnostih, vključno s čezmejnimi dejavnostmi in sklepanjem pogodb s podizvajalci,</w:t>
      </w:r>
    </w:p>
    <w:p w:rsidR="007F1E40" w:rsidRPr="00D21A83" w:rsidRDefault="00CC2FE4" w:rsidP="009735FC">
      <w:pPr>
        <w:pStyle w:val="Naslov2"/>
        <w:spacing w:after="200"/>
        <w:rPr>
          <w:rFonts w:eastAsia="Calibri"/>
          <w:lang w:val="sl-SI"/>
        </w:rPr>
      </w:pPr>
      <w:bookmarkStart w:id="17" w:name="_Toc92353278"/>
      <w:r w:rsidRPr="00D21A83">
        <w:rPr>
          <w:rFonts w:eastAsia="Calibri"/>
          <w:lang w:val="sl-SI"/>
        </w:rPr>
        <w:t xml:space="preserve">OPERATIVNE OBVEZNOSTI </w:t>
      </w:r>
      <w:r w:rsidR="009934F5">
        <w:rPr>
          <w:rFonts w:eastAsia="Calibri"/>
          <w:lang w:val="sl-SI"/>
        </w:rPr>
        <w:t xml:space="preserve">PRIGLAŠENIH </w:t>
      </w:r>
      <w:r w:rsidRPr="00D21A83">
        <w:rPr>
          <w:rFonts w:eastAsia="Calibri"/>
          <w:lang w:val="sl-SI"/>
        </w:rPr>
        <w:t>ORGANOV (52. člen Uredbe 305/2011/EU</w:t>
      </w:r>
      <w:r w:rsidR="00A93EAC">
        <w:rPr>
          <w:rFonts w:eastAsia="Calibri"/>
          <w:lang w:val="sl-SI"/>
        </w:rPr>
        <w:t xml:space="preserve"> in 15. člen ZGPro-1</w:t>
      </w:r>
      <w:r w:rsidRPr="00D21A83">
        <w:rPr>
          <w:rFonts w:eastAsia="Calibri"/>
          <w:lang w:val="sl-SI"/>
        </w:rPr>
        <w:t>)</w:t>
      </w:r>
      <w:bookmarkEnd w:id="17"/>
    </w:p>
    <w:p w:rsidR="009934F5" w:rsidRPr="00C831DE" w:rsidRDefault="009934F5" w:rsidP="009735FC">
      <w:pPr>
        <w:spacing w:after="200" w:line="260" w:lineRule="exact"/>
        <w:jc w:val="both"/>
        <w:rPr>
          <w:rFonts w:eastAsia="Calibri" w:cs="Arial"/>
          <w:szCs w:val="20"/>
          <w:lang w:val="sl-SI"/>
        </w:rPr>
      </w:pPr>
      <w:r w:rsidRPr="00C831DE">
        <w:rPr>
          <w:rFonts w:eastAsia="Calibri" w:cs="Arial"/>
          <w:szCs w:val="20"/>
          <w:lang w:val="sl-SI"/>
        </w:rPr>
        <w:t>Določbe Uredbe 305/2011/EU, ki se nanašajo na operativne obveznosti priglašenih organov:</w:t>
      </w:r>
    </w:p>
    <w:p w:rsidR="00CC2FE4" w:rsidRPr="00C831DE" w:rsidRDefault="00CC2FE4" w:rsidP="009735FC">
      <w:pPr>
        <w:spacing w:after="200" w:line="260" w:lineRule="exact"/>
        <w:jc w:val="both"/>
        <w:rPr>
          <w:rFonts w:eastAsia="Calibri" w:cs="Arial"/>
          <w:i/>
          <w:szCs w:val="20"/>
          <w:lang w:val="sl-SI"/>
        </w:rPr>
      </w:pPr>
      <w:r w:rsidRPr="00C831DE">
        <w:rPr>
          <w:rFonts w:eastAsia="Calibri" w:cs="Arial"/>
          <w:i/>
          <w:szCs w:val="20"/>
          <w:lang w:val="sl-SI"/>
        </w:rPr>
        <w:t>Priglašeni organi izvedejo vse naloge tretje stranke v skladu s sistemi ocenjevanja in preverjanja nespremenljivosti lastnosti iz Priloge V.</w:t>
      </w:r>
    </w:p>
    <w:p w:rsidR="00CC2FE4" w:rsidRPr="00C831DE" w:rsidRDefault="00CC2FE4" w:rsidP="009735FC">
      <w:pPr>
        <w:spacing w:after="200" w:line="260" w:lineRule="exact"/>
        <w:jc w:val="both"/>
        <w:rPr>
          <w:rFonts w:eastAsia="Calibri" w:cs="Arial"/>
          <w:i/>
          <w:szCs w:val="20"/>
          <w:lang w:val="sl-SI"/>
        </w:rPr>
      </w:pPr>
      <w:r w:rsidRPr="00C831DE">
        <w:rPr>
          <w:rFonts w:eastAsia="Calibri" w:cs="Arial"/>
          <w:i/>
          <w:szCs w:val="20"/>
          <w:lang w:val="sl-SI"/>
        </w:rPr>
        <w:t>Ocenjevanje in preverjanje nespremenljivosti lastnosti se izvaja v preglednosti do proizvajalca in sorazmerno, tako da se izogne nepotrebni obremenitvi gospodarskih subjektov. Priglašeni organi pri izvajanju svojih dejavnosti upoštevajo velikost podjetja, sektor, v katerem ta deluje, in njegovo strukturo, stopnjo zapletenosti zadevne proizvodne tehnologije ter vrsto proizvodnega postopka, tj. masovno ali serijsko proizvodnjo.</w:t>
      </w:r>
    </w:p>
    <w:p w:rsidR="00CC2FE4" w:rsidRPr="00C831DE" w:rsidRDefault="00CC2FE4" w:rsidP="009735FC">
      <w:pPr>
        <w:spacing w:after="200" w:line="260" w:lineRule="exact"/>
        <w:jc w:val="both"/>
        <w:rPr>
          <w:rFonts w:eastAsia="Calibri" w:cs="Arial"/>
          <w:i/>
          <w:szCs w:val="20"/>
          <w:lang w:val="sl-SI"/>
        </w:rPr>
      </w:pPr>
      <w:r w:rsidRPr="00C831DE">
        <w:rPr>
          <w:rFonts w:eastAsia="Calibri" w:cs="Arial"/>
          <w:i/>
          <w:szCs w:val="20"/>
          <w:lang w:val="sl-SI"/>
        </w:rPr>
        <w:t>Pri tem pa priglašeni organi vseeno spoštujejo stopnjo natančnosti, ki se zahteva za proizvod na podlagi te uredbe, in vlogo proizvoda pri izpolnjevanju vseh osnovnih zahtev za gradbene objekte.</w:t>
      </w:r>
    </w:p>
    <w:p w:rsidR="00CC2FE4" w:rsidRPr="00C831DE" w:rsidRDefault="00CC2FE4" w:rsidP="009735FC">
      <w:pPr>
        <w:spacing w:after="200" w:line="260" w:lineRule="exact"/>
        <w:jc w:val="both"/>
        <w:rPr>
          <w:rFonts w:eastAsia="Calibri" w:cs="Arial"/>
          <w:i/>
          <w:szCs w:val="20"/>
          <w:lang w:val="sl-SI"/>
        </w:rPr>
      </w:pPr>
      <w:r w:rsidRPr="00C831DE">
        <w:rPr>
          <w:rFonts w:eastAsia="Calibri" w:cs="Arial"/>
          <w:i/>
          <w:szCs w:val="20"/>
          <w:lang w:val="sl-SI"/>
        </w:rPr>
        <w:lastRenderedPageBreak/>
        <w:t>Če priglašeni organ med začetnim pregledom proizvodnega obrata in pri tovarniški kontroli proizvodnje ugotovi, da proizvajalec ni zagotovil nespremenljivosti lastnosti proizvedenega proizvoda, od proizvajalca zahteva, da sprejme ustrezne popravne ukrepe, in ne izda potrdila.</w:t>
      </w:r>
    </w:p>
    <w:p w:rsidR="00CC2FE4" w:rsidRPr="00C831DE" w:rsidRDefault="00CC2FE4" w:rsidP="009735FC">
      <w:pPr>
        <w:spacing w:after="200" w:line="260" w:lineRule="exact"/>
        <w:jc w:val="both"/>
        <w:rPr>
          <w:rFonts w:eastAsia="Calibri" w:cs="Arial"/>
          <w:i/>
          <w:szCs w:val="20"/>
          <w:lang w:val="sl-SI"/>
        </w:rPr>
      </w:pPr>
      <w:r w:rsidRPr="00C831DE">
        <w:rPr>
          <w:rFonts w:eastAsia="Calibri" w:cs="Arial"/>
          <w:i/>
          <w:szCs w:val="20"/>
          <w:lang w:val="sl-SI"/>
        </w:rPr>
        <w:t>Kadar priglašeni organ med spremljanjem, ki je namenjeno preverjanju nespremenljivosti lastnosti proizvedenega proizvoda, ugotovi, da gradbeni proizvod nima več enakih lastnosti kot tip proizvoda, od proizvajalca zahteva, da sprejme ustrezne popravne ukrepe, in po potrebi začasno prekliče ali umakne potrdilo.</w:t>
      </w:r>
    </w:p>
    <w:p w:rsidR="007F1E40" w:rsidRDefault="00CC2FE4" w:rsidP="009735FC">
      <w:pPr>
        <w:spacing w:after="200" w:line="260" w:lineRule="exact"/>
        <w:jc w:val="both"/>
        <w:rPr>
          <w:rFonts w:eastAsia="Calibri" w:cs="Arial"/>
          <w:i/>
          <w:szCs w:val="20"/>
          <w:lang w:val="sl-SI"/>
        </w:rPr>
      </w:pPr>
      <w:r w:rsidRPr="00C831DE">
        <w:rPr>
          <w:rFonts w:eastAsia="Calibri" w:cs="Arial"/>
          <w:i/>
          <w:szCs w:val="20"/>
          <w:lang w:val="sl-SI"/>
        </w:rPr>
        <w:t>Kadar popravni ukrepi niso sprejeti ali nimajo zahtevanega učinka, priglašeni organ po potrebi omeji, začasno prekliče ali umakne vsa potrdila.</w:t>
      </w:r>
    </w:p>
    <w:p w:rsidR="00A93EAC" w:rsidRPr="00C831DE" w:rsidRDefault="00A93EAC" w:rsidP="00A93EAC">
      <w:pPr>
        <w:spacing w:after="200" w:line="260" w:lineRule="exact"/>
        <w:jc w:val="both"/>
        <w:rPr>
          <w:rFonts w:eastAsia="Calibri" w:cs="Arial"/>
          <w:szCs w:val="20"/>
          <w:lang w:val="sl-SI"/>
        </w:rPr>
      </w:pPr>
      <w:r w:rsidRPr="00C831DE">
        <w:rPr>
          <w:rFonts w:eastAsia="Calibri" w:cs="Arial"/>
          <w:szCs w:val="20"/>
          <w:lang w:val="sl-SI"/>
        </w:rPr>
        <w:t xml:space="preserve">Določbe </w:t>
      </w:r>
      <w:r>
        <w:rPr>
          <w:rFonts w:eastAsia="Calibri" w:cs="Arial"/>
          <w:szCs w:val="20"/>
          <w:lang w:val="sl-SI"/>
        </w:rPr>
        <w:t>ZGpro-1</w:t>
      </w:r>
      <w:r w:rsidRPr="00C831DE">
        <w:rPr>
          <w:rFonts w:eastAsia="Calibri" w:cs="Arial"/>
          <w:szCs w:val="20"/>
          <w:lang w:val="sl-SI"/>
        </w:rPr>
        <w:t>, ki se nanašajo na operativne obveznosti priglašenih organov:</w:t>
      </w:r>
    </w:p>
    <w:p w:rsidR="00A93EAC" w:rsidRPr="00A93EAC" w:rsidRDefault="00A93EAC" w:rsidP="00A93EAC">
      <w:pPr>
        <w:spacing w:after="200" w:line="260" w:lineRule="exact"/>
        <w:jc w:val="both"/>
        <w:rPr>
          <w:rFonts w:eastAsia="Calibri" w:cs="Arial"/>
          <w:i/>
          <w:szCs w:val="20"/>
          <w:lang w:val="sl-SI"/>
        </w:rPr>
      </w:pPr>
      <w:r w:rsidRPr="00A93EAC">
        <w:rPr>
          <w:rFonts w:eastAsia="Calibri" w:cs="Arial"/>
          <w:i/>
          <w:szCs w:val="20"/>
          <w:lang w:val="sl-SI"/>
        </w:rPr>
        <w:t xml:space="preserve">Organ mora dokumentirati vse postopke v zvezi z vrsto in obsegom nalog tretje stranke v postopku ocenjevanja in preverjanja nespremenljivosti lastnosti v skladu s prilogo V Uredbe 305/2011/EU, za katere je pooblaščen, in hraniti vse zapise opravljenih delovnih nalog in njihovih rezultatov najmanj deset let. </w:t>
      </w:r>
    </w:p>
    <w:p w:rsidR="00A93EAC" w:rsidRPr="00A93EAC" w:rsidRDefault="00A93EAC" w:rsidP="00A93EAC">
      <w:pPr>
        <w:spacing w:after="200" w:line="260" w:lineRule="exact"/>
        <w:jc w:val="both"/>
        <w:rPr>
          <w:rFonts w:eastAsia="Calibri" w:cs="Arial"/>
          <w:i/>
          <w:szCs w:val="20"/>
          <w:lang w:val="sl-SI"/>
        </w:rPr>
      </w:pPr>
      <w:r w:rsidRPr="00A93EAC">
        <w:rPr>
          <w:rFonts w:eastAsia="Calibri" w:cs="Arial"/>
          <w:i/>
          <w:szCs w:val="20"/>
          <w:lang w:val="sl-SI"/>
        </w:rPr>
        <w:t>Organ nemudoma obvesti ministrstvo o vseh spremembah, ki bi lahko vplivale na njegovo usposobljenost, vrsto in obseg nalog tretje stranke v postopku ocenjevanja in preverjanja nespremenljivosti lastnosti, za katere je določen, ali na izpolnjevanje zahtev za določitev.</w:t>
      </w:r>
    </w:p>
    <w:p w:rsidR="00F5084F" w:rsidRPr="00D21A83" w:rsidRDefault="00F5084F" w:rsidP="00F5084F">
      <w:pPr>
        <w:spacing w:after="200" w:line="260" w:lineRule="exact"/>
        <w:jc w:val="both"/>
        <w:rPr>
          <w:rFonts w:eastAsia="Calibri" w:cs="Arial"/>
          <w:szCs w:val="20"/>
          <w:lang w:val="sl-SI"/>
        </w:rPr>
      </w:pPr>
      <w:r w:rsidRPr="00D21A83">
        <w:rPr>
          <w:rFonts w:eastAsia="Calibri" w:cs="Arial"/>
          <w:szCs w:val="20"/>
          <w:lang w:val="sl-SI"/>
        </w:rPr>
        <w:t>Priglašeni organ je dolžan</w:t>
      </w:r>
      <w:r>
        <w:rPr>
          <w:rFonts w:eastAsia="Calibri" w:cs="Arial"/>
          <w:szCs w:val="20"/>
          <w:lang w:val="sl-SI"/>
        </w:rPr>
        <w:t xml:space="preserve"> t</w:t>
      </w:r>
      <w:r w:rsidRPr="00D21A83">
        <w:rPr>
          <w:rFonts w:eastAsia="Calibri" w:cs="Arial"/>
          <w:szCs w:val="20"/>
          <w:lang w:val="sl-SI"/>
        </w:rPr>
        <w:t>rajno izpolnjevati zahteve za priglašeni organ</w:t>
      </w:r>
      <w:r>
        <w:rPr>
          <w:rFonts w:eastAsia="Calibri" w:cs="Arial"/>
          <w:szCs w:val="20"/>
          <w:lang w:val="sl-SI"/>
        </w:rPr>
        <w:t xml:space="preserve"> in izvajati naloge organa AVCP v skladu s sistemi AVCP iz Priloge V Uredbe 305/2011/EU. Vs</w:t>
      </w:r>
      <w:r w:rsidRPr="00D21A83">
        <w:rPr>
          <w:rFonts w:eastAsia="Calibri" w:cs="Arial"/>
          <w:szCs w:val="20"/>
          <w:lang w:val="sl-SI"/>
        </w:rPr>
        <w:t>e postopke v zvezi z vrsto in obsegom nalog tretje stranke v postopku ocenjevanja in preverjanja nespremenljivosti lastnosti</w:t>
      </w:r>
      <w:r>
        <w:rPr>
          <w:rFonts w:eastAsia="Calibri" w:cs="Arial"/>
          <w:szCs w:val="20"/>
          <w:lang w:val="sl-SI"/>
        </w:rPr>
        <w:t xml:space="preserve"> gradbenega proizvoda </w:t>
      </w:r>
      <w:r w:rsidRPr="00D21A83">
        <w:rPr>
          <w:rFonts w:eastAsia="Calibri" w:cs="Arial"/>
          <w:szCs w:val="20"/>
          <w:lang w:val="sl-SI"/>
        </w:rPr>
        <w:t xml:space="preserve">v skladu s prilogo V Uredbe 305/2011/EU, za katere je </w:t>
      </w:r>
      <w:r w:rsidR="00574A55">
        <w:rPr>
          <w:rFonts w:eastAsia="Calibri" w:cs="Arial"/>
          <w:szCs w:val="20"/>
          <w:lang w:val="sl-SI"/>
        </w:rPr>
        <w:t>določen in priglašen</w:t>
      </w:r>
      <w:r w:rsidRPr="00D21A83">
        <w:rPr>
          <w:rFonts w:eastAsia="Calibri" w:cs="Arial"/>
          <w:szCs w:val="20"/>
          <w:lang w:val="sl-SI"/>
        </w:rPr>
        <w:t>,</w:t>
      </w:r>
      <w:r>
        <w:rPr>
          <w:rFonts w:eastAsia="Calibri" w:cs="Arial"/>
          <w:szCs w:val="20"/>
          <w:lang w:val="sl-SI"/>
        </w:rPr>
        <w:t xml:space="preserve"> je dolžan dokumentirati. Vse</w:t>
      </w:r>
      <w:r w:rsidRPr="00D21A83">
        <w:rPr>
          <w:rFonts w:eastAsia="Calibri" w:cs="Arial"/>
          <w:szCs w:val="20"/>
          <w:lang w:val="sl-SI"/>
        </w:rPr>
        <w:t xml:space="preserve"> zapise opravljenih delovnih nalog in njihovih rezultatov</w:t>
      </w:r>
      <w:r>
        <w:rPr>
          <w:rFonts w:eastAsia="Calibri" w:cs="Arial"/>
          <w:szCs w:val="20"/>
          <w:lang w:val="sl-SI"/>
        </w:rPr>
        <w:t xml:space="preserve"> je dolžan hraniti</w:t>
      </w:r>
      <w:r w:rsidRPr="00D21A83">
        <w:rPr>
          <w:rFonts w:eastAsia="Calibri" w:cs="Arial"/>
          <w:szCs w:val="20"/>
          <w:lang w:val="sl-SI"/>
        </w:rPr>
        <w:t xml:space="preserve"> najmanj 10 let ter jih na zahtevo izročiti ministrstvu</w:t>
      </w:r>
      <w:r>
        <w:rPr>
          <w:rFonts w:eastAsia="Calibri" w:cs="Arial"/>
          <w:szCs w:val="20"/>
          <w:lang w:val="sl-SI"/>
        </w:rPr>
        <w:t>.</w:t>
      </w:r>
    </w:p>
    <w:p w:rsidR="00833DA9" w:rsidRPr="00D21A83" w:rsidRDefault="00833DA9" w:rsidP="009735FC">
      <w:pPr>
        <w:pStyle w:val="Naslov2"/>
        <w:spacing w:after="200"/>
        <w:rPr>
          <w:rFonts w:eastAsia="Calibri"/>
          <w:lang w:val="sl-SI"/>
        </w:rPr>
      </w:pPr>
      <w:bookmarkStart w:id="18" w:name="_Toc92353279"/>
      <w:r w:rsidRPr="00D21A83">
        <w:rPr>
          <w:rFonts w:eastAsia="Calibri"/>
          <w:lang w:val="sl-SI"/>
        </w:rPr>
        <w:t>OZNAKA CE IN ŠTEVILKA</w:t>
      </w:r>
      <w:r w:rsidR="00D17609">
        <w:rPr>
          <w:rFonts w:eastAsia="Calibri"/>
          <w:lang w:val="sl-SI"/>
        </w:rPr>
        <w:t xml:space="preserve"> PRIGLAŠENEGA</w:t>
      </w:r>
      <w:r w:rsidRPr="00D21A83">
        <w:rPr>
          <w:rFonts w:eastAsia="Calibri"/>
          <w:lang w:val="sl-SI"/>
        </w:rPr>
        <w:t xml:space="preserve"> ORGANA (9. člen Uredbe 305/2011/EU)</w:t>
      </w:r>
      <w:bookmarkEnd w:id="18"/>
    </w:p>
    <w:p w:rsidR="000F692E" w:rsidRPr="00C831DE" w:rsidRDefault="000F692E" w:rsidP="009735FC">
      <w:pPr>
        <w:spacing w:after="200" w:line="260" w:lineRule="exact"/>
        <w:jc w:val="both"/>
        <w:rPr>
          <w:rFonts w:eastAsia="Calibri" w:cs="Arial"/>
          <w:szCs w:val="20"/>
          <w:lang w:val="sl-SI"/>
        </w:rPr>
      </w:pPr>
      <w:r w:rsidRPr="00C831DE">
        <w:rPr>
          <w:rFonts w:eastAsia="Calibri" w:cs="Arial"/>
          <w:szCs w:val="20"/>
          <w:lang w:val="sl-SI"/>
        </w:rPr>
        <w:t>Določbe Uredbe 305/2011/EU, ki se nanašajo na CE oznako in številko priglašenega organa:</w:t>
      </w:r>
    </w:p>
    <w:p w:rsidR="00833DA9" w:rsidRPr="00C831DE" w:rsidRDefault="00833DA9" w:rsidP="009735FC">
      <w:pPr>
        <w:spacing w:after="200" w:line="260" w:lineRule="exact"/>
        <w:jc w:val="both"/>
        <w:rPr>
          <w:rFonts w:cs="Arial"/>
          <w:i/>
          <w:szCs w:val="20"/>
          <w:lang w:val="sl-SI"/>
        </w:rPr>
      </w:pPr>
      <w:r w:rsidRPr="00C831DE">
        <w:rPr>
          <w:rFonts w:cs="Arial"/>
          <w:i/>
          <w:szCs w:val="20"/>
          <w:lang w:val="sl-SI"/>
        </w:rPr>
        <w:t>Oznaka CE je vidno, čitljivo in neizbrisno nameščena na gradbeni proizvod ali nanj pritrjeno etiketo. Kadar to zaradi vrste proizvoda ni mogoče ali ni upravičeno, se namesti na embalažo ali priložene dokumente.</w:t>
      </w:r>
    </w:p>
    <w:p w:rsidR="00833DA9" w:rsidRPr="00C831DE" w:rsidRDefault="00833DA9" w:rsidP="009735FC">
      <w:pPr>
        <w:spacing w:after="200" w:line="260" w:lineRule="exact"/>
        <w:jc w:val="both"/>
        <w:rPr>
          <w:rFonts w:cs="Arial"/>
          <w:i/>
          <w:szCs w:val="20"/>
          <w:lang w:val="sl-SI"/>
        </w:rPr>
      </w:pPr>
      <w:r w:rsidRPr="00C831DE">
        <w:rPr>
          <w:rFonts w:cs="Arial"/>
          <w:i/>
          <w:szCs w:val="20"/>
          <w:lang w:val="sl-SI"/>
        </w:rPr>
        <w:t>Oznaki CE sledita zadnji dve številki prvega leta, ko je bila oznaka nameščena, ime in prijavljeni naslov proizvajalca ali identifikacijska oznaka, iz katere je mogoče zlahka in nedvoumno razbrati ime in naslov proizvajalca, enotna identifikacijska oznaka tipa proizvoda, referenčna številka izjave o lastnostih in navedene lastnosti po ravneh ali razredih, navedba veljavne harmonizirane tehnične specifikacije, po potrebi identifikacijska številka priglašenega organa in predvidena uporaba, kot je določena v veljavni harmonizirani tehnični specifikaciji.</w:t>
      </w:r>
    </w:p>
    <w:p w:rsidR="00833DA9" w:rsidRPr="00C831DE" w:rsidRDefault="00833DA9" w:rsidP="009735FC">
      <w:pPr>
        <w:spacing w:after="200" w:line="260" w:lineRule="exact"/>
        <w:jc w:val="both"/>
        <w:rPr>
          <w:rFonts w:cs="Arial"/>
          <w:i/>
          <w:szCs w:val="20"/>
          <w:lang w:val="sl-SI"/>
        </w:rPr>
      </w:pPr>
      <w:r w:rsidRPr="00C831DE">
        <w:rPr>
          <w:rFonts w:cs="Arial"/>
          <w:i/>
          <w:szCs w:val="20"/>
          <w:lang w:val="sl-SI"/>
        </w:rPr>
        <w:t>Oznaka CE se namesti, preden je gradbeni proizvod dan na trg. Lahko mu sledi piktogram ali kateri koli drug znak, ki označuje predvsem posebno tveganje ali uporabo.</w:t>
      </w:r>
    </w:p>
    <w:p w:rsidR="00833DA9" w:rsidRPr="00C831DE" w:rsidRDefault="00833DA9" w:rsidP="009735FC">
      <w:pPr>
        <w:spacing w:after="200" w:line="260" w:lineRule="exact"/>
        <w:jc w:val="both"/>
        <w:rPr>
          <w:rFonts w:cs="Arial"/>
          <w:szCs w:val="20"/>
          <w:lang w:val="sl-SI"/>
        </w:rPr>
      </w:pPr>
      <w:r w:rsidRPr="00C831DE">
        <w:rPr>
          <w:rFonts w:cs="Arial"/>
          <w:szCs w:val="20"/>
          <w:lang w:val="sl-SI"/>
        </w:rPr>
        <w:t xml:space="preserve">Organ AVCP mora od proizvajalca zahtevati namestitev CE oznake in identifikacijske številke priglašenega organa na proizvod, kadar je to potrebno. </w:t>
      </w:r>
    </w:p>
    <w:p w:rsidR="004D2240" w:rsidRPr="00D21A83" w:rsidRDefault="004D2240" w:rsidP="009735FC">
      <w:pPr>
        <w:pStyle w:val="Naslov2"/>
        <w:spacing w:after="200"/>
        <w:rPr>
          <w:rFonts w:eastAsia="Calibri"/>
          <w:lang w:val="sl-SI"/>
        </w:rPr>
      </w:pPr>
      <w:bookmarkStart w:id="19" w:name="_Toc92353280"/>
      <w:r w:rsidRPr="00D21A83">
        <w:rPr>
          <w:rFonts w:eastAsia="Calibri"/>
          <w:lang w:val="sl-SI"/>
        </w:rPr>
        <w:t>DRUGA DOKAZILA ZA IZPOLNJEVANJE Z</w:t>
      </w:r>
      <w:r w:rsidR="00CC04A0" w:rsidRPr="00D21A83">
        <w:rPr>
          <w:rFonts w:eastAsia="Calibri"/>
          <w:lang w:val="sl-SI"/>
        </w:rPr>
        <w:t>AHTEV</w:t>
      </w:r>
      <w:bookmarkEnd w:id="19"/>
    </w:p>
    <w:p w:rsidR="00C03C49" w:rsidRDefault="004D2240" w:rsidP="009735FC">
      <w:pPr>
        <w:spacing w:after="200" w:line="260" w:lineRule="exact"/>
        <w:jc w:val="both"/>
        <w:rPr>
          <w:rFonts w:eastAsia="Calibri" w:cs="Arial"/>
          <w:szCs w:val="20"/>
          <w:lang w:val="sl-SI"/>
        </w:rPr>
      </w:pPr>
      <w:r w:rsidRPr="00D21A83">
        <w:rPr>
          <w:rFonts w:eastAsia="Calibri" w:cs="Arial"/>
          <w:szCs w:val="20"/>
          <w:lang w:val="sl-SI"/>
        </w:rPr>
        <w:t xml:space="preserve">V kolikor </w:t>
      </w:r>
      <w:r w:rsidR="00D67925" w:rsidRPr="00D21A83">
        <w:rPr>
          <w:rFonts w:eastAsia="Calibri" w:cs="Arial"/>
          <w:szCs w:val="20"/>
          <w:lang w:val="sl-SI"/>
        </w:rPr>
        <w:t>ministrstvo</w:t>
      </w:r>
      <w:r w:rsidR="00F933EB" w:rsidRPr="00D21A83">
        <w:rPr>
          <w:rFonts w:eastAsia="Calibri" w:cs="Arial"/>
          <w:szCs w:val="20"/>
          <w:lang w:val="sl-SI"/>
        </w:rPr>
        <w:t xml:space="preserve"> </w:t>
      </w:r>
      <w:r w:rsidRPr="00D21A83">
        <w:rPr>
          <w:rFonts w:eastAsia="Calibri" w:cs="Arial"/>
          <w:szCs w:val="20"/>
          <w:lang w:val="sl-SI"/>
        </w:rPr>
        <w:t>oceni, da mora vložnik</w:t>
      </w:r>
      <w:r w:rsidR="00D67925" w:rsidRPr="00D21A83">
        <w:rPr>
          <w:rFonts w:eastAsia="Calibri" w:cs="Arial"/>
          <w:szCs w:val="20"/>
          <w:lang w:val="sl-SI"/>
        </w:rPr>
        <w:t xml:space="preserve">, ki </w:t>
      </w:r>
      <w:r w:rsidR="00BE6B65">
        <w:rPr>
          <w:rFonts w:eastAsia="Calibri" w:cs="Arial"/>
          <w:szCs w:val="20"/>
          <w:lang w:val="sl-SI"/>
        </w:rPr>
        <w:t>želi postati</w:t>
      </w:r>
      <w:r w:rsidR="00D67925" w:rsidRPr="00D21A83">
        <w:rPr>
          <w:rFonts w:eastAsia="Calibri" w:cs="Arial"/>
          <w:szCs w:val="20"/>
          <w:lang w:val="sl-SI"/>
        </w:rPr>
        <w:t xml:space="preserve"> </w:t>
      </w:r>
      <w:r w:rsidR="00BE6B65">
        <w:rPr>
          <w:rFonts w:eastAsia="Calibri" w:cs="Arial"/>
          <w:szCs w:val="20"/>
          <w:lang w:val="sl-SI"/>
        </w:rPr>
        <w:t>organ AVCP</w:t>
      </w:r>
      <w:r w:rsidR="00D67925" w:rsidRPr="00D21A83">
        <w:rPr>
          <w:rFonts w:eastAsia="Calibri" w:cs="Arial"/>
          <w:szCs w:val="20"/>
          <w:lang w:val="sl-SI"/>
        </w:rPr>
        <w:t xml:space="preserve">, </w:t>
      </w:r>
      <w:r w:rsidRPr="00D21A83">
        <w:rPr>
          <w:rFonts w:eastAsia="Calibri" w:cs="Arial"/>
          <w:szCs w:val="20"/>
          <w:lang w:val="sl-SI"/>
        </w:rPr>
        <w:t>izpolnjevati dodatne zahteve iz področne zakonodaje, mora o tem obvestiti vlož</w:t>
      </w:r>
      <w:r w:rsidR="001365E2" w:rsidRPr="00D21A83">
        <w:rPr>
          <w:rFonts w:eastAsia="Calibri" w:cs="Arial"/>
          <w:szCs w:val="20"/>
          <w:lang w:val="sl-SI"/>
        </w:rPr>
        <w:t>nika in natančno navesti, katero dokumentacijo in</w:t>
      </w:r>
      <w:r w:rsidRPr="00D21A83">
        <w:rPr>
          <w:rFonts w:eastAsia="Calibri" w:cs="Arial"/>
          <w:szCs w:val="20"/>
          <w:lang w:val="sl-SI"/>
        </w:rPr>
        <w:t xml:space="preserve"> dokazila mora vložnik dodatno predložiti.</w:t>
      </w:r>
    </w:p>
    <w:p w:rsidR="00863F57" w:rsidRPr="00D21A83" w:rsidRDefault="00921FEC" w:rsidP="009735FC">
      <w:pPr>
        <w:pStyle w:val="Naslov1"/>
        <w:spacing w:after="200"/>
        <w:rPr>
          <w:rFonts w:eastAsia="Calibri"/>
        </w:rPr>
      </w:pPr>
      <w:bookmarkStart w:id="20" w:name="_Toc92353281"/>
      <w:r w:rsidRPr="00D21A83">
        <w:rPr>
          <w:rFonts w:eastAsia="Calibri"/>
        </w:rPr>
        <w:lastRenderedPageBreak/>
        <w:t xml:space="preserve">IMENOVANJE IN </w:t>
      </w:r>
      <w:r w:rsidR="008A628D" w:rsidRPr="00D21A83">
        <w:rPr>
          <w:rFonts w:eastAsia="Calibri"/>
        </w:rPr>
        <w:t>PRIGLASITEV</w:t>
      </w:r>
      <w:bookmarkEnd w:id="20"/>
    </w:p>
    <w:p w:rsidR="00CC0AD7" w:rsidRPr="00C831DE" w:rsidRDefault="00921FEC" w:rsidP="009735FC">
      <w:pPr>
        <w:spacing w:after="200" w:line="260" w:lineRule="exact"/>
        <w:jc w:val="both"/>
        <w:rPr>
          <w:rFonts w:eastAsia="Calibri" w:cs="Arial"/>
          <w:szCs w:val="20"/>
          <w:lang w:val="sl-SI"/>
        </w:rPr>
      </w:pPr>
      <w:r w:rsidRPr="00C831DE">
        <w:rPr>
          <w:rFonts w:eastAsia="Calibri" w:cs="Arial"/>
          <w:szCs w:val="20"/>
          <w:lang w:val="sl-SI"/>
        </w:rPr>
        <w:t>Vlogo za določitev in priglasitev organa</w:t>
      </w:r>
      <w:r w:rsidR="00487F95">
        <w:rPr>
          <w:rFonts w:eastAsia="Calibri" w:cs="Arial"/>
          <w:szCs w:val="20"/>
          <w:lang w:val="sl-SI"/>
        </w:rPr>
        <w:t xml:space="preserve"> AVCP</w:t>
      </w:r>
      <w:r w:rsidRPr="00C831DE">
        <w:rPr>
          <w:rFonts w:eastAsia="Calibri" w:cs="Arial"/>
          <w:szCs w:val="20"/>
          <w:lang w:val="sl-SI"/>
        </w:rPr>
        <w:t xml:space="preserve"> vložnik pošlje ministrstvu. </w:t>
      </w:r>
      <w:r w:rsidR="009E75B1" w:rsidRPr="00C831DE">
        <w:rPr>
          <w:rFonts w:eastAsia="Calibri" w:cs="Arial"/>
          <w:szCs w:val="20"/>
          <w:lang w:val="sl-SI"/>
        </w:rPr>
        <w:t xml:space="preserve">Vlogi so priložena dokazila skladno s točko </w:t>
      </w:r>
      <w:r w:rsidR="00E60344" w:rsidRPr="00C831DE">
        <w:rPr>
          <w:rFonts w:eastAsia="Calibri" w:cs="Arial"/>
          <w:szCs w:val="20"/>
          <w:lang w:val="sl-SI"/>
        </w:rPr>
        <w:t>6</w:t>
      </w:r>
      <w:r w:rsidR="002236D3" w:rsidRPr="00C831DE">
        <w:rPr>
          <w:rFonts w:eastAsia="Calibri" w:cs="Arial"/>
          <w:szCs w:val="20"/>
          <w:lang w:val="sl-SI"/>
        </w:rPr>
        <w:t>.2</w:t>
      </w:r>
      <w:r w:rsidR="00E60344" w:rsidRPr="00C831DE">
        <w:rPr>
          <w:rFonts w:eastAsia="Calibri" w:cs="Arial"/>
          <w:szCs w:val="20"/>
          <w:lang w:val="sl-SI"/>
        </w:rPr>
        <w:t xml:space="preserve"> </w:t>
      </w:r>
      <w:r w:rsidR="009E75B1" w:rsidRPr="00C831DE">
        <w:rPr>
          <w:rFonts w:eastAsia="Calibri" w:cs="Arial"/>
          <w:szCs w:val="20"/>
          <w:lang w:val="sl-SI"/>
        </w:rPr>
        <w:t>teh Smernic</w:t>
      </w:r>
      <w:r w:rsidR="00872D96" w:rsidRPr="00C831DE">
        <w:rPr>
          <w:rFonts w:eastAsia="Calibri" w:cs="Arial"/>
          <w:szCs w:val="20"/>
          <w:lang w:val="sl-SI"/>
        </w:rPr>
        <w:t xml:space="preserve">. </w:t>
      </w:r>
    </w:p>
    <w:p w:rsidR="002236D3" w:rsidRPr="00D21A83" w:rsidRDefault="002236D3" w:rsidP="009735FC">
      <w:pPr>
        <w:spacing w:after="200" w:line="260" w:lineRule="exact"/>
        <w:jc w:val="both"/>
        <w:rPr>
          <w:rFonts w:eastAsia="Calibri" w:cs="Arial"/>
          <w:color w:val="FF0000"/>
          <w:szCs w:val="20"/>
          <w:lang w:val="sl-SI"/>
        </w:rPr>
      </w:pPr>
      <w:r w:rsidRPr="00D21A83">
        <w:rPr>
          <w:rFonts w:eastAsia="Calibri" w:cs="Arial"/>
          <w:szCs w:val="20"/>
          <w:lang w:val="sl-SI"/>
        </w:rPr>
        <w:t xml:space="preserve">Ministrstvo obravnava vlogo. Če se ugotovi, da vložnik izpolnjuje zahteve za izvajanje nalog </w:t>
      </w:r>
      <w:r w:rsidR="00E578EF">
        <w:rPr>
          <w:rFonts w:eastAsia="Calibri" w:cs="Arial"/>
          <w:szCs w:val="20"/>
          <w:lang w:val="sl-SI"/>
        </w:rPr>
        <w:t>organa AVCP</w:t>
      </w:r>
      <w:r w:rsidRPr="00D21A83">
        <w:rPr>
          <w:rFonts w:eastAsia="Calibri" w:cs="Arial"/>
          <w:szCs w:val="20"/>
          <w:lang w:val="sl-SI"/>
        </w:rPr>
        <w:t>, minister izda odločbo o določitvi organa. Veljavnost odločbe je lahko časovno omejena ali pa</w:t>
      </w:r>
      <w:r w:rsidR="00325969">
        <w:rPr>
          <w:rFonts w:eastAsia="Calibri" w:cs="Arial"/>
          <w:szCs w:val="20"/>
          <w:lang w:val="sl-SI"/>
        </w:rPr>
        <w:t xml:space="preserve"> odločba</w:t>
      </w:r>
      <w:r w:rsidRPr="00D21A83">
        <w:rPr>
          <w:rFonts w:eastAsia="Calibri" w:cs="Arial"/>
          <w:szCs w:val="20"/>
          <w:lang w:val="sl-SI"/>
        </w:rPr>
        <w:t xml:space="preserve"> velja do preklica.</w:t>
      </w:r>
    </w:p>
    <w:p w:rsidR="00325969" w:rsidRDefault="00E578EF" w:rsidP="00325969">
      <w:pPr>
        <w:spacing w:after="200" w:line="260" w:lineRule="exact"/>
        <w:jc w:val="both"/>
        <w:rPr>
          <w:rFonts w:eastAsia="Calibri" w:cs="Arial"/>
          <w:szCs w:val="20"/>
          <w:lang w:val="sl-SI"/>
        </w:rPr>
      </w:pPr>
      <w:r>
        <w:rPr>
          <w:rFonts w:eastAsia="Calibri" w:cs="Arial"/>
          <w:szCs w:val="20"/>
          <w:lang w:val="sl-SI"/>
        </w:rPr>
        <w:t xml:space="preserve">Na podlagi pravnomočne odločbe o določitvi organa se izvede priglasitev organa. </w:t>
      </w:r>
      <w:r w:rsidR="00325969" w:rsidRPr="002236D3">
        <w:rPr>
          <w:rFonts w:eastAsia="Calibri" w:cs="Arial"/>
          <w:szCs w:val="20"/>
          <w:lang w:val="sl-SI"/>
        </w:rPr>
        <w:t>Priglasitev, spremembo ali preklic priglasitve izvede ministrstvo</w:t>
      </w:r>
      <w:r w:rsidR="00325969">
        <w:rPr>
          <w:rFonts w:eastAsia="Calibri" w:cs="Arial"/>
          <w:szCs w:val="20"/>
          <w:lang w:val="sl-SI"/>
        </w:rPr>
        <w:t xml:space="preserve">. </w:t>
      </w:r>
      <w:r w:rsidR="00325969" w:rsidRPr="002236D3">
        <w:rPr>
          <w:rFonts w:eastAsia="Calibri" w:cs="Arial"/>
          <w:szCs w:val="20"/>
          <w:lang w:val="sl-SI"/>
        </w:rPr>
        <w:t>Oseba, določena za izvedbo priglasitve</w:t>
      </w:r>
      <w:r w:rsidR="00325969">
        <w:rPr>
          <w:rFonts w:eastAsia="Calibri" w:cs="Arial"/>
          <w:szCs w:val="20"/>
          <w:lang w:val="sl-SI"/>
        </w:rPr>
        <w:t>, sprememb ali preklica priglasitve</w:t>
      </w:r>
      <w:r w:rsidR="00325969" w:rsidRPr="002236D3">
        <w:rPr>
          <w:rFonts w:eastAsia="Calibri" w:cs="Arial"/>
          <w:szCs w:val="20"/>
          <w:lang w:val="sl-SI"/>
        </w:rPr>
        <w:t>, izvede priglasitev po tem, ko jo vodja komisije obvesti o pravnomočnosti odločbe</w:t>
      </w:r>
      <w:r w:rsidR="00325969">
        <w:rPr>
          <w:rFonts w:eastAsia="Calibri" w:cs="Arial"/>
          <w:szCs w:val="20"/>
          <w:lang w:val="sl-SI"/>
        </w:rPr>
        <w:t xml:space="preserve"> o priglasitvi, spremembi ali preklicu priglasitve</w:t>
      </w:r>
      <w:r w:rsidR="00325969" w:rsidRPr="002236D3">
        <w:rPr>
          <w:rFonts w:eastAsia="Calibri" w:cs="Arial"/>
          <w:szCs w:val="20"/>
          <w:lang w:val="sl-SI"/>
        </w:rPr>
        <w:t>.</w:t>
      </w:r>
    </w:p>
    <w:p w:rsidR="008A628D" w:rsidRPr="002236D3" w:rsidRDefault="002236D3" w:rsidP="009735FC">
      <w:pPr>
        <w:spacing w:after="200" w:line="260" w:lineRule="exact"/>
        <w:jc w:val="both"/>
        <w:rPr>
          <w:rFonts w:eastAsia="Calibri" w:cs="Arial"/>
          <w:szCs w:val="20"/>
          <w:lang w:val="sl-SI"/>
        </w:rPr>
      </w:pPr>
      <w:r w:rsidRPr="002236D3">
        <w:rPr>
          <w:rFonts w:eastAsia="Calibri" w:cs="Arial"/>
          <w:szCs w:val="20"/>
          <w:lang w:val="sl-SI"/>
        </w:rPr>
        <w:t>Evidenco vseh priglašenih organov vodi Evropska komisija in je dostopna na spletnih straneh elektronskega orodja, ki ga je razvila Evropska komisija (angl. New Approach Notified and Designated Organisations Information System</w:t>
      </w:r>
      <w:r w:rsidR="00E578EF">
        <w:rPr>
          <w:rFonts w:eastAsia="Calibri" w:cs="Arial"/>
          <w:szCs w:val="20"/>
          <w:lang w:val="sl-SI"/>
        </w:rPr>
        <w:t xml:space="preserve">, </w:t>
      </w:r>
      <w:r w:rsidR="00E578EF" w:rsidRPr="002236D3">
        <w:rPr>
          <w:rFonts w:eastAsia="Calibri" w:cs="Arial"/>
          <w:szCs w:val="20"/>
          <w:lang w:val="sl-SI"/>
        </w:rPr>
        <w:t>v nadaljevanju: baza NANDO</w:t>
      </w:r>
      <w:r w:rsidRPr="002236D3">
        <w:rPr>
          <w:rFonts w:eastAsia="Calibri" w:cs="Arial"/>
          <w:szCs w:val="20"/>
          <w:lang w:val="sl-SI"/>
        </w:rPr>
        <w:t xml:space="preserve">), povezava nanjo pa je dostopna na spletnih straneh ministrstva </w:t>
      </w:r>
      <w:hyperlink r:id="rId13" w:history="1">
        <w:r w:rsidRPr="00A30172">
          <w:rPr>
            <w:rStyle w:val="Hiperpovezava"/>
            <w:rFonts w:eastAsia="Calibri" w:cs="Arial"/>
            <w:szCs w:val="20"/>
            <w:lang w:val="sl-SI"/>
          </w:rPr>
          <w:t>https://www.gov.si/teme/gradbeni-proizvodi/</w:t>
        </w:r>
      </w:hyperlink>
      <w:r w:rsidRPr="002236D3">
        <w:rPr>
          <w:rFonts w:eastAsia="Calibri" w:cs="Arial"/>
          <w:szCs w:val="20"/>
          <w:lang w:val="sl-SI"/>
        </w:rPr>
        <w:t>.</w:t>
      </w:r>
      <w:r>
        <w:rPr>
          <w:rFonts w:eastAsia="Calibri" w:cs="Arial"/>
          <w:szCs w:val="20"/>
          <w:lang w:val="sl-SI"/>
        </w:rPr>
        <w:t xml:space="preserve"> </w:t>
      </w:r>
      <w:r w:rsidR="00CC04A0" w:rsidRPr="002236D3">
        <w:rPr>
          <w:rFonts w:eastAsia="Calibri" w:cs="Arial"/>
          <w:szCs w:val="20"/>
          <w:lang w:val="sl-SI"/>
        </w:rPr>
        <w:t>P</w:t>
      </w:r>
      <w:r w:rsidR="008A628D" w:rsidRPr="002236D3">
        <w:rPr>
          <w:rFonts w:eastAsia="Calibri" w:cs="Arial"/>
          <w:szCs w:val="20"/>
          <w:lang w:val="sl-SI"/>
        </w:rPr>
        <w:t>riglasit</w:t>
      </w:r>
      <w:r w:rsidR="00CC04A0" w:rsidRPr="002236D3">
        <w:rPr>
          <w:rFonts w:eastAsia="Calibri" w:cs="Arial"/>
          <w:szCs w:val="20"/>
          <w:lang w:val="sl-SI"/>
        </w:rPr>
        <w:t>e</w:t>
      </w:r>
      <w:r w:rsidR="008A628D" w:rsidRPr="002236D3">
        <w:rPr>
          <w:rFonts w:eastAsia="Calibri" w:cs="Arial"/>
          <w:szCs w:val="20"/>
          <w:lang w:val="sl-SI"/>
        </w:rPr>
        <w:t>v</w:t>
      </w:r>
      <w:r w:rsidR="00CC04A0" w:rsidRPr="002236D3">
        <w:rPr>
          <w:rFonts w:eastAsia="Calibri" w:cs="Arial"/>
          <w:szCs w:val="20"/>
          <w:lang w:val="sl-SI"/>
        </w:rPr>
        <w:t xml:space="preserve"> se izvede</w:t>
      </w:r>
      <w:r w:rsidR="008A628D" w:rsidRPr="002236D3">
        <w:rPr>
          <w:rFonts w:eastAsia="Calibri" w:cs="Arial"/>
          <w:szCs w:val="20"/>
          <w:lang w:val="sl-SI"/>
        </w:rPr>
        <w:t xml:space="preserve"> z uporabo baz</w:t>
      </w:r>
      <w:r>
        <w:rPr>
          <w:rFonts w:eastAsia="Calibri" w:cs="Arial"/>
          <w:szCs w:val="20"/>
          <w:lang w:val="sl-SI"/>
        </w:rPr>
        <w:t>e</w:t>
      </w:r>
      <w:r w:rsidR="008A628D" w:rsidRPr="002236D3">
        <w:rPr>
          <w:rFonts w:eastAsia="Calibri" w:cs="Arial"/>
          <w:szCs w:val="20"/>
          <w:lang w:val="sl-SI"/>
        </w:rPr>
        <w:t xml:space="preserve"> NANDO</w:t>
      </w:r>
      <w:r w:rsidR="00DA6674" w:rsidRPr="002236D3">
        <w:rPr>
          <w:rFonts w:eastAsia="Calibri" w:cs="Arial"/>
          <w:szCs w:val="20"/>
          <w:lang w:val="sl-SI"/>
        </w:rPr>
        <w:t>. Seznam priglašenih organov</w:t>
      </w:r>
      <w:r w:rsidR="00DC5BEB" w:rsidRPr="002236D3">
        <w:rPr>
          <w:rFonts w:eastAsia="Calibri" w:cs="Arial"/>
          <w:szCs w:val="20"/>
          <w:lang w:val="sl-SI"/>
        </w:rPr>
        <w:t xml:space="preserve"> na področju gradbenih proizvodov</w:t>
      </w:r>
      <w:r w:rsidR="00DA6674" w:rsidRPr="002236D3">
        <w:rPr>
          <w:rFonts w:eastAsia="Calibri" w:cs="Arial"/>
          <w:szCs w:val="20"/>
          <w:lang w:val="sl-SI"/>
        </w:rPr>
        <w:t xml:space="preserve"> je</w:t>
      </w:r>
      <w:r w:rsidR="00F00098" w:rsidRPr="002236D3">
        <w:rPr>
          <w:rFonts w:eastAsia="Calibri" w:cs="Arial"/>
          <w:szCs w:val="20"/>
          <w:lang w:val="sl-SI"/>
        </w:rPr>
        <w:t xml:space="preserve"> dostop</w:t>
      </w:r>
      <w:r w:rsidR="00DA6674" w:rsidRPr="002236D3">
        <w:rPr>
          <w:rFonts w:eastAsia="Calibri" w:cs="Arial"/>
          <w:szCs w:val="20"/>
          <w:lang w:val="sl-SI"/>
        </w:rPr>
        <w:t>e</w:t>
      </w:r>
      <w:r w:rsidR="00F00098" w:rsidRPr="002236D3">
        <w:rPr>
          <w:rFonts w:eastAsia="Calibri" w:cs="Arial"/>
          <w:szCs w:val="20"/>
          <w:lang w:val="sl-SI"/>
        </w:rPr>
        <w:t>n na</w:t>
      </w:r>
      <w:r w:rsidR="00DC5BEB" w:rsidRPr="002236D3">
        <w:rPr>
          <w:rFonts w:eastAsia="Calibri" w:cs="Arial"/>
          <w:szCs w:val="20"/>
          <w:lang w:val="sl-SI"/>
        </w:rPr>
        <w:t xml:space="preserve"> https://ec.europa.eu/growth/tools-databases/nando/index.cfm?fuseaction=</w:t>
      </w:r>
      <w:r w:rsidRPr="002236D3">
        <w:rPr>
          <w:rFonts w:eastAsia="Calibri" w:cs="Arial"/>
          <w:szCs w:val="20"/>
          <w:lang w:val="sl-SI"/>
        </w:rPr>
        <w:t>directive.notifiedbody&amp;dir_id=33</w:t>
      </w:r>
    </w:p>
    <w:p w:rsidR="000E75F3" w:rsidRDefault="000E75F3" w:rsidP="009735FC">
      <w:pPr>
        <w:spacing w:after="200" w:line="260" w:lineRule="exact"/>
        <w:jc w:val="both"/>
        <w:rPr>
          <w:rFonts w:eastAsia="Calibri" w:cs="Arial"/>
          <w:szCs w:val="20"/>
          <w:lang w:val="sl-SI"/>
        </w:rPr>
      </w:pPr>
      <w:r w:rsidRPr="00D21A83">
        <w:rPr>
          <w:rFonts w:eastAsia="Calibri" w:cs="Arial"/>
          <w:szCs w:val="20"/>
          <w:lang w:val="sl-SI"/>
        </w:rPr>
        <w:t xml:space="preserve">Kadar priglasitev </w:t>
      </w:r>
      <w:r w:rsidR="003C2743" w:rsidRPr="00D21A83">
        <w:rPr>
          <w:rFonts w:eastAsia="Calibri" w:cs="Arial"/>
          <w:szCs w:val="20"/>
          <w:lang w:val="sl-SI"/>
        </w:rPr>
        <w:t>vložnika</w:t>
      </w:r>
      <w:r w:rsidRPr="00D21A83">
        <w:rPr>
          <w:rFonts w:eastAsia="Calibri" w:cs="Arial"/>
          <w:szCs w:val="20"/>
          <w:lang w:val="sl-SI"/>
        </w:rPr>
        <w:t xml:space="preserve"> temelji na akreditaciji, je ta potrjena v dveh tednih, če Evropska komisija ali druge države članice nimajo pripomb.</w:t>
      </w:r>
    </w:p>
    <w:p w:rsidR="008A628D" w:rsidRDefault="008A628D" w:rsidP="009735FC">
      <w:pPr>
        <w:spacing w:after="200" w:line="260" w:lineRule="exact"/>
        <w:jc w:val="both"/>
        <w:rPr>
          <w:rFonts w:eastAsia="Calibri" w:cs="Arial"/>
          <w:szCs w:val="20"/>
          <w:lang w:val="sl-SI"/>
        </w:rPr>
      </w:pPr>
      <w:r w:rsidRPr="00D21A83">
        <w:rPr>
          <w:rFonts w:eastAsia="Calibri" w:cs="Arial"/>
          <w:szCs w:val="20"/>
          <w:lang w:val="sl-SI"/>
        </w:rPr>
        <w:t xml:space="preserve">Ko Evropska komisija priglasitev potrdi, </w:t>
      </w:r>
      <w:r w:rsidR="00B04B77" w:rsidRPr="00D21A83">
        <w:rPr>
          <w:rFonts w:eastAsia="Calibri" w:cs="Arial"/>
          <w:szCs w:val="20"/>
          <w:lang w:val="sl-SI"/>
        </w:rPr>
        <w:t xml:space="preserve">vložniku dodeli štirimestno identifikacijsko številko, </w:t>
      </w:r>
      <w:r w:rsidR="003C2743" w:rsidRPr="00D21A83">
        <w:rPr>
          <w:rFonts w:eastAsia="Calibri" w:cs="Arial"/>
          <w:szCs w:val="20"/>
          <w:lang w:val="sl-SI"/>
        </w:rPr>
        <w:t>vložnik</w:t>
      </w:r>
      <w:r w:rsidR="00B04B77" w:rsidRPr="00D21A83">
        <w:rPr>
          <w:rFonts w:eastAsia="Calibri" w:cs="Arial"/>
          <w:szCs w:val="20"/>
          <w:lang w:val="sl-SI"/>
        </w:rPr>
        <w:t xml:space="preserve"> pa</w:t>
      </w:r>
      <w:r w:rsidRPr="00D21A83">
        <w:rPr>
          <w:rFonts w:eastAsia="Calibri" w:cs="Arial"/>
          <w:szCs w:val="20"/>
          <w:lang w:val="sl-SI"/>
        </w:rPr>
        <w:t xml:space="preserve"> lahko prične opravljati naloge </w:t>
      </w:r>
      <w:r w:rsidR="00F933EB" w:rsidRPr="00D21A83">
        <w:rPr>
          <w:rFonts w:eastAsia="Calibri" w:cs="Arial"/>
          <w:szCs w:val="20"/>
          <w:lang w:val="sl-SI"/>
        </w:rPr>
        <w:t>priglašenega organa</w:t>
      </w:r>
      <w:r w:rsidR="00CC04A0" w:rsidRPr="00D21A83">
        <w:rPr>
          <w:rFonts w:eastAsia="Calibri" w:cs="Arial"/>
          <w:szCs w:val="20"/>
          <w:lang w:val="sl-SI"/>
        </w:rPr>
        <w:t xml:space="preserve"> na področju proizvodov, za katere mu je bila izdana odločba. </w:t>
      </w:r>
    </w:p>
    <w:p w:rsidR="00014EA5" w:rsidRPr="00D21A83" w:rsidRDefault="00014EA5" w:rsidP="009735FC">
      <w:pPr>
        <w:pStyle w:val="Naslov1"/>
        <w:spacing w:after="200"/>
        <w:rPr>
          <w:rFonts w:eastAsia="Calibri"/>
        </w:rPr>
      </w:pPr>
      <w:bookmarkStart w:id="21" w:name="_Toc92353282"/>
      <w:r w:rsidRPr="00D21A83">
        <w:rPr>
          <w:rFonts w:eastAsia="Calibri"/>
        </w:rPr>
        <w:t xml:space="preserve">TRAJNO IZPOLNJEVANJE ZAHTEV </w:t>
      </w:r>
      <w:r w:rsidR="00DE317A" w:rsidRPr="00D21A83">
        <w:rPr>
          <w:rFonts w:eastAsia="Calibri"/>
        </w:rPr>
        <w:t xml:space="preserve">PRIGLAŠENEGA ORGANA </w:t>
      </w:r>
      <w:r w:rsidRPr="00D21A83">
        <w:rPr>
          <w:rFonts w:eastAsia="Calibri"/>
        </w:rPr>
        <w:t>IN OBVEŠČANJE PRIGLASITVENEGA ORGANA O SPREMEMBAH</w:t>
      </w:r>
      <w:bookmarkEnd w:id="21"/>
    </w:p>
    <w:p w:rsidR="00C831DE" w:rsidRPr="00C831DE" w:rsidRDefault="00C831DE" w:rsidP="00C831DE">
      <w:pPr>
        <w:spacing w:after="200" w:line="260" w:lineRule="exact"/>
        <w:jc w:val="both"/>
        <w:rPr>
          <w:rFonts w:eastAsia="Calibri" w:cs="Arial"/>
          <w:szCs w:val="20"/>
          <w:lang w:val="sl-SI"/>
        </w:rPr>
      </w:pPr>
      <w:r w:rsidRPr="00C831DE">
        <w:rPr>
          <w:rFonts w:eastAsia="Calibri" w:cs="Arial"/>
          <w:szCs w:val="20"/>
          <w:lang w:val="sl-SI"/>
        </w:rPr>
        <w:t xml:space="preserve">Določbe Uredbe 305/2011/EU, ki se nanašajo na </w:t>
      </w:r>
      <w:r>
        <w:rPr>
          <w:rFonts w:eastAsia="Calibri" w:cs="Arial"/>
          <w:szCs w:val="20"/>
          <w:lang w:val="sl-SI"/>
        </w:rPr>
        <w:t>trajno izpolnjevanje zahtev in obveščanje</w:t>
      </w:r>
      <w:r w:rsidRPr="00C831DE">
        <w:rPr>
          <w:rFonts w:eastAsia="Calibri" w:cs="Arial"/>
          <w:szCs w:val="20"/>
          <w:lang w:val="sl-SI"/>
        </w:rPr>
        <w:t xml:space="preserve"> prigla</w:t>
      </w:r>
      <w:r>
        <w:rPr>
          <w:rFonts w:eastAsia="Calibri" w:cs="Arial"/>
          <w:szCs w:val="20"/>
          <w:lang w:val="sl-SI"/>
        </w:rPr>
        <w:t>sitvenega</w:t>
      </w:r>
      <w:r w:rsidRPr="00C831DE">
        <w:rPr>
          <w:rFonts w:eastAsia="Calibri" w:cs="Arial"/>
          <w:szCs w:val="20"/>
          <w:lang w:val="sl-SI"/>
        </w:rPr>
        <w:t xml:space="preserve"> organa:</w:t>
      </w:r>
    </w:p>
    <w:p w:rsidR="00C831DE" w:rsidRPr="00C831DE" w:rsidRDefault="00C831DE" w:rsidP="009735FC">
      <w:pPr>
        <w:spacing w:after="200" w:line="260" w:lineRule="exact"/>
        <w:jc w:val="both"/>
        <w:rPr>
          <w:rFonts w:eastAsia="Calibri" w:cs="Arial"/>
          <w:i/>
          <w:szCs w:val="20"/>
          <w:lang w:val="sl-SI"/>
        </w:rPr>
      </w:pPr>
      <w:r w:rsidRPr="0098110D">
        <w:rPr>
          <w:rFonts w:cs="Arial"/>
          <w:i/>
          <w:szCs w:val="20"/>
          <w:lang w:val="sl-SI"/>
        </w:rPr>
        <w:t>Za namene priglasitve priglašeni organ izpolnjuje zahteve iz odstavkov 2 do 11 [43. člena Uredbe 305/2011/EU].</w:t>
      </w:r>
    </w:p>
    <w:p w:rsidR="00DC703B" w:rsidRPr="00C831DE" w:rsidRDefault="00DC703B" w:rsidP="009735FC">
      <w:pPr>
        <w:spacing w:after="200" w:line="260" w:lineRule="exact"/>
        <w:jc w:val="both"/>
        <w:rPr>
          <w:rFonts w:eastAsia="Calibri" w:cs="Arial"/>
          <w:i/>
          <w:szCs w:val="20"/>
          <w:lang w:val="sl-SI"/>
        </w:rPr>
      </w:pPr>
      <w:r w:rsidRPr="00C831DE">
        <w:rPr>
          <w:rFonts w:eastAsia="Calibri" w:cs="Arial"/>
          <w:i/>
          <w:szCs w:val="20"/>
          <w:lang w:val="sl-SI"/>
        </w:rPr>
        <w:t>Priglašeni organi izvedejo vse naloge tretje stranke v skladu s sistemi ocenjevanja in preverjanja nespremenljivosti lastnosti iz Priloge V Uredbe 305/2011/EU.</w:t>
      </w:r>
    </w:p>
    <w:p w:rsidR="00DC703B" w:rsidRPr="00C831DE" w:rsidRDefault="00DC703B" w:rsidP="009735FC">
      <w:pPr>
        <w:spacing w:after="200" w:line="260" w:lineRule="exact"/>
        <w:jc w:val="both"/>
        <w:rPr>
          <w:rFonts w:eastAsia="Calibri" w:cs="Arial"/>
          <w:i/>
          <w:szCs w:val="20"/>
          <w:lang w:val="sl-SI"/>
        </w:rPr>
      </w:pPr>
      <w:r w:rsidRPr="00C831DE">
        <w:rPr>
          <w:rFonts w:eastAsia="Calibri" w:cs="Arial"/>
          <w:i/>
          <w:szCs w:val="20"/>
          <w:lang w:val="sl-SI"/>
        </w:rPr>
        <w:t>Ocenjevanje in preverjanje nespremenljivosti lastnosti se izvaja</w:t>
      </w:r>
      <w:r w:rsidR="00FA1342" w:rsidRPr="00C831DE">
        <w:rPr>
          <w:rFonts w:eastAsia="Calibri" w:cs="Arial"/>
          <w:i/>
          <w:szCs w:val="20"/>
          <w:lang w:val="sl-SI"/>
        </w:rPr>
        <w:t xml:space="preserve"> </w:t>
      </w:r>
      <w:r w:rsidRPr="00C831DE">
        <w:rPr>
          <w:rFonts w:eastAsia="Calibri" w:cs="Arial"/>
          <w:i/>
          <w:szCs w:val="20"/>
          <w:lang w:val="sl-SI"/>
        </w:rPr>
        <w:t>transparentno do proizvajalca in sorazmerno, tako da se izogne nepotrebni obremenitvi gospodarskih subjektov. Priglašeni organi pri izvajanju svojih dejavnosti upoštevajo velikost podjetja, sektor, v katerem ta deluje, in njegovo strukturo, stopnjo zapletenosti zadevne proizvodne tehnologije ter vrsto proizvodnega postopka, tj. masovno ali serijsko proizvodnjo. Pri tem pa priglašeni organi vseeno spoštujejo stopnjo natančnosti, ki se zahteva za proizvod na podlagi te uredbe, in vlogo proizvoda pri izpolnjevanju vseh osnovnih zahtev za gradbene objekte.</w:t>
      </w:r>
    </w:p>
    <w:p w:rsidR="00DC703B" w:rsidRPr="00C831DE" w:rsidRDefault="00DC703B" w:rsidP="009735FC">
      <w:pPr>
        <w:spacing w:after="200" w:line="260" w:lineRule="exact"/>
        <w:jc w:val="both"/>
        <w:rPr>
          <w:rFonts w:eastAsia="Calibri" w:cs="Arial"/>
          <w:i/>
          <w:szCs w:val="20"/>
          <w:lang w:val="sl-SI"/>
        </w:rPr>
      </w:pPr>
      <w:r w:rsidRPr="00C831DE">
        <w:rPr>
          <w:rFonts w:eastAsia="Calibri" w:cs="Arial"/>
          <w:i/>
          <w:szCs w:val="20"/>
          <w:lang w:val="sl-SI"/>
        </w:rPr>
        <w:t>Če priglašeni organ med začetnim pregledom proizvodnega obrata in pri tovarniški kontroli proizvodnje ugotovi, da proizvajalec ni zagotovil nespremenljivosti lastnosti proizvedenega proizvoda, od proizvajalca zahteva, da sprejme ustrezne popravne ukrepe, in ne izda potrdila.</w:t>
      </w:r>
    </w:p>
    <w:p w:rsidR="00DC703B" w:rsidRPr="00C831DE" w:rsidRDefault="00DC703B" w:rsidP="009735FC">
      <w:pPr>
        <w:spacing w:after="200" w:line="260" w:lineRule="exact"/>
        <w:jc w:val="both"/>
        <w:rPr>
          <w:rFonts w:eastAsia="Calibri" w:cs="Arial"/>
          <w:i/>
          <w:szCs w:val="20"/>
          <w:lang w:val="sl-SI"/>
        </w:rPr>
      </w:pPr>
      <w:r w:rsidRPr="00C831DE">
        <w:rPr>
          <w:rFonts w:eastAsia="Calibri" w:cs="Arial"/>
          <w:i/>
          <w:szCs w:val="20"/>
          <w:lang w:val="sl-SI"/>
        </w:rPr>
        <w:lastRenderedPageBreak/>
        <w:t>Kadar priglašeni organ med spremljanjem, ki je namenjeno preverjanju nespremenljivosti lastnosti proizvedenega proizvoda, ugotovi, da gradbeni proizvod nima več enakih lastnosti kot tip proizvoda, od proizvajalca zahteva, da sprejme ustrezne popravne ukrepe, in po potrebi začasno prekliče ali umakne potrdilo.</w:t>
      </w:r>
    </w:p>
    <w:p w:rsidR="00DC703B" w:rsidRPr="00C831DE" w:rsidRDefault="00DC703B" w:rsidP="009735FC">
      <w:pPr>
        <w:spacing w:after="200" w:line="260" w:lineRule="exact"/>
        <w:jc w:val="both"/>
        <w:rPr>
          <w:rFonts w:eastAsia="Calibri" w:cs="Arial"/>
          <w:i/>
          <w:szCs w:val="20"/>
          <w:lang w:val="sl-SI"/>
        </w:rPr>
      </w:pPr>
      <w:r w:rsidRPr="00C831DE">
        <w:rPr>
          <w:rFonts w:eastAsia="Calibri" w:cs="Arial"/>
          <w:i/>
          <w:szCs w:val="20"/>
          <w:lang w:val="sl-SI"/>
        </w:rPr>
        <w:t>Kadar popravni ukrepi niso sprejeti ali nimajo zahtevanega učinka, priglašeni organ po potrebi omeji, začasno prekliče ali umakne vsa potrdila.</w:t>
      </w:r>
    </w:p>
    <w:p w:rsidR="00421DA1" w:rsidRPr="00C831DE" w:rsidRDefault="00421DA1" w:rsidP="009735FC">
      <w:pPr>
        <w:spacing w:after="200" w:line="260" w:lineRule="exact"/>
        <w:jc w:val="both"/>
        <w:rPr>
          <w:rFonts w:eastAsia="Calibri" w:cs="Arial"/>
          <w:i/>
          <w:szCs w:val="20"/>
          <w:lang w:val="sl-SI"/>
        </w:rPr>
      </w:pPr>
      <w:r w:rsidRPr="00C831DE">
        <w:rPr>
          <w:rFonts w:eastAsia="Calibri" w:cs="Arial"/>
          <w:i/>
          <w:szCs w:val="20"/>
          <w:lang w:val="sl-SI"/>
        </w:rPr>
        <w:t>Priglašeni organi obveščajo priglasitveni organ o:</w:t>
      </w:r>
    </w:p>
    <w:p w:rsidR="00421DA1" w:rsidRPr="00C831DE" w:rsidRDefault="00421DA1" w:rsidP="009735FC">
      <w:pPr>
        <w:spacing w:after="200" w:line="260" w:lineRule="exact"/>
        <w:jc w:val="both"/>
        <w:rPr>
          <w:rFonts w:eastAsia="Calibri" w:cs="Arial"/>
          <w:i/>
          <w:szCs w:val="20"/>
          <w:lang w:val="sl-SI"/>
        </w:rPr>
      </w:pPr>
      <w:r w:rsidRPr="00C831DE">
        <w:rPr>
          <w:rFonts w:eastAsia="Calibri" w:cs="Arial"/>
          <w:i/>
          <w:szCs w:val="20"/>
          <w:lang w:val="sl-SI"/>
        </w:rPr>
        <w:t>(a) vsaki zavrnitvi, omejitvi, začasnem preklicu ali umiku potrdil;</w:t>
      </w:r>
    </w:p>
    <w:p w:rsidR="00421DA1" w:rsidRPr="00C831DE" w:rsidRDefault="00421DA1" w:rsidP="009735FC">
      <w:pPr>
        <w:spacing w:after="200" w:line="260" w:lineRule="exact"/>
        <w:jc w:val="both"/>
        <w:rPr>
          <w:rFonts w:eastAsia="Calibri" w:cs="Arial"/>
          <w:i/>
          <w:szCs w:val="20"/>
          <w:lang w:val="sl-SI"/>
        </w:rPr>
      </w:pPr>
      <w:r w:rsidRPr="00C831DE">
        <w:rPr>
          <w:rFonts w:eastAsia="Calibri" w:cs="Arial"/>
          <w:i/>
          <w:szCs w:val="20"/>
          <w:lang w:val="sl-SI"/>
        </w:rPr>
        <w:t>(b) vseh okoliščinah, ki vplivajo na področje uporabe priglasitve in pogoje za priglasitev;</w:t>
      </w:r>
    </w:p>
    <w:p w:rsidR="00421DA1" w:rsidRPr="00C831DE" w:rsidRDefault="00421DA1" w:rsidP="009735FC">
      <w:pPr>
        <w:spacing w:after="200" w:line="260" w:lineRule="exact"/>
        <w:jc w:val="both"/>
        <w:rPr>
          <w:rFonts w:eastAsia="Calibri" w:cs="Arial"/>
          <w:i/>
          <w:szCs w:val="20"/>
          <w:lang w:val="sl-SI"/>
        </w:rPr>
      </w:pPr>
      <w:r w:rsidRPr="00C831DE">
        <w:rPr>
          <w:rFonts w:eastAsia="Calibri" w:cs="Arial"/>
          <w:i/>
          <w:szCs w:val="20"/>
          <w:lang w:val="sl-SI"/>
        </w:rPr>
        <w:t>(c) vsaki zahtevi v zvezi z informacijami o dejavnostih ocenjevanja in/ali preverjanja nespremenljivosti lastnosti, ki so jo prejeli od organov za nadzor trga;</w:t>
      </w:r>
    </w:p>
    <w:p w:rsidR="00421DA1" w:rsidRPr="00C831DE" w:rsidRDefault="00421DA1" w:rsidP="009735FC">
      <w:pPr>
        <w:spacing w:after="200" w:line="260" w:lineRule="exact"/>
        <w:jc w:val="both"/>
        <w:rPr>
          <w:rFonts w:eastAsia="Calibri" w:cs="Arial"/>
          <w:i/>
          <w:szCs w:val="20"/>
          <w:lang w:val="sl-SI"/>
        </w:rPr>
      </w:pPr>
      <w:r w:rsidRPr="00C831DE">
        <w:rPr>
          <w:rFonts w:eastAsia="Calibri" w:cs="Arial"/>
          <w:i/>
          <w:szCs w:val="20"/>
          <w:lang w:val="sl-SI"/>
        </w:rPr>
        <w:t>(d) na zahtevo priglasitvenega organa, o nalogah tretje stranke v skladu s sistemi ocenjevanja in preverjanja nespremenljivosti lastnosti, ki so bile izvedene v okviru njihove priglasitve, ter kakršnih koli drugih izvedenih dejavnostih, vključno s čezmejnimi dejavnostmi in sklepanjem pogodb s podizvajalci.</w:t>
      </w:r>
    </w:p>
    <w:p w:rsidR="00421DA1" w:rsidRPr="00C831DE" w:rsidRDefault="00421DA1" w:rsidP="009735FC">
      <w:pPr>
        <w:spacing w:after="200" w:line="260" w:lineRule="exact"/>
        <w:jc w:val="both"/>
        <w:rPr>
          <w:rFonts w:eastAsia="Calibri" w:cs="Arial"/>
          <w:i/>
          <w:szCs w:val="20"/>
          <w:lang w:val="sl-SI"/>
        </w:rPr>
      </w:pPr>
      <w:r w:rsidRPr="00C831DE">
        <w:rPr>
          <w:rFonts w:eastAsia="Calibri" w:cs="Arial"/>
          <w:i/>
          <w:szCs w:val="20"/>
          <w:lang w:val="sl-SI"/>
        </w:rPr>
        <w:t>Priglašeni organi zagotovijo drugim organom, priglašenim na podlagi te uredbe, ki izvajajo podobne naloge tretje stranke v skladu s sistemi ocenjevanja in preverjanja nespremenljivosti lastnosti gradbenih proizvodov, za katere veljajo iste tehnične specifikacije, ustrezne informacije o vprašanjih v zvezi z negativnimi in na zahtevo pozitivnimi rezultati teh ocenjevanj in/ali preverjanj.</w:t>
      </w:r>
    </w:p>
    <w:p w:rsidR="009906DF" w:rsidRPr="00D21A83" w:rsidRDefault="00CC04A0" w:rsidP="009735FC">
      <w:pPr>
        <w:spacing w:after="200" w:line="260" w:lineRule="exact"/>
        <w:jc w:val="both"/>
        <w:rPr>
          <w:rFonts w:eastAsia="Calibri" w:cs="Arial"/>
          <w:szCs w:val="20"/>
          <w:lang w:val="sl-SI"/>
        </w:rPr>
      </w:pPr>
      <w:r w:rsidRPr="00D21A83">
        <w:rPr>
          <w:rFonts w:eastAsia="Calibri" w:cs="Arial"/>
          <w:szCs w:val="20"/>
          <w:lang w:val="sl-SI"/>
        </w:rPr>
        <w:t>Priglašeni organ</w:t>
      </w:r>
      <w:r w:rsidR="00014EA5" w:rsidRPr="00D21A83">
        <w:rPr>
          <w:rFonts w:eastAsia="Calibri" w:cs="Arial"/>
          <w:szCs w:val="20"/>
          <w:lang w:val="sl-SI"/>
        </w:rPr>
        <w:t xml:space="preserve"> je dolžan</w:t>
      </w:r>
      <w:r w:rsidR="009906DF" w:rsidRPr="00D21A83">
        <w:rPr>
          <w:rFonts w:eastAsia="Calibri" w:cs="Arial"/>
          <w:szCs w:val="20"/>
          <w:lang w:val="sl-SI"/>
        </w:rPr>
        <w:t>:</w:t>
      </w:r>
      <w:r w:rsidR="00014EA5" w:rsidRPr="00D21A83">
        <w:rPr>
          <w:rFonts w:eastAsia="Calibri" w:cs="Arial"/>
          <w:szCs w:val="20"/>
          <w:lang w:val="sl-SI"/>
        </w:rPr>
        <w:t xml:space="preserve"> </w:t>
      </w:r>
    </w:p>
    <w:p w:rsidR="009906DF" w:rsidRPr="00D21A83" w:rsidRDefault="00014EA5" w:rsidP="009735FC">
      <w:pPr>
        <w:numPr>
          <w:ilvl w:val="0"/>
          <w:numId w:val="20"/>
        </w:numPr>
        <w:spacing w:after="200" w:line="260" w:lineRule="exact"/>
        <w:ind w:left="714" w:hanging="357"/>
        <w:jc w:val="both"/>
        <w:rPr>
          <w:rFonts w:eastAsia="Calibri" w:cs="Arial"/>
          <w:szCs w:val="20"/>
          <w:lang w:val="sl-SI"/>
        </w:rPr>
      </w:pPr>
      <w:r w:rsidRPr="00D21A83">
        <w:rPr>
          <w:rFonts w:eastAsia="Calibri" w:cs="Arial"/>
          <w:szCs w:val="20"/>
          <w:lang w:val="sl-SI"/>
        </w:rPr>
        <w:t xml:space="preserve">trajno izpolnjevati zahteve za </w:t>
      </w:r>
      <w:r w:rsidR="003C2743" w:rsidRPr="00D21A83">
        <w:rPr>
          <w:rFonts w:eastAsia="Calibri" w:cs="Arial"/>
          <w:szCs w:val="20"/>
          <w:lang w:val="sl-SI"/>
        </w:rPr>
        <w:t>priglašeni organ</w:t>
      </w:r>
      <w:r w:rsidR="00F5084F">
        <w:rPr>
          <w:rFonts w:eastAsia="Calibri" w:cs="Arial"/>
          <w:szCs w:val="20"/>
          <w:lang w:val="sl-SI"/>
        </w:rPr>
        <w:t xml:space="preserve"> in izvajati naloge organa AVCP v skladu s sistemi AVCP iz Priloge V Uredbe 305/2011/EU</w:t>
      </w:r>
      <w:r w:rsidR="00462C72" w:rsidRPr="00D21A83">
        <w:rPr>
          <w:rFonts w:eastAsia="Calibri" w:cs="Arial"/>
          <w:szCs w:val="20"/>
          <w:lang w:val="sl-SI"/>
        </w:rPr>
        <w:t>,</w:t>
      </w:r>
      <w:r w:rsidR="00CC04A0" w:rsidRPr="00D21A83">
        <w:rPr>
          <w:rFonts w:eastAsia="Calibri" w:cs="Arial"/>
          <w:szCs w:val="20"/>
          <w:lang w:val="sl-SI"/>
        </w:rPr>
        <w:t xml:space="preserve"> </w:t>
      </w:r>
    </w:p>
    <w:p w:rsidR="009906DF" w:rsidRPr="00D21A83" w:rsidRDefault="009906DF" w:rsidP="009735FC">
      <w:pPr>
        <w:numPr>
          <w:ilvl w:val="0"/>
          <w:numId w:val="20"/>
        </w:numPr>
        <w:spacing w:after="200" w:line="260" w:lineRule="exact"/>
        <w:ind w:left="714" w:hanging="357"/>
        <w:jc w:val="both"/>
        <w:rPr>
          <w:rFonts w:eastAsia="Calibri" w:cs="Arial"/>
          <w:szCs w:val="20"/>
          <w:lang w:val="sl-SI"/>
        </w:rPr>
      </w:pPr>
      <w:r w:rsidRPr="00D21A83">
        <w:rPr>
          <w:rFonts w:eastAsia="Calibri" w:cs="Arial"/>
          <w:szCs w:val="20"/>
          <w:lang w:val="sl-SI"/>
        </w:rPr>
        <w:t xml:space="preserve">dokumentirati vse postopke v zvezi z vrsto in obsegom nalog tretje stranke v postopku ocenjevanja in preverjanja nespremenljivosti lastnosti v skladu s prilogo V Uredbe 305/2011/EU, za katere je </w:t>
      </w:r>
      <w:r w:rsidR="00574A55">
        <w:rPr>
          <w:rFonts w:eastAsia="Calibri" w:cs="Arial"/>
          <w:szCs w:val="20"/>
          <w:lang w:val="sl-SI"/>
        </w:rPr>
        <w:t>določen in priglašen</w:t>
      </w:r>
      <w:r w:rsidRPr="00D21A83">
        <w:rPr>
          <w:rFonts w:eastAsia="Calibri" w:cs="Arial"/>
          <w:szCs w:val="20"/>
          <w:lang w:val="sl-SI"/>
        </w:rPr>
        <w:t>,</w:t>
      </w:r>
      <w:r w:rsidR="00014EA5" w:rsidRPr="00D21A83">
        <w:rPr>
          <w:rFonts w:eastAsia="Calibri" w:cs="Arial"/>
          <w:szCs w:val="20"/>
          <w:lang w:val="sl-SI"/>
        </w:rPr>
        <w:t xml:space="preserve"> </w:t>
      </w:r>
    </w:p>
    <w:p w:rsidR="009906DF" w:rsidRPr="00D21A83" w:rsidRDefault="00014EA5" w:rsidP="009735FC">
      <w:pPr>
        <w:numPr>
          <w:ilvl w:val="0"/>
          <w:numId w:val="20"/>
        </w:numPr>
        <w:spacing w:after="200" w:line="260" w:lineRule="exact"/>
        <w:ind w:left="714" w:hanging="357"/>
        <w:jc w:val="both"/>
        <w:rPr>
          <w:rFonts w:eastAsia="Calibri" w:cs="Arial"/>
          <w:szCs w:val="20"/>
          <w:lang w:val="sl-SI"/>
        </w:rPr>
      </w:pPr>
      <w:r w:rsidRPr="00D21A83">
        <w:rPr>
          <w:rFonts w:eastAsia="Calibri" w:cs="Arial"/>
          <w:szCs w:val="20"/>
          <w:lang w:val="sl-SI"/>
        </w:rPr>
        <w:t>hraniti vse zapise opravljenih delovnih nalog in njihovih rezultatov najmanj 10 let ter jih na zahtevo izročiti ministrstvu</w:t>
      </w:r>
      <w:r w:rsidR="00462C72" w:rsidRPr="00D21A83">
        <w:rPr>
          <w:rFonts w:eastAsia="Calibri" w:cs="Arial"/>
          <w:szCs w:val="20"/>
          <w:lang w:val="sl-SI"/>
        </w:rPr>
        <w:t>,</w:t>
      </w:r>
    </w:p>
    <w:p w:rsidR="009906DF" w:rsidRPr="00D21A83" w:rsidRDefault="009906DF" w:rsidP="009735FC">
      <w:pPr>
        <w:numPr>
          <w:ilvl w:val="0"/>
          <w:numId w:val="20"/>
        </w:numPr>
        <w:spacing w:after="200" w:line="260" w:lineRule="exact"/>
        <w:ind w:left="714" w:hanging="357"/>
        <w:jc w:val="both"/>
        <w:rPr>
          <w:rFonts w:eastAsia="Calibri" w:cs="Arial"/>
          <w:szCs w:val="20"/>
          <w:lang w:val="sl-SI"/>
        </w:rPr>
      </w:pPr>
      <w:r w:rsidRPr="00D21A83">
        <w:rPr>
          <w:rFonts w:eastAsia="Calibri" w:cs="Arial"/>
          <w:szCs w:val="20"/>
          <w:lang w:val="sl-SI"/>
        </w:rPr>
        <w:t xml:space="preserve">nemudoma obvestiti ministrstvo o vseh spremembah, ki bi lahko vplivale na njegovo usposobljenost, vrsto in obseg nalog tretje stranke v postopku ocenjevanja in preverjanja nespremenljivosti lastnosti, za katere je </w:t>
      </w:r>
      <w:r w:rsidR="003C2743" w:rsidRPr="00D21A83">
        <w:rPr>
          <w:rFonts w:eastAsia="Calibri" w:cs="Arial"/>
          <w:szCs w:val="20"/>
          <w:lang w:val="sl-SI"/>
        </w:rPr>
        <w:t>priglašen</w:t>
      </w:r>
      <w:r w:rsidRPr="00D21A83">
        <w:rPr>
          <w:rFonts w:eastAsia="Calibri" w:cs="Arial"/>
          <w:szCs w:val="20"/>
          <w:lang w:val="sl-SI"/>
        </w:rPr>
        <w:t xml:space="preserve">, ali na izpolnjevanje zahtev za </w:t>
      </w:r>
      <w:r w:rsidR="003C2743" w:rsidRPr="00D21A83">
        <w:rPr>
          <w:rFonts w:eastAsia="Calibri" w:cs="Arial"/>
          <w:szCs w:val="20"/>
          <w:lang w:val="sl-SI"/>
        </w:rPr>
        <w:t>priglašeni organ</w:t>
      </w:r>
      <w:r w:rsidR="00462C72" w:rsidRPr="00D21A83">
        <w:rPr>
          <w:rFonts w:eastAsia="Calibri" w:cs="Arial"/>
          <w:szCs w:val="20"/>
          <w:lang w:val="sl-SI"/>
        </w:rPr>
        <w:t>,</w:t>
      </w:r>
    </w:p>
    <w:p w:rsidR="00B04B77" w:rsidRPr="00D24700" w:rsidRDefault="009906DF" w:rsidP="009735FC">
      <w:pPr>
        <w:numPr>
          <w:ilvl w:val="0"/>
          <w:numId w:val="20"/>
        </w:numPr>
        <w:spacing w:after="200" w:line="260" w:lineRule="exact"/>
        <w:jc w:val="both"/>
        <w:rPr>
          <w:rFonts w:eastAsia="Calibri" w:cs="Arial"/>
          <w:szCs w:val="20"/>
          <w:lang w:val="sl-SI"/>
        </w:rPr>
      </w:pPr>
      <w:r w:rsidRPr="00D24700">
        <w:rPr>
          <w:rFonts w:eastAsia="Calibri" w:cs="Arial"/>
          <w:szCs w:val="20"/>
          <w:lang w:val="sl-SI"/>
        </w:rPr>
        <w:t xml:space="preserve">enkrat letno oziroma na podlagi poziva ministrstva poročati o izpolnjevanju zahtev, o </w:t>
      </w:r>
      <w:r w:rsidR="00B04B77" w:rsidRPr="00D24700">
        <w:rPr>
          <w:rFonts w:eastAsia="Calibri" w:cs="Arial"/>
          <w:szCs w:val="20"/>
          <w:lang w:val="sl-SI"/>
        </w:rPr>
        <w:t xml:space="preserve">zavrnitvi, omejitvi, začasnem preklicu ali umiku potrdil </w:t>
      </w:r>
      <w:r w:rsidRPr="00D24700">
        <w:rPr>
          <w:rFonts w:eastAsia="Calibri" w:cs="Arial"/>
          <w:szCs w:val="20"/>
          <w:lang w:val="sl-SI"/>
        </w:rPr>
        <w:t>ter razlogih zanje, o številu preskušanih proizvodov iz programa nadzora na trgu s strani Tržnega inšpektorata RS ter razlogih zanje</w:t>
      </w:r>
      <w:r w:rsidR="00B04B77" w:rsidRPr="00D24700">
        <w:rPr>
          <w:rFonts w:eastAsia="Calibri" w:cs="Arial"/>
          <w:szCs w:val="20"/>
          <w:lang w:val="sl-SI"/>
        </w:rPr>
        <w:t>, o nalogah tretje stranke v skladu s sistemi ocenjevanja in preverjanja nespremenljivosti lastnosti, ki so bile izvedene v okviru njihove priglasitve, ter kakršnih koli drugih izvedenih dejavnostih, vključno s čezmejnimi dejavnostmi in sklepanjem pogodb s podizvajalci</w:t>
      </w:r>
      <w:r w:rsidR="00322419" w:rsidRPr="00D24700">
        <w:rPr>
          <w:rFonts w:eastAsia="Calibri" w:cs="Arial"/>
          <w:szCs w:val="20"/>
          <w:lang w:val="sl-SI"/>
        </w:rPr>
        <w:t>,</w:t>
      </w:r>
    </w:p>
    <w:p w:rsidR="00014EA5" w:rsidRPr="00D24700" w:rsidRDefault="00B04B77" w:rsidP="009735FC">
      <w:pPr>
        <w:numPr>
          <w:ilvl w:val="0"/>
          <w:numId w:val="20"/>
        </w:numPr>
        <w:spacing w:after="200" w:line="260" w:lineRule="exact"/>
        <w:jc w:val="both"/>
        <w:rPr>
          <w:rFonts w:eastAsia="Calibri" w:cs="Arial"/>
          <w:szCs w:val="20"/>
          <w:lang w:val="sl-SI"/>
        </w:rPr>
      </w:pPr>
      <w:r w:rsidRPr="00D24700">
        <w:rPr>
          <w:rFonts w:eastAsia="Calibri" w:cs="Arial"/>
          <w:szCs w:val="20"/>
          <w:lang w:val="sl-SI"/>
        </w:rPr>
        <w:t>enkrat letno</w:t>
      </w:r>
      <w:r w:rsidRPr="00D24700">
        <w:rPr>
          <w:lang w:val="sl-SI"/>
        </w:rPr>
        <w:t xml:space="preserve"> </w:t>
      </w:r>
      <w:r w:rsidRPr="00D24700">
        <w:rPr>
          <w:rFonts w:eastAsia="Calibri" w:cs="Arial"/>
          <w:szCs w:val="20"/>
          <w:lang w:val="sl-SI"/>
        </w:rPr>
        <w:t xml:space="preserve">oziroma na podlagi poziva ministrstva poročati o sodelovanju v ustreznih dejavnostih standardizacije in dejavnostih skupine za usklajevanje dela priglašenih organov, ustanovljene v skladu s to uredbo, </w:t>
      </w:r>
      <w:r w:rsidR="00D242DB" w:rsidRPr="00D24700">
        <w:rPr>
          <w:rFonts w:eastAsia="Calibri" w:cs="Arial"/>
          <w:szCs w:val="20"/>
          <w:lang w:val="sl-SI"/>
        </w:rPr>
        <w:t>ali o drugem uporabljenem načinu zagotavljanja</w:t>
      </w:r>
      <w:r w:rsidRPr="00D24700">
        <w:rPr>
          <w:rFonts w:eastAsia="Calibri" w:cs="Arial"/>
          <w:szCs w:val="20"/>
          <w:lang w:val="sl-SI"/>
        </w:rPr>
        <w:t>, da je njegovo osebje za ocenjevanje o</w:t>
      </w:r>
      <w:r w:rsidR="00256B49" w:rsidRPr="00D24700">
        <w:rPr>
          <w:rFonts w:eastAsia="Calibri" w:cs="Arial"/>
          <w:szCs w:val="20"/>
          <w:lang w:val="sl-SI"/>
        </w:rPr>
        <w:t>bveščeno o teh dejavnostih, ter poročati o</w:t>
      </w:r>
      <w:r w:rsidR="00D242DB" w:rsidRPr="00D24700">
        <w:rPr>
          <w:rFonts w:eastAsia="Calibri" w:cs="Arial"/>
          <w:szCs w:val="20"/>
          <w:lang w:val="sl-SI"/>
        </w:rPr>
        <w:t xml:space="preserve"> </w:t>
      </w:r>
      <w:r w:rsidRPr="00D24700">
        <w:rPr>
          <w:rFonts w:eastAsia="Calibri" w:cs="Arial"/>
          <w:szCs w:val="20"/>
          <w:lang w:val="sl-SI"/>
        </w:rPr>
        <w:t>uporab</w:t>
      </w:r>
      <w:r w:rsidR="00256B49" w:rsidRPr="00D24700">
        <w:rPr>
          <w:rFonts w:eastAsia="Calibri" w:cs="Arial"/>
          <w:szCs w:val="20"/>
          <w:lang w:val="sl-SI"/>
        </w:rPr>
        <w:t>i</w:t>
      </w:r>
      <w:r w:rsidRPr="00D24700">
        <w:rPr>
          <w:rFonts w:eastAsia="Calibri" w:cs="Arial"/>
          <w:szCs w:val="20"/>
          <w:lang w:val="sl-SI"/>
        </w:rPr>
        <w:t xml:space="preserve"> upravn</w:t>
      </w:r>
      <w:r w:rsidR="00256B49" w:rsidRPr="00D24700">
        <w:rPr>
          <w:rFonts w:eastAsia="Calibri" w:cs="Arial"/>
          <w:szCs w:val="20"/>
          <w:lang w:val="sl-SI"/>
        </w:rPr>
        <w:t>ih</w:t>
      </w:r>
      <w:r w:rsidRPr="00D24700">
        <w:rPr>
          <w:rFonts w:eastAsia="Calibri" w:cs="Arial"/>
          <w:szCs w:val="20"/>
          <w:lang w:val="sl-SI"/>
        </w:rPr>
        <w:t xml:space="preserve"> odločb</w:t>
      </w:r>
      <w:r w:rsidR="00256B49" w:rsidRPr="00D24700">
        <w:rPr>
          <w:rFonts w:eastAsia="Calibri" w:cs="Arial"/>
          <w:szCs w:val="20"/>
          <w:lang w:val="sl-SI"/>
        </w:rPr>
        <w:t xml:space="preserve"> in dokumentov</w:t>
      </w:r>
      <w:r w:rsidRPr="00D24700">
        <w:rPr>
          <w:rFonts w:eastAsia="Calibri" w:cs="Arial"/>
          <w:szCs w:val="20"/>
          <w:lang w:val="sl-SI"/>
        </w:rPr>
        <w:t>, ki so rezultat dela navedene skupine, kot splošn</w:t>
      </w:r>
      <w:r w:rsidR="00256B49" w:rsidRPr="00D24700">
        <w:rPr>
          <w:rFonts w:eastAsia="Calibri" w:cs="Arial"/>
          <w:szCs w:val="20"/>
          <w:lang w:val="sl-SI"/>
        </w:rPr>
        <w:t>ih smernic</w:t>
      </w:r>
      <w:r w:rsidR="00322419" w:rsidRPr="00D24700">
        <w:rPr>
          <w:rFonts w:eastAsia="Calibri" w:cs="Arial"/>
          <w:szCs w:val="20"/>
          <w:lang w:val="sl-SI"/>
        </w:rPr>
        <w:t>,</w:t>
      </w:r>
    </w:p>
    <w:p w:rsidR="00C03C49" w:rsidRPr="00D24700" w:rsidRDefault="00322419" w:rsidP="009735FC">
      <w:pPr>
        <w:numPr>
          <w:ilvl w:val="0"/>
          <w:numId w:val="20"/>
        </w:numPr>
        <w:spacing w:after="200" w:line="260" w:lineRule="exact"/>
        <w:jc w:val="both"/>
        <w:rPr>
          <w:rFonts w:eastAsia="Calibri" w:cs="Arial"/>
          <w:szCs w:val="20"/>
          <w:lang w:val="sl-SI"/>
        </w:rPr>
      </w:pPr>
      <w:r w:rsidRPr="00D24700">
        <w:rPr>
          <w:rFonts w:eastAsia="Calibri" w:cs="Arial"/>
          <w:szCs w:val="20"/>
          <w:lang w:val="sl-SI"/>
        </w:rPr>
        <w:lastRenderedPageBreak/>
        <w:t>enkrat letno</w:t>
      </w:r>
      <w:r w:rsidRPr="00D24700">
        <w:rPr>
          <w:lang w:val="sl-SI"/>
        </w:rPr>
        <w:t xml:space="preserve"> </w:t>
      </w:r>
      <w:r w:rsidRPr="00D24700">
        <w:rPr>
          <w:rFonts w:eastAsia="Calibri" w:cs="Arial"/>
          <w:szCs w:val="20"/>
          <w:lang w:val="sl-SI"/>
        </w:rPr>
        <w:t>oziroma na podlagi poziva ministrstva poročati o sklenjenemu zavarovanju odgovornosti za namen dejavnosti priglašenega organa</w:t>
      </w:r>
      <w:r w:rsidR="00421DA1" w:rsidRPr="00D24700">
        <w:rPr>
          <w:rFonts w:eastAsia="Calibri" w:cs="Arial"/>
          <w:szCs w:val="20"/>
          <w:lang w:val="sl-SI"/>
        </w:rPr>
        <w:t xml:space="preserve"> in o drugih podatkih, ki jih zahteva ministrstvo</w:t>
      </w:r>
      <w:r w:rsidRPr="00D24700">
        <w:rPr>
          <w:rFonts w:eastAsia="Calibri" w:cs="Arial"/>
          <w:szCs w:val="20"/>
          <w:lang w:val="sl-SI"/>
        </w:rPr>
        <w:t>.</w:t>
      </w:r>
    </w:p>
    <w:p w:rsidR="008A628D" w:rsidRPr="007237C3" w:rsidRDefault="009735FC" w:rsidP="009735FC">
      <w:pPr>
        <w:pStyle w:val="Naslov1"/>
        <w:spacing w:after="200"/>
        <w:rPr>
          <w:rFonts w:eastAsia="Calibri"/>
        </w:rPr>
      </w:pPr>
      <w:bookmarkStart w:id="22" w:name="_Toc92353283"/>
      <w:r>
        <w:rPr>
          <w:rFonts w:eastAsia="Calibri"/>
        </w:rPr>
        <w:t xml:space="preserve">SPREMEMBA ALI </w:t>
      </w:r>
      <w:r w:rsidR="008A628D" w:rsidRPr="007237C3">
        <w:rPr>
          <w:rFonts w:eastAsia="Calibri"/>
        </w:rPr>
        <w:t>PREKLIC PRIGLASITVE</w:t>
      </w:r>
      <w:bookmarkEnd w:id="22"/>
    </w:p>
    <w:p w:rsidR="007237C3" w:rsidRPr="002E5A47" w:rsidRDefault="007237C3" w:rsidP="005F4820">
      <w:pPr>
        <w:spacing w:after="200" w:line="260" w:lineRule="exact"/>
        <w:jc w:val="both"/>
        <w:rPr>
          <w:rFonts w:cs="Arial"/>
          <w:szCs w:val="20"/>
          <w:lang w:val="sl-SI"/>
        </w:rPr>
      </w:pPr>
      <w:r w:rsidRPr="002E5A47">
        <w:rPr>
          <w:rFonts w:cs="Arial"/>
          <w:szCs w:val="20"/>
          <w:lang w:val="sl-SI"/>
        </w:rPr>
        <w:t xml:space="preserve">Če priglasitveni organ ugotovi ali je obveščen, da priglašeni organ ne izpolnjuje več zahtev iz člena 43 </w:t>
      </w:r>
      <w:r w:rsidR="009735FC" w:rsidRPr="002E5A47">
        <w:rPr>
          <w:rFonts w:cs="Arial"/>
          <w:szCs w:val="20"/>
          <w:lang w:val="sl-SI"/>
        </w:rPr>
        <w:t xml:space="preserve">Uredbe 305/2011/EU ali ZGPro-1 </w:t>
      </w:r>
      <w:r w:rsidRPr="002E5A47">
        <w:rPr>
          <w:rFonts w:cs="Arial"/>
          <w:szCs w:val="20"/>
          <w:lang w:val="sl-SI"/>
        </w:rPr>
        <w:t xml:space="preserve">ali da ne izpolnjuje </w:t>
      </w:r>
      <w:r w:rsidR="009735FC" w:rsidRPr="002E5A47">
        <w:rPr>
          <w:rFonts w:cs="Arial"/>
          <w:szCs w:val="20"/>
          <w:lang w:val="sl-SI"/>
        </w:rPr>
        <w:t>tam navedenih</w:t>
      </w:r>
      <w:r w:rsidRPr="002E5A47">
        <w:rPr>
          <w:rFonts w:cs="Arial"/>
          <w:szCs w:val="20"/>
          <w:lang w:val="sl-SI"/>
        </w:rPr>
        <w:t xml:space="preserve"> obveznosti, priglasitveni organ po potrebi omeji, začasno prekliče ali umakne priglasitev, odvisno od resnosti neizpolnjevanja navedenih zahtev ali obveznosti.</w:t>
      </w:r>
      <w:r w:rsidR="00325969">
        <w:rPr>
          <w:rFonts w:cs="Arial"/>
          <w:szCs w:val="20"/>
          <w:lang w:val="sl-SI"/>
        </w:rPr>
        <w:t xml:space="preserve"> O tem </w:t>
      </w:r>
      <w:r w:rsidRPr="002E5A47">
        <w:rPr>
          <w:rFonts w:cs="Arial"/>
          <w:szCs w:val="20"/>
          <w:lang w:val="sl-SI"/>
        </w:rPr>
        <w:t xml:space="preserve">Komisijo in druge države članice nemudoma obvesti z uporabo elektronskega orodja </w:t>
      </w:r>
      <w:r w:rsidR="009735FC" w:rsidRPr="002E5A47">
        <w:rPr>
          <w:rFonts w:cs="Arial"/>
          <w:szCs w:val="20"/>
          <w:lang w:val="sl-SI"/>
        </w:rPr>
        <w:t>NANDO</w:t>
      </w:r>
      <w:r w:rsidRPr="002E5A47">
        <w:rPr>
          <w:rFonts w:cs="Arial"/>
          <w:szCs w:val="20"/>
          <w:lang w:val="sl-SI"/>
        </w:rPr>
        <w:t>.</w:t>
      </w:r>
    </w:p>
    <w:p w:rsidR="00D2393C" w:rsidRDefault="00D2393C" w:rsidP="00D2393C">
      <w:pPr>
        <w:spacing w:after="200" w:line="260" w:lineRule="exact"/>
        <w:jc w:val="both"/>
        <w:rPr>
          <w:rFonts w:eastAsia="Calibri" w:cs="Arial"/>
          <w:szCs w:val="20"/>
          <w:lang w:val="sl-SI"/>
        </w:rPr>
      </w:pPr>
      <w:r>
        <w:rPr>
          <w:rFonts w:eastAsia="Calibri" w:cs="Arial"/>
          <w:szCs w:val="20"/>
          <w:lang w:val="sl-SI"/>
        </w:rPr>
        <w:t>Skladno z določbami 15. člena ZGPro-1 lahko m</w:t>
      </w:r>
      <w:r w:rsidRPr="00D2393C">
        <w:rPr>
          <w:rFonts w:eastAsia="Calibri" w:cs="Arial"/>
          <w:szCs w:val="20"/>
          <w:lang w:val="sl-SI"/>
        </w:rPr>
        <w:t xml:space="preserve">inistrstvo pri organu opravi pregled, če obstaja dvom, da organ še izpolnjuje svoje obveznosti iz odločbe iz prvega odstavka 14. člena </w:t>
      </w:r>
      <w:r>
        <w:rPr>
          <w:rFonts w:eastAsia="Calibri" w:cs="Arial"/>
          <w:szCs w:val="20"/>
          <w:lang w:val="sl-SI"/>
        </w:rPr>
        <w:t>is</w:t>
      </w:r>
      <w:r w:rsidRPr="00D2393C">
        <w:rPr>
          <w:rFonts w:eastAsia="Calibri" w:cs="Arial"/>
          <w:szCs w:val="20"/>
          <w:lang w:val="sl-SI"/>
        </w:rPr>
        <w:t xml:space="preserve">tega zakona. Če se pri pregledu ugotovi, da organ ne izpolnjuje obveznosti iz odločbe iz prvega odstavka 14. člena </w:t>
      </w:r>
      <w:r>
        <w:rPr>
          <w:rFonts w:eastAsia="Calibri" w:cs="Arial"/>
          <w:szCs w:val="20"/>
          <w:lang w:val="sl-SI"/>
        </w:rPr>
        <w:t>ZGPro-1,</w:t>
      </w:r>
      <w:r w:rsidRPr="00D2393C">
        <w:rPr>
          <w:rFonts w:eastAsia="Calibri" w:cs="Arial"/>
          <w:szCs w:val="20"/>
          <w:lang w:val="sl-SI"/>
        </w:rPr>
        <w:t xml:space="preserve"> minister izda odločbo, s katero naloži ukrepe in rok za odpravo nepravilnosti.</w:t>
      </w:r>
      <w:r>
        <w:rPr>
          <w:rFonts w:eastAsia="Calibri" w:cs="Arial"/>
          <w:szCs w:val="20"/>
          <w:lang w:val="sl-SI"/>
        </w:rPr>
        <w:t xml:space="preserve"> </w:t>
      </w:r>
      <w:r w:rsidRPr="00D2393C">
        <w:rPr>
          <w:rFonts w:eastAsia="Calibri" w:cs="Arial"/>
          <w:szCs w:val="20"/>
          <w:lang w:val="sl-SI"/>
        </w:rPr>
        <w:t xml:space="preserve">Minister razveljavi odločbo </w:t>
      </w:r>
      <w:r>
        <w:rPr>
          <w:rFonts w:eastAsia="Calibri" w:cs="Arial"/>
          <w:szCs w:val="20"/>
          <w:lang w:val="sl-SI"/>
        </w:rPr>
        <w:t>o določitvi organa</w:t>
      </w:r>
      <w:r w:rsidRPr="00D2393C">
        <w:rPr>
          <w:rFonts w:eastAsia="Calibri" w:cs="Arial"/>
          <w:szCs w:val="20"/>
          <w:lang w:val="sl-SI"/>
        </w:rPr>
        <w:t>, če</w:t>
      </w:r>
      <w:r>
        <w:rPr>
          <w:rFonts w:eastAsia="Calibri" w:cs="Arial"/>
          <w:szCs w:val="20"/>
          <w:lang w:val="sl-SI"/>
        </w:rPr>
        <w:t xml:space="preserve"> </w:t>
      </w:r>
      <w:r w:rsidRPr="00D2393C">
        <w:rPr>
          <w:rFonts w:eastAsia="Calibri" w:cs="Arial"/>
          <w:szCs w:val="20"/>
          <w:lang w:val="sl-SI"/>
        </w:rPr>
        <w:t>organ ne odpravi ugotovljenih nepravilnosti v roku ali nepravilnosti ni mogoče odpraviti,</w:t>
      </w:r>
      <w:r>
        <w:rPr>
          <w:rFonts w:eastAsia="Calibri" w:cs="Arial"/>
          <w:szCs w:val="20"/>
          <w:lang w:val="sl-SI"/>
        </w:rPr>
        <w:t xml:space="preserve"> ali v primeru, če o</w:t>
      </w:r>
      <w:r w:rsidRPr="00D2393C">
        <w:rPr>
          <w:rFonts w:eastAsia="Calibri" w:cs="Arial"/>
          <w:szCs w:val="20"/>
          <w:lang w:val="sl-SI"/>
        </w:rPr>
        <w:t xml:space="preserve">rgan obvesti ministrstvo, da ne želi več opravljati nalog iz odločbe </w:t>
      </w:r>
      <w:r>
        <w:rPr>
          <w:rFonts w:eastAsia="Calibri" w:cs="Arial"/>
          <w:szCs w:val="20"/>
          <w:lang w:val="sl-SI"/>
        </w:rPr>
        <w:t>o določitvi</w:t>
      </w:r>
      <w:r w:rsidRPr="00D2393C">
        <w:rPr>
          <w:rFonts w:eastAsia="Calibri" w:cs="Arial"/>
          <w:szCs w:val="20"/>
          <w:lang w:val="sl-SI"/>
        </w:rPr>
        <w:t xml:space="preserve">. </w:t>
      </w:r>
      <w:r w:rsidRPr="00D21A83">
        <w:rPr>
          <w:rFonts w:eastAsia="Calibri" w:cs="Arial"/>
          <w:szCs w:val="20"/>
          <w:lang w:val="sl-SI"/>
        </w:rPr>
        <w:t>V tem primeru ministrstvo izvede ustrezne postopke preklica priglasitve pri Evropski Komisiji in izbriše organ iz evidence</w:t>
      </w:r>
      <w:r>
        <w:rPr>
          <w:rFonts w:eastAsia="Calibri" w:cs="Arial"/>
          <w:szCs w:val="20"/>
          <w:lang w:val="sl-SI"/>
        </w:rPr>
        <w:t xml:space="preserve"> NANDO</w:t>
      </w:r>
      <w:r w:rsidRPr="00D21A83">
        <w:rPr>
          <w:rFonts w:eastAsia="Calibri" w:cs="Arial"/>
          <w:szCs w:val="20"/>
          <w:lang w:val="sl-SI"/>
        </w:rPr>
        <w:t>.</w:t>
      </w:r>
    </w:p>
    <w:p w:rsidR="00654DAA" w:rsidRPr="00D21A83" w:rsidRDefault="00654DAA" w:rsidP="009735FC">
      <w:pPr>
        <w:pStyle w:val="Naslov1"/>
        <w:spacing w:after="200"/>
        <w:rPr>
          <w:rFonts w:eastAsia="Calibri"/>
        </w:rPr>
      </w:pPr>
      <w:bookmarkStart w:id="23" w:name="_Toc92353284"/>
      <w:r w:rsidRPr="00D21A83">
        <w:rPr>
          <w:rFonts w:eastAsia="Calibri"/>
        </w:rPr>
        <w:t>DODATNE INFORMACIJE</w:t>
      </w:r>
      <w:bookmarkEnd w:id="23"/>
    </w:p>
    <w:p w:rsidR="005D35F3" w:rsidRPr="00D21A83" w:rsidRDefault="005D35F3" w:rsidP="009735FC">
      <w:pPr>
        <w:spacing w:after="200" w:line="260" w:lineRule="exact"/>
        <w:jc w:val="both"/>
        <w:rPr>
          <w:rFonts w:eastAsia="Calibri" w:cs="Arial"/>
          <w:szCs w:val="20"/>
          <w:lang w:val="sl-SI"/>
        </w:rPr>
      </w:pPr>
      <w:r w:rsidRPr="00D21A83">
        <w:rPr>
          <w:rFonts w:eastAsia="Calibri" w:cs="Arial"/>
          <w:szCs w:val="20"/>
          <w:lang w:val="sl-SI"/>
        </w:rPr>
        <w:t>Ministrstvo za gospodarski razvoj in tehnologijo, Direktorat za notranji trg:</w:t>
      </w:r>
    </w:p>
    <w:p w:rsidR="00BB7964" w:rsidRPr="00D21A83" w:rsidRDefault="00BB7964" w:rsidP="009735FC">
      <w:pPr>
        <w:spacing w:after="200" w:line="260" w:lineRule="exact"/>
        <w:jc w:val="both"/>
        <w:rPr>
          <w:rFonts w:eastAsia="Calibri" w:cs="Arial"/>
          <w:szCs w:val="20"/>
          <w:lang w:val="sl-SI"/>
        </w:rPr>
      </w:pPr>
      <w:hyperlink r:id="rId14" w:history="1">
        <w:r w:rsidRPr="00D21A83">
          <w:rPr>
            <w:rStyle w:val="Hiperpovezava"/>
            <w:rFonts w:eastAsia="Calibri" w:cs="Arial"/>
            <w:szCs w:val="20"/>
            <w:lang w:val="sl-SI"/>
          </w:rPr>
          <w:t>https://www.gov.si/drzavni-organi/ministrstva/ministrstvo-za-gospodarski-razvoj-in-tehnologijo/o-ministrstvu/direktorat-za-notranji-trg/</w:t>
        </w:r>
      </w:hyperlink>
    </w:p>
    <w:p w:rsidR="005D35F3" w:rsidRPr="00D21A83" w:rsidRDefault="00BB7964" w:rsidP="009735FC">
      <w:pPr>
        <w:spacing w:after="200" w:line="260" w:lineRule="exact"/>
        <w:jc w:val="both"/>
        <w:rPr>
          <w:rFonts w:ascii="Calibri" w:eastAsia="Calibri" w:hAnsi="Calibri"/>
          <w:sz w:val="22"/>
          <w:szCs w:val="22"/>
          <w:lang w:val="sl-SI"/>
        </w:rPr>
      </w:pPr>
      <w:r w:rsidRPr="00D21A83">
        <w:rPr>
          <w:rFonts w:eastAsia="Calibri" w:cs="Arial"/>
          <w:szCs w:val="20"/>
          <w:lang w:val="sl-SI"/>
        </w:rPr>
        <w:t>Ministrstvo za gospodarski razvoj in tehnologijo, gradbeni proizvodi:</w:t>
      </w:r>
    </w:p>
    <w:p w:rsidR="00BB7964" w:rsidRPr="00D21A83" w:rsidRDefault="00BB7964" w:rsidP="009735FC">
      <w:pPr>
        <w:spacing w:after="200" w:line="260" w:lineRule="exact"/>
        <w:jc w:val="both"/>
        <w:rPr>
          <w:rFonts w:eastAsia="Calibri" w:cs="Arial"/>
          <w:szCs w:val="20"/>
          <w:lang w:val="sl-SI"/>
        </w:rPr>
      </w:pPr>
      <w:hyperlink r:id="rId15" w:history="1">
        <w:r w:rsidRPr="00D21A83">
          <w:rPr>
            <w:rStyle w:val="Hiperpovezava"/>
            <w:rFonts w:eastAsia="Calibri" w:cs="Arial"/>
            <w:szCs w:val="20"/>
            <w:lang w:val="sl-SI"/>
          </w:rPr>
          <w:t>https://www.gov.si/teme/gradbeni-proizvodi/</w:t>
        </w:r>
      </w:hyperlink>
    </w:p>
    <w:p w:rsidR="005D35F3" w:rsidRPr="00D21A83" w:rsidRDefault="005D35F3" w:rsidP="009735FC">
      <w:pPr>
        <w:spacing w:after="200" w:line="260" w:lineRule="exact"/>
        <w:jc w:val="both"/>
        <w:rPr>
          <w:rFonts w:eastAsia="Calibri" w:cs="Arial"/>
          <w:szCs w:val="20"/>
          <w:lang w:val="sl-SI"/>
        </w:rPr>
      </w:pPr>
      <w:r w:rsidRPr="00D21A83">
        <w:rPr>
          <w:rFonts w:eastAsia="Calibri" w:cs="Arial"/>
          <w:szCs w:val="20"/>
          <w:lang w:val="sl-SI"/>
        </w:rPr>
        <w:t>Domača stran Evropske komisije o gradbenih proizvodih:</w:t>
      </w:r>
    </w:p>
    <w:p w:rsidR="00BB7964" w:rsidRPr="00D21A83" w:rsidRDefault="00BB7964" w:rsidP="009735FC">
      <w:pPr>
        <w:spacing w:after="200" w:line="260" w:lineRule="exact"/>
        <w:jc w:val="both"/>
        <w:rPr>
          <w:rFonts w:eastAsia="Calibri" w:cs="Arial"/>
          <w:szCs w:val="20"/>
          <w:lang w:val="sl-SI"/>
        </w:rPr>
      </w:pPr>
      <w:hyperlink r:id="rId16" w:history="1">
        <w:r w:rsidRPr="00D21A83">
          <w:rPr>
            <w:rStyle w:val="Hiperpovezava"/>
            <w:rFonts w:eastAsia="Calibri" w:cs="Arial"/>
            <w:szCs w:val="20"/>
            <w:lang w:val="sl-SI"/>
          </w:rPr>
          <w:t>https://ec.europa.eu/growth/single-market/european-standards/harmonised-standards/construction-products-cpdcpr_en</w:t>
        </w:r>
      </w:hyperlink>
    </w:p>
    <w:p w:rsidR="00C14866" w:rsidRPr="00D21A83" w:rsidRDefault="00654DAA" w:rsidP="009735FC">
      <w:pPr>
        <w:spacing w:after="200" w:line="260" w:lineRule="exact"/>
        <w:jc w:val="both"/>
        <w:rPr>
          <w:rFonts w:eastAsia="Calibri" w:cs="Arial"/>
          <w:szCs w:val="20"/>
          <w:lang w:val="sl-SI"/>
        </w:rPr>
      </w:pPr>
      <w:r w:rsidRPr="00D21A83">
        <w:rPr>
          <w:rFonts w:eastAsia="Calibri" w:cs="Arial"/>
          <w:szCs w:val="20"/>
          <w:lang w:val="sl-SI"/>
        </w:rPr>
        <w:t xml:space="preserve">Uredba o gradbenih proizvodih: </w:t>
      </w:r>
    </w:p>
    <w:p w:rsidR="00654DAA" w:rsidRDefault="00654DAA" w:rsidP="009735FC">
      <w:pPr>
        <w:spacing w:after="200" w:line="260" w:lineRule="exact"/>
        <w:jc w:val="both"/>
        <w:rPr>
          <w:rFonts w:eastAsia="Calibri" w:cs="Arial"/>
          <w:szCs w:val="22"/>
          <w:lang w:val="sl-SI"/>
        </w:rPr>
      </w:pPr>
      <w:hyperlink r:id="rId17" w:history="1">
        <w:r w:rsidRPr="00D21A83">
          <w:rPr>
            <w:rStyle w:val="Hiperpovezava"/>
            <w:rFonts w:eastAsia="Calibri" w:cs="Arial"/>
            <w:szCs w:val="22"/>
            <w:lang w:val="sl-SI"/>
          </w:rPr>
          <w:t>http://eur-lex.europa.eu/Lex</w:t>
        </w:r>
        <w:r w:rsidRPr="00D21A83">
          <w:rPr>
            <w:rStyle w:val="Hiperpovezava"/>
            <w:rFonts w:eastAsia="Calibri" w:cs="Arial"/>
            <w:szCs w:val="22"/>
            <w:lang w:val="sl-SI"/>
          </w:rPr>
          <w:t>U</w:t>
        </w:r>
        <w:r w:rsidRPr="00D21A83">
          <w:rPr>
            <w:rStyle w:val="Hiperpovezava"/>
            <w:rFonts w:eastAsia="Calibri" w:cs="Arial"/>
            <w:szCs w:val="22"/>
            <w:lang w:val="sl-SI"/>
          </w:rPr>
          <w:t>riServ/LexUriServ.do?uri=OJ:L:2011:088:0005:0043:sl:PDF</w:t>
        </w:r>
      </w:hyperlink>
    </w:p>
    <w:p w:rsidR="001C3236" w:rsidRDefault="001C3236" w:rsidP="009735FC">
      <w:pPr>
        <w:spacing w:after="200" w:line="260" w:lineRule="exact"/>
        <w:jc w:val="both"/>
        <w:rPr>
          <w:rFonts w:eastAsia="Calibri" w:cs="Arial"/>
          <w:szCs w:val="22"/>
          <w:lang w:val="sl-SI"/>
        </w:rPr>
      </w:pPr>
      <w:r>
        <w:rPr>
          <w:rFonts w:eastAsia="Calibri" w:cs="Arial"/>
          <w:szCs w:val="22"/>
          <w:lang w:val="sl-SI"/>
        </w:rPr>
        <w:t>Zakon o gradbenih proizvodih:</w:t>
      </w:r>
    </w:p>
    <w:p w:rsidR="001C3236" w:rsidRDefault="001C3236" w:rsidP="009735FC">
      <w:pPr>
        <w:spacing w:after="200" w:line="260" w:lineRule="exact"/>
        <w:jc w:val="both"/>
        <w:rPr>
          <w:rFonts w:eastAsia="Calibri" w:cs="Arial"/>
          <w:szCs w:val="22"/>
          <w:lang w:val="sl-SI"/>
        </w:rPr>
      </w:pPr>
      <w:hyperlink r:id="rId18" w:history="1">
        <w:r w:rsidRPr="00A30172">
          <w:rPr>
            <w:rStyle w:val="Hiperpovezava"/>
            <w:rFonts w:eastAsia="Calibri" w:cs="Arial"/>
            <w:szCs w:val="22"/>
            <w:lang w:val="sl-SI"/>
          </w:rPr>
          <w:t>https://www.uradni-list.si/glasilo-uradni-list-rs/vsebina/2013-01-3032?sop=2013-01-3032</w:t>
        </w:r>
      </w:hyperlink>
    </w:p>
    <w:p w:rsidR="00654DAA" w:rsidRPr="00D21A83" w:rsidRDefault="005D35F3" w:rsidP="009735FC">
      <w:pPr>
        <w:spacing w:after="200" w:line="260" w:lineRule="exact"/>
        <w:jc w:val="both"/>
        <w:rPr>
          <w:rFonts w:eastAsia="Calibri" w:cs="Arial"/>
          <w:szCs w:val="20"/>
          <w:lang w:val="sl-SI"/>
        </w:rPr>
      </w:pPr>
      <w:r w:rsidRPr="00D21A83">
        <w:rPr>
          <w:rFonts w:eastAsia="Calibri" w:cs="Arial"/>
          <w:szCs w:val="20"/>
          <w:lang w:val="sl-SI"/>
        </w:rPr>
        <w:t>Baza priglašenih organov NANDO:</w:t>
      </w:r>
    </w:p>
    <w:p w:rsidR="00BB7964" w:rsidRPr="00D21A83" w:rsidRDefault="00BB7964" w:rsidP="009735FC">
      <w:pPr>
        <w:spacing w:after="200" w:line="260" w:lineRule="exact"/>
        <w:jc w:val="both"/>
        <w:rPr>
          <w:rFonts w:eastAsia="Calibri" w:cs="Arial"/>
          <w:szCs w:val="20"/>
          <w:lang w:val="sl-SI"/>
        </w:rPr>
      </w:pPr>
      <w:hyperlink r:id="rId19" w:history="1">
        <w:r w:rsidRPr="00D21A83">
          <w:rPr>
            <w:rStyle w:val="Hiperpovezava"/>
            <w:rFonts w:eastAsia="Calibri" w:cs="Arial"/>
            <w:szCs w:val="20"/>
            <w:lang w:val="sl-SI"/>
          </w:rPr>
          <w:t>https://ec.europa.eu/growth/tools-databases/nando/index.cfm</w:t>
        </w:r>
      </w:hyperlink>
    </w:p>
    <w:p w:rsidR="00867AA7" w:rsidRPr="00D21A83" w:rsidRDefault="00867AA7" w:rsidP="009735FC">
      <w:pPr>
        <w:spacing w:after="200" w:line="260" w:lineRule="exact"/>
        <w:jc w:val="both"/>
        <w:rPr>
          <w:rFonts w:ascii="Calibri" w:eastAsia="Calibri" w:hAnsi="Calibri"/>
          <w:sz w:val="22"/>
          <w:szCs w:val="22"/>
          <w:lang w:val="sl-SI"/>
        </w:rPr>
      </w:pPr>
    </w:p>
    <w:p w:rsidR="00867AA7" w:rsidRPr="00D21A83" w:rsidRDefault="00867AA7" w:rsidP="009735FC">
      <w:pPr>
        <w:spacing w:after="200" w:line="260" w:lineRule="exact"/>
        <w:jc w:val="both"/>
        <w:rPr>
          <w:rFonts w:ascii="Calibri" w:eastAsia="Calibri" w:hAnsi="Calibri"/>
          <w:sz w:val="22"/>
          <w:szCs w:val="22"/>
          <w:lang w:val="sl-SI"/>
        </w:rPr>
      </w:pPr>
    </w:p>
    <w:sectPr w:rsidR="00867AA7" w:rsidRPr="00D21A83" w:rsidSect="00F00098">
      <w:headerReference w:type="default" r:id="rId20"/>
      <w:footerReference w:type="default" r:id="rId21"/>
      <w:headerReference w:type="first" r:id="rId22"/>
      <w:pgSz w:w="11900" w:h="16840" w:code="9"/>
      <w:pgMar w:top="1701" w:right="1268" w:bottom="993" w:left="141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40" w:rsidRDefault="00670140">
      <w:r>
        <w:separator/>
      </w:r>
    </w:p>
  </w:endnote>
  <w:endnote w:type="continuationSeparator" w:id="0">
    <w:p w:rsidR="00670140" w:rsidRDefault="006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4A" w:rsidRPr="00FA45C3" w:rsidRDefault="007126CE">
    <w:pPr>
      <w:pStyle w:val="Noga"/>
      <w:jc w:val="center"/>
      <w:rPr>
        <w:sz w:val="16"/>
        <w:szCs w:val="16"/>
      </w:rPr>
    </w:pPr>
    <w:r>
      <w:rPr>
        <w:noProof/>
        <w:sz w:val="16"/>
        <w:szCs w:val="16"/>
        <w:lang w:val="sl-SI" w:eastAsia="sl-SI"/>
      </w:rPr>
      <mc:AlternateContent>
        <mc:Choice Requires="wps">
          <w:drawing>
            <wp:inline distT="0" distB="0" distL="0" distR="0">
              <wp:extent cx="6116320" cy="0"/>
              <wp:effectExtent l="0" t="0" r="36830" b="19050"/>
              <wp:docPr id="3" name="AutoShape 12" title="vodoravna črt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E3D280" id="_x0000_t32" coordsize="21600,21600" o:spt="32" o:oned="t" path="m,l21600,21600e" filled="f">
              <v:path arrowok="t" fillok="f" o:connecttype="none"/>
              <o:lock v:ext="edit" shapetype="t"/>
            </v:shapetype>
            <v:shape id="AutoShape 12" o:spid="_x0000_s1026" type="#_x0000_t32" alt="Naslov: vodoravna črta" style="width:481.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" strokecolor="#0070c0">
              <w10:anchorlock/>
            </v:shape>
          </w:pict>
        </mc:Fallback>
      </mc:AlternateContent>
    </w:r>
    <w:r w:rsidR="00210B4A" w:rsidRPr="00FA45C3">
      <w:rPr>
        <w:sz w:val="16"/>
        <w:szCs w:val="16"/>
      </w:rPr>
      <w:fldChar w:fldCharType="begin"/>
    </w:r>
    <w:r w:rsidR="00210B4A" w:rsidRPr="00FA45C3">
      <w:rPr>
        <w:sz w:val="16"/>
        <w:szCs w:val="16"/>
      </w:rPr>
      <w:instrText>PAGE   \* MERGEFORMAT</w:instrText>
    </w:r>
    <w:r w:rsidR="00210B4A" w:rsidRPr="00FA45C3">
      <w:rPr>
        <w:sz w:val="16"/>
        <w:szCs w:val="16"/>
      </w:rPr>
      <w:fldChar w:fldCharType="separate"/>
    </w:r>
    <w:r w:rsidR="009172F0" w:rsidRPr="009172F0">
      <w:rPr>
        <w:noProof/>
        <w:sz w:val="16"/>
        <w:szCs w:val="16"/>
        <w:lang w:val="sl-SI"/>
      </w:rPr>
      <w:t>2</w:t>
    </w:r>
    <w:r w:rsidR="00210B4A" w:rsidRPr="00FA45C3">
      <w:rPr>
        <w:sz w:val="16"/>
        <w:szCs w:val="16"/>
      </w:rPr>
      <w:fldChar w:fldCharType="end"/>
    </w:r>
    <w:r w:rsidR="00FA45C3" w:rsidRPr="00FA45C3">
      <w:rPr>
        <w:sz w:val="16"/>
        <w:szCs w:val="16"/>
      </w:rPr>
      <w:t>/</w:t>
    </w:r>
    <w:r w:rsidR="00FA45C3" w:rsidRPr="00FA45C3">
      <w:rPr>
        <w:sz w:val="16"/>
        <w:szCs w:val="16"/>
      </w:rPr>
      <w:fldChar w:fldCharType="begin"/>
    </w:r>
    <w:r w:rsidR="00FA45C3" w:rsidRPr="00FA45C3">
      <w:rPr>
        <w:sz w:val="16"/>
        <w:szCs w:val="16"/>
      </w:rPr>
      <w:instrText xml:space="preserve"> NUMPAGES   \* MERGEFORMAT </w:instrText>
    </w:r>
    <w:r w:rsidR="00FA45C3" w:rsidRPr="00FA45C3">
      <w:rPr>
        <w:sz w:val="16"/>
        <w:szCs w:val="16"/>
      </w:rPr>
      <w:fldChar w:fldCharType="separate"/>
    </w:r>
    <w:r w:rsidR="009172F0">
      <w:rPr>
        <w:noProof/>
        <w:sz w:val="16"/>
        <w:szCs w:val="16"/>
      </w:rPr>
      <w:t>15</w:t>
    </w:r>
    <w:r w:rsidR="00FA45C3" w:rsidRPr="00FA45C3">
      <w:rPr>
        <w:sz w:val="16"/>
        <w:szCs w:val="16"/>
      </w:rPr>
      <w:fldChar w:fldCharType="end"/>
    </w:r>
  </w:p>
  <w:p w:rsidR="00210B4A" w:rsidRDefault="00210B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40" w:rsidRDefault="00670140">
      <w:r>
        <w:separator/>
      </w:r>
    </w:p>
  </w:footnote>
  <w:footnote w:type="continuationSeparator" w:id="0">
    <w:p w:rsidR="00670140" w:rsidRDefault="00670140">
      <w:r>
        <w:continuationSeparator/>
      </w:r>
    </w:p>
  </w:footnote>
  <w:footnote w:id="1">
    <w:p w:rsidR="00FA706E" w:rsidRPr="00FA706E" w:rsidRDefault="00FA706E">
      <w:pPr>
        <w:pStyle w:val="Sprotnaopomba-besedilo"/>
        <w:rPr>
          <w:sz w:val="16"/>
          <w:szCs w:val="16"/>
          <w:lang w:val="sl-SI"/>
        </w:rPr>
      </w:pPr>
      <w:r w:rsidRPr="00293150">
        <w:rPr>
          <w:rStyle w:val="Sprotnaopomba-sklic"/>
          <w:sz w:val="16"/>
          <w:szCs w:val="16"/>
        </w:rPr>
        <w:footnoteRef/>
      </w:r>
      <w:r w:rsidRPr="00293150">
        <w:rPr>
          <w:sz w:val="16"/>
          <w:szCs w:val="16"/>
        </w:rPr>
        <w:t xml:space="preserve"> </w:t>
      </w:r>
      <w:r w:rsidRPr="00293150">
        <w:rPr>
          <w:sz w:val="16"/>
          <w:szCs w:val="16"/>
          <w:lang w:val="sl-SI"/>
        </w:rPr>
        <w:t>Evropski ocenjevalni dokument postane harmonizirana tehnična specifikacija z objavo v uradnem listu Evropske unije.</w:t>
      </w:r>
    </w:p>
  </w:footnote>
  <w:footnote w:id="2">
    <w:p w:rsidR="00210B4A" w:rsidRPr="00921FEC" w:rsidRDefault="00210B4A">
      <w:pPr>
        <w:pStyle w:val="Sprotnaopomba-besedilo"/>
        <w:rPr>
          <w:sz w:val="16"/>
          <w:szCs w:val="16"/>
          <w:lang w:val="sl-SI"/>
        </w:rPr>
      </w:pPr>
      <w:r w:rsidRPr="00921FEC">
        <w:rPr>
          <w:rStyle w:val="Sprotnaopomba-sklic"/>
          <w:sz w:val="16"/>
          <w:szCs w:val="16"/>
        </w:rPr>
        <w:footnoteRef/>
      </w:r>
      <w:r w:rsidRPr="009172F0">
        <w:rPr>
          <w:sz w:val="16"/>
          <w:szCs w:val="16"/>
          <w:lang w:val="it-IT"/>
        </w:rPr>
        <w:t xml:space="preserve"> </w:t>
      </w:r>
      <w:r w:rsidRPr="00921FEC">
        <w:rPr>
          <w:sz w:val="16"/>
          <w:szCs w:val="16"/>
          <w:lang w:val="sl-SI"/>
        </w:rPr>
        <w:t xml:space="preserve">Pri branju tabele je potrebno upoštevati opombe k tabeli 2 aneksa B </w:t>
      </w:r>
      <w:r w:rsidR="00D17609">
        <w:rPr>
          <w:sz w:val="16"/>
          <w:szCs w:val="16"/>
          <w:lang w:val="sl-SI"/>
        </w:rPr>
        <w:t>D</w:t>
      </w:r>
      <w:r w:rsidRPr="00921FEC">
        <w:rPr>
          <w:sz w:val="16"/>
          <w:szCs w:val="16"/>
          <w:lang w:val="sl-SI"/>
        </w:rPr>
        <w:t>okumenta EA-2/17.</w:t>
      </w:r>
    </w:p>
  </w:footnote>
  <w:footnote w:id="3">
    <w:p w:rsidR="0076222B" w:rsidRPr="003A0E76" w:rsidRDefault="0076222B" w:rsidP="0076222B">
      <w:pPr>
        <w:pStyle w:val="Sprotnaopomba-besedilo"/>
        <w:rPr>
          <w:sz w:val="16"/>
          <w:szCs w:val="16"/>
          <w:lang w:val="sl-SI"/>
        </w:rPr>
      </w:pPr>
      <w:r w:rsidRPr="003A0E76">
        <w:rPr>
          <w:rStyle w:val="Sprotnaopomba-sklic"/>
          <w:sz w:val="16"/>
          <w:szCs w:val="16"/>
        </w:rPr>
        <w:footnoteRef/>
      </w:r>
      <w:r w:rsidRPr="009172F0">
        <w:rPr>
          <w:sz w:val="16"/>
          <w:szCs w:val="16"/>
          <w:lang w:val="sl-SI"/>
        </w:rPr>
        <w:t xml:space="preserve"> </w:t>
      </w:r>
      <w:r w:rsidRPr="003A0E76">
        <w:rPr>
          <w:sz w:val="16"/>
          <w:szCs w:val="16"/>
          <w:lang w:val="sl-SI"/>
        </w:rPr>
        <w:t>Izpolnjevanje zahtev točke 6.7 je potrebno izkazovati le v primeru, da so za izpolnjevanje nalog organa AVCP predvideni podizvajalci.</w:t>
      </w:r>
    </w:p>
  </w:footnote>
  <w:footnote w:id="4">
    <w:p w:rsidR="0076222B" w:rsidRPr="003A0E76" w:rsidRDefault="0076222B" w:rsidP="0076222B">
      <w:pPr>
        <w:pStyle w:val="Sprotnaopomba-besedilo"/>
        <w:rPr>
          <w:sz w:val="16"/>
          <w:szCs w:val="16"/>
          <w:lang w:val="sl-SI"/>
        </w:rPr>
      </w:pPr>
      <w:r w:rsidRPr="003A0E76">
        <w:rPr>
          <w:rStyle w:val="Sprotnaopomba-sklic"/>
          <w:sz w:val="16"/>
          <w:szCs w:val="16"/>
        </w:rPr>
        <w:footnoteRef/>
      </w:r>
      <w:r w:rsidRPr="009172F0">
        <w:rPr>
          <w:sz w:val="16"/>
          <w:szCs w:val="16"/>
          <w:lang w:val="sl-SI"/>
        </w:rPr>
        <w:t xml:space="preserve"> </w:t>
      </w:r>
      <w:r w:rsidRPr="003A0E76">
        <w:rPr>
          <w:sz w:val="16"/>
          <w:szCs w:val="16"/>
          <w:lang w:val="sl-SI"/>
        </w:rPr>
        <w:t>Izpolnjevanje zahtev točke 6.7 je potrebno izkazovati le v primeru, da so za izpolnjevanje nalog organa AVCP predvideni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C3" w:rsidRPr="00FA45C3" w:rsidRDefault="00FA45C3" w:rsidP="00FA45C3">
    <w:pPr>
      <w:pStyle w:val="NaslovTOC"/>
      <w:jc w:val="center"/>
      <w:rPr>
        <w:sz w:val="16"/>
        <w:szCs w:val="16"/>
      </w:rPr>
    </w:pPr>
    <w:r w:rsidRPr="00FA45C3">
      <w:rPr>
        <w:rFonts w:ascii="Republika" w:hAnsi="Republika"/>
        <w:sz w:val="16"/>
        <w:szCs w:val="16"/>
      </w:rPr>
      <w:tab/>
    </w:r>
    <w:r w:rsidRPr="00FA45C3">
      <w:rPr>
        <w:rFonts w:eastAsia="Calibri"/>
        <w:sz w:val="16"/>
        <w:szCs w:val="16"/>
      </w:rPr>
      <w:t xml:space="preserve">Smernice za določitev in priglasitev organov za ocenjevanje in preverjanje nespremenljivosti lastnosti na podlagi </w:t>
    </w:r>
    <w:r>
      <w:rPr>
        <w:rFonts w:eastAsia="Calibri"/>
        <w:sz w:val="16"/>
        <w:szCs w:val="16"/>
      </w:rPr>
      <w:t>Uredbe 305/2011/EU</w:t>
    </w:r>
    <w:r w:rsidRPr="00FA45C3">
      <w:rPr>
        <w:rFonts w:eastAsia="Calibri"/>
        <w:sz w:val="16"/>
        <w:szCs w:val="16"/>
      </w:rPr>
      <w:t xml:space="preserve"> in </w:t>
    </w:r>
    <w:r>
      <w:rPr>
        <w:rFonts w:eastAsia="Calibri"/>
        <w:sz w:val="16"/>
        <w:szCs w:val="16"/>
      </w:rPr>
      <w:t>Z</w:t>
    </w:r>
    <w:r w:rsidRPr="00FA45C3">
      <w:rPr>
        <w:rFonts w:eastAsia="Calibri"/>
        <w:sz w:val="16"/>
        <w:szCs w:val="16"/>
      </w:rPr>
      <w:t>akona o gradbenih proizvodih</w:t>
    </w:r>
  </w:p>
  <w:p w:rsidR="00210B4A" w:rsidRPr="00110CBD" w:rsidRDefault="007126CE" w:rsidP="007D75CF">
    <w:pPr>
      <w:pStyle w:val="Glava"/>
      <w:spacing w:line="240" w:lineRule="exact"/>
      <w:rPr>
        <w:rFonts w:ascii="Republika" w:hAnsi="Republika"/>
        <w:sz w:val="16"/>
      </w:rPr>
    </w:pPr>
    <w:r>
      <w:rPr>
        <w:rFonts w:ascii="Republika" w:hAnsi="Republika"/>
        <w:noProof/>
        <w:sz w:val="16"/>
        <w:lang w:val="sl-SI" w:eastAsia="sl-SI"/>
      </w:rPr>
      <mc:AlternateContent>
        <mc:Choice Requires="wps">
          <w:drawing>
            <wp:inline distT="0" distB="0" distL="0" distR="0">
              <wp:extent cx="6064250" cy="0"/>
              <wp:effectExtent l="0" t="0" r="31750" b="19050"/>
              <wp:docPr id="4" name="AutoShape 13" title="vodoravna črt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9F6C4A" id="_x0000_t32" coordsize="21600,21600" o:spt="32" o:oned="t" path="m,l21600,21600e" filled="f">
              <v:path arrowok="t" fillok="f" o:connecttype="none"/>
              <o:lock v:ext="edit" shapetype="t"/>
            </v:shapetype>
            <v:shape id="AutoShape 13" o:spid="_x0000_s1026" type="#_x0000_t32" alt="Naslov: vodoravna črta" style="width:47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" strokecolor="#0070c0">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210B4A" w:rsidRPr="008F3500" w:rsidTr="00537C34">
      <w:trPr>
        <w:cantSplit/>
        <w:trHeight w:hRule="exact" w:val="737"/>
      </w:trPr>
      <w:tc>
        <w:tcPr>
          <w:tcW w:w="649" w:type="dxa"/>
        </w:tcPr>
        <w:p w:rsidR="00210B4A" w:rsidRPr="006D42D9" w:rsidRDefault="007126CE" w:rsidP="006D42D9">
          <w:pPr>
            <w:rPr>
              <w:rFonts w:ascii="Republika" w:hAnsi="Republika"/>
              <w:sz w:val="60"/>
              <w:szCs w:val="60"/>
              <w:lang w:val="sl-SI"/>
            </w:rPr>
          </w:pPr>
          <w:r>
            <w:rPr>
              <w:rFonts w:ascii="Republika" w:hAnsi="Republika"/>
              <w:noProof/>
              <w:sz w:val="60"/>
              <w:szCs w:val="60"/>
              <w:lang w:val="sl-SI" w:eastAsia="sl-SI"/>
            </w:rPr>
            <w:drawing>
              <wp:inline distT="0" distB="0" distL="0" distR="0">
                <wp:extent cx="304800" cy="347345"/>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7345"/>
                        </a:xfrm>
                        <a:prstGeom prst="rect">
                          <a:avLst/>
                        </a:prstGeom>
                        <a:noFill/>
                        <a:ln>
                          <a:noFill/>
                        </a:ln>
                      </pic:spPr>
                    </pic:pic>
                  </a:graphicData>
                </a:graphic>
              </wp:inline>
            </w:drawing>
          </w: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p w:rsidR="00210B4A" w:rsidRDefault="00210B4A" w:rsidP="006D42D9">
          <w:pPr>
            <w:rPr>
              <w:rFonts w:ascii="Republika" w:hAnsi="Republika"/>
              <w:sz w:val="60"/>
              <w:szCs w:val="60"/>
              <w:lang w:val="sl-SI"/>
            </w:rPr>
          </w:pPr>
        </w:p>
        <w:p w:rsidR="00210B4A" w:rsidRPr="006D42D9" w:rsidRDefault="00210B4A" w:rsidP="006D42D9">
          <w:pPr>
            <w:rPr>
              <w:rFonts w:ascii="Republika" w:hAnsi="Republika"/>
              <w:sz w:val="60"/>
              <w:szCs w:val="60"/>
              <w:lang w:val="sl-SI"/>
            </w:rPr>
          </w:pPr>
        </w:p>
      </w:tc>
    </w:tr>
  </w:tbl>
  <w:p w:rsidR="00210B4A" w:rsidRPr="008F3500" w:rsidRDefault="00210B4A" w:rsidP="00946C49">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210B4A" w:rsidRPr="00946C49" w:rsidRDefault="00210B4A" w:rsidP="00946C49">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Ministrstvo za gospodarsKI RAZVOJ IN TEHNOLOGIJO</w:t>
    </w:r>
  </w:p>
  <w:p w:rsidR="00210B4A" w:rsidRPr="008F3500" w:rsidRDefault="00210B4A"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DC5"/>
    <w:multiLevelType w:val="hybridMultilevel"/>
    <w:tmpl w:val="8966849A"/>
    <w:lvl w:ilvl="0" w:tplc="EB98E0D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05111FEB"/>
    <w:multiLevelType w:val="hybridMultilevel"/>
    <w:tmpl w:val="8798437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36786C"/>
    <w:multiLevelType w:val="hybridMultilevel"/>
    <w:tmpl w:val="3C7CD5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3013302"/>
    <w:multiLevelType w:val="hybridMultilevel"/>
    <w:tmpl w:val="4036E392"/>
    <w:lvl w:ilvl="0" w:tplc="0F824AF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3E5D12"/>
    <w:multiLevelType w:val="hybridMultilevel"/>
    <w:tmpl w:val="E868A3A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731A15"/>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4315A7"/>
    <w:multiLevelType w:val="hybridMultilevel"/>
    <w:tmpl w:val="A77828FA"/>
    <w:lvl w:ilvl="0" w:tplc="CF2A14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E02886"/>
    <w:multiLevelType w:val="hybridMultilevel"/>
    <w:tmpl w:val="296EBE5E"/>
    <w:lvl w:ilvl="0" w:tplc="B0D2FEA8">
      <w:numFmt w:val="bullet"/>
      <w:lvlText w:val="-"/>
      <w:lvlJc w:val="left"/>
      <w:pPr>
        <w:ind w:left="720" w:hanging="360"/>
      </w:pPr>
      <w:rPr>
        <w:rFonts w:ascii="Arial" w:eastAsia="Times New Roman" w:hAnsi="Arial" w:cs="Arial" w:hint="default"/>
        <w:b/>
        <w:color w:val="00000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5A41E7"/>
    <w:multiLevelType w:val="hybridMultilevel"/>
    <w:tmpl w:val="D2AA58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2107A4F"/>
    <w:multiLevelType w:val="hybridMultilevel"/>
    <w:tmpl w:val="7DF6B6B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25654C7E"/>
    <w:multiLevelType w:val="hybridMultilevel"/>
    <w:tmpl w:val="090EBD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63435F6"/>
    <w:multiLevelType w:val="hybridMultilevel"/>
    <w:tmpl w:val="31CA7E0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370749A5"/>
    <w:multiLevelType w:val="hybridMultilevel"/>
    <w:tmpl w:val="CC988E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CBD554C"/>
    <w:multiLevelType w:val="hybridMultilevel"/>
    <w:tmpl w:val="3782C3BE"/>
    <w:lvl w:ilvl="0" w:tplc="8C94718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92092B"/>
    <w:multiLevelType w:val="hybridMultilevel"/>
    <w:tmpl w:val="4D203604"/>
    <w:lvl w:ilvl="0" w:tplc="8EE68BC4">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152A38"/>
    <w:multiLevelType w:val="hybridMultilevel"/>
    <w:tmpl w:val="C9728D0E"/>
    <w:lvl w:ilvl="0" w:tplc="0F824AF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9814E1"/>
    <w:multiLevelType w:val="hybridMultilevel"/>
    <w:tmpl w:val="7C5C55AA"/>
    <w:lvl w:ilvl="0" w:tplc="D49C05A6">
      <w:start w:val="1"/>
      <w:numFmt w:val="bullet"/>
      <w:lvlText w:val="–"/>
      <w:lvlJc w:val="left"/>
      <w:pPr>
        <w:tabs>
          <w:tab w:val="num" w:pos="720"/>
        </w:tabs>
        <w:ind w:left="720" w:hanging="360"/>
      </w:pPr>
      <w:rPr>
        <w:rFonts w:ascii="Arial" w:hAnsi="Arial" w:hint="default"/>
      </w:rPr>
    </w:lvl>
    <w:lvl w:ilvl="1" w:tplc="344A7F08">
      <w:start w:val="1"/>
      <w:numFmt w:val="bullet"/>
      <w:lvlText w:val="–"/>
      <w:lvlJc w:val="left"/>
      <w:pPr>
        <w:tabs>
          <w:tab w:val="num" w:pos="1440"/>
        </w:tabs>
        <w:ind w:left="1440" w:hanging="360"/>
      </w:pPr>
      <w:rPr>
        <w:rFonts w:ascii="Arial" w:hAnsi="Arial" w:hint="default"/>
      </w:rPr>
    </w:lvl>
    <w:lvl w:ilvl="2" w:tplc="C2A4A5E8" w:tentative="1">
      <w:start w:val="1"/>
      <w:numFmt w:val="bullet"/>
      <w:lvlText w:val="–"/>
      <w:lvlJc w:val="left"/>
      <w:pPr>
        <w:tabs>
          <w:tab w:val="num" w:pos="2160"/>
        </w:tabs>
        <w:ind w:left="2160" w:hanging="360"/>
      </w:pPr>
      <w:rPr>
        <w:rFonts w:ascii="Arial" w:hAnsi="Arial" w:hint="default"/>
      </w:rPr>
    </w:lvl>
    <w:lvl w:ilvl="3" w:tplc="4CA6F46E" w:tentative="1">
      <w:start w:val="1"/>
      <w:numFmt w:val="bullet"/>
      <w:lvlText w:val="–"/>
      <w:lvlJc w:val="left"/>
      <w:pPr>
        <w:tabs>
          <w:tab w:val="num" w:pos="2880"/>
        </w:tabs>
        <w:ind w:left="2880" w:hanging="360"/>
      </w:pPr>
      <w:rPr>
        <w:rFonts w:ascii="Arial" w:hAnsi="Arial" w:hint="default"/>
      </w:rPr>
    </w:lvl>
    <w:lvl w:ilvl="4" w:tplc="A1B291A0" w:tentative="1">
      <w:start w:val="1"/>
      <w:numFmt w:val="bullet"/>
      <w:lvlText w:val="–"/>
      <w:lvlJc w:val="left"/>
      <w:pPr>
        <w:tabs>
          <w:tab w:val="num" w:pos="3600"/>
        </w:tabs>
        <w:ind w:left="3600" w:hanging="360"/>
      </w:pPr>
      <w:rPr>
        <w:rFonts w:ascii="Arial" w:hAnsi="Arial" w:hint="default"/>
      </w:rPr>
    </w:lvl>
    <w:lvl w:ilvl="5" w:tplc="472833A0" w:tentative="1">
      <w:start w:val="1"/>
      <w:numFmt w:val="bullet"/>
      <w:lvlText w:val="–"/>
      <w:lvlJc w:val="left"/>
      <w:pPr>
        <w:tabs>
          <w:tab w:val="num" w:pos="4320"/>
        </w:tabs>
        <w:ind w:left="4320" w:hanging="360"/>
      </w:pPr>
      <w:rPr>
        <w:rFonts w:ascii="Arial" w:hAnsi="Arial" w:hint="default"/>
      </w:rPr>
    </w:lvl>
    <w:lvl w:ilvl="6" w:tplc="079A12E0" w:tentative="1">
      <w:start w:val="1"/>
      <w:numFmt w:val="bullet"/>
      <w:lvlText w:val="–"/>
      <w:lvlJc w:val="left"/>
      <w:pPr>
        <w:tabs>
          <w:tab w:val="num" w:pos="5040"/>
        </w:tabs>
        <w:ind w:left="5040" w:hanging="360"/>
      </w:pPr>
      <w:rPr>
        <w:rFonts w:ascii="Arial" w:hAnsi="Arial" w:hint="default"/>
      </w:rPr>
    </w:lvl>
    <w:lvl w:ilvl="7" w:tplc="690A188E" w:tentative="1">
      <w:start w:val="1"/>
      <w:numFmt w:val="bullet"/>
      <w:lvlText w:val="–"/>
      <w:lvlJc w:val="left"/>
      <w:pPr>
        <w:tabs>
          <w:tab w:val="num" w:pos="5760"/>
        </w:tabs>
        <w:ind w:left="5760" w:hanging="360"/>
      </w:pPr>
      <w:rPr>
        <w:rFonts w:ascii="Arial" w:hAnsi="Arial" w:hint="default"/>
      </w:rPr>
    </w:lvl>
    <w:lvl w:ilvl="8" w:tplc="5BAEA1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8A52C4"/>
    <w:multiLevelType w:val="hybridMultilevel"/>
    <w:tmpl w:val="ABDCCC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5882C60"/>
    <w:multiLevelType w:val="hybridMultilevel"/>
    <w:tmpl w:val="BEB49E34"/>
    <w:lvl w:ilvl="0" w:tplc="C81445B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E818A2"/>
    <w:multiLevelType w:val="singleLevel"/>
    <w:tmpl w:val="6EE27006"/>
    <w:lvl w:ilvl="0">
      <w:start w:val="1"/>
      <w:numFmt w:val="decimal"/>
      <w:lvlText w:val="%1."/>
      <w:lvlJc w:val="left"/>
      <w:pPr>
        <w:ind w:left="360" w:hanging="360"/>
      </w:pPr>
      <w:rPr>
        <w:rFonts w:hint="default"/>
      </w:rPr>
    </w:lvl>
  </w:abstractNum>
  <w:abstractNum w:abstractNumId="24" w15:restartNumberingAfterBreak="0">
    <w:nsid w:val="473E68A0"/>
    <w:multiLevelType w:val="hybridMultilevel"/>
    <w:tmpl w:val="65501DFE"/>
    <w:lvl w:ilvl="0" w:tplc="D50EF428">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E36152"/>
    <w:multiLevelType w:val="hybridMultilevel"/>
    <w:tmpl w:val="B0A0638A"/>
    <w:lvl w:ilvl="0" w:tplc="A23421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BF40F32"/>
    <w:multiLevelType w:val="hybridMultilevel"/>
    <w:tmpl w:val="D1A074DA"/>
    <w:lvl w:ilvl="0" w:tplc="C448B680">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D5916EE"/>
    <w:multiLevelType w:val="hybridMultilevel"/>
    <w:tmpl w:val="DB6A04B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8" w15:restartNumberingAfterBreak="0">
    <w:nsid w:val="52792C72"/>
    <w:multiLevelType w:val="hybridMultilevel"/>
    <w:tmpl w:val="9F421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6773A6"/>
    <w:multiLevelType w:val="hybridMultilevel"/>
    <w:tmpl w:val="661A8164"/>
    <w:lvl w:ilvl="0" w:tplc="549C35E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24105E"/>
    <w:multiLevelType w:val="hybridMultilevel"/>
    <w:tmpl w:val="ABDCCC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9A85581"/>
    <w:multiLevelType w:val="hybridMultilevel"/>
    <w:tmpl w:val="09EAD8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1C4B12"/>
    <w:multiLevelType w:val="multilevel"/>
    <w:tmpl w:val="8CA2C45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E2578A5"/>
    <w:multiLevelType w:val="hybridMultilevel"/>
    <w:tmpl w:val="E7DA1D76"/>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4" w15:restartNumberingAfterBreak="0">
    <w:nsid w:val="5EF94A8D"/>
    <w:multiLevelType w:val="hybridMultilevel"/>
    <w:tmpl w:val="6C5221CE"/>
    <w:lvl w:ilvl="0" w:tplc="8C94718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3DD58F2"/>
    <w:multiLevelType w:val="hybridMultilevel"/>
    <w:tmpl w:val="EA647DAC"/>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52A48B3"/>
    <w:multiLevelType w:val="hybridMultilevel"/>
    <w:tmpl w:val="EA647DAC"/>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970F56"/>
    <w:multiLevelType w:val="hybridMultilevel"/>
    <w:tmpl w:val="7D4AF822"/>
    <w:lvl w:ilvl="0" w:tplc="35F45AC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FCA7138"/>
    <w:multiLevelType w:val="hybridMultilevel"/>
    <w:tmpl w:val="33A6B9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6FE60A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2D760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2" w15:restartNumberingAfterBreak="0">
    <w:nsid w:val="739A2294"/>
    <w:multiLevelType w:val="hybridMultilevel"/>
    <w:tmpl w:val="A766849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745F26D1"/>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55812CB"/>
    <w:multiLevelType w:val="hybridMultilevel"/>
    <w:tmpl w:val="A4D4F100"/>
    <w:lvl w:ilvl="0" w:tplc="125A8B5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70A034E"/>
    <w:multiLevelType w:val="hybridMultilevel"/>
    <w:tmpl w:val="EA647DAC"/>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B9710D3"/>
    <w:multiLevelType w:val="hybridMultilevel"/>
    <w:tmpl w:val="FC7013AA"/>
    <w:lvl w:ilvl="0" w:tplc="0F824AF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CED5798"/>
    <w:multiLevelType w:val="hybridMultilevel"/>
    <w:tmpl w:val="1F486BF2"/>
    <w:lvl w:ilvl="0" w:tplc="4F386828">
      <w:start w:val="8"/>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5"/>
  </w:num>
  <w:num w:numId="2">
    <w:abstractNumId w:val="13"/>
  </w:num>
  <w:num w:numId="3">
    <w:abstractNumId w:val="20"/>
  </w:num>
  <w:num w:numId="4">
    <w:abstractNumId w:val="2"/>
  </w:num>
  <w:num w:numId="5">
    <w:abstractNumId w:val="6"/>
  </w:num>
  <w:num w:numId="6">
    <w:abstractNumId w:val="17"/>
  </w:num>
  <w:num w:numId="7">
    <w:abstractNumId w:val="22"/>
  </w:num>
  <w:num w:numId="8">
    <w:abstractNumId w:val="9"/>
  </w:num>
  <w:num w:numId="9">
    <w:abstractNumId w:val="0"/>
  </w:num>
  <w:num w:numId="10">
    <w:abstractNumId w:val="15"/>
  </w:num>
  <w:num w:numId="11">
    <w:abstractNumId w:val="39"/>
  </w:num>
  <w:num w:numId="12">
    <w:abstractNumId w:val="3"/>
  </w:num>
  <w:num w:numId="13">
    <w:abstractNumId w:val="5"/>
  </w:num>
  <w:num w:numId="14">
    <w:abstractNumId w:val="26"/>
    <w:lvlOverride w:ilvl="0"/>
    <w:lvlOverride w:ilvl="1"/>
    <w:lvlOverride w:ilvl="2"/>
    <w:lvlOverride w:ilvl="3"/>
    <w:lvlOverride w:ilvl="4"/>
    <w:lvlOverride w:ilvl="5"/>
    <w:lvlOverride w:ilvl="6"/>
    <w:lvlOverride w:ilvl="7"/>
    <w:lvlOverride w:ilvl="8"/>
  </w:num>
  <w:num w:numId="15">
    <w:abstractNumId w:val="42"/>
  </w:num>
  <w:num w:numId="16">
    <w:abstractNumId w:val="19"/>
  </w:num>
  <w:num w:numId="17">
    <w:abstractNumId w:val="16"/>
  </w:num>
  <w:num w:numId="18">
    <w:abstractNumId w:val="34"/>
  </w:num>
  <w:num w:numId="19">
    <w:abstractNumId w:val="46"/>
  </w:num>
  <w:num w:numId="20">
    <w:abstractNumId w:val="4"/>
  </w:num>
  <w:num w:numId="21">
    <w:abstractNumId w:val="18"/>
  </w:num>
  <w:num w:numId="22">
    <w:abstractNumId w:val="23"/>
  </w:num>
  <w:num w:numId="23">
    <w:abstractNumId w:val="10"/>
  </w:num>
  <w:num w:numId="24">
    <w:abstractNumId w:val="14"/>
  </w:num>
  <w:num w:numId="25">
    <w:abstractNumId w:val="27"/>
  </w:num>
  <w:num w:numId="26">
    <w:abstractNumId w:val="36"/>
  </w:num>
  <w:num w:numId="27">
    <w:abstractNumId w:val="47"/>
  </w:num>
  <w:num w:numId="28">
    <w:abstractNumId w:val="45"/>
  </w:num>
  <w:num w:numId="29">
    <w:abstractNumId w:val="11"/>
  </w:num>
  <w:num w:numId="30">
    <w:abstractNumId w:val="33"/>
  </w:num>
  <w:num w:numId="31">
    <w:abstractNumId w:val="38"/>
  </w:num>
  <w:num w:numId="32">
    <w:abstractNumId w:val="37"/>
  </w:num>
  <w:num w:numId="33">
    <w:abstractNumId w:val="12"/>
  </w:num>
  <w:num w:numId="34">
    <w:abstractNumId w:val="32"/>
  </w:num>
  <w:num w:numId="35">
    <w:abstractNumId w:val="41"/>
  </w:num>
  <w:num w:numId="36">
    <w:abstractNumId w:val="40"/>
  </w:num>
  <w:num w:numId="37">
    <w:abstractNumId w:val="7"/>
  </w:num>
  <w:num w:numId="38">
    <w:abstractNumId w:val="43"/>
  </w:num>
  <w:num w:numId="39">
    <w:abstractNumId w:val="1"/>
  </w:num>
  <w:num w:numId="40">
    <w:abstractNumId w:val="24"/>
  </w:num>
  <w:num w:numId="41">
    <w:abstractNumId w:val="25"/>
  </w:num>
  <w:num w:numId="42">
    <w:abstractNumId w:val="29"/>
  </w:num>
  <w:num w:numId="43">
    <w:abstractNumId w:val="8"/>
  </w:num>
  <w:num w:numId="44">
    <w:abstractNumId w:val="31"/>
  </w:num>
  <w:num w:numId="45">
    <w:abstractNumId w:val="28"/>
  </w:num>
  <w:num w:numId="46">
    <w:abstractNumId w:val="21"/>
  </w:num>
  <w:num w:numId="47">
    <w:abstractNumId w:val="3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B9"/>
    <w:rsid w:val="000034EC"/>
    <w:rsid w:val="00011AFD"/>
    <w:rsid w:val="000122AB"/>
    <w:rsid w:val="00014EA5"/>
    <w:rsid w:val="00023A88"/>
    <w:rsid w:val="00030575"/>
    <w:rsid w:val="00031EF5"/>
    <w:rsid w:val="00043F7E"/>
    <w:rsid w:val="000455EC"/>
    <w:rsid w:val="0005004A"/>
    <w:rsid w:val="000506A5"/>
    <w:rsid w:val="00055C5F"/>
    <w:rsid w:val="000562DF"/>
    <w:rsid w:val="00065E50"/>
    <w:rsid w:val="000662EE"/>
    <w:rsid w:val="0007041D"/>
    <w:rsid w:val="00073603"/>
    <w:rsid w:val="000757C2"/>
    <w:rsid w:val="00082834"/>
    <w:rsid w:val="00090022"/>
    <w:rsid w:val="000A397B"/>
    <w:rsid w:val="000A3D3E"/>
    <w:rsid w:val="000A7238"/>
    <w:rsid w:val="000B5D90"/>
    <w:rsid w:val="000D34F3"/>
    <w:rsid w:val="000D3614"/>
    <w:rsid w:val="000E2792"/>
    <w:rsid w:val="000E3221"/>
    <w:rsid w:val="000E75F3"/>
    <w:rsid w:val="000F0BBD"/>
    <w:rsid w:val="000F1A2B"/>
    <w:rsid w:val="000F2349"/>
    <w:rsid w:val="000F692E"/>
    <w:rsid w:val="001109C3"/>
    <w:rsid w:val="00110C45"/>
    <w:rsid w:val="00115DC1"/>
    <w:rsid w:val="00127218"/>
    <w:rsid w:val="001357B2"/>
    <w:rsid w:val="001365E2"/>
    <w:rsid w:val="00143866"/>
    <w:rsid w:val="00143EAA"/>
    <w:rsid w:val="00152E3B"/>
    <w:rsid w:val="00153519"/>
    <w:rsid w:val="00164E5F"/>
    <w:rsid w:val="001712EC"/>
    <w:rsid w:val="00187FAF"/>
    <w:rsid w:val="00190F74"/>
    <w:rsid w:val="001919D2"/>
    <w:rsid w:val="00192B77"/>
    <w:rsid w:val="001941DC"/>
    <w:rsid w:val="001A17E3"/>
    <w:rsid w:val="001A705A"/>
    <w:rsid w:val="001B5C8B"/>
    <w:rsid w:val="001C2295"/>
    <w:rsid w:val="001C3236"/>
    <w:rsid w:val="001E0EB4"/>
    <w:rsid w:val="001E2690"/>
    <w:rsid w:val="001E637C"/>
    <w:rsid w:val="001F31CA"/>
    <w:rsid w:val="00202A77"/>
    <w:rsid w:val="00205056"/>
    <w:rsid w:val="00210B4A"/>
    <w:rsid w:val="00213EB3"/>
    <w:rsid w:val="00213F6F"/>
    <w:rsid w:val="0021675C"/>
    <w:rsid w:val="00216C6F"/>
    <w:rsid w:val="002236D3"/>
    <w:rsid w:val="0022785E"/>
    <w:rsid w:val="00234D8D"/>
    <w:rsid w:val="002500C8"/>
    <w:rsid w:val="00250A00"/>
    <w:rsid w:val="00256B49"/>
    <w:rsid w:val="00257B59"/>
    <w:rsid w:val="00257C9B"/>
    <w:rsid w:val="00261A13"/>
    <w:rsid w:val="002628B5"/>
    <w:rsid w:val="00264F6C"/>
    <w:rsid w:val="00265F89"/>
    <w:rsid w:val="00271CE5"/>
    <w:rsid w:val="00282020"/>
    <w:rsid w:val="0028542B"/>
    <w:rsid w:val="00293150"/>
    <w:rsid w:val="00294BCA"/>
    <w:rsid w:val="002B2B96"/>
    <w:rsid w:val="002B7555"/>
    <w:rsid w:val="002E5A47"/>
    <w:rsid w:val="002E619C"/>
    <w:rsid w:val="002E6BD2"/>
    <w:rsid w:val="002F3451"/>
    <w:rsid w:val="00317549"/>
    <w:rsid w:val="003207F9"/>
    <w:rsid w:val="00322419"/>
    <w:rsid w:val="00324F68"/>
    <w:rsid w:val="00325969"/>
    <w:rsid w:val="003262AB"/>
    <w:rsid w:val="00332F88"/>
    <w:rsid w:val="00343286"/>
    <w:rsid w:val="00343FC5"/>
    <w:rsid w:val="003475B4"/>
    <w:rsid w:val="00355EED"/>
    <w:rsid w:val="00360BD1"/>
    <w:rsid w:val="003636BF"/>
    <w:rsid w:val="00363966"/>
    <w:rsid w:val="003664EE"/>
    <w:rsid w:val="00374046"/>
    <w:rsid w:val="0037479F"/>
    <w:rsid w:val="00377060"/>
    <w:rsid w:val="003845B4"/>
    <w:rsid w:val="00385143"/>
    <w:rsid w:val="00387B1A"/>
    <w:rsid w:val="00390CC5"/>
    <w:rsid w:val="00392D75"/>
    <w:rsid w:val="00392E7B"/>
    <w:rsid w:val="00395634"/>
    <w:rsid w:val="00395707"/>
    <w:rsid w:val="003A0E76"/>
    <w:rsid w:val="003A28AC"/>
    <w:rsid w:val="003B2235"/>
    <w:rsid w:val="003B2A59"/>
    <w:rsid w:val="003C2743"/>
    <w:rsid w:val="003E1C74"/>
    <w:rsid w:val="003E2797"/>
    <w:rsid w:val="003F2D68"/>
    <w:rsid w:val="003F4FBB"/>
    <w:rsid w:val="003F5884"/>
    <w:rsid w:val="0040145B"/>
    <w:rsid w:val="004028DD"/>
    <w:rsid w:val="00411C3F"/>
    <w:rsid w:val="0041255B"/>
    <w:rsid w:val="00421DA1"/>
    <w:rsid w:val="004228B3"/>
    <w:rsid w:val="004314D5"/>
    <w:rsid w:val="00432A6C"/>
    <w:rsid w:val="00451133"/>
    <w:rsid w:val="00455B78"/>
    <w:rsid w:val="00462C72"/>
    <w:rsid w:val="00463DB5"/>
    <w:rsid w:val="0047145E"/>
    <w:rsid w:val="00476BD2"/>
    <w:rsid w:val="004774D1"/>
    <w:rsid w:val="00480069"/>
    <w:rsid w:val="00481817"/>
    <w:rsid w:val="00487F95"/>
    <w:rsid w:val="004946D5"/>
    <w:rsid w:val="004960BC"/>
    <w:rsid w:val="004A3F9E"/>
    <w:rsid w:val="004B0785"/>
    <w:rsid w:val="004B2557"/>
    <w:rsid w:val="004B5293"/>
    <w:rsid w:val="004B729B"/>
    <w:rsid w:val="004C0386"/>
    <w:rsid w:val="004C5265"/>
    <w:rsid w:val="004D2240"/>
    <w:rsid w:val="004D29BD"/>
    <w:rsid w:val="004E03B9"/>
    <w:rsid w:val="004E2E3A"/>
    <w:rsid w:val="004F5F8D"/>
    <w:rsid w:val="00502E41"/>
    <w:rsid w:val="00512B85"/>
    <w:rsid w:val="00513B28"/>
    <w:rsid w:val="00526246"/>
    <w:rsid w:val="00537307"/>
    <w:rsid w:val="00537C34"/>
    <w:rsid w:val="00543D2E"/>
    <w:rsid w:val="00555390"/>
    <w:rsid w:val="00555EF5"/>
    <w:rsid w:val="00567106"/>
    <w:rsid w:val="00574A55"/>
    <w:rsid w:val="00575473"/>
    <w:rsid w:val="00575791"/>
    <w:rsid w:val="00585AEF"/>
    <w:rsid w:val="00587C7E"/>
    <w:rsid w:val="005B1822"/>
    <w:rsid w:val="005B26ED"/>
    <w:rsid w:val="005B4157"/>
    <w:rsid w:val="005C3F89"/>
    <w:rsid w:val="005D35F3"/>
    <w:rsid w:val="005E0F24"/>
    <w:rsid w:val="005E1D3C"/>
    <w:rsid w:val="005E7866"/>
    <w:rsid w:val="005F4820"/>
    <w:rsid w:val="005F5899"/>
    <w:rsid w:val="006002AF"/>
    <w:rsid w:val="00604A36"/>
    <w:rsid w:val="006258A7"/>
    <w:rsid w:val="0062775F"/>
    <w:rsid w:val="00632253"/>
    <w:rsid w:val="00633867"/>
    <w:rsid w:val="00637071"/>
    <w:rsid w:val="00637308"/>
    <w:rsid w:val="00642714"/>
    <w:rsid w:val="006455CE"/>
    <w:rsid w:val="0064620C"/>
    <w:rsid w:val="00651FCC"/>
    <w:rsid w:val="00654DAA"/>
    <w:rsid w:val="00670140"/>
    <w:rsid w:val="00670580"/>
    <w:rsid w:val="00690D03"/>
    <w:rsid w:val="0069302E"/>
    <w:rsid w:val="00693B8F"/>
    <w:rsid w:val="006965FD"/>
    <w:rsid w:val="006A5BEA"/>
    <w:rsid w:val="006A6FC6"/>
    <w:rsid w:val="006B5BEA"/>
    <w:rsid w:val="006C01FC"/>
    <w:rsid w:val="006C1039"/>
    <w:rsid w:val="006C4B6A"/>
    <w:rsid w:val="006D0CCB"/>
    <w:rsid w:val="006D21CE"/>
    <w:rsid w:val="006D23DE"/>
    <w:rsid w:val="006D2485"/>
    <w:rsid w:val="006D42D9"/>
    <w:rsid w:val="006E0754"/>
    <w:rsid w:val="006E15E1"/>
    <w:rsid w:val="006E564D"/>
    <w:rsid w:val="00700546"/>
    <w:rsid w:val="00700DDE"/>
    <w:rsid w:val="00702800"/>
    <w:rsid w:val="007126CE"/>
    <w:rsid w:val="007129A3"/>
    <w:rsid w:val="00715A88"/>
    <w:rsid w:val="007166D1"/>
    <w:rsid w:val="00721067"/>
    <w:rsid w:val="00721A12"/>
    <w:rsid w:val="007237C3"/>
    <w:rsid w:val="00733017"/>
    <w:rsid w:val="007469EA"/>
    <w:rsid w:val="00750E6C"/>
    <w:rsid w:val="00753CDC"/>
    <w:rsid w:val="00756C76"/>
    <w:rsid w:val="007578FE"/>
    <w:rsid w:val="00757D4C"/>
    <w:rsid w:val="00760307"/>
    <w:rsid w:val="0076152A"/>
    <w:rsid w:val="0076222B"/>
    <w:rsid w:val="007636C7"/>
    <w:rsid w:val="00772173"/>
    <w:rsid w:val="007816AE"/>
    <w:rsid w:val="00783310"/>
    <w:rsid w:val="00790879"/>
    <w:rsid w:val="007A44DF"/>
    <w:rsid w:val="007A4A6D"/>
    <w:rsid w:val="007A7CDF"/>
    <w:rsid w:val="007B1D76"/>
    <w:rsid w:val="007B64FD"/>
    <w:rsid w:val="007C5FC6"/>
    <w:rsid w:val="007D1BCF"/>
    <w:rsid w:val="007D35AA"/>
    <w:rsid w:val="007D75CF"/>
    <w:rsid w:val="007E1F70"/>
    <w:rsid w:val="007E680A"/>
    <w:rsid w:val="007E6DC5"/>
    <w:rsid w:val="007F1E40"/>
    <w:rsid w:val="00814213"/>
    <w:rsid w:val="00817525"/>
    <w:rsid w:val="0083390C"/>
    <w:rsid w:val="00833DA9"/>
    <w:rsid w:val="00863F57"/>
    <w:rsid w:val="00867AA7"/>
    <w:rsid w:val="00867CCE"/>
    <w:rsid w:val="00872D96"/>
    <w:rsid w:val="00873817"/>
    <w:rsid w:val="0088043C"/>
    <w:rsid w:val="00886EB6"/>
    <w:rsid w:val="008906C9"/>
    <w:rsid w:val="00895394"/>
    <w:rsid w:val="00895B23"/>
    <w:rsid w:val="008966CC"/>
    <w:rsid w:val="008979DB"/>
    <w:rsid w:val="008A4C88"/>
    <w:rsid w:val="008A628D"/>
    <w:rsid w:val="008A7288"/>
    <w:rsid w:val="008B4574"/>
    <w:rsid w:val="008B4CFB"/>
    <w:rsid w:val="008C23E5"/>
    <w:rsid w:val="008C5738"/>
    <w:rsid w:val="008D04F0"/>
    <w:rsid w:val="008D654F"/>
    <w:rsid w:val="008E0325"/>
    <w:rsid w:val="008E2B73"/>
    <w:rsid w:val="008F3500"/>
    <w:rsid w:val="008F4C3A"/>
    <w:rsid w:val="009172F0"/>
    <w:rsid w:val="009219A2"/>
    <w:rsid w:val="00921FEC"/>
    <w:rsid w:val="00924E3C"/>
    <w:rsid w:val="00933CFD"/>
    <w:rsid w:val="00943221"/>
    <w:rsid w:val="00946C49"/>
    <w:rsid w:val="00947076"/>
    <w:rsid w:val="009536CA"/>
    <w:rsid w:val="009612BB"/>
    <w:rsid w:val="0097027F"/>
    <w:rsid w:val="009718B3"/>
    <w:rsid w:val="009735FC"/>
    <w:rsid w:val="0098110D"/>
    <w:rsid w:val="00985668"/>
    <w:rsid w:val="009906DF"/>
    <w:rsid w:val="009934F5"/>
    <w:rsid w:val="00995C65"/>
    <w:rsid w:val="00997562"/>
    <w:rsid w:val="009A39AB"/>
    <w:rsid w:val="009A3A1E"/>
    <w:rsid w:val="009A4575"/>
    <w:rsid w:val="009B098E"/>
    <w:rsid w:val="009B0A83"/>
    <w:rsid w:val="009B3948"/>
    <w:rsid w:val="009B6302"/>
    <w:rsid w:val="009C2E66"/>
    <w:rsid w:val="009C2E69"/>
    <w:rsid w:val="009C5512"/>
    <w:rsid w:val="009C5C49"/>
    <w:rsid w:val="009C6D14"/>
    <w:rsid w:val="009E3064"/>
    <w:rsid w:val="009E75B1"/>
    <w:rsid w:val="009F313B"/>
    <w:rsid w:val="009F5E47"/>
    <w:rsid w:val="00A0083F"/>
    <w:rsid w:val="00A011E1"/>
    <w:rsid w:val="00A06A0F"/>
    <w:rsid w:val="00A125C5"/>
    <w:rsid w:val="00A34326"/>
    <w:rsid w:val="00A5039D"/>
    <w:rsid w:val="00A54270"/>
    <w:rsid w:val="00A57EED"/>
    <w:rsid w:val="00A61F5A"/>
    <w:rsid w:val="00A64DBA"/>
    <w:rsid w:val="00A65EE7"/>
    <w:rsid w:val="00A70133"/>
    <w:rsid w:val="00A72ABE"/>
    <w:rsid w:val="00A72F78"/>
    <w:rsid w:val="00A77DBC"/>
    <w:rsid w:val="00A8070D"/>
    <w:rsid w:val="00A80E0B"/>
    <w:rsid w:val="00A85954"/>
    <w:rsid w:val="00A86765"/>
    <w:rsid w:val="00A918D7"/>
    <w:rsid w:val="00A93EAC"/>
    <w:rsid w:val="00A948D8"/>
    <w:rsid w:val="00AA0CE9"/>
    <w:rsid w:val="00AA1B34"/>
    <w:rsid w:val="00AB02DE"/>
    <w:rsid w:val="00AB1805"/>
    <w:rsid w:val="00AC0993"/>
    <w:rsid w:val="00AC1BA8"/>
    <w:rsid w:val="00AC552C"/>
    <w:rsid w:val="00AD6CFF"/>
    <w:rsid w:val="00AF2EAF"/>
    <w:rsid w:val="00B01866"/>
    <w:rsid w:val="00B03033"/>
    <w:rsid w:val="00B046A6"/>
    <w:rsid w:val="00B04B77"/>
    <w:rsid w:val="00B10941"/>
    <w:rsid w:val="00B17141"/>
    <w:rsid w:val="00B22341"/>
    <w:rsid w:val="00B26973"/>
    <w:rsid w:val="00B30430"/>
    <w:rsid w:val="00B31575"/>
    <w:rsid w:val="00B35E7A"/>
    <w:rsid w:val="00B4042A"/>
    <w:rsid w:val="00B55D47"/>
    <w:rsid w:val="00B60903"/>
    <w:rsid w:val="00B66F7E"/>
    <w:rsid w:val="00B8547D"/>
    <w:rsid w:val="00B87468"/>
    <w:rsid w:val="00B87CFC"/>
    <w:rsid w:val="00B9476F"/>
    <w:rsid w:val="00BA2E22"/>
    <w:rsid w:val="00BB1E23"/>
    <w:rsid w:val="00BB40E7"/>
    <w:rsid w:val="00BB7964"/>
    <w:rsid w:val="00BC1A0F"/>
    <w:rsid w:val="00BC333D"/>
    <w:rsid w:val="00BE5348"/>
    <w:rsid w:val="00BE6B65"/>
    <w:rsid w:val="00BF41C3"/>
    <w:rsid w:val="00BF4384"/>
    <w:rsid w:val="00C02C1D"/>
    <w:rsid w:val="00C03C49"/>
    <w:rsid w:val="00C05CBD"/>
    <w:rsid w:val="00C14866"/>
    <w:rsid w:val="00C23427"/>
    <w:rsid w:val="00C250D5"/>
    <w:rsid w:val="00C42CBB"/>
    <w:rsid w:val="00C60AFE"/>
    <w:rsid w:val="00C6265C"/>
    <w:rsid w:val="00C66CF8"/>
    <w:rsid w:val="00C67B60"/>
    <w:rsid w:val="00C831DE"/>
    <w:rsid w:val="00C83F10"/>
    <w:rsid w:val="00C843F8"/>
    <w:rsid w:val="00C92898"/>
    <w:rsid w:val="00C95509"/>
    <w:rsid w:val="00CA35DE"/>
    <w:rsid w:val="00CB3E52"/>
    <w:rsid w:val="00CC04A0"/>
    <w:rsid w:val="00CC094D"/>
    <w:rsid w:val="00CC0AD7"/>
    <w:rsid w:val="00CC281A"/>
    <w:rsid w:val="00CC2FE4"/>
    <w:rsid w:val="00CC4675"/>
    <w:rsid w:val="00CD02D3"/>
    <w:rsid w:val="00CD69B8"/>
    <w:rsid w:val="00CE7514"/>
    <w:rsid w:val="00CF2989"/>
    <w:rsid w:val="00D03826"/>
    <w:rsid w:val="00D175D4"/>
    <w:rsid w:val="00D17609"/>
    <w:rsid w:val="00D21A83"/>
    <w:rsid w:val="00D2393C"/>
    <w:rsid w:val="00D242DB"/>
    <w:rsid w:val="00D24700"/>
    <w:rsid w:val="00D248DE"/>
    <w:rsid w:val="00D311A4"/>
    <w:rsid w:val="00D31518"/>
    <w:rsid w:val="00D4491A"/>
    <w:rsid w:val="00D50CB7"/>
    <w:rsid w:val="00D5172C"/>
    <w:rsid w:val="00D6509E"/>
    <w:rsid w:val="00D67925"/>
    <w:rsid w:val="00D73863"/>
    <w:rsid w:val="00D73D04"/>
    <w:rsid w:val="00D74C2D"/>
    <w:rsid w:val="00D76B6C"/>
    <w:rsid w:val="00D825E1"/>
    <w:rsid w:val="00D82B1E"/>
    <w:rsid w:val="00D84EBA"/>
    <w:rsid w:val="00D8542D"/>
    <w:rsid w:val="00D871BC"/>
    <w:rsid w:val="00D87458"/>
    <w:rsid w:val="00D930F9"/>
    <w:rsid w:val="00D93150"/>
    <w:rsid w:val="00DA463B"/>
    <w:rsid w:val="00DA6674"/>
    <w:rsid w:val="00DB58F3"/>
    <w:rsid w:val="00DB5910"/>
    <w:rsid w:val="00DB70F3"/>
    <w:rsid w:val="00DC5BEB"/>
    <w:rsid w:val="00DC6A71"/>
    <w:rsid w:val="00DC703B"/>
    <w:rsid w:val="00DD6BB9"/>
    <w:rsid w:val="00DE317A"/>
    <w:rsid w:val="00DE485F"/>
    <w:rsid w:val="00DE5B46"/>
    <w:rsid w:val="00DF1A91"/>
    <w:rsid w:val="00DF414A"/>
    <w:rsid w:val="00E01107"/>
    <w:rsid w:val="00E0357D"/>
    <w:rsid w:val="00E039D4"/>
    <w:rsid w:val="00E04DA0"/>
    <w:rsid w:val="00E15876"/>
    <w:rsid w:val="00E24EC2"/>
    <w:rsid w:val="00E25A81"/>
    <w:rsid w:val="00E25CA6"/>
    <w:rsid w:val="00E43EEE"/>
    <w:rsid w:val="00E44978"/>
    <w:rsid w:val="00E45564"/>
    <w:rsid w:val="00E46718"/>
    <w:rsid w:val="00E473B5"/>
    <w:rsid w:val="00E509D8"/>
    <w:rsid w:val="00E54358"/>
    <w:rsid w:val="00E578EF"/>
    <w:rsid w:val="00E60344"/>
    <w:rsid w:val="00E61B31"/>
    <w:rsid w:val="00E7150D"/>
    <w:rsid w:val="00E80465"/>
    <w:rsid w:val="00E82C7A"/>
    <w:rsid w:val="00E8702F"/>
    <w:rsid w:val="00E96EB9"/>
    <w:rsid w:val="00EA212B"/>
    <w:rsid w:val="00EA5F75"/>
    <w:rsid w:val="00EB230A"/>
    <w:rsid w:val="00EC41B6"/>
    <w:rsid w:val="00EC4D00"/>
    <w:rsid w:val="00ED6CAA"/>
    <w:rsid w:val="00ED7D8A"/>
    <w:rsid w:val="00EE2566"/>
    <w:rsid w:val="00EE292A"/>
    <w:rsid w:val="00EE707C"/>
    <w:rsid w:val="00EF0E26"/>
    <w:rsid w:val="00EF7C70"/>
    <w:rsid w:val="00F00098"/>
    <w:rsid w:val="00F01F83"/>
    <w:rsid w:val="00F04692"/>
    <w:rsid w:val="00F0638A"/>
    <w:rsid w:val="00F11634"/>
    <w:rsid w:val="00F1588B"/>
    <w:rsid w:val="00F240BB"/>
    <w:rsid w:val="00F43874"/>
    <w:rsid w:val="00F46724"/>
    <w:rsid w:val="00F46972"/>
    <w:rsid w:val="00F5084F"/>
    <w:rsid w:val="00F51491"/>
    <w:rsid w:val="00F53CF1"/>
    <w:rsid w:val="00F57FED"/>
    <w:rsid w:val="00F64368"/>
    <w:rsid w:val="00F65C84"/>
    <w:rsid w:val="00F70FB5"/>
    <w:rsid w:val="00F768D4"/>
    <w:rsid w:val="00F8339D"/>
    <w:rsid w:val="00F933EB"/>
    <w:rsid w:val="00F953D4"/>
    <w:rsid w:val="00FA0D92"/>
    <w:rsid w:val="00FA1342"/>
    <w:rsid w:val="00FA382C"/>
    <w:rsid w:val="00FA45C3"/>
    <w:rsid w:val="00FA706E"/>
    <w:rsid w:val="00FA70BB"/>
    <w:rsid w:val="00FC6383"/>
    <w:rsid w:val="00FD25B6"/>
    <w:rsid w:val="00FD3538"/>
    <w:rsid w:val="00FD414E"/>
    <w:rsid w:val="00FD6532"/>
    <w:rsid w:val="00FF4D6B"/>
    <w:rsid w:val="00FF68BC"/>
    <w:rsid w:val="00FF6EF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83508DC9-CB42-4535-9237-3A61C09A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05004A"/>
    <w:pPr>
      <w:keepNext/>
      <w:numPr>
        <w:numId w:val="35"/>
      </w:numPr>
      <w:spacing w:before="240" w:after="60"/>
      <w:outlineLvl w:val="0"/>
    </w:pPr>
    <w:rPr>
      <w:b/>
      <w:kern w:val="32"/>
      <w:sz w:val="24"/>
      <w:szCs w:val="32"/>
      <w:lang w:val="sl-SI" w:eastAsia="sl-SI"/>
    </w:rPr>
  </w:style>
  <w:style w:type="paragraph" w:styleId="Naslov2">
    <w:name w:val="heading 2"/>
    <w:basedOn w:val="Navaden"/>
    <w:next w:val="Navaden"/>
    <w:link w:val="Naslov2Znak"/>
    <w:autoRedefine/>
    <w:unhideWhenUsed/>
    <w:qFormat/>
    <w:rsid w:val="006002AF"/>
    <w:pPr>
      <w:keepNext/>
      <w:numPr>
        <w:ilvl w:val="1"/>
        <w:numId w:val="35"/>
      </w:numPr>
      <w:spacing w:before="240" w:after="60"/>
      <w:outlineLvl w:val="1"/>
    </w:pPr>
    <w:rPr>
      <w:b/>
      <w:bCs/>
      <w:iCs/>
      <w:szCs w:val="28"/>
    </w:rPr>
  </w:style>
  <w:style w:type="paragraph" w:styleId="Naslov3">
    <w:name w:val="heading 3"/>
    <w:basedOn w:val="Navaden"/>
    <w:next w:val="Navaden"/>
    <w:link w:val="Naslov3Znak"/>
    <w:semiHidden/>
    <w:unhideWhenUsed/>
    <w:qFormat/>
    <w:rsid w:val="000E75F3"/>
    <w:pPr>
      <w:keepNext/>
      <w:numPr>
        <w:ilvl w:val="2"/>
        <w:numId w:val="35"/>
      </w:numPr>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0E75F3"/>
    <w:pPr>
      <w:keepNext/>
      <w:numPr>
        <w:ilvl w:val="3"/>
        <w:numId w:val="35"/>
      </w:numPr>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0E75F3"/>
    <w:pPr>
      <w:numPr>
        <w:ilvl w:val="4"/>
        <w:numId w:val="35"/>
      </w:num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0E75F3"/>
    <w:pPr>
      <w:numPr>
        <w:ilvl w:val="5"/>
        <w:numId w:val="35"/>
      </w:numPr>
      <w:spacing w:before="240" w:after="60"/>
      <w:outlineLvl w:val="5"/>
    </w:pPr>
    <w:rPr>
      <w:rFonts w:ascii="Calibri" w:hAnsi="Calibri"/>
      <w:b/>
      <w:bCs/>
      <w:sz w:val="22"/>
      <w:szCs w:val="22"/>
    </w:rPr>
  </w:style>
  <w:style w:type="paragraph" w:styleId="Naslov7">
    <w:name w:val="heading 7"/>
    <w:basedOn w:val="Navaden"/>
    <w:next w:val="Navaden"/>
    <w:link w:val="Naslov7Znak"/>
    <w:semiHidden/>
    <w:unhideWhenUsed/>
    <w:qFormat/>
    <w:rsid w:val="000E75F3"/>
    <w:pPr>
      <w:numPr>
        <w:ilvl w:val="6"/>
        <w:numId w:val="35"/>
      </w:numPr>
      <w:spacing w:before="240" w:after="60"/>
      <w:outlineLvl w:val="6"/>
    </w:pPr>
    <w:rPr>
      <w:rFonts w:ascii="Calibri" w:hAnsi="Calibri"/>
      <w:sz w:val="24"/>
    </w:rPr>
  </w:style>
  <w:style w:type="paragraph" w:styleId="Naslov8">
    <w:name w:val="heading 8"/>
    <w:basedOn w:val="Navaden"/>
    <w:next w:val="Navaden"/>
    <w:link w:val="Naslov8Znak"/>
    <w:semiHidden/>
    <w:unhideWhenUsed/>
    <w:qFormat/>
    <w:rsid w:val="000E75F3"/>
    <w:pPr>
      <w:numPr>
        <w:ilvl w:val="7"/>
        <w:numId w:val="35"/>
      </w:numPr>
      <w:spacing w:before="240" w:after="60"/>
      <w:outlineLvl w:val="7"/>
    </w:pPr>
    <w:rPr>
      <w:rFonts w:ascii="Calibri" w:hAnsi="Calibri"/>
      <w:i/>
      <w:iCs/>
      <w:sz w:val="24"/>
    </w:rPr>
  </w:style>
  <w:style w:type="paragraph" w:styleId="Naslov9">
    <w:name w:val="heading 9"/>
    <w:basedOn w:val="Navaden"/>
    <w:next w:val="Navaden"/>
    <w:link w:val="Naslov9Znak"/>
    <w:semiHidden/>
    <w:unhideWhenUsed/>
    <w:qFormat/>
    <w:rsid w:val="000E75F3"/>
    <w:pPr>
      <w:numPr>
        <w:ilvl w:val="8"/>
        <w:numId w:val="35"/>
      </w:numPr>
      <w:spacing w:before="240" w:after="60"/>
      <w:outlineLvl w:val="8"/>
    </w:pPr>
    <w:rPr>
      <w:rFonts w:ascii="Cambria" w:hAnsi="Cambria"/>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Odstavekseznama">
    <w:name w:val="List Paragraph"/>
    <w:basedOn w:val="Navaden"/>
    <w:uiPriority w:val="34"/>
    <w:qFormat/>
    <w:rsid w:val="00F01F83"/>
    <w:pPr>
      <w:ind w:left="708"/>
    </w:pPr>
  </w:style>
  <w:style w:type="character" w:customStyle="1" w:styleId="NogaZnak">
    <w:name w:val="Noga Znak"/>
    <w:link w:val="Noga"/>
    <w:uiPriority w:val="99"/>
    <w:rsid w:val="00863F57"/>
    <w:rPr>
      <w:rFonts w:ascii="Arial" w:hAnsi="Arial"/>
      <w:szCs w:val="24"/>
      <w:lang w:val="en-US" w:eastAsia="en-US"/>
    </w:rPr>
  </w:style>
  <w:style w:type="paragraph" w:styleId="Besedilooblaka">
    <w:name w:val="Balloon Text"/>
    <w:basedOn w:val="Navaden"/>
    <w:link w:val="BesedilooblakaZnak"/>
    <w:rsid w:val="000F0BBD"/>
    <w:pPr>
      <w:spacing w:line="240" w:lineRule="auto"/>
    </w:pPr>
    <w:rPr>
      <w:rFonts w:ascii="Tahoma" w:hAnsi="Tahoma" w:cs="Tahoma"/>
      <w:sz w:val="16"/>
      <w:szCs w:val="16"/>
    </w:rPr>
  </w:style>
  <w:style w:type="character" w:customStyle="1" w:styleId="BesedilooblakaZnak">
    <w:name w:val="Besedilo oblačka Znak"/>
    <w:link w:val="Besedilooblaka"/>
    <w:rsid w:val="000F0BBD"/>
    <w:rPr>
      <w:rFonts w:ascii="Tahoma" w:hAnsi="Tahoma" w:cs="Tahoma"/>
      <w:sz w:val="16"/>
      <w:szCs w:val="16"/>
      <w:lang w:val="en-US" w:eastAsia="en-US"/>
    </w:rPr>
  </w:style>
  <w:style w:type="paragraph" w:styleId="Sprotnaopomba-besedilo">
    <w:name w:val="footnote text"/>
    <w:basedOn w:val="Navaden"/>
    <w:link w:val="Sprotnaopomba-besediloZnak"/>
    <w:rsid w:val="00AC552C"/>
    <w:rPr>
      <w:szCs w:val="20"/>
    </w:rPr>
  </w:style>
  <w:style w:type="character" w:customStyle="1" w:styleId="Sprotnaopomba-besediloZnak">
    <w:name w:val="Sprotna opomba - besedilo Znak"/>
    <w:link w:val="Sprotnaopomba-besedilo"/>
    <w:rsid w:val="00AC552C"/>
    <w:rPr>
      <w:rFonts w:ascii="Arial" w:hAnsi="Arial"/>
      <w:lang w:val="en-US" w:eastAsia="en-US"/>
    </w:rPr>
  </w:style>
  <w:style w:type="character" w:styleId="Sprotnaopomba-sklic">
    <w:name w:val="footnote reference"/>
    <w:rsid w:val="00AC552C"/>
    <w:rPr>
      <w:vertAlign w:val="superscript"/>
    </w:rPr>
  </w:style>
  <w:style w:type="paragraph" w:styleId="Konnaopomba-besedilo">
    <w:name w:val="endnote text"/>
    <w:basedOn w:val="Navaden"/>
    <w:link w:val="Konnaopomba-besediloZnak"/>
    <w:rsid w:val="00D93150"/>
    <w:rPr>
      <w:szCs w:val="20"/>
    </w:rPr>
  </w:style>
  <w:style w:type="character" w:customStyle="1" w:styleId="Konnaopomba-besediloZnak">
    <w:name w:val="Končna opomba - besedilo Znak"/>
    <w:link w:val="Konnaopomba-besedilo"/>
    <w:rsid w:val="00D93150"/>
    <w:rPr>
      <w:rFonts w:ascii="Arial" w:hAnsi="Arial"/>
      <w:lang w:val="en-US" w:eastAsia="en-US"/>
    </w:rPr>
  </w:style>
  <w:style w:type="character" w:styleId="Konnaopomba-sklic">
    <w:name w:val="endnote reference"/>
    <w:rsid w:val="00D93150"/>
    <w:rPr>
      <w:vertAlign w:val="superscript"/>
    </w:rPr>
  </w:style>
  <w:style w:type="character" w:customStyle="1" w:styleId="Naslov2Znak">
    <w:name w:val="Naslov 2 Znak"/>
    <w:link w:val="Naslov2"/>
    <w:rsid w:val="006002AF"/>
    <w:rPr>
      <w:rFonts w:ascii="Arial" w:hAnsi="Arial"/>
      <w:b/>
      <w:bCs/>
      <w:iCs/>
      <w:szCs w:val="28"/>
      <w:lang w:val="en-US" w:eastAsia="en-US"/>
    </w:rPr>
  </w:style>
  <w:style w:type="character" w:customStyle="1" w:styleId="Naslov3Znak">
    <w:name w:val="Naslov 3 Znak"/>
    <w:link w:val="Naslov3"/>
    <w:semiHidden/>
    <w:rsid w:val="000E75F3"/>
    <w:rPr>
      <w:rFonts w:ascii="Cambria" w:eastAsia="Times New Roman" w:hAnsi="Cambria" w:cs="Times New Roman"/>
      <w:b/>
      <w:bCs/>
      <w:sz w:val="26"/>
      <w:szCs w:val="26"/>
      <w:lang w:val="en-US" w:eastAsia="en-US"/>
    </w:rPr>
  </w:style>
  <w:style w:type="character" w:customStyle="1" w:styleId="Naslov4Znak">
    <w:name w:val="Naslov 4 Znak"/>
    <w:link w:val="Naslov4"/>
    <w:semiHidden/>
    <w:rsid w:val="000E75F3"/>
    <w:rPr>
      <w:rFonts w:ascii="Calibri" w:eastAsia="Times New Roman" w:hAnsi="Calibri" w:cs="Times New Roman"/>
      <w:b/>
      <w:bCs/>
      <w:sz w:val="28"/>
      <w:szCs w:val="28"/>
      <w:lang w:val="en-US" w:eastAsia="en-US"/>
    </w:rPr>
  </w:style>
  <w:style w:type="character" w:customStyle="1" w:styleId="Naslov5Znak">
    <w:name w:val="Naslov 5 Znak"/>
    <w:link w:val="Naslov5"/>
    <w:semiHidden/>
    <w:rsid w:val="000E75F3"/>
    <w:rPr>
      <w:rFonts w:ascii="Calibri" w:eastAsia="Times New Roman" w:hAnsi="Calibri" w:cs="Times New Roman"/>
      <w:b/>
      <w:bCs/>
      <w:i/>
      <w:iCs/>
      <w:sz w:val="26"/>
      <w:szCs w:val="26"/>
      <w:lang w:val="en-US" w:eastAsia="en-US"/>
    </w:rPr>
  </w:style>
  <w:style w:type="character" w:customStyle="1" w:styleId="Naslov6Znak">
    <w:name w:val="Naslov 6 Znak"/>
    <w:link w:val="Naslov6"/>
    <w:semiHidden/>
    <w:rsid w:val="000E75F3"/>
    <w:rPr>
      <w:rFonts w:ascii="Calibri" w:eastAsia="Times New Roman" w:hAnsi="Calibri" w:cs="Times New Roman"/>
      <w:b/>
      <w:bCs/>
      <w:sz w:val="22"/>
      <w:szCs w:val="22"/>
      <w:lang w:val="en-US" w:eastAsia="en-US"/>
    </w:rPr>
  </w:style>
  <w:style w:type="character" w:customStyle="1" w:styleId="Naslov7Znak">
    <w:name w:val="Naslov 7 Znak"/>
    <w:link w:val="Naslov7"/>
    <w:semiHidden/>
    <w:rsid w:val="000E75F3"/>
    <w:rPr>
      <w:rFonts w:ascii="Calibri" w:eastAsia="Times New Roman" w:hAnsi="Calibri" w:cs="Times New Roman"/>
      <w:sz w:val="24"/>
      <w:szCs w:val="24"/>
      <w:lang w:val="en-US" w:eastAsia="en-US"/>
    </w:rPr>
  </w:style>
  <w:style w:type="character" w:customStyle="1" w:styleId="Naslov8Znak">
    <w:name w:val="Naslov 8 Znak"/>
    <w:link w:val="Naslov8"/>
    <w:semiHidden/>
    <w:rsid w:val="000E75F3"/>
    <w:rPr>
      <w:rFonts w:ascii="Calibri" w:eastAsia="Times New Roman" w:hAnsi="Calibri" w:cs="Times New Roman"/>
      <w:i/>
      <w:iCs/>
      <w:sz w:val="24"/>
      <w:szCs w:val="24"/>
      <w:lang w:val="en-US" w:eastAsia="en-US"/>
    </w:rPr>
  </w:style>
  <w:style w:type="character" w:customStyle="1" w:styleId="Naslov9Znak">
    <w:name w:val="Naslov 9 Znak"/>
    <w:link w:val="Naslov9"/>
    <w:semiHidden/>
    <w:rsid w:val="000E75F3"/>
    <w:rPr>
      <w:rFonts w:ascii="Cambria" w:eastAsia="Times New Roman" w:hAnsi="Cambria" w:cs="Times New Roman"/>
      <w:sz w:val="22"/>
      <w:szCs w:val="22"/>
      <w:lang w:val="en-US" w:eastAsia="en-US"/>
    </w:rPr>
  </w:style>
  <w:style w:type="character" w:styleId="SledenaHiperpovezava">
    <w:name w:val="FollowedHyperlink"/>
    <w:rsid w:val="00CC281A"/>
    <w:rPr>
      <w:color w:val="800080"/>
      <w:u w:val="single"/>
    </w:rPr>
  </w:style>
  <w:style w:type="character" w:styleId="Pripombasklic">
    <w:name w:val="annotation reference"/>
    <w:rsid w:val="007A44DF"/>
    <w:rPr>
      <w:sz w:val="16"/>
      <w:szCs w:val="16"/>
    </w:rPr>
  </w:style>
  <w:style w:type="paragraph" w:styleId="Pripombabesedilo">
    <w:name w:val="annotation text"/>
    <w:basedOn w:val="Navaden"/>
    <w:link w:val="PripombabesediloZnak"/>
    <w:rsid w:val="007A44DF"/>
    <w:rPr>
      <w:szCs w:val="20"/>
    </w:rPr>
  </w:style>
  <w:style w:type="character" w:customStyle="1" w:styleId="PripombabesediloZnak">
    <w:name w:val="Pripomba – besedilo Znak"/>
    <w:link w:val="Pripombabesedilo"/>
    <w:rsid w:val="007A44DF"/>
    <w:rPr>
      <w:rFonts w:ascii="Arial" w:hAnsi="Arial"/>
      <w:lang w:val="en-US" w:eastAsia="en-US"/>
    </w:rPr>
  </w:style>
  <w:style w:type="paragraph" w:styleId="Zadevapripombe">
    <w:name w:val="annotation subject"/>
    <w:basedOn w:val="Pripombabesedilo"/>
    <w:next w:val="Pripombabesedilo"/>
    <w:link w:val="ZadevapripombeZnak"/>
    <w:rsid w:val="007A44DF"/>
    <w:rPr>
      <w:b/>
      <w:bCs/>
    </w:rPr>
  </w:style>
  <w:style w:type="character" w:customStyle="1" w:styleId="ZadevapripombeZnak">
    <w:name w:val="Zadeva pripombe Znak"/>
    <w:link w:val="Zadevapripombe"/>
    <w:rsid w:val="007A44DF"/>
    <w:rPr>
      <w:rFonts w:ascii="Arial" w:hAnsi="Arial"/>
      <w:b/>
      <w:bCs/>
      <w:lang w:val="en-US" w:eastAsia="en-US"/>
    </w:rPr>
  </w:style>
  <w:style w:type="paragraph" w:styleId="NaslovTOC">
    <w:name w:val="TOC Heading"/>
    <w:basedOn w:val="Naslov1"/>
    <w:next w:val="Navaden"/>
    <w:uiPriority w:val="39"/>
    <w:unhideWhenUsed/>
    <w:qFormat/>
    <w:rsid w:val="00E04DA0"/>
    <w:pPr>
      <w:keepLines/>
      <w:numPr>
        <w:numId w:val="0"/>
      </w:numPr>
      <w:spacing w:after="0" w:line="259" w:lineRule="auto"/>
      <w:outlineLvl w:val="9"/>
    </w:pPr>
    <w:rPr>
      <w:rFonts w:ascii="Calibri Light" w:hAnsi="Calibri Light"/>
      <w:b w:val="0"/>
      <w:color w:val="2E74B5"/>
      <w:kern w:val="0"/>
      <w:sz w:val="32"/>
    </w:rPr>
  </w:style>
  <w:style w:type="paragraph" w:styleId="Kazalovsebine1">
    <w:name w:val="toc 1"/>
    <w:basedOn w:val="Navaden"/>
    <w:next w:val="Navaden"/>
    <w:autoRedefine/>
    <w:uiPriority w:val="39"/>
    <w:rsid w:val="00E04DA0"/>
  </w:style>
  <w:style w:type="paragraph" w:styleId="Kazalovsebine2">
    <w:name w:val="toc 2"/>
    <w:basedOn w:val="Navaden"/>
    <w:next w:val="Navaden"/>
    <w:autoRedefine/>
    <w:uiPriority w:val="39"/>
    <w:rsid w:val="00E04DA0"/>
    <w:pPr>
      <w:ind w:left="200"/>
    </w:pPr>
  </w:style>
  <w:style w:type="character" w:styleId="Besedilooznabemesta">
    <w:name w:val="Placeholder Text"/>
    <w:uiPriority w:val="99"/>
    <w:semiHidden/>
    <w:rsid w:val="00FA45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516">
      <w:bodyDiv w:val="1"/>
      <w:marLeft w:val="0"/>
      <w:marRight w:val="0"/>
      <w:marTop w:val="0"/>
      <w:marBottom w:val="0"/>
      <w:divBdr>
        <w:top w:val="none" w:sz="0" w:space="0" w:color="auto"/>
        <w:left w:val="none" w:sz="0" w:space="0" w:color="auto"/>
        <w:bottom w:val="none" w:sz="0" w:space="0" w:color="auto"/>
        <w:right w:val="none" w:sz="0" w:space="0" w:color="auto"/>
      </w:divBdr>
    </w:div>
    <w:div w:id="99571767">
      <w:bodyDiv w:val="1"/>
      <w:marLeft w:val="0"/>
      <w:marRight w:val="0"/>
      <w:marTop w:val="0"/>
      <w:marBottom w:val="0"/>
      <w:divBdr>
        <w:top w:val="none" w:sz="0" w:space="0" w:color="auto"/>
        <w:left w:val="none" w:sz="0" w:space="0" w:color="auto"/>
        <w:bottom w:val="none" w:sz="0" w:space="0" w:color="auto"/>
        <w:right w:val="none" w:sz="0" w:space="0" w:color="auto"/>
      </w:divBdr>
    </w:div>
    <w:div w:id="153376585">
      <w:bodyDiv w:val="1"/>
      <w:marLeft w:val="0"/>
      <w:marRight w:val="0"/>
      <w:marTop w:val="0"/>
      <w:marBottom w:val="0"/>
      <w:divBdr>
        <w:top w:val="none" w:sz="0" w:space="0" w:color="auto"/>
        <w:left w:val="none" w:sz="0" w:space="0" w:color="auto"/>
        <w:bottom w:val="none" w:sz="0" w:space="0" w:color="auto"/>
        <w:right w:val="none" w:sz="0" w:space="0" w:color="auto"/>
      </w:divBdr>
    </w:div>
    <w:div w:id="290132389">
      <w:bodyDiv w:val="1"/>
      <w:marLeft w:val="0"/>
      <w:marRight w:val="0"/>
      <w:marTop w:val="0"/>
      <w:marBottom w:val="0"/>
      <w:divBdr>
        <w:top w:val="none" w:sz="0" w:space="0" w:color="auto"/>
        <w:left w:val="none" w:sz="0" w:space="0" w:color="auto"/>
        <w:bottom w:val="none" w:sz="0" w:space="0" w:color="auto"/>
        <w:right w:val="none" w:sz="0" w:space="0" w:color="auto"/>
      </w:divBdr>
    </w:div>
    <w:div w:id="292180641">
      <w:bodyDiv w:val="1"/>
      <w:marLeft w:val="0"/>
      <w:marRight w:val="0"/>
      <w:marTop w:val="0"/>
      <w:marBottom w:val="0"/>
      <w:divBdr>
        <w:top w:val="none" w:sz="0" w:space="0" w:color="auto"/>
        <w:left w:val="none" w:sz="0" w:space="0" w:color="auto"/>
        <w:bottom w:val="none" w:sz="0" w:space="0" w:color="auto"/>
        <w:right w:val="none" w:sz="0" w:space="0" w:color="auto"/>
      </w:divBdr>
    </w:div>
    <w:div w:id="376274399">
      <w:bodyDiv w:val="1"/>
      <w:marLeft w:val="0"/>
      <w:marRight w:val="0"/>
      <w:marTop w:val="0"/>
      <w:marBottom w:val="0"/>
      <w:divBdr>
        <w:top w:val="none" w:sz="0" w:space="0" w:color="auto"/>
        <w:left w:val="none" w:sz="0" w:space="0" w:color="auto"/>
        <w:bottom w:val="none" w:sz="0" w:space="0" w:color="auto"/>
        <w:right w:val="none" w:sz="0" w:space="0" w:color="auto"/>
      </w:divBdr>
      <w:divsChild>
        <w:div w:id="143553338">
          <w:marLeft w:val="0"/>
          <w:marRight w:val="0"/>
          <w:marTop w:val="0"/>
          <w:marBottom w:val="0"/>
          <w:divBdr>
            <w:top w:val="none" w:sz="0" w:space="0" w:color="auto"/>
            <w:left w:val="none" w:sz="0" w:space="0" w:color="auto"/>
            <w:bottom w:val="none" w:sz="0" w:space="0" w:color="auto"/>
            <w:right w:val="none" w:sz="0" w:space="0" w:color="auto"/>
          </w:divBdr>
          <w:divsChild>
            <w:div w:id="640502242">
              <w:marLeft w:val="0"/>
              <w:marRight w:val="60"/>
              <w:marTop w:val="0"/>
              <w:marBottom w:val="0"/>
              <w:divBdr>
                <w:top w:val="none" w:sz="0" w:space="0" w:color="auto"/>
                <w:left w:val="none" w:sz="0" w:space="0" w:color="auto"/>
                <w:bottom w:val="none" w:sz="0" w:space="0" w:color="auto"/>
                <w:right w:val="none" w:sz="0" w:space="0" w:color="auto"/>
              </w:divBdr>
              <w:divsChild>
                <w:div w:id="1251743123">
                  <w:marLeft w:val="0"/>
                  <w:marRight w:val="0"/>
                  <w:marTop w:val="0"/>
                  <w:marBottom w:val="150"/>
                  <w:divBdr>
                    <w:top w:val="none" w:sz="0" w:space="0" w:color="auto"/>
                    <w:left w:val="none" w:sz="0" w:space="0" w:color="auto"/>
                    <w:bottom w:val="none" w:sz="0" w:space="0" w:color="auto"/>
                    <w:right w:val="none" w:sz="0" w:space="0" w:color="auto"/>
                  </w:divBdr>
                  <w:divsChild>
                    <w:div w:id="1249537554">
                      <w:marLeft w:val="0"/>
                      <w:marRight w:val="0"/>
                      <w:marTop w:val="0"/>
                      <w:marBottom w:val="0"/>
                      <w:divBdr>
                        <w:top w:val="none" w:sz="0" w:space="0" w:color="auto"/>
                        <w:left w:val="none" w:sz="0" w:space="0" w:color="auto"/>
                        <w:bottom w:val="none" w:sz="0" w:space="0" w:color="auto"/>
                        <w:right w:val="none" w:sz="0" w:space="0" w:color="auto"/>
                      </w:divBdr>
                      <w:divsChild>
                        <w:div w:id="13654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901315">
      <w:bodyDiv w:val="1"/>
      <w:marLeft w:val="0"/>
      <w:marRight w:val="0"/>
      <w:marTop w:val="0"/>
      <w:marBottom w:val="0"/>
      <w:divBdr>
        <w:top w:val="none" w:sz="0" w:space="0" w:color="auto"/>
        <w:left w:val="none" w:sz="0" w:space="0" w:color="auto"/>
        <w:bottom w:val="none" w:sz="0" w:space="0" w:color="auto"/>
        <w:right w:val="none" w:sz="0" w:space="0" w:color="auto"/>
      </w:divBdr>
    </w:div>
    <w:div w:id="607003761">
      <w:bodyDiv w:val="1"/>
      <w:marLeft w:val="0"/>
      <w:marRight w:val="0"/>
      <w:marTop w:val="0"/>
      <w:marBottom w:val="0"/>
      <w:divBdr>
        <w:top w:val="none" w:sz="0" w:space="0" w:color="auto"/>
        <w:left w:val="none" w:sz="0" w:space="0" w:color="auto"/>
        <w:bottom w:val="none" w:sz="0" w:space="0" w:color="auto"/>
        <w:right w:val="none" w:sz="0" w:space="0" w:color="auto"/>
      </w:divBdr>
    </w:div>
    <w:div w:id="717703175">
      <w:bodyDiv w:val="1"/>
      <w:marLeft w:val="0"/>
      <w:marRight w:val="0"/>
      <w:marTop w:val="0"/>
      <w:marBottom w:val="0"/>
      <w:divBdr>
        <w:top w:val="none" w:sz="0" w:space="0" w:color="auto"/>
        <w:left w:val="none" w:sz="0" w:space="0" w:color="auto"/>
        <w:bottom w:val="none" w:sz="0" w:space="0" w:color="auto"/>
        <w:right w:val="none" w:sz="0" w:space="0" w:color="auto"/>
      </w:divBdr>
    </w:div>
    <w:div w:id="958267558">
      <w:bodyDiv w:val="1"/>
      <w:marLeft w:val="0"/>
      <w:marRight w:val="0"/>
      <w:marTop w:val="0"/>
      <w:marBottom w:val="0"/>
      <w:divBdr>
        <w:top w:val="none" w:sz="0" w:space="0" w:color="auto"/>
        <w:left w:val="none" w:sz="0" w:space="0" w:color="auto"/>
        <w:bottom w:val="none" w:sz="0" w:space="0" w:color="auto"/>
        <w:right w:val="none" w:sz="0" w:space="0" w:color="auto"/>
      </w:divBdr>
    </w:div>
    <w:div w:id="988359184">
      <w:bodyDiv w:val="1"/>
      <w:marLeft w:val="0"/>
      <w:marRight w:val="0"/>
      <w:marTop w:val="0"/>
      <w:marBottom w:val="0"/>
      <w:divBdr>
        <w:top w:val="none" w:sz="0" w:space="0" w:color="auto"/>
        <w:left w:val="none" w:sz="0" w:space="0" w:color="auto"/>
        <w:bottom w:val="none" w:sz="0" w:space="0" w:color="auto"/>
        <w:right w:val="none" w:sz="0" w:space="0" w:color="auto"/>
      </w:divBdr>
      <w:divsChild>
        <w:div w:id="908689398">
          <w:marLeft w:val="1166"/>
          <w:marRight w:val="0"/>
          <w:marTop w:val="96"/>
          <w:marBottom w:val="0"/>
          <w:divBdr>
            <w:top w:val="none" w:sz="0" w:space="0" w:color="auto"/>
            <w:left w:val="none" w:sz="0" w:space="0" w:color="auto"/>
            <w:bottom w:val="none" w:sz="0" w:space="0" w:color="auto"/>
            <w:right w:val="none" w:sz="0" w:space="0" w:color="auto"/>
          </w:divBdr>
        </w:div>
        <w:div w:id="1070889637">
          <w:marLeft w:val="1166"/>
          <w:marRight w:val="0"/>
          <w:marTop w:val="96"/>
          <w:marBottom w:val="0"/>
          <w:divBdr>
            <w:top w:val="none" w:sz="0" w:space="0" w:color="auto"/>
            <w:left w:val="none" w:sz="0" w:space="0" w:color="auto"/>
            <w:bottom w:val="none" w:sz="0" w:space="0" w:color="auto"/>
            <w:right w:val="none" w:sz="0" w:space="0" w:color="auto"/>
          </w:divBdr>
        </w:div>
        <w:div w:id="1200624134">
          <w:marLeft w:val="1166"/>
          <w:marRight w:val="0"/>
          <w:marTop w:val="96"/>
          <w:marBottom w:val="0"/>
          <w:divBdr>
            <w:top w:val="none" w:sz="0" w:space="0" w:color="auto"/>
            <w:left w:val="none" w:sz="0" w:space="0" w:color="auto"/>
            <w:bottom w:val="none" w:sz="0" w:space="0" w:color="auto"/>
            <w:right w:val="none" w:sz="0" w:space="0" w:color="auto"/>
          </w:divBdr>
        </w:div>
        <w:div w:id="1284965599">
          <w:marLeft w:val="1166"/>
          <w:marRight w:val="0"/>
          <w:marTop w:val="96"/>
          <w:marBottom w:val="0"/>
          <w:divBdr>
            <w:top w:val="none" w:sz="0" w:space="0" w:color="auto"/>
            <w:left w:val="none" w:sz="0" w:space="0" w:color="auto"/>
            <w:bottom w:val="none" w:sz="0" w:space="0" w:color="auto"/>
            <w:right w:val="none" w:sz="0" w:space="0" w:color="auto"/>
          </w:divBdr>
        </w:div>
        <w:div w:id="1387216637">
          <w:marLeft w:val="1166"/>
          <w:marRight w:val="0"/>
          <w:marTop w:val="96"/>
          <w:marBottom w:val="0"/>
          <w:divBdr>
            <w:top w:val="none" w:sz="0" w:space="0" w:color="auto"/>
            <w:left w:val="none" w:sz="0" w:space="0" w:color="auto"/>
            <w:bottom w:val="none" w:sz="0" w:space="0" w:color="auto"/>
            <w:right w:val="none" w:sz="0" w:space="0" w:color="auto"/>
          </w:divBdr>
        </w:div>
        <w:div w:id="1590894735">
          <w:marLeft w:val="1166"/>
          <w:marRight w:val="0"/>
          <w:marTop w:val="96"/>
          <w:marBottom w:val="0"/>
          <w:divBdr>
            <w:top w:val="none" w:sz="0" w:space="0" w:color="auto"/>
            <w:left w:val="none" w:sz="0" w:space="0" w:color="auto"/>
            <w:bottom w:val="none" w:sz="0" w:space="0" w:color="auto"/>
            <w:right w:val="none" w:sz="0" w:space="0" w:color="auto"/>
          </w:divBdr>
        </w:div>
      </w:divsChild>
    </w:div>
    <w:div w:id="1057976215">
      <w:bodyDiv w:val="1"/>
      <w:marLeft w:val="0"/>
      <w:marRight w:val="0"/>
      <w:marTop w:val="0"/>
      <w:marBottom w:val="0"/>
      <w:divBdr>
        <w:top w:val="none" w:sz="0" w:space="0" w:color="auto"/>
        <w:left w:val="none" w:sz="0" w:space="0" w:color="auto"/>
        <w:bottom w:val="none" w:sz="0" w:space="0" w:color="auto"/>
        <w:right w:val="none" w:sz="0" w:space="0" w:color="auto"/>
      </w:divBdr>
    </w:div>
    <w:div w:id="1371297508">
      <w:bodyDiv w:val="1"/>
      <w:marLeft w:val="0"/>
      <w:marRight w:val="0"/>
      <w:marTop w:val="0"/>
      <w:marBottom w:val="0"/>
      <w:divBdr>
        <w:top w:val="none" w:sz="0" w:space="0" w:color="auto"/>
        <w:left w:val="none" w:sz="0" w:space="0" w:color="auto"/>
        <w:bottom w:val="none" w:sz="0" w:space="0" w:color="auto"/>
        <w:right w:val="none" w:sz="0" w:space="0" w:color="auto"/>
      </w:divBdr>
    </w:div>
    <w:div w:id="1466388811">
      <w:bodyDiv w:val="1"/>
      <w:marLeft w:val="0"/>
      <w:marRight w:val="0"/>
      <w:marTop w:val="0"/>
      <w:marBottom w:val="0"/>
      <w:divBdr>
        <w:top w:val="none" w:sz="0" w:space="0" w:color="auto"/>
        <w:left w:val="none" w:sz="0" w:space="0" w:color="auto"/>
        <w:bottom w:val="none" w:sz="0" w:space="0" w:color="auto"/>
        <w:right w:val="none" w:sz="0" w:space="0" w:color="auto"/>
      </w:divBdr>
    </w:div>
    <w:div w:id="1479421647">
      <w:bodyDiv w:val="1"/>
      <w:marLeft w:val="0"/>
      <w:marRight w:val="0"/>
      <w:marTop w:val="0"/>
      <w:marBottom w:val="0"/>
      <w:divBdr>
        <w:top w:val="none" w:sz="0" w:space="0" w:color="auto"/>
        <w:left w:val="none" w:sz="0" w:space="0" w:color="auto"/>
        <w:bottom w:val="none" w:sz="0" w:space="0" w:color="auto"/>
        <w:right w:val="none" w:sz="0" w:space="0" w:color="auto"/>
      </w:divBdr>
    </w:div>
    <w:div w:id="1510952176">
      <w:bodyDiv w:val="1"/>
      <w:marLeft w:val="0"/>
      <w:marRight w:val="0"/>
      <w:marTop w:val="0"/>
      <w:marBottom w:val="0"/>
      <w:divBdr>
        <w:top w:val="none" w:sz="0" w:space="0" w:color="auto"/>
        <w:left w:val="none" w:sz="0" w:space="0" w:color="auto"/>
        <w:bottom w:val="none" w:sz="0" w:space="0" w:color="auto"/>
        <w:right w:val="none" w:sz="0" w:space="0" w:color="auto"/>
      </w:divBdr>
    </w:div>
    <w:div w:id="1544488881">
      <w:bodyDiv w:val="1"/>
      <w:marLeft w:val="0"/>
      <w:marRight w:val="0"/>
      <w:marTop w:val="0"/>
      <w:marBottom w:val="0"/>
      <w:divBdr>
        <w:top w:val="none" w:sz="0" w:space="0" w:color="auto"/>
        <w:left w:val="none" w:sz="0" w:space="0" w:color="auto"/>
        <w:bottom w:val="none" w:sz="0" w:space="0" w:color="auto"/>
        <w:right w:val="none" w:sz="0" w:space="0" w:color="auto"/>
      </w:divBdr>
    </w:div>
    <w:div w:id="1696997728">
      <w:bodyDiv w:val="1"/>
      <w:marLeft w:val="0"/>
      <w:marRight w:val="0"/>
      <w:marTop w:val="0"/>
      <w:marBottom w:val="0"/>
      <w:divBdr>
        <w:top w:val="none" w:sz="0" w:space="0" w:color="auto"/>
        <w:left w:val="none" w:sz="0" w:space="0" w:color="auto"/>
        <w:bottom w:val="none" w:sz="0" w:space="0" w:color="auto"/>
        <w:right w:val="none" w:sz="0" w:space="0" w:color="auto"/>
      </w:divBdr>
    </w:div>
    <w:div w:id="1700275344">
      <w:bodyDiv w:val="1"/>
      <w:marLeft w:val="0"/>
      <w:marRight w:val="0"/>
      <w:marTop w:val="0"/>
      <w:marBottom w:val="0"/>
      <w:divBdr>
        <w:top w:val="none" w:sz="0" w:space="0" w:color="auto"/>
        <w:left w:val="none" w:sz="0" w:space="0" w:color="auto"/>
        <w:bottom w:val="none" w:sz="0" w:space="0" w:color="auto"/>
        <w:right w:val="none" w:sz="0" w:space="0" w:color="auto"/>
      </w:divBdr>
    </w:div>
    <w:div w:id="1918664047">
      <w:bodyDiv w:val="1"/>
      <w:marLeft w:val="0"/>
      <w:marRight w:val="0"/>
      <w:marTop w:val="0"/>
      <w:marBottom w:val="0"/>
      <w:divBdr>
        <w:top w:val="none" w:sz="0" w:space="0" w:color="auto"/>
        <w:left w:val="none" w:sz="0" w:space="0" w:color="auto"/>
        <w:bottom w:val="none" w:sz="0" w:space="0" w:color="auto"/>
        <w:right w:val="none" w:sz="0" w:space="0" w:color="auto"/>
      </w:divBdr>
    </w:div>
    <w:div w:id="20602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2" TargetMode="External"/><Relationship Id="rId13" Type="http://schemas.openxmlformats.org/officeDocument/2006/relationships/hyperlink" Target="https://www.gov.si/teme/gradbeni-proizvodi/" TargetMode="External"/><Relationship Id="rId18" Type="http://schemas.openxmlformats.org/officeDocument/2006/relationships/hyperlink" Target="https://www.uradni-list.si/glasilo-uradni-list-rs/vsebina/2013-01-3032?sop=2013-01-303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si/teme/gradbeni-proizvodi/" TargetMode="External"/><Relationship Id="rId17" Type="http://schemas.openxmlformats.org/officeDocument/2006/relationships/hyperlink" Target="http://eur-lex.europa.eu/LexUriServ/LexUriServ.do?uri=OJ:L:2011:088:0005:0043:sl:PDF" TargetMode="Externa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construction-products-cpdcpr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gradbeni-proizvod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si/teme/gradbeni-proizvodi/" TargetMode="External"/><Relationship Id="rId23" Type="http://schemas.openxmlformats.org/officeDocument/2006/relationships/fontTable" Target="fontTable.xml"/><Relationship Id="rId10" Type="http://schemas.openxmlformats.org/officeDocument/2006/relationships/hyperlink" Target="https://www.gov.si/zbirke/storitve/vloga-za-pridobitev-odlocbe/" TargetMode="External"/><Relationship Id="rId19" Type="http://schemas.openxmlformats.org/officeDocument/2006/relationships/hyperlink" Target="https://ec.europa.eu/growth/tools-databases/nando/index.cfm" TargetMode="External"/><Relationship Id="rId4" Type="http://schemas.openxmlformats.org/officeDocument/2006/relationships/settings" Target="settings.xml"/><Relationship Id="rId9" Type="http://schemas.openxmlformats.org/officeDocument/2006/relationships/hyperlink" Target="https://www.gov.si/assets/ministrstva/MGRT/Dokumenti/DNT/Proizvodi-na-notranjem-trgu/Obrazec_CPR-AVCP.doc" TargetMode="External"/><Relationship Id="rId14" Type="http://schemas.openxmlformats.org/officeDocument/2006/relationships/hyperlink" Target="https://www.gov.si/drzavni-organi/ministrstva/ministrstvo-za-gospodarski-razvoj-in-tehnologijo/o-ministrstvu/direktorat-za-notranji-t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nova%202012\MGRT_DNT%20-%20sktr_enot_trg_blag.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CDF8-1C6D-457B-B745-A3D66B8C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MGRT_DNT - sktr_enot_trg_blag.dot</Template>
  <TotalTime>1</TotalTime>
  <Pages>15</Pages>
  <Words>6617</Words>
  <Characters>37719</Characters>
  <Application>Microsoft Office Word</Application>
  <DocSecurity>0</DocSecurity>
  <Lines>314</Lines>
  <Paragraphs>88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44248</CharactersWithSpaces>
  <SharedDoc>false</SharedDoc>
  <HLinks>
    <vt:vector size="210" baseType="variant">
      <vt:variant>
        <vt:i4>7405620</vt:i4>
      </vt:variant>
      <vt:variant>
        <vt:i4>174</vt:i4>
      </vt:variant>
      <vt:variant>
        <vt:i4>0</vt:i4>
      </vt:variant>
      <vt:variant>
        <vt:i4>5</vt:i4>
      </vt:variant>
      <vt:variant>
        <vt:lpwstr>https://ec.europa.eu/growth/tools-databases/nando/index.cfm</vt:lpwstr>
      </vt:variant>
      <vt:variant>
        <vt:lpwstr/>
      </vt:variant>
      <vt:variant>
        <vt:i4>2621553</vt:i4>
      </vt:variant>
      <vt:variant>
        <vt:i4>171</vt:i4>
      </vt:variant>
      <vt:variant>
        <vt:i4>0</vt:i4>
      </vt:variant>
      <vt:variant>
        <vt:i4>5</vt:i4>
      </vt:variant>
      <vt:variant>
        <vt:lpwstr>https://www.uradni-list.si/glasilo-uradni-list-rs/vsebina/2013-01-3032?sop=2013-01-3032</vt:lpwstr>
      </vt:variant>
      <vt:variant>
        <vt:lpwstr/>
      </vt:variant>
      <vt:variant>
        <vt:i4>6160393</vt:i4>
      </vt:variant>
      <vt:variant>
        <vt:i4>168</vt:i4>
      </vt:variant>
      <vt:variant>
        <vt:i4>0</vt:i4>
      </vt:variant>
      <vt:variant>
        <vt:i4>5</vt:i4>
      </vt:variant>
      <vt:variant>
        <vt:lpwstr>http://eur-lex.europa.eu/LexUriServ/LexUriServ.do?uri=OJ:L:2011:088:0005:0043:sl:PDF</vt:lpwstr>
      </vt:variant>
      <vt:variant>
        <vt:lpwstr/>
      </vt:variant>
      <vt:variant>
        <vt:i4>1835128</vt:i4>
      </vt:variant>
      <vt:variant>
        <vt:i4>165</vt:i4>
      </vt:variant>
      <vt:variant>
        <vt:i4>0</vt:i4>
      </vt:variant>
      <vt:variant>
        <vt:i4>5</vt:i4>
      </vt:variant>
      <vt:variant>
        <vt:lpwstr>https://ec.europa.eu/growth/single-market/european-standards/harmonised-standards/construction-products-cpdcpr_en</vt:lpwstr>
      </vt:variant>
      <vt:variant>
        <vt:lpwstr/>
      </vt:variant>
      <vt:variant>
        <vt:i4>3080227</vt:i4>
      </vt:variant>
      <vt:variant>
        <vt:i4>162</vt:i4>
      </vt:variant>
      <vt:variant>
        <vt:i4>0</vt:i4>
      </vt:variant>
      <vt:variant>
        <vt:i4>5</vt:i4>
      </vt:variant>
      <vt:variant>
        <vt:lpwstr>https://www.gov.si/teme/gradbeni-proizvodi/</vt:lpwstr>
      </vt:variant>
      <vt:variant>
        <vt:lpwstr/>
      </vt:variant>
      <vt:variant>
        <vt:i4>4653086</vt:i4>
      </vt:variant>
      <vt:variant>
        <vt:i4>159</vt:i4>
      </vt:variant>
      <vt:variant>
        <vt:i4>0</vt:i4>
      </vt:variant>
      <vt:variant>
        <vt:i4>5</vt:i4>
      </vt:variant>
      <vt:variant>
        <vt:lpwstr>https://www.gov.si/drzavni-organi/ministrstva/ministrstvo-za-gospodarski-razvoj-in-tehnologijo/o-ministrstvu/direktorat-za-notranji-trg/</vt:lpwstr>
      </vt:variant>
      <vt:variant>
        <vt:lpwstr/>
      </vt:variant>
      <vt:variant>
        <vt:i4>3080227</vt:i4>
      </vt:variant>
      <vt:variant>
        <vt:i4>156</vt:i4>
      </vt:variant>
      <vt:variant>
        <vt:i4>0</vt:i4>
      </vt:variant>
      <vt:variant>
        <vt:i4>5</vt:i4>
      </vt:variant>
      <vt:variant>
        <vt:lpwstr>https://www.gov.si/teme/gradbeni-proizvodi/</vt:lpwstr>
      </vt:variant>
      <vt:variant>
        <vt:lpwstr/>
      </vt:variant>
      <vt:variant>
        <vt:i4>3080227</vt:i4>
      </vt:variant>
      <vt:variant>
        <vt:i4>153</vt:i4>
      </vt:variant>
      <vt:variant>
        <vt:i4>0</vt:i4>
      </vt:variant>
      <vt:variant>
        <vt:i4>5</vt:i4>
      </vt:variant>
      <vt:variant>
        <vt:lpwstr>https://www.gov.si/teme/gradbeni-proizvodi/</vt:lpwstr>
      </vt:variant>
      <vt:variant>
        <vt:lpwstr/>
      </vt:variant>
      <vt:variant>
        <vt:i4>3080227</vt:i4>
      </vt:variant>
      <vt:variant>
        <vt:i4>150</vt:i4>
      </vt:variant>
      <vt:variant>
        <vt:i4>0</vt:i4>
      </vt:variant>
      <vt:variant>
        <vt:i4>5</vt:i4>
      </vt:variant>
      <vt:variant>
        <vt:lpwstr>https://www.gov.si/teme/gradbeni-proizvodi/</vt:lpwstr>
      </vt:variant>
      <vt:variant>
        <vt:lpwstr/>
      </vt:variant>
      <vt:variant>
        <vt:i4>8126509</vt:i4>
      </vt:variant>
      <vt:variant>
        <vt:i4>147</vt:i4>
      </vt:variant>
      <vt:variant>
        <vt:i4>0</vt:i4>
      </vt:variant>
      <vt:variant>
        <vt:i4>5</vt:i4>
      </vt:variant>
      <vt:variant>
        <vt:lpwstr>https://www.gov.si/zbirke/storitve/vloga-za-pridobitev-odlocbe/</vt:lpwstr>
      </vt:variant>
      <vt:variant>
        <vt:lpwstr/>
      </vt:variant>
      <vt:variant>
        <vt:i4>5963817</vt:i4>
      </vt:variant>
      <vt:variant>
        <vt:i4>144</vt:i4>
      </vt:variant>
      <vt:variant>
        <vt:i4>0</vt:i4>
      </vt:variant>
      <vt:variant>
        <vt:i4>5</vt:i4>
      </vt:variant>
      <vt:variant>
        <vt:lpwstr>https://www.gov.si/assets/ministrstva/MGRT/Dokumenti/DNT/Proizvodi-na-notranjem-trgu/Obrazec_CPR-AVCP.doc</vt:lpwstr>
      </vt:variant>
      <vt:variant>
        <vt:lpwstr/>
      </vt:variant>
      <vt:variant>
        <vt:i4>7733291</vt:i4>
      </vt:variant>
      <vt:variant>
        <vt:i4>141</vt:i4>
      </vt:variant>
      <vt:variant>
        <vt:i4>0</vt:i4>
      </vt:variant>
      <vt:variant>
        <vt:i4>5</vt:i4>
      </vt:variant>
      <vt:variant>
        <vt:lpwstr>http://www.uradni-list.si/1/objava.jsp?sop=2013-01-3032</vt:lpwstr>
      </vt:variant>
      <vt:variant>
        <vt:lpwstr/>
      </vt:variant>
      <vt:variant>
        <vt:i4>1441841</vt:i4>
      </vt:variant>
      <vt:variant>
        <vt:i4>134</vt:i4>
      </vt:variant>
      <vt:variant>
        <vt:i4>0</vt:i4>
      </vt:variant>
      <vt:variant>
        <vt:i4>5</vt:i4>
      </vt:variant>
      <vt:variant>
        <vt:lpwstr/>
      </vt:variant>
      <vt:variant>
        <vt:lpwstr>_Toc92353284</vt:lpwstr>
      </vt:variant>
      <vt:variant>
        <vt:i4>1114161</vt:i4>
      </vt:variant>
      <vt:variant>
        <vt:i4>128</vt:i4>
      </vt:variant>
      <vt:variant>
        <vt:i4>0</vt:i4>
      </vt:variant>
      <vt:variant>
        <vt:i4>5</vt:i4>
      </vt:variant>
      <vt:variant>
        <vt:lpwstr/>
      </vt:variant>
      <vt:variant>
        <vt:lpwstr>_Toc92353283</vt:lpwstr>
      </vt:variant>
      <vt:variant>
        <vt:i4>1048625</vt:i4>
      </vt:variant>
      <vt:variant>
        <vt:i4>122</vt:i4>
      </vt:variant>
      <vt:variant>
        <vt:i4>0</vt:i4>
      </vt:variant>
      <vt:variant>
        <vt:i4>5</vt:i4>
      </vt:variant>
      <vt:variant>
        <vt:lpwstr/>
      </vt:variant>
      <vt:variant>
        <vt:lpwstr>_Toc92353282</vt:lpwstr>
      </vt:variant>
      <vt:variant>
        <vt:i4>1245233</vt:i4>
      </vt:variant>
      <vt:variant>
        <vt:i4>116</vt:i4>
      </vt:variant>
      <vt:variant>
        <vt:i4>0</vt:i4>
      </vt:variant>
      <vt:variant>
        <vt:i4>5</vt:i4>
      </vt:variant>
      <vt:variant>
        <vt:lpwstr/>
      </vt:variant>
      <vt:variant>
        <vt:lpwstr>_Toc92353281</vt:lpwstr>
      </vt:variant>
      <vt:variant>
        <vt:i4>1179697</vt:i4>
      </vt:variant>
      <vt:variant>
        <vt:i4>110</vt:i4>
      </vt:variant>
      <vt:variant>
        <vt:i4>0</vt:i4>
      </vt:variant>
      <vt:variant>
        <vt:i4>5</vt:i4>
      </vt:variant>
      <vt:variant>
        <vt:lpwstr/>
      </vt:variant>
      <vt:variant>
        <vt:lpwstr>_Toc92353280</vt:lpwstr>
      </vt:variant>
      <vt:variant>
        <vt:i4>1769534</vt:i4>
      </vt:variant>
      <vt:variant>
        <vt:i4>104</vt:i4>
      </vt:variant>
      <vt:variant>
        <vt:i4>0</vt:i4>
      </vt:variant>
      <vt:variant>
        <vt:i4>5</vt:i4>
      </vt:variant>
      <vt:variant>
        <vt:lpwstr/>
      </vt:variant>
      <vt:variant>
        <vt:lpwstr>_Toc92353279</vt:lpwstr>
      </vt:variant>
      <vt:variant>
        <vt:i4>1703998</vt:i4>
      </vt:variant>
      <vt:variant>
        <vt:i4>98</vt:i4>
      </vt:variant>
      <vt:variant>
        <vt:i4>0</vt:i4>
      </vt:variant>
      <vt:variant>
        <vt:i4>5</vt:i4>
      </vt:variant>
      <vt:variant>
        <vt:lpwstr/>
      </vt:variant>
      <vt:variant>
        <vt:lpwstr>_Toc92353278</vt:lpwstr>
      </vt:variant>
      <vt:variant>
        <vt:i4>1376318</vt:i4>
      </vt:variant>
      <vt:variant>
        <vt:i4>92</vt:i4>
      </vt:variant>
      <vt:variant>
        <vt:i4>0</vt:i4>
      </vt:variant>
      <vt:variant>
        <vt:i4>5</vt:i4>
      </vt:variant>
      <vt:variant>
        <vt:lpwstr/>
      </vt:variant>
      <vt:variant>
        <vt:lpwstr>_Toc92353277</vt:lpwstr>
      </vt:variant>
      <vt:variant>
        <vt:i4>1310782</vt:i4>
      </vt:variant>
      <vt:variant>
        <vt:i4>86</vt:i4>
      </vt:variant>
      <vt:variant>
        <vt:i4>0</vt:i4>
      </vt:variant>
      <vt:variant>
        <vt:i4>5</vt:i4>
      </vt:variant>
      <vt:variant>
        <vt:lpwstr/>
      </vt:variant>
      <vt:variant>
        <vt:lpwstr>_Toc92353276</vt:lpwstr>
      </vt:variant>
      <vt:variant>
        <vt:i4>1507390</vt:i4>
      </vt:variant>
      <vt:variant>
        <vt:i4>80</vt:i4>
      </vt:variant>
      <vt:variant>
        <vt:i4>0</vt:i4>
      </vt:variant>
      <vt:variant>
        <vt:i4>5</vt:i4>
      </vt:variant>
      <vt:variant>
        <vt:lpwstr/>
      </vt:variant>
      <vt:variant>
        <vt:lpwstr>_Toc92353275</vt:lpwstr>
      </vt:variant>
      <vt:variant>
        <vt:i4>1441854</vt:i4>
      </vt:variant>
      <vt:variant>
        <vt:i4>74</vt:i4>
      </vt:variant>
      <vt:variant>
        <vt:i4>0</vt:i4>
      </vt:variant>
      <vt:variant>
        <vt:i4>5</vt:i4>
      </vt:variant>
      <vt:variant>
        <vt:lpwstr/>
      </vt:variant>
      <vt:variant>
        <vt:lpwstr>_Toc92353274</vt:lpwstr>
      </vt:variant>
      <vt:variant>
        <vt:i4>1114174</vt:i4>
      </vt:variant>
      <vt:variant>
        <vt:i4>68</vt:i4>
      </vt:variant>
      <vt:variant>
        <vt:i4>0</vt:i4>
      </vt:variant>
      <vt:variant>
        <vt:i4>5</vt:i4>
      </vt:variant>
      <vt:variant>
        <vt:lpwstr/>
      </vt:variant>
      <vt:variant>
        <vt:lpwstr>_Toc92353273</vt:lpwstr>
      </vt:variant>
      <vt:variant>
        <vt:i4>1048638</vt:i4>
      </vt:variant>
      <vt:variant>
        <vt:i4>62</vt:i4>
      </vt:variant>
      <vt:variant>
        <vt:i4>0</vt:i4>
      </vt:variant>
      <vt:variant>
        <vt:i4>5</vt:i4>
      </vt:variant>
      <vt:variant>
        <vt:lpwstr/>
      </vt:variant>
      <vt:variant>
        <vt:lpwstr>_Toc92353272</vt:lpwstr>
      </vt:variant>
      <vt:variant>
        <vt:i4>1245246</vt:i4>
      </vt:variant>
      <vt:variant>
        <vt:i4>56</vt:i4>
      </vt:variant>
      <vt:variant>
        <vt:i4>0</vt:i4>
      </vt:variant>
      <vt:variant>
        <vt:i4>5</vt:i4>
      </vt:variant>
      <vt:variant>
        <vt:lpwstr/>
      </vt:variant>
      <vt:variant>
        <vt:lpwstr>_Toc92353271</vt:lpwstr>
      </vt:variant>
      <vt:variant>
        <vt:i4>1179710</vt:i4>
      </vt:variant>
      <vt:variant>
        <vt:i4>50</vt:i4>
      </vt:variant>
      <vt:variant>
        <vt:i4>0</vt:i4>
      </vt:variant>
      <vt:variant>
        <vt:i4>5</vt:i4>
      </vt:variant>
      <vt:variant>
        <vt:lpwstr/>
      </vt:variant>
      <vt:variant>
        <vt:lpwstr>_Toc92353270</vt:lpwstr>
      </vt:variant>
      <vt:variant>
        <vt:i4>1769535</vt:i4>
      </vt:variant>
      <vt:variant>
        <vt:i4>44</vt:i4>
      </vt:variant>
      <vt:variant>
        <vt:i4>0</vt:i4>
      </vt:variant>
      <vt:variant>
        <vt:i4>5</vt:i4>
      </vt:variant>
      <vt:variant>
        <vt:lpwstr/>
      </vt:variant>
      <vt:variant>
        <vt:lpwstr>_Toc92353269</vt:lpwstr>
      </vt:variant>
      <vt:variant>
        <vt:i4>1703999</vt:i4>
      </vt:variant>
      <vt:variant>
        <vt:i4>38</vt:i4>
      </vt:variant>
      <vt:variant>
        <vt:i4>0</vt:i4>
      </vt:variant>
      <vt:variant>
        <vt:i4>5</vt:i4>
      </vt:variant>
      <vt:variant>
        <vt:lpwstr/>
      </vt:variant>
      <vt:variant>
        <vt:lpwstr>_Toc92353268</vt:lpwstr>
      </vt:variant>
      <vt:variant>
        <vt:i4>1376319</vt:i4>
      </vt:variant>
      <vt:variant>
        <vt:i4>32</vt:i4>
      </vt:variant>
      <vt:variant>
        <vt:i4>0</vt:i4>
      </vt:variant>
      <vt:variant>
        <vt:i4>5</vt:i4>
      </vt:variant>
      <vt:variant>
        <vt:lpwstr/>
      </vt:variant>
      <vt:variant>
        <vt:lpwstr>_Toc92353267</vt:lpwstr>
      </vt:variant>
      <vt:variant>
        <vt:i4>1310783</vt:i4>
      </vt:variant>
      <vt:variant>
        <vt:i4>26</vt:i4>
      </vt:variant>
      <vt:variant>
        <vt:i4>0</vt:i4>
      </vt:variant>
      <vt:variant>
        <vt:i4>5</vt:i4>
      </vt:variant>
      <vt:variant>
        <vt:lpwstr/>
      </vt:variant>
      <vt:variant>
        <vt:lpwstr>_Toc92353266</vt:lpwstr>
      </vt:variant>
      <vt:variant>
        <vt:i4>1507391</vt:i4>
      </vt:variant>
      <vt:variant>
        <vt:i4>20</vt:i4>
      </vt:variant>
      <vt:variant>
        <vt:i4>0</vt:i4>
      </vt:variant>
      <vt:variant>
        <vt:i4>5</vt:i4>
      </vt:variant>
      <vt:variant>
        <vt:lpwstr/>
      </vt:variant>
      <vt:variant>
        <vt:lpwstr>_Toc92353265</vt:lpwstr>
      </vt:variant>
      <vt:variant>
        <vt:i4>1441855</vt:i4>
      </vt:variant>
      <vt:variant>
        <vt:i4>14</vt:i4>
      </vt:variant>
      <vt:variant>
        <vt:i4>0</vt:i4>
      </vt:variant>
      <vt:variant>
        <vt:i4>5</vt:i4>
      </vt:variant>
      <vt:variant>
        <vt:lpwstr/>
      </vt:variant>
      <vt:variant>
        <vt:lpwstr>_Toc92353264</vt:lpwstr>
      </vt:variant>
      <vt:variant>
        <vt:i4>1114175</vt:i4>
      </vt:variant>
      <vt:variant>
        <vt:i4>8</vt:i4>
      </vt:variant>
      <vt:variant>
        <vt:i4>0</vt:i4>
      </vt:variant>
      <vt:variant>
        <vt:i4>5</vt:i4>
      </vt:variant>
      <vt:variant>
        <vt:lpwstr/>
      </vt:variant>
      <vt:variant>
        <vt:lpwstr>_Toc92353263</vt:lpwstr>
      </vt:variant>
      <vt:variant>
        <vt:i4>1048639</vt:i4>
      </vt:variant>
      <vt:variant>
        <vt:i4>2</vt:i4>
      </vt:variant>
      <vt:variant>
        <vt:i4>0</vt:i4>
      </vt:variant>
      <vt:variant>
        <vt:i4>5</vt:i4>
      </vt:variant>
      <vt:variant>
        <vt:lpwstr/>
      </vt:variant>
      <vt:variant>
        <vt:lpwstr>_Toc92353262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Irena Možek-Grgurevič</dc:creator>
  <cp:keywords/>
  <cp:lastModifiedBy>Miha Paternoster</cp:lastModifiedBy>
  <cp:revision>3</cp:revision>
  <cp:lastPrinted>2021-12-02T09:29:00Z</cp:lastPrinted>
  <dcterms:created xsi:type="dcterms:W3CDTF">2023-04-19T06:51:00Z</dcterms:created>
  <dcterms:modified xsi:type="dcterms:W3CDTF">2023-04-19T06:52:00Z</dcterms:modified>
</cp:coreProperties>
</file>