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E05" w:rsidRPr="004F7E05" w:rsidRDefault="004F7E05" w:rsidP="00787321">
      <w:pPr>
        <w:pStyle w:val="Default"/>
        <w:rPr>
          <w:b/>
          <w:bCs/>
          <w:sz w:val="20"/>
          <w:szCs w:val="20"/>
        </w:rPr>
      </w:pPr>
      <w:bookmarkStart w:id="0" w:name="_GoBack"/>
      <w:bookmarkEnd w:id="0"/>
      <w:r w:rsidRPr="004F7E05">
        <w:rPr>
          <w:b/>
          <w:bCs/>
          <w:sz w:val="20"/>
          <w:szCs w:val="20"/>
        </w:rPr>
        <w:t xml:space="preserve">Prehodno obdobje pri </w:t>
      </w:r>
      <w:proofErr w:type="spellStart"/>
      <w:r w:rsidRPr="004F7E05">
        <w:rPr>
          <w:b/>
          <w:bCs/>
          <w:sz w:val="20"/>
          <w:szCs w:val="20"/>
        </w:rPr>
        <w:t>neharmoniziranih</w:t>
      </w:r>
      <w:proofErr w:type="spellEnd"/>
      <w:r w:rsidRPr="004F7E05">
        <w:rPr>
          <w:b/>
          <w:bCs/>
          <w:sz w:val="20"/>
          <w:szCs w:val="20"/>
        </w:rPr>
        <w:t xml:space="preserve"> tehničnih specifikacijah </w:t>
      </w:r>
    </w:p>
    <w:p w:rsidR="004F7E05" w:rsidRPr="004F7E05" w:rsidRDefault="004F7E05" w:rsidP="00787321">
      <w:pPr>
        <w:pStyle w:val="Default"/>
        <w:rPr>
          <w:sz w:val="20"/>
          <w:szCs w:val="20"/>
        </w:rPr>
      </w:pPr>
    </w:p>
    <w:p w:rsidR="004F7E05" w:rsidRPr="004F7E05" w:rsidRDefault="004F7E05" w:rsidP="00787321">
      <w:pPr>
        <w:pStyle w:val="Default"/>
        <w:jc w:val="both"/>
        <w:rPr>
          <w:sz w:val="20"/>
          <w:szCs w:val="20"/>
        </w:rPr>
      </w:pPr>
      <w:r w:rsidRPr="004F7E05">
        <w:rPr>
          <w:sz w:val="20"/>
          <w:szCs w:val="20"/>
        </w:rPr>
        <w:t>Prvi odstavek 5. člena Zakona o gradbenih proizvodih (Uradni list RS, št. 82/13</w:t>
      </w:r>
      <w:r w:rsidR="00BD33F6">
        <w:rPr>
          <w:sz w:val="20"/>
          <w:szCs w:val="20"/>
        </w:rPr>
        <w:t>, nadalje ZGPro-1</w:t>
      </w:r>
      <w:r w:rsidRPr="004F7E05">
        <w:rPr>
          <w:sz w:val="20"/>
          <w:szCs w:val="20"/>
        </w:rPr>
        <w:t xml:space="preserve">) določa: </w:t>
      </w:r>
    </w:p>
    <w:p w:rsidR="004F7E05" w:rsidRPr="004F7E05" w:rsidRDefault="004F7E05" w:rsidP="00787321">
      <w:pPr>
        <w:pStyle w:val="Default"/>
        <w:jc w:val="both"/>
        <w:rPr>
          <w:sz w:val="20"/>
          <w:szCs w:val="20"/>
        </w:rPr>
      </w:pPr>
      <w:r w:rsidRPr="004F7E05">
        <w:rPr>
          <w:i/>
          <w:iCs/>
          <w:sz w:val="20"/>
          <w:szCs w:val="20"/>
        </w:rPr>
        <w:t xml:space="preserve">»Če proizvajalec daje na trg gradbeni proizvod, ki ni zajet v harmonizirani tehnični specifikaciji iz 10. točke 2. člena Uredbe 305/2011/EU, mora njegove lastnosti, povezane z bistvenimi značilnostmi, ki se nanašajo na osnovne zahteve za gradbene objekte in v okviru njegove predvidene uporabe, dokazati na podlagi naslednjih tehničnih specifikacij: </w:t>
      </w:r>
    </w:p>
    <w:p w:rsidR="004F7E05" w:rsidRPr="004F7E05" w:rsidRDefault="004F7E05" w:rsidP="00787321">
      <w:pPr>
        <w:pStyle w:val="Default"/>
        <w:jc w:val="both"/>
        <w:rPr>
          <w:sz w:val="20"/>
          <w:szCs w:val="20"/>
        </w:rPr>
      </w:pPr>
      <w:r w:rsidRPr="004F7E05">
        <w:rPr>
          <w:sz w:val="20"/>
          <w:szCs w:val="20"/>
        </w:rPr>
        <w:t xml:space="preserve">– </w:t>
      </w:r>
      <w:r w:rsidRPr="004F7E05">
        <w:rPr>
          <w:i/>
          <w:iCs/>
          <w:sz w:val="20"/>
          <w:szCs w:val="20"/>
        </w:rPr>
        <w:t xml:space="preserve">veljavnih slovenskih nacionalnih standardov, ali </w:t>
      </w:r>
    </w:p>
    <w:p w:rsidR="004F7E05" w:rsidRPr="004F7E05" w:rsidRDefault="004F7E05" w:rsidP="00787321">
      <w:pPr>
        <w:pStyle w:val="Default"/>
        <w:jc w:val="both"/>
        <w:rPr>
          <w:sz w:val="20"/>
          <w:szCs w:val="20"/>
        </w:rPr>
      </w:pPr>
      <w:r w:rsidRPr="004F7E05">
        <w:rPr>
          <w:sz w:val="20"/>
          <w:szCs w:val="20"/>
        </w:rPr>
        <w:t xml:space="preserve">– </w:t>
      </w:r>
      <w:r w:rsidRPr="004F7E05">
        <w:rPr>
          <w:i/>
          <w:iCs/>
          <w:sz w:val="20"/>
          <w:szCs w:val="20"/>
        </w:rPr>
        <w:t xml:space="preserve">slovenskega tehničnega soglasja, ali </w:t>
      </w:r>
    </w:p>
    <w:p w:rsidR="004F7E05" w:rsidRPr="004F7E05" w:rsidRDefault="004F7E05" w:rsidP="00787321">
      <w:pPr>
        <w:pStyle w:val="Default"/>
        <w:jc w:val="both"/>
        <w:rPr>
          <w:sz w:val="20"/>
          <w:szCs w:val="20"/>
        </w:rPr>
      </w:pPr>
      <w:r w:rsidRPr="004F7E05">
        <w:rPr>
          <w:sz w:val="20"/>
          <w:szCs w:val="20"/>
        </w:rPr>
        <w:t xml:space="preserve">– </w:t>
      </w:r>
      <w:r w:rsidRPr="004F7E05">
        <w:rPr>
          <w:i/>
          <w:iCs/>
          <w:sz w:val="20"/>
          <w:szCs w:val="20"/>
        </w:rPr>
        <w:t xml:space="preserve">drugih javno dostopnih tehničnih specifikacij, ki predstavljajo stanje tehnike in tehnologije.« </w:t>
      </w:r>
    </w:p>
    <w:p w:rsidR="004F7E05" w:rsidRPr="004F7E05" w:rsidRDefault="004F7E05" w:rsidP="00787321">
      <w:pPr>
        <w:pStyle w:val="Default"/>
        <w:jc w:val="both"/>
        <w:rPr>
          <w:sz w:val="20"/>
          <w:szCs w:val="20"/>
        </w:rPr>
      </w:pPr>
    </w:p>
    <w:p w:rsidR="004F7E05" w:rsidRDefault="004F7E05" w:rsidP="00787321">
      <w:pPr>
        <w:pStyle w:val="Default"/>
        <w:jc w:val="both"/>
        <w:rPr>
          <w:sz w:val="20"/>
          <w:szCs w:val="20"/>
        </w:rPr>
      </w:pPr>
      <w:r w:rsidRPr="004F7E05">
        <w:rPr>
          <w:sz w:val="20"/>
          <w:szCs w:val="20"/>
        </w:rPr>
        <w:t xml:space="preserve">Kadar proizvajalec pri dajanju na trg uporabi slovenski standard iz prve alineje in je za njegov proizvod izdana nova verzija slovenskega standarda, proizvajalec potrebuje določeno obdobje za prehod na zahteve novega standarda. To je potrebno zaradi prilagoditve proizvodnje in izvedbe vseh postopkov ocenjevanja in preverjanja nespremenljivosti lastnosti (AVCP), kjer mora v postopek pogosto vključiti tudi tretjo stranko (npr. certifikacijski organ). </w:t>
      </w:r>
    </w:p>
    <w:p w:rsidR="00BD33F6" w:rsidRPr="004F7E05" w:rsidRDefault="00BD33F6" w:rsidP="00787321">
      <w:pPr>
        <w:pStyle w:val="Default"/>
        <w:jc w:val="both"/>
        <w:rPr>
          <w:sz w:val="20"/>
          <w:szCs w:val="20"/>
        </w:rPr>
      </w:pPr>
    </w:p>
    <w:p w:rsidR="004F7E05" w:rsidRDefault="004F7E05" w:rsidP="00787321">
      <w:pPr>
        <w:pStyle w:val="Default"/>
        <w:jc w:val="both"/>
        <w:rPr>
          <w:sz w:val="20"/>
          <w:szCs w:val="20"/>
        </w:rPr>
      </w:pPr>
      <w:r w:rsidRPr="004F7E05">
        <w:rPr>
          <w:sz w:val="20"/>
          <w:szCs w:val="20"/>
        </w:rPr>
        <w:t xml:space="preserve">Da bi se izognili praktičnim težavam pri implementaciji evropskih standardov, je pri harmoniziranih standardih uveljavljena praksa (Smernica Evropske komisije: </w:t>
      </w:r>
      <w:proofErr w:type="spellStart"/>
      <w:r w:rsidRPr="004F7E05">
        <w:rPr>
          <w:i/>
          <w:iCs/>
          <w:sz w:val="20"/>
          <w:szCs w:val="20"/>
        </w:rPr>
        <w:t>Guidance</w:t>
      </w:r>
      <w:proofErr w:type="spellEnd"/>
      <w:r w:rsidRPr="004F7E05">
        <w:rPr>
          <w:i/>
          <w:iCs/>
          <w:sz w:val="20"/>
          <w:szCs w:val="20"/>
        </w:rPr>
        <w:t xml:space="preserve"> </w:t>
      </w:r>
      <w:proofErr w:type="spellStart"/>
      <w:r w:rsidRPr="004F7E05">
        <w:rPr>
          <w:i/>
          <w:iCs/>
          <w:sz w:val="20"/>
          <w:szCs w:val="20"/>
        </w:rPr>
        <w:t>Paper</w:t>
      </w:r>
      <w:proofErr w:type="spellEnd"/>
      <w:r w:rsidRPr="004F7E05">
        <w:rPr>
          <w:i/>
          <w:iCs/>
          <w:sz w:val="20"/>
          <w:szCs w:val="20"/>
        </w:rPr>
        <w:t xml:space="preserve"> J</w:t>
      </w:r>
      <w:r w:rsidRPr="004F7E05">
        <w:rPr>
          <w:sz w:val="20"/>
          <w:szCs w:val="20"/>
        </w:rPr>
        <w:t xml:space="preserve">), da se določi datum začetka uporabe (Date </w:t>
      </w:r>
      <w:proofErr w:type="spellStart"/>
      <w:r w:rsidRPr="004F7E05">
        <w:rPr>
          <w:sz w:val="20"/>
          <w:szCs w:val="20"/>
        </w:rPr>
        <w:t>of</w:t>
      </w:r>
      <w:proofErr w:type="spellEnd"/>
      <w:r w:rsidRPr="004F7E05">
        <w:rPr>
          <w:sz w:val="20"/>
          <w:szCs w:val="20"/>
        </w:rPr>
        <w:t xml:space="preserve"> </w:t>
      </w:r>
      <w:proofErr w:type="spellStart"/>
      <w:r w:rsidRPr="004F7E05">
        <w:rPr>
          <w:sz w:val="20"/>
          <w:szCs w:val="20"/>
        </w:rPr>
        <w:t>Applicability</w:t>
      </w:r>
      <w:proofErr w:type="spellEnd"/>
      <w:r w:rsidRPr="004F7E05">
        <w:rPr>
          <w:sz w:val="20"/>
          <w:szCs w:val="20"/>
        </w:rPr>
        <w:t xml:space="preserve">) novega standarda 9 mesecev po datumu, ko ga objavi Evropska organizacija za standardizacijo (CEN). Na ta način se države lahko pripravijo na sprejem in objavo ustreznega nacionalnega standarda, obenem pa se na nove pogoje pripravijo tudi proizvajalci gradbenih proizvodov in preskuševalni oz. certifikacijski organi. Datum obvezne uporabe novega standarda (Date </w:t>
      </w:r>
      <w:proofErr w:type="spellStart"/>
      <w:r w:rsidRPr="004F7E05">
        <w:rPr>
          <w:sz w:val="20"/>
          <w:szCs w:val="20"/>
        </w:rPr>
        <w:t>of</w:t>
      </w:r>
      <w:proofErr w:type="spellEnd"/>
      <w:r w:rsidRPr="004F7E05">
        <w:rPr>
          <w:sz w:val="20"/>
          <w:szCs w:val="20"/>
        </w:rPr>
        <w:t xml:space="preserve"> </w:t>
      </w:r>
      <w:proofErr w:type="spellStart"/>
      <w:r w:rsidRPr="004F7E05">
        <w:rPr>
          <w:sz w:val="20"/>
          <w:szCs w:val="20"/>
        </w:rPr>
        <w:t>Withdrawal</w:t>
      </w:r>
      <w:proofErr w:type="spellEnd"/>
      <w:r w:rsidRPr="004F7E05">
        <w:rPr>
          <w:sz w:val="20"/>
          <w:szCs w:val="20"/>
        </w:rPr>
        <w:t xml:space="preserve">) nastopi 12 mesecev po datumu začetka uporabe. </w:t>
      </w:r>
    </w:p>
    <w:p w:rsidR="00BD33F6" w:rsidRPr="004F7E05" w:rsidRDefault="00BD33F6" w:rsidP="00787321">
      <w:pPr>
        <w:pStyle w:val="Default"/>
        <w:jc w:val="both"/>
        <w:rPr>
          <w:sz w:val="20"/>
          <w:szCs w:val="20"/>
        </w:rPr>
      </w:pPr>
    </w:p>
    <w:p w:rsidR="004F7E05" w:rsidRPr="004F7E05" w:rsidRDefault="004F7E05" w:rsidP="00787321">
      <w:pPr>
        <w:pStyle w:val="Default"/>
        <w:jc w:val="both"/>
        <w:rPr>
          <w:sz w:val="20"/>
          <w:szCs w:val="20"/>
        </w:rPr>
      </w:pPr>
      <w:r w:rsidRPr="004F7E05">
        <w:rPr>
          <w:sz w:val="20"/>
          <w:szCs w:val="20"/>
        </w:rPr>
        <w:t xml:space="preserve">Na podlagi uveljavljene prakse se za standarde iz 1. alineje prvega odstavka 5. člena ZGPro-1 uporabijo naslednja prehodna obdobja: </w:t>
      </w:r>
    </w:p>
    <w:p w:rsidR="004F7E05" w:rsidRPr="004F7E05" w:rsidRDefault="004F7E05" w:rsidP="00CA63EA">
      <w:pPr>
        <w:pStyle w:val="Default"/>
        <w:numPr>
          <w:ilvl w:val="0"/>
          <w:numId w:val="3"/>
        </w:numPr>
        <w:jc w:val="both"/>
        <w:rPr>
          <w:sz w:val="20"/>
          <w:szCs w:val="20"/>
        </w:rPr>
      </w:pPr>
      <w:r w:rsidRPr="004F7E05">
        <w:rPr>
          <w:sz w:val="20"/>
          <w:szCs w:val="20"/>
        </w:rPr>
        <w:t xml:space="preserve">Datum objave: standard je objavljen pri CEN (Date </w:t>
      </w:r>
      <w:proofErr w:type="spellStart"/>
      <w:r w:rsidRPr="004F7E05">
        <w:rPr>
          <w:sz w:val="20"/>
          <w:szCs w:val="20"/>
        </w:rPr>
        <w:t>of</w:t>
      </w:r>
      <w:proofErr w:type="spellEnd"/>
      <w:r w:rsidRPr="004F7E05">
        <w:rPr>
          <w:sz w:val="20"/>
          <w:szCs w:val="20"/>
        </w:rPr>
        <w:t xml:space="preserve"> </w:t>
      </w:r>
      <w:proofErr w:type="spellStart"/>
      <w:r w:rsidRPr="004F7E05">
        <w:rPr>
          <w:sz w:val="20"/>
          <w:szCs w:val="20"/>
        </w:rPr>
        <w:t>Availability</w:t>
      </w:r>
      <w:proofErr w:type="spellEnd"/>
      <w:r w:rsidRPr="004F7E05">
        <w:rPr>
          <w:sz w:val="20"/>
          <w:szCs w:val="20"/>
        </w:rPr>
        <w:t xml:space="preserve">) </w:t>
      </w:r>
    </w:p>
    <w:p w:rsidR="004F7E05" w:rsidRPr="004F7E05" w:rsidRDefault="004F7E05" w:rsidP="00CA63EA">
      <w:pPr>
        <w:pStyle w:val="Default"/>
        <w:numPr>
          <w:ilvl w:val="0"/>
          <w:numId w:val="3"/>
        </w:numPr>
        <w:jc w:val="both"/>
        <w:rPr>
          <w:sz w:val="20"/>
          <w:szCs w:val="20"/>
        </w:rPr>
      </w:pPr>
      <w:r w:rsidRPr="004F7E05">
        <w:rPr>
          <w:sz w:val="20"/>
          <w:szCs w:val="20"/>
        </w:rPr>
        <w:t>Datum možne uporabe: standard je objavljen kot SIST</w:t>
      </w:r>
      <w:r w:rsidR="00BD33F6">
        <w:rPr>
          <w:sz w:val="20"/>
          <w:szCs w:val="20"/>
        </w:rPr>
        <w:t xml:space="preserve"> EN</w:t>
      </w:r>
      <w:r w:rsidRPr="004F7E05">
        <w:rPr>
          <w:sz w:val="20"/>
          <w:szCs w:val="20"/>
        </w:rPr>
        <w:t xml:space="preserve"> pri Slovenskem inštitutu za standardizacijo – do 9 mesecev po datumu objave pri CEN, od tega datuma naprej se lahko uporabljata stari in novi standard </w:t>
      </w:r>
    </w:p>
    <w:p w:rsidR="004F7E05" w:rsidRPr="004F7E05" w:rsidRDefault="004F7E05" w:rsidP="00CA63EA">
      <w:pPr>
        <w:pStyle w:val="Default"/>
        <w:numPr>
          <w:ilvl w:val="0"/>
          <w:numId w:val="3"/>
        </w:numPr>
        <w:jc w:val="both"/>
        <w:rPr>
          <w:sz w:val="20"/>
          <w:szCs w:val="20"/>
        </w:rPr>
      </w:pPr>
      <w:r w:rsidRPr="004F7E05">
        <w:rPr>
          <w:sz w:val="20"/>
          <w:szCs w:val="20"/>
        </w:rPr>
        <w:t xml:space="preserve">Datum obvezne uporabe: obvezna uporaba novega standarda – 12 mesecev po objavi pri </w:t>
      </w:r>
      <w:r w:rsidR="00BD33F6" w:rsidRPr="004F7E05">
        <w:rPr>
          <w:sz w:val="20"/>
          <w:szCs w:val="20"/>
        </w:rPr>
        <w:t>Slovenskem inštitutu za standardizacijo</w:t>
      </w:r>
      <w:r w:rsidRPr="004F7E05">
        <w:rPr>
          <w:sz w:val="20"/>
          <w:szCs w:val="20"/>
        </w:rPr>
        <w:t xml:space="preserve"> </w:t>
      </w:r>
    </w:p>
    <w:p w:rsidR="004F7E05" w:rsidRPr="004F7E05" w:rsidRDefault="004F7E05" w:rsidP="00787321">
      <w:pPr>
        <w:pStyle w:val="Default"/>
        <w:jc w:val="both"/>
        <w:rPr>
          <w:sz w:val="20"/>
          <w:szCs w:val="20"/>
        </w:rPr>
      </w:pPr>
    </w:p>
    <w:p w:rsidR="004F7E05" w:rsidRDefault="004F7E05" w:rsidP="00787321">
      <w:pPr>
        <w:pStyle w:val="Default"/>
        <w:jc w:val="both"/>
        <w:rPr>
          <w:sz w:val="20"/>
          <w:szCs w:val="20"/>
        </w:rPr>
      </w:pPr>
      <w:r w:rsidRPr="004F7E05">
        <w:rPr>
          <w:sz w:val="20"/>
          <w:szCs w:val="20"/>
        </w:rPr>
        <w:t xml:space="preserve">Glede na navedene roke je rok od objave </w:t>
      </w:r>
      <w:r w:rsidR="00BD33F6">
        <w:rPr>
          <w:sz w:val="20"/>
          <w:szCs w:val="20"/>
        </w:rPr>
        <w:t xml:space="preserve">standarda </w:t>
      </w:r>
      <w:r w:rsidRPr="004F7E05">
        <w:rPr>
          <w:sz w:val="20"/>
          <w:szCs w:val="20"/>
        </w:rPr>
        <w:t xml:space="preserve">pri CEN do obvezne uporabe novega standarda </w:t>
      </w:r>
      <w:r w:rsidR="00BD33F6">
        <w:rPr>
          <w:sz w:val="20"/>
          <w:szCs w:val="20"/>
        </w:rPr>
        <w:t xml:space="preserve">v Republiki Sloveniji </w:t>
      </w:r>
      <w:r w:rsidRPr="004F7E05">
        <w:rPr>
          <w:sz w:val="20"/>
          <w:szCs w:val="20"/>
        </w:rPr>
        <w:t xml:space="preserve">okvirno do 21 mesecev. </w:t>
      </w:r>
    </w:p>
    <w:p w:rsidR="00BD33F6" w:rsidRPr="004F7E05" w:rsidRDefault="00BD33F6" w:rsidP="00787321">
      <w:pPr>
        <w:pStyle w:val="Default"/>
        <w:jc w:val="both"/>
        <w:rPr>
          <w:sz w:val="20"/>
          <w:szCs w:val="20"/>
        </w:rPr>
      </w:pPr>
    </w:p>
    <w:p w:rsidR="004F7E05" w:rsidRDefault="004F7E05" w:rsidP="00787321">
      <w:pPr>
        <w:pStyle w:val="Default"/>
        <w:jc w:val="both"/>
        <w:rPr>
          <w:sz w:val="20"/>
          <w:szCs w:val="20"/>
        </w:rPr>
      </w:pPr>
      <w:r w:rsidRPr="004F7E05">
        <w:rPr>
          <w:sz w:val="20"/>
          <w:szCs w:val="20"/>
        </w:rPr>
        <w:t>Proizvajalci v prehodnem obdobju lahko dajo na trg svoje zaloge proizvodov, proizvedenih v skladu z doslej veljavnim standardom. Po izteku prehodnega obdobja se proizvodi, proizvedeni v skladu z doslej veljavnim standardom ne smejo več dajati na trg. Treba je omogočiti zagotavljanje dostopnosti proizvodov, ki se dajo na trg pred koncem prehodnega obdobja.</w:t>
      </w:r>
      <w:r w:rsidR="00BD33F6">
        <w:rPr>
          <w:sz w:val="20"/>
          <w:szCs w:val="20"/>
        </w:rPr>
        <w:t xml:space="preserve"> </w:t>
      </w:r>
      <w:r w:rsidRPr="004F7E05">
        <w:rPr>
          <w:sz w:val="20"/>
          <w:szCs w:val="20"/>
        </w:rPr>
        <w:t xml:space="preserve">Kadar je potrebno zaradi varnosti ali drugih zahtev zakonodaje, se lahko zagotavljanje dostopnosti takih proizvodov prepove. Po koncu prehodnega obdobja se lahko dajo na trg le proizvodi, ki so v celoti skladni z določbami novega standarda. Tak proizvod se na primer še vedno lahko zakonito prodaja po prehodnem obdobju, če je v skladišču distributerja na zalogi z namenom nadaljnje prodaje, to pomeni, da je bil proizvod že na trgu in se je že spremenilo lastništvo. </w:t>
      </w:r>
    </w:p>
    <w:p w:rsidR="00D02386" w:rsidRPr="004F7E05" w:rsidRDefault="00D02386" w:rsidP="00787321">
      <w:pPr>
        <w:pStyle w:val="Default"/>
        <w:jc w:val="both"/>
        <w:rPr>
          <w:sz w:val="20"/>
          <w:szCs w:val="20"/>
        </w:rPr>
      </w:pPr>
    </w:p>
    <w:p w:rsidR="00B4240E" w:rsidRPr="004F7E05" w:rsidRDefault="004F7E05" w:rsidP="00D02386">
      <w:pPr>
        <w:spacing w:after="0" w:line="240" w:lineRule="auto"/>
        <w:jc w:val="both"/>
        <w:rPr>
          <w:rFonts w:ascii="Arial" w:hAnsi="Arial" w:cs="Arial"/>
          <w:sz w:val="20"/>
          <w:szCs w:val="20"/>
        </w:rPr>
      </w:pPr>
      <w:r w:rsidRPr="004F7E05">
        <w:rPr>
          <w:rFonts w:ascii="Arial" w:hAnsi="Arial" w:cs="Arial"/>
          <w:sz w:val="20"/>
          <w:szCs w:val="20"/>
        </w:rPr>
        <w:t>Navodilo se smiselno uporablja tudi v primeru izvirnega slovenskega standarda ali ko je podlaga za slovenski standard mednarodni standard ali standard tuje nacionalne organizacije za standardizacijo. Smiselno se uporablja tudi v primeru drugih javno dostopnih tehničnih specifikacij, ki predstavljajo stanje tehnike in tehnologije.</w:t>
      </w:r>
    </w:p>
    <w:sectPr w:rsidR="00B4240E" w:rsidRPr="004F7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346B0"/>
    <w:multiLevelType w:val="hybridMultilevel"/>
    <w:tmpl w:val="2F7288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2104D3E"/>
    <w:multiLevelType w:val="hybridMultilevel"/>
    <w:tmpl w:val="16E80F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7B3571F1"/>
    <w:multiLevelType w:val="hybridMultilevel"/>
    <w:tmpl w:val="2CD654D8"/>
    <w:lvl w:ilvl="0" w:tplc="0424000F">
      <w:start w:val="1"/>
      <w:numFmt w:val="decimal"/>
      <w:lvlText w:val="%1."/>
      <w:lvlJc w:val="left"/>
      <w:pPr>
        <w:ind w:left="2160" w:hanging="360"/>
      </w:pPr>
      <w:rPr>
        <w:rFonts w:hint="default"/>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E05"/>
    <w:rsid w:val="003D3F65"/>
    <w:rsid w:val="004F7E05"/>
    <w:rsid w:val="007616D6"/>
    <w:rsid w:val="00787321"/>
    <w:rsid w:val="00B4240E"/>
    <w:rsid w:val="00BD33F6"/>
    <w:rsid w:val="00CA63EA"/>
    <w:rsid w:val="00D02386"/>
    <w:rsid w:val="00F558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A6904"/>
  <w15:chartTrackingRefBased/>
  <w15:docId w15:val="{55EC3427-3D8C-4CE1-B83B-7C85BB8C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4F7E0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3120</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Razpotnik</dc:creator>
  <cp:keywords/>
  <cp:lastModifiedBy>Miha Paternoster</cp:lastModifiedBy>
  <cp:revision>2</cp:revision>
  <dcterms:created xsi:type="dcterms:W3CDTF">2022-06-09T07:00:00Z</dcterms:created>
  <dcterms:modified xsi:type="dcterms:W3CDTF">2022-06-09T07:00:00Z</dcterms:modified>
</cp:coreProperties>
</file>