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881" w:rsidRDefault="00DF4D57" w:rsidP="00CD5881">
      <w:pPr>
        <w:jc w:val="both"/>
        <w:rPr>
          <w:rFonts w:cs="Arial"/>
          <w:szCs w:val="20"/>
        </w:rPr>
      </w:pPr>
      <w:r>
        <w:rPr>
          <w:noProof/>
          <w:lang w:eastAsia="sl-SI"/>
        </w:rPr>
        <w:drawing>
          <wp:anchor distT="0" distB="0" distL="114300" distR="114300" simplePos="0" relativeHeight="251659264" behindDoc="0" locked="1" layoutInCell="1" allowOverlap="0" wp14:anchorId="6EDF9122" wp14:editId="11CFBBBE">
            <wp:simplePos x="0" y="0"/>
            <wp:positionH relativeFrom="column">
              <wp:posOffset>-533400</wp:posOffset>
            </wp:positionH>
            <wp:positionV relativeFrom="page">
              <wp:posOffset>563880</wp:posOffset>
            </wp:positionV>
            <wp:extent cx="309245" cy="345440"/>
            <wp:effectExtent l="0" t="0" r="0" b="0"/>
            <wp:wrapNone/>
            <wp:docPr id="7" name="Slika 7"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245" cy="345440"/>
                    </a:xfrm>
                    <a:prstGeom prst="rect">
                      <a:avLst/>
                    </a:prstGeom>
                    <a:noFill/>
                  </pic:spPr>
                </pic:pic>
              </a:graphicData>
            </a:graphic>
            <wp14:sizeRelH relativeFrom="margin">
              <wp14:pctWidth>0</wp14:pctWidth>
            </wp14:sizeRelH>
            <wp14:sizeRelV relativeFrom="margin">
              <wp14:pctHeight>0</wp14:pctHeight>
            </wp14:sizeRelV>
          </wp:anchor>
        </w:drawing>
      </w:r>
    </w:p>
    <w:p w:rsidR="00CD5881" w:rsidRPr="00996B78" w:rsidRDefault="00CD5881" w:rsidP="00CD5881">
      <w:pPr>
        <w:jc w:val="both"/>
        <w:rPr>
          <w:rFonts w:ascii="Arial" w:hAnsi="Arial" w:cs="Arial"/>
          <w:sz w:val="20"/>
          <w:szCs w:val="20"/>
          <w:lang w:eastAsia="sl-SI"/>
        </w:rPr>
      </w:pPr>
      <w:r w:rsidRPr="00996B78">
        <w:rPr>
          <w:rFonts w:ascii="Arial" w:hAnsi="Arial" w:cs="Arial"/>
          <w:sz w:val="20"/>
          <w:szCs w:val="20"/>
          <w:lang w:eastAsia="sl-SI"/>
        </w:rPr>
        <w:t xml:space="preserve">Številka: </w:t>
      </w:r>
      <w:r>
        <w:rPr>
          <w:rFonts w:ascii="Arial" w:hAnsi="Arial" w:cs="Arial"/>
          <w:sz w:val="20"/>
          <w:szCs w:val="20"/>
          <w:lang w:eastAsia="sl-SI"/>
        </w:rPr>
        <w:t xml:space="preserve"> 4300-6/2022/415</w:t>
      </w:r>
    </w:p>
    <w:p w:rsidR="00CD5881" w:rsidRDefault="00CD5881" w:rsidP="00CD5881">
      <w:pPr>
        <w:jc w:val="both"/>
        <w:rPr>
          <w:rFonts w:cs="Arial"/>
          <w:szCs w:val="20"/>
        </w:rPr>
      </w:pPr>
      <w:r w:rsidRPr="00996B78">
        <w:rPr>
          <w:rFonts w:ascii="Arial" w:hAnsi="Arial" w:cs="Arial"/>
          <w:sz w:val="20"/>
          <w:szCs w:val="20"/>
          <w:lang w:eastAsia="sl-SI"/>
        </w:rPr>
        <w:t>Ljubljana,</w:t>
      </w:r>
      <w:r>
        <w:rPr>
          <w:rFonts w:ascii="Arial" w:hAnsi="Arial" w:cs="Arial"/>
          <w:sz w:val="20"/>
          <w:szCs w:val="20"/>
          <w:lang w:eastAsia="sl-SI"/>
        </w:rPr>
        <w:t xml:space="preserve"> 14.12.2022</w:t>
      </w:r>
      <w:r w:rsidRPr="00996B78">
        <w:rPr>
          <w:rFonts w:ascii="Arial" w:hAnsi="Arial" w:cs="Arial"/>
          <w:sz w:val="20"/>
          <w:szCs w:val="20"/>
          <w:lang w:eastAsia="sl-SI"/>
        </w:rPr>
        <w:tab/>
      </w:r>
      <w:r w:rsidRPr="00996B78">
        <w:rPr>
          <w:rFonts w:ascii="Arial" w:hAnsi="Arial" w:cs="Arial"/>
          <w:sz w:val="20"/>
          <w:szCs w:val="20"/>
          <w:lang w:eastAsia="sl-SI"/>
        </w:rPr>
        <w:tab/>
      </w:r>
      <w:r w:rsidRPr="00996B78">
        <w:rPr>
          <w:rFonts w:ascii="Arial" w:hAnsi="Arial" w:cs="Arial"/>
          <w:sz w:val="20"/>
          <w:szCs w:val="20"/>
          <w:lang w:eastAsia="sl-SI"/>
        </w:rPr>
        <w:tab/>
      </w:r>
      <w:r w:rsidRPr="00996B78">
        <w:rPr>
          <w:rFonts w:ascii="Arial" w:hAnsi="Arial" w:cs="Arial"/>
          <w:sz w:val="20"/>
          <w:szCs w:val="20"/>
          <w:lang w:eastAsia="sl-SI"/>
        </w:rPr>
        <w:tab/>
      </w:r>
      <w:r w:rsidRPr="00996B78">
        <w:rPr>
          <w:rFonts w:ascii="Arial" w:hAnsi="Arial" w:cs="Arial"/>
          <w:sz w:val="20"/>
          <w:szCs w:val="20"/>
          <w:lang w:eastAsia="sl-SI"/>
        </w:rPr>
        <w:tab/>
      </w:r>
      <w:r w:rsidRPr="00996B78">
        <w:rPr>
          <w:rFonts w:ascii="Arial" w:hAnsi="Arial" w:cs="Arial"/>
          <w:sz w:val="20"/>
          <w:szCs w:val="20"/>
          <w:lang w:eastAsia="sl-SI"/>
        </w:rPr>
        <w:tab/>
      </w:r>
    </w:p>
    <w:p w:rsidR="00CD5881" w:rsidRDefault="00CD5881" w:rsidP="00CD5881">
      <w:pPr>
        <w:jc w:val="both"/>
        <w:rPr>
          <w:rFonts w:cs="Arial"/>
          <w:szCs w:val="20"/>
        </w:rPr>
      </w:pPr>
    </w:p>
    <w:p w:rsidR="00CD5881" w:rsidRDefault="00CD5881" w:rsidP="00CD5881">
      <w:pPr>
        <w:jc w:val="both"/>
        <w:rPr>
          <w:rFonts w:cs="Arial"/>
          <w:szCs w:val="20"/>
        </w:rPr>
      </w:pPr>
    </w:p>
    <w:p w:rsidR="00CD5881" w:rsidRDefault="00CD5881" w:rsidP="00CD5881">
      <w:pPr>
        <w:jc w:val="both"/>
        <w:rPr>
          <w:rFonts w:cs="Arial"/>
          <w:szCs w:val="20"/>
        </w:rPr>
      </w:pPr>
    </w:p>
    <w:p w:rsidR="00CD5881" w:rsidRPr="00996B78" w:rsidRDefault="00CD5881" w:rsidP="00CD5881">
      <w:pPr>
        <w:jc w:val="both"/>
        <w:rPr>
          <w:rFonts w:ascii="Arial" w:hAnsi="Arial" w:cs="Arial"/>
          <w:sz w:val="20"/>
          <w:szCs w:val="20"/>
        </w:rPr>
      </w:pPr>
      <w:r w:rsidRPr="00996B78">
        <w:rPr>
          <w:rFonts w:ascii="Arial" w:hAnsi="Arial" w:cs="Arial"/>
          <w:sz w:val="20"/>
          <w:szCs w:val="20"/>
        </w:rPr>
        <w:t>Republika Slovenija, Ministrstvo za gospodarski razvoj in tehnologijo, Kotnikova ulica 5, Ljubljana objavlja</w:t>
      </w:r>
    </w:p>
    <w:p w:rsidR="00CD5881" w:rsidRPr="00996B78" w:rsidRDefault="00CD5881" w:rsidP="00CD5881">
      <w:pPr>
        <w:jc w:val="both"/>
        <w:rPr>
          <w:rFonts w:ascii="Arial" w:hAnsi="Arial" w:cs="Arial"/>
          <w:sz w:val="20"/>
          <w:szCs w:val="20"/>
        </w:rPr>
      </w:pPr>
    </w:p>
    <w:p w:rsidR="00CD5881" w:rsidRPr="00996B78" w:rsidRDefault="00CD5881" w:rsidP="00CD5881">
      <w:pPr>
        <w:pStyle w:val="Brezrazmikov"/>
        <w:jc w:val="both"/>
        <w:rPr>
          <w:rFonts w:ascii="Arial" w:hAnsi="Arial" w:cs="Arial"/>
          <w:b/>
          <w:sz w:val="20"/>
          <w:szCs w:val="20"/>
          <w:lang w:eastAsia="sl-SI"/>
        </w:rPr>
      </w:pPr>
      <w:r w:rsidRPr="00996B78">
        <w:rPr>
          <w:rFonts w:ascii="Arial" w:hAnsi="Arial" w:cs="Arial"/>
          <w:b/>
          <w:sz w:val="20"/>
          <w:szCs w:val="20"/>
        </w:rPr>
        <w:t xml:space="preserve">spremembo </w:t>
      </w:r>
      <w:r>
        <w:rPr>
          <w:rFonts w:ascii="Arial" w:hAnsi="Arial" w:cs="Arial"/>
          <w:b/>
          <w:sz w:val="20"/>
          <w:szCs w:val="20"/>
          <w:lang w:eastAsia="sl-SI"/>
        </w:rPr>
        <w:t>J</w:t>
      </w:r>
      <w:r w:rsidR="00590015">
        <w:rPr>
          <w:rFonts w:ascii="Arial" w:hAnsi="Arial" w:cs="Arial"/>
          <w:b/>
          <w:sz w:val="20"/>
          <w:szCs w:val="20"/>
          <w:lang w:eastAsia="sl-SI"/>
        </w:rPr>
        <w:t xml:space="preserve">avnega </w:t>
      </w:r>
      <w:bookmarkStart w:id="0" w:name="_GoBack"/>
      <w:bookmarkEnd w:id="0"/>
      <w:r w:rsidRPr="00996B78">
        <w:rPr>
          <w:rFonts w:ascii="Arial" w:hAnsi="Arial" w:cs="Arial"/>
          <w:b/>
          <w:sz w:val="20"/>
          <w:szCs w:val="20"/>
          <w:lang w:eastAsia="sl-SI"/>
        </w:rPr>
        <w:t>razpisa za spodbujanje večje predelave lesa za hitrejši prehod v podnebno nevtralno družbo (NOO LES)</w:t>
      </w:r>
      <w:r>
        <w:rPr>
          <w:rFonts w:ascii="Arial" w:hAnsi="Arial" w:cs="Arial"/>
          <w:b/>
          <w:sz w:val="20"/>
          <w:szCs w:val="20"/>
          <w:lang w:eastAsia="sl-SI"/>
        </w:rPr>
        <w:t>.</w:t>
      </w:r>
    </w:p>
    <w:p w:rsidR="00CD5881" w:rsidRPr="00996B78" w:rsidRDefault="00CD5881" w:rsidP="00CD5881">
      <w:pPr>
        <w:jc w:val="both"/>
        <w:rPr>
          <w:rFonts w:ascii="Arial" w:hAnsi="Arial" w:cs="Arial"/>
          <w:sz w:val="20"/>
          <w:szCs w:val="20"/>
        </w:rPr>
      </w:pPr>
    </w:p>
    <w:p w:rsidR="00CD5881" w:rsidRPr="00996B78" w:rsidRDefault="00CD5881" w:rsidP="00CD5881">
      <w:pPr>
        <w:jc w:val="both"/>
        <w:rPr>
          <w:rFonts w:ascii="Arial" w:hAnsi="Arial" w:cs="Arial"/>
          <w:sz w:val="20"/>
          <w:szCs w:val="20"/>
        </w:rPr>
      </w:pPr>
    </w:p>
    <w:p w:rsidR="00CD5881" w:rsidRPr="00996B78" w:rsidRDefault="00CD5881" w:rsidP="00CD5881">
      <w:pPr>
        <w:jc w:val="both"/>
        <w:rPr>
          <w:rFonts w:ascii="Arial" w:hAnsi="Arial" w:cs="Arial"/>
          <w:noProof/>
          <w:sz w:val="20"/>
          <w:szCs w:val="20"/>
        </w:rPr>
      </w:pPr>
      <w:r w:rsidRPr="00996B78">
        <w:rPr>
          <w:rFonts w:ascii="Arial" w:hAnsi="Arial" w:cs="Arial"/>
          <w:sz w:val="20"/>
          <w:szCs w:val="20"/>
        </w:rPr>
        <w:t xml:space="preserve">V </w:t>
      </w:r>
      <w:r>
        <w:rPr>
          <w:rFonts w:ascii="Arial" w:hAnsi="Arial" w:cs="Arial"/>
          <w:sz w:val="20"/>
          <w:szCs w:val="20"/>
        </w:rPr>
        <w:t>J</w:t>
      </w:r>
      <w:r w:rsidRPr="00996B78">
        <w:rPr>
          <w:rFonts w:ascii="Arial" w:hAnsi="Arial" w:cs="Arial"/>
          <w:sz w:val="20"/>
          <w:szCs w:val="20"/>
        </w:rPr>
        <w:t>avnem razpisu</w:t>
      </w:r>
      <w:r w:rsidRPr="00996B78">
        <w:rPr>
          <w:rFonts w:ascii="Arial" w:eastAsia="Times New Roman" w:hAnsi="Arial" w:cs="Arial"/>
          <w:bCs/>
          <w:sz w:val="20"/>
          <w:szCs w:val="20"/>
          <w:lang w:eastAsia="sl-SI"/>
        </w:rPr>
        <w:t xml:space="preserve"> za spodbujanje večje predelave lesa za hitrejši prehod v podnebno nevtralno družbo (NOO LES) </w:t>
      </w:r>
      <w:r w:rsidRPr="00996B78">
        <w:rPr>
          <w:rFonts w:ascii="Arial" w:hAnsi="Arial" w:cs="Arial"/>
          <w:sz w:val="20"/>
          <w:szCs w:val="20"/>
        </w:rPr>
        <w:t>(</w:t>
      </w:r>
      <w:r w:rsidRPr="00996B78">
        <w:rPr>
          <w:rFonts w:ascii="Arial" w:hAnsi="Arial" w:cs="Arial"/>
          <w:noProof/>
          <w:sz w:val="20"/>
          <w:szCs w:val="20"/>
        </w:rPr>
        <w:t>Uradni list RS, št. 43/22 z dne 25.3. 2022) se:</w:t>
      </w:r>
    </w:p>
    <w:p w:rsidR="00CD5881" w:rsidRPr="00996B78" w:rsidRDefault="00CD5881" w:rsidP="00CD5881">
      <w:pPr>
        <w:jc w:val="both"/>
        <w:rPr>
          <w:rFonts w:ascii="Arial" w:hAnsi="Arial" w:cs="Arial"/>
          <w:noProof/>
          <w:sz w:val="20"/>
          <w:szCs w:val="20"/>
        </w:rPr>
      </w:pPr>
    </w:p>
    <w:p w:rsidR="00CD5881" w:rsidRPr="00996B78" w:rsidRDefault="00CD5881" w:rsidP="00CD5881">
      <w:pPr>
        <w:jc w:val="both"/>
        <w:rPr>
          <w:rFonts w:ascii="Arial" w:hAnsi="Arial" w:cs="Arial"/>
          <w:noProof/>
          <w:sz w:val="20"/>
          <w:szCs w:val="20"/>
        </w:rPr>
      </w:pPr>
    </w:p>
    <w:p w:rsidR="00CD5881" w:rsidRPr="00996B78" w:rsidRDefault="00CD5881" w:rsidP="00CD5881">
      <w:pPr>
        <w:jc w:val="both"/>
        <w:rPr>
          <w:rFonts w:ascii="Arial" w:hAnsi="Arial" w:cs="Arial"/>
          <w:b/>
          <w:noProof/>
          <w:sz w:val="20"/>
          <w:szCs w:val="20"/>
        </w:rPr>
      </w:pPr>
      <w:r w:rsidRPr="00996B78">
        <w:rPr>
          <w:rFonts w:ascii="Arial" w:hAnsi="Arial" w:cs="Arial"/>
          <w:b/>
          <w:noProof/>
          <w:sz w:val="20"/>
          <w:szCs w:val="20"/>
        </w:rPr>
        <w:t>V točki 1  »Pravn</w:t>
      </w:r>
      <w:r>
        <w:rPr>
          <w:rFonts w:ascii="Arial" w:hAnsi="Arial" w:cs="Arial"/>
          <w:b/>
          <w:noProof/>
          <w:sz w:val="20"/>
          <w:szCs w:val="20"/>
        </w:rPr>
        <w:t>e</w:t>
      </w:r>
      <w:r w:rsidRPr="00996B78">
        <w:rPr>
          <w:rFonts w:ascii="Arial" w:hAnsi="Arial" w:cs="Arial"/>
          <w:b/>
          <w:noProof/>
          <w:sz w:val="20"/>
          <w:szCs w:val="20"/>
        </w:rPr>
        <w:t xml:space="preserve"> podlag</w:t>
      </w:r>
      <w:r>
        <w:rPr>
          <w:rFonts w:ascii="Arial" w:hAnsi="Arial" w:cs="Arial"/>
          <w:b/>
          <w:noProof/>
          <w:sz w:val="20"/>
          <w:szCs w:val="20"/>
        </w:rPr>
        <w:t>e</w:t>
      </w:r>
      <w:r w:rsidRPr="00996B78">
        <w:rPr>
          <w:rFonts w:ascii="Arial" w:hAnsi="Arial" w:cs="Arial"/>
          <w:b/>
          <w:noProof/>
          <w:sz w:val="20"/>
          <w:szCs w:val="20"/>
        </w:rPr>
        <w:t xml:space="preserve">« </w:t>
      </w:r>
      <w:r>
        <w:rPr>
          <w:rFonts w:ascii="Arial" w:hAnsi="Arial" w:cs="Arial"/>
          <w:b/>
          <w:noProof/>
          <w:sz w:val="20"/>
          <w:szCs w:val="20"/>
        </w:rPr>
        <w:t>za zadnjo alinejo</w:t>
      </w:r>
      <w:r w:rsidRPr="00996B78">
        <w:rPr>
          <w:rFonts w:ascii="Arial" w:hAnsi="Arial" w:cs="Arial"/>
          <w:b/>
          <w:noProof/>
          <w:sz w:val="20"/>
          <w:szCs w:val="20"/>
        </w:rPr>
        <w:t xml:space="preserve"> dodata novi alineji,  ki se glasita:</w:t>
      </w:r>
    </w:p>
    <w:p w:rsidR="00CD5881" w:rsidRPr="00996B78" w:rsidRDefault="00CD5881" w:rsidP="00CD5881">
      <w:pPr>
        <w:jc w:val="both"/>
        <w:rPr>
          <w:rFonts w:ascii="Arial" w:hAnsi="Arial" w:cs="Arial"/>
          <w:noProof/>
          <w:sz w:val="20"/>
          <w:szCs w:val="20"/>
        </w:rPr>
      </w:pPr>
    </w:p>
    <w:p w:rsidR="00CD5881" w:rsidRPr="00996B78" w:rsidRDefault="00CD5881" w:rsidP="00CD5881">
      <w:pPr>
        <w:jc w:val="both"/>
        <w:rPr>
          <w:rFonts w:ascii="Arial" w:hAnsi="Arial" w:cs="Arial"/>
          <w:sz w:val="20"/>
          <w:szCs w:val="20"/>
        </w:rPr>
      </w:pPr>
      <w:r w:rsidRPr="00996B78">
        <w:rPr>
          <w:rFonts w:ascii="Arial" w:hAnsi="Arial" w:cs="Arial"/>
          <w:noProof/>
          <w:sz w:val="20"/>
          <w:szCs w:val="20"/>
        </w:rPr>
        <w:t xml:space="preserve">»- </w:t>
      </w:r>
      <w:r w:rsidRPr="00996B78">
        <w:rPr>
          <w:rFonts w:ascii="Arial" w:hAnsi="Arial" w:cs="Arial"/>
          <w:sz w:val="20"/>
          <w:szCs w:val="20"/>
        </w:rPr>
        <w:t xml:space="preserve">Sporazum št. 2550-22-311072 o sodelovanju pri izvajanju ukrepa »Subvencije za domače in tuje investicije v dejavnostih, pomembnih za prehod v </w:t>
      </w:r>
      <w:proofErr w:type="spellStart"/>
      <w:r w:rsidRPr="00996B78">
        <w:rPr>
          <w:rFonts w:ascii="Arial" w:hAnsi="Arial" w:cs="Arial"/>
          <w:sz w:val="20"/>
          <w:szCs w:val="20"/>
        </w:rPr>
        <w:t>nizkoogljično</w:t>
      </w:r>
      <w:proofErr w:type="spellEnd"/>
      <w:r w:rsidRPr="00996B78">
        <w:rPr>
          <w:rFonts w:ascii="Arial" w:hAnsi="Arial" w:cs="Arial"/>
          <w:sz w:val="20"/>
          <w:szCs w:val="20"/>
        </w:rPr>
        <w:t>, krožno in podnebno odporno gospodarstvo (v nadaljevanju: sporazum)</w:t>
      </w:r>
      <w:r>
        <w:rPr>
          <w:rFonts w:ascii="Arial" w:hAnsi="Arial" w:cs="Arial"/>
          <w:sz w:val="20"/>
          <w:szCs w:val="20"/>
        </w:rPr>
        <w:t>, z dne 2. 12. 2022,</w:t>
      </w:r>
    </w:p>
    <w:p w:rsidR="00CD5881" w:rsidRPr="00996B78" w:rsidRDefault="00CD5881" w:rsidP="00CD5881">
      <w:pPr>
        <w:jc w:val="both"/>
        <w:rPr>
          <w:rFonts w:ascii="Arial" w:hAnsi="Arial" w:cs="Arial"/>
          <w:sz w:val="20"/>
          <w:szCs w:val="20"/>
        </w:rPr>
      </w:pPr>
      <w:r w:rsidRPr="00996B78">
        <w:rPr>
          <w:rFonts w:ascii="Arial" w:hAnsi="Arial" w:cs="Arial"/>
          <w:sz w:val="20"/>
          <w:szCs w:val="20"/>
        </w:rPr>
        <w:t>-</w:t>
      </w:r>
      <w:r>
        <w:rPr>
          <w:rFonts w:ascii="Arial" w:hAnsi="Arial" w:cs="Arial"/>
          <w:sz w:val="20"/>
          <w:szCs w:val="20"/>
        </w:rPr>
        <w:t xml:space="preserve"> </w:t>
      </w:r>
      <w:r w:rsidRPr="00996B78">
        <w:rPr>
          <w:rFonts w:ascii="Arial" w:hAnsi="Arial" w:cs="Arial"/>
          <w:sz w:val="20"/>
          <w:szCs w:val="20"/>
        </w:rPr>
        <w:t>Odlok o Programu porabe sredstev Sklada za podnebne spremembe za leti 2022 in 2023 (Uradni list RS, št. 138/22; v nadaljevanju: Program)</w:t>
      </w:r>
      <w:r>
        <w:rPr>
          <w:rFonts w:ascii="Arial" w:hAnsi="Arial" w:cs="Arial"/>
          <w:sz w:val="20"/>
          <w:szCs w:val="20"/>
        </w:rPr>
        <w:t>.</w:t>
      </w:r>
      <w:r w:rsidRPr="00996B78">
        <w:rPr>
          <w:rFonts w:ascii="Arial" w:hAnsi="Arial" w:cs="Arial"/>
          <w:sz w:val="20"/>
          <w:szCs w:val="20"/>
        </w:rPr>
        <w:t>«.</w:t>
      </w:r>
    </w:p>
    <w:p w:rsidR="00CD5881" w:rsidRPr="00996B78" w:rsidRDefault="00CD5881" w:rsidP="00CD5881">
      <w:pPr>
        <w:pStyle w:val="Odstavekseznama"/>
        <w:spacing w:line="260" w:lineRule="atLeast"/>
        <w:ind w:left="360"/>
        <w:jc w:val="both"/>
        <w:rPr>
          <w:rFonts w:ascii="Arial" w:hAnsi="Arial" w:cs="Arial"/>
        </w:rPr>
      </w:pPr>
    </w:p>
    <w:p w:rsidR="00CD5881" w:rsidRPr="00996B78" w:rsidRDefault="00CD5881" w:rsidP="00CD5881">
      <w:pPr>
        <w:jc w:val="both"/>
        <w:rPr>
          <w:rFonts w:ascii="Arial" w:hAnsi="Arial" w:cs="Arial"/>
          <w:b/>
          <w:noProof/>
          <w:sz w:val="20"/>
          <w:szCs w:val="20"/>
        </w:rPr>
      </w:pPr>
      <w:r w:rsidRPr="00996B78">
        <w:rPr>
          <w:rFonts w:ascii="Arial" w:hAnsi="Arial" w:cs="Arial"/>
          <w:b/>
          <w:noProof/>
          <w:sz w:val="20"/>
          <w:szCs w:val="20"/>
        </w:rPr>
        <w:t>Točka 2 »Naziv in sedež nosilnega organa, ki dodeljuje sredstva«  spremeni tako, da se glasi:</w:t>
      </w:r>
    </w:p>
    <w:p w:rsidR="00CD5881" w:rsidRPr="00996B78" w:rsidRDefault="00CD5881" w:rsidP="00CD5881">
      <w:pPr>
        <w:jc w:val="both"/>
        <w:rPr>
          <w:rFonts w:ascii="Arial" w:hAnsi="Arial" w:cs="Arial"/>
          <w:b/>
          <w:noProof/>
          <w:sz w:val="20"/>
          <w:szCs w:val="20"/>
        </w:rPr>
      </w:pPr>
    </w:p>
    <w:p w:rsidR="00CD5881" w:rsidRPr="00996B78" w:rsidRDefault="00CD5881" w:rsidP="00CD5881">
      <w:pPr>
        <w:spacing w:line="260" w:lineRule="atLeast"/>
        <w:jc w:val="both"/>
        <w:rPr>
          <w:rFonts w:ascii="Arial" w:eastAsiaTheme="minorEastAsia" w:hAnsi="Arial" w:cs="Arial"/>
          <w:sz w:val="20"/>
          <w:szCs w:val="20"/>
        </w:rPr>
      </w:pPr>
      <w:r w:rsidRPr="00996B78">
        <w:rPr>
          <w:rFonts w:ascii="Arial" w:eastAsiaTheme="minorEastAsia" w:hAnsi="Arial" w:cs="Arial"/>
          <w:sz w:val="20"/>
          <w:szCs w:val="20"/>
        </w:rPr>
        <w:t>»Neposredni proračunski uporabnik je Republika Slovenija, Ministrstvo za gospodarski razvoj in tehnologijo, Kotnikova ulica 5, 1000 Ljubljana (v nadaljevanju: ministrstvo)  Ministrstvo nastopa pri izvedbi tega javnega razpisa v vlogi nosilnega organa in izvajalca javnega razpisa. Za sredstva Programa je neposredni proračunski porabnik Republika Slovenija, Ministrstvo za okolje in prostor, Dunajska cesta 48 (v nadaljevanju: MOP)</w:t>
      </w:r>
      <w:r>
        <w:rPr>
          <w:rFonts w:ascii="Arial" w:eastAsiaTheme="minorEastAsia" w:hAnsi="Arial" w:cs="Arial"/>
          <w:sz w:val="20"/>
          <w:szCs w:val="20"/>
        </w:rPr>
        <w:t>.</w:t>
      </w:r>
    </w:p>
    <w:p w:rsidR="00CD5881" w:rsidRPr="00996B78" w:rsidRDefault="00CD5881" w:rsidP="00CD5881">
      <w:pPr>
        <w:spacing w:line="260" w:lineRule="atLeast"/>
        <w:jc w:val="both"/>
        <w:rPr>
          <w:rFonts w:ascii="Arial" w:hAnsi="Arial" w:cs="Arial"/>
          <w:noProof/>
          <w:sz w:val="20"/>
          <w:szCs w:val="20"/>
        </w:rPr>
      </w:pPr>
    </w:p>
    <w:p w:rsidR="00CD5881" w:rsidRPr="00996B78" w:rsidRDefault="00CD5881" w:rsidP="00CD5881">
      <w:pPr>
        <w:spacing w:line="260" w:lineRule="atLeast"/>
        <w:jc w:val="both"/>
        <w:rPr>
          <w:rFonts w:ascii="Arial" w:eastAsiaTheme="minorEastAsia" w:hAnsi="Arial" w:cs="Arial"/>
          <w:color w:val="000000" w:themeColor="text1"/>
          <w:sz w:val="20"/>
          <w:szCs w:val="20"/>
        </w:rPr>
      </w:pPr>
      <w:r w:rsidRPr="00996B78">
        <w:rPr>
          <w:rFonts w:ascii="Arial" w:eastAsiaTheme="minorEastAsia" w:hAnsi="Arial" w:cs="Arial"/>
          <w:sz w:val="20"/>
          <w:szCs w:val="20"/>
        </w:rPr>
        <w:t xml:space="preserve">Finančna sredstva za izvedbo javnega razpisa zagotavljajo  Evropska unija iz naslova Sklada za okrevanje in odpornost oziroma se pravice porabe zagotavljajo iz podračuna, s katerim upravlja organ v sestavi Ministrstva za finance, Urad Republike Slovenije za okrevanje in odpornost (dalje: URSOO) in na kateremu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in je objavljen na: https://www.eu-skladi.si/sl/po-2020/nacrt-za-okrevanje-in-krepitev-odpornosti (v nadaljevanju: </w:t>
      </w:r>
      <w:r w:rsidRPr="00996B78">
        <w:rPr>
          <w:rFonts w:ascii="Arial" w:eastAsiaTheme="minorEastAsia" w:hAnsi="Arial" w:cs="Arial"/>
          <w:color w:val="000000" w:themeColor="text1"/>
          <w:sz w:val="20"/>
          <w:szCs w:val="20"/>
        </w:rPr>
        <w:t>NOO) ter MOP iz proračunske postavke 559 – Sklad za podnebne spremembe na osnovi sporazuma.</w:t>
      </w:r>
      <w:r>
        <w:rPr>
          <w:rFonts w:ascii="Arial" w:eastAsiaTheme="minorEastAsia" w:hAnsi="Arial" w:cs="Arial"/>
          <w:color w:val="000000" w:themeColor="text1"/>
          <w:sz w:val="20"/>
          <w:szCs w:val="20"/>
        </w:rPr>
        <w:t>«.</w:t>
      </w:r>
      <w:r w:rsidRPr="00996B78">
        <w:rPr>
          <w:rFonts w:ascii="Arial" w:eastAsiaTheme="minorEastAsia" w:hAnsi="Arial" w:cs="Arial"/>
          <w:color w:val="000000" w:themeColor="text1"/>
          <w:sz w:val="20"/>
          <w:szCs w:val="20"/>
        </w:rPr>
        <w:t xml:space="preserve"> </w:t>
      </w:r>
    </w:p>
    <w:p w:rsidR="00CD5881" w:rsidRPr="00996B78" w:rsidRDefault="00CD5881" w:rsidP="00CD5881">
      <w:pPr>
        <w:jc w:val="both"/>
        <w:rPr>
          <w:rFonts w:ascii="Arial" w:hAnsi="Arial" w:cs="Arial"/>
          <w:noProof/>
          <w:sz w:val="20"/>
          <w:szCs w:val="20"/>
        </w:rPr>
      </w:pPr>
    </w:p>
    <w:p w:rsidR="00CD5881" w:rsidRPr="00996B78" w:rsidRDefault="00CD5881" w:rsidP="00CD5881">
      <w:pPr>
        <w:jc w:val="both"/>
        <w:rPr>
          <w:rFonts w:ascii="Arial" w:hAnsi="Arial" w:cs="Arial"/>
          <w:b/>
          <w:noProof/>
          <w:sz w:val="20"/>
          <w:szCs w:val="20"/>
        </w:rPr>
      </w:pPr>
      <w:r w:rsidRPr="00996B78">
        <w:rPr>
          <w:rFonts w:ascii="Arial" w:hAnsi="Arial" w:cs="Arial"/>
          <w:b/>
          <w:noProof/>
          <w:sz w:val="20"/>
          <w:szCs w:val="20"/>
        </w:rPr>
        <w:t xml:space="preserve">V točki 6 »Pogoji za kandidiranje«  šesti odstavek spremeni tako, da se glasi: </w:t>
      </w:r>
    </w:p>
    <w:p w:rsidR="00CD5881" w:rsidRPr="00996B78" w:rsidRDefault="00CD5881" w:rsidP="00CD5881">
      <w:pPr>
        <w:jc w:val="both"/>
        <w:rPr>
          <w:rFonts w:ascii="Arial" w:hAnsi="Arial" w:cs="Arial"/>
          <w:b/>
          <w:noProof/>
          <w:sz w:val="20"/>
          <w:szCs w:val="20"/>
        </w:rPr>
      </w:pPr>
    </w:p>
    <w:p w:rsidR="00CD5881" w:rsidRPr="00996B78" w:rsidRDefault="00CD5881" w:rsidP="00CD5881">
      <w:pPr>
        <w:spacing w:line="260" w:lineRule="atLeast"/>
        <w:jc w:val="both"/>
        <w:rPr>
          <w:rFonts w:ascii="Arial" w:hAnsi="Arial" w:cs="Arial"/>
          <w:color w:val="000000" w:themeColor="text1"/>
          <w:sz w:val="20"/>
          <w:szCs w:val="20"/>
        </w:rPr>
      </w:pPr>
      <w:r w:rsidRPr="00996B78">
        <w:rPr>
          <w:rFonts w:ascii="Arial" w:hAnsi="Arial" w:cs="Arial"/>
          <w:color w:val="000000" w:themeColor="text1"/>
          <w:sz w:val="20"/>
          <w:szCs w:val="20"/>
        </w:rPr>
        <w:t xml:space="preserve">» V primeru, da se neizpolnjevanje pogojev ugotovi po podpisu pogodbe o dodelitvi sredstev, lahko ministrstvo od le-te odstopi, pri čemer bo končni prejemnik dolžan vrniti že prejeta sredstva skupaj z zakonskimi zamudnimi obrestmi od dneva nakazila sredstev na transakcijski račun do dneva vračila sredstev na sklad NOO.  V kolikor bodo sredstva izplačana iz Sklada za podnebne </w:t>
      </w:r>
      <w:r w:rsidRPr="00996B78">
        <w:rPr>
          <w:rFonts w:ascii="Arial" w:hAnsi="Arial" w:cs="Arial"/>
          <w:color w:val="000000" w:themeColor="text1"/>
          <w:sz w:val="20"/>
          <w:szCs w:val="20"/>
        </w:rPr>
        <w:lastRenderedPageBreak/>
        <w:t>spremembe se le ta vrnejo skupaj z zakonskimi zamudnimi sredstvi od dneva nakazila sredstev na transakcijski račun do dneva vračila sredstev na Sklad za podnebne spremembe</w:t>
      </w:r>
      <w:r>
        <w:rPr>
          <w:rFonts w:ascii="Arial" w:hAnsi="Arial" w:cs="Arial"/>
          <w:color w:val="000000" w:themeColor="text1"/>
          <w:sz w:val="20"/>
          <w:szCs w:val="20"/>
        </w:rPr>
        <w:t>.</w:t>
      </w:r>
      <w:r w:rsidRPr="00996B78">
        <w:rPr>
          <w:rFonts w:ascii="Arial" w:hAnsi="Arial" w:cs="Arial"/>
          <w:color w:val="000000" w:themeColor="text1"/>
          <w:sz w:val="20"/>
          <w:szCs w:val="20"/>
        </w:rPr>
        <w:t xml:space="preserve">«. </w:t>
      </w:r>
    </w:p>
    <w:p w:rsidR="00CD5881" w:rsidRPr="00996B78" w:rsidRDefault="00CD5881" w:rsidP="00CD5881">
      <w:pPr>
        <w:spacing w:line="260" w:lineRule="atLeast"/>
        <w:jc w:val="both"/>
        <w:rPr>
          <w:rFonts w:ascii="Arial" w:hAnsi="Arial" w:cs="Arial"/>
          <w:color w:val="FF0000"/>
          <w:sz w:val="20"/>
          <w:szCs w:val="20"/>
        </w:rPr>
      </w:pPr>
    </w:p>
    <w:p w:rsidR="00CD5881" w:rsidRPr="00996B78" w:rsidRDefault="00CD5881" w:rsidP="00CD5881">
      <w:pPr>
        <w:spacing w:line="260" w:lineRule="atLeast"/>
        <w:jc w:val="both"/>
        <w:rPr>
          <w:rFonts w:ascii="Arial" w:hAnsi="Arial" w:cs="Arial"/>
          <w:b/>
          <w:sz w:val="20"/>
          <w:szCs w:val="20"/>
        </w:rPr>
      </w:pPr>
      <w:r w:rsidRPr="00996B78">
        <w:rPr>
          <w:rFonts w:ascii="Arial" w:hAnsi="Arial" w:cs="Arial"/>
          <w:b/>
          <w:sz w:val="20"/>
          <w:szCs w:val="20"/>
        </w:rPr>
        <w:t xml:space="preserve">V točki 7 »Merila za ocenjevanje  vlog ter postopek in način izbora projektov«  </w:t>
      </w:r>
      <w:r>
        <w:rPr>
          <w:rFonts w:ascii="Arial" w:hAnsi="Arial" w:cs="Arial"/>
          <w:b/>
          <w:sz w:val="20"/>
          <w:szCs w:val="20"/>
        </w:rPr>
        <w:t xml:space="preserve">za zadnjim odstavkom </w:t>
      </w:r>
      <w:r w:rsidRPr="00996B78">
        <w:rPr>
          <w:rFonts w:ascii="Arial" w:hAnsi="Arial" w:cs="Arial"/>
          <w:b/>
          <w:sz w:val="20"/>
          <w:szCs w:val="20"/>
        </w:rPr>
        <w:t xml:space="preserve">doda nov odstavek, ki se glasi: </w:t>
      </w:r>
    </w:p>
    <w:p w:rsidR="00CD5881" w:rsidRPr="00996B78" w:rsidRDefault="00CD5881" w:rsidP="00CD5881">
      <w:pPr>
        <w:spacing w:line="260" w:lineRule="atLeast"/>
        <w:jc w:val="both"/>
        <w:rPr>
          <w:rFonts w:ascii="Arial" w:hAnsi="Arial" w:cs="Arial"/>
          <w:sz w:val="20"/>
          <w:szCs w:val="20"/>
        </w:rPr>
      </w:pPr>
    </w:p>
    <w:p w:rsidR="00CD5881" w:rsidRPr="00996B78" w:rsidRDefault="00CD5881" w:rsidP="00CD5881">
      <w:pPr>
        <w:contextualSpacing/>
        <w:jc w:val="both"/>
        <w:rPr>
          <w:rFonts w:ascii="Arial" w:hAnsi="Arial" w:cs="Arial"/>
          <w:sz w:val="20"/>
          <w:szCs w:val="20"/>
        </w:rPr>
      </w:pPr>
      <w:r w:rsidRPr="00996B78">
        <w:rPr>
          <w:rFonts w:ascii="Arial" w:hAnsi="Arial" w:cs="Arial"/>
          <w:sz w:val="20"/>
          <w:szCs w:val="20"/>
        </w:rPr>
        <w:t xml:space="preserve">»Za sofinanciranje iz Sklada za podnebne spremembe na osnovi </w:t>
      </w:r>
      <w:r>
        <w:rPr>
          <w:rFonts w:ascii="Arial" w:hAnsi="Arial" w:cs="Arial"/>
          <w:sz w:val="20"/>
          <w:szCs w:val="20"/>
        </w:rPr>
        <w:t>P</w:t>
      </w:r>
      <w:r w:rsidRPr="00996B78">
        <w:rPr>
          <w:rFonts w:ascii="Arial" w:hAnsi="Arial" w:cs="Arial"/>
          <w:sz w:val="20"/>
          <w:szCs w:val="20"/>
        </w:rPr>
        <w:t>rograma in sporazuma se za vse pozitivno ocenjene vloge dodatno izkaže skladnost projekta z merili iz sporazuma</w:t>
      </w:r>
      <w:r>
        <w:rPr>
          <w:rFonts w:ascii="Arial" w:hAnsi="Arial" w:cs="Arial"/>
          <w:sz w:val="20"/>
          <w:szCs w:val="20"/>
        </w:rPr>
        <w:t>.</w:t>
      </w:r>
      <w:r w:rsidRPr="00996B78">
        <w:rPr>
          <w:rFonts w:ascii="Arial" w:hAnsi="Arial" w:cs="Arial"/>
          <w:sz w:val="20"/>
          <w:szCs w:val="20"/>
        </w:rPr>
        <w:t xml:space="preserve">«. </w:t>
      </w:r>
    </w:p>
    <w:p w:rsidR="00CD5881" w:rsidRPr="00996B78" w:rsidRDefault="00CD5881" w:rsidP="00CD5881">
      <w:pPr>
        <w:spacing w:line="260" w:lineRule="atLeast"/>
        <w:jc w:val="both"/>
        <w:rPr>
          <w:rFonts w:ascii="Arial" w:hAnsi="Arial" w:cs="Arial"/>
          <w:color w:val="FF0000"/>
          <w:sz w:val="20"/>
          <w:szCs w:val="20"/>
        </w:rPr>
      </w:pPr>
    </w:p>
    <w:p w:rsidR="00CD5881" w:rsidRPr="00996B78" w:rsidRDefault="00CD5881" w:rsidP="00CD5881">
      <w:pPr>
        <w:jc w:val="both"/>
        <w:rPr>
          <w:rFonts w:ascii="Arial" w:hAnsi="Arial" w:cs="Arial"/>
          <w:b/>
          <w:noProof/>
          <w:sz w:val="20"/>
          <w:szCs w:val="20"/>
        </w:rPr>
      </w:pPr>
      <w:r w:rsidRPr="00996B78">
        <w:rPr>
          <w:rFonts w:ascii="Arial" w:hAnsi="Arial" w:cs="Arial"/>
          <w:b/>
          <w:noProof/>
          <w:sz w:val="20"/>
          <w:szCs w:val="20"/>
        </w:rPr>
        <w:t>Točka 8  »Okvirna razpoložljiva sredstva javnega razpisa«  spremeni tako, da se glasi:</w:t>
      </w:r>
    </w:p>
    <w:p w:rsidR="00CD5881" w:rsidRPr="00996B78" w:rsidRDefault="00CD5881" w:rsidP="00CD5881">
      <w:pPr>
        <w:jc w:val="both"/>
        <w:rPr>
          <w:rFonts w:ascii="Arial" w:hAnsi="Arial" w:cs="Arial"/>
          <w:noProof/>
          <w:sz w:val="20"/>
          <w:szCs w:val="20"/>
        </w:rPr>
      </w:pPr>
    </w:p>
    <w:p w:rsidR="00CD5881" w:rsidRPr="00996B78" w:rsidRDefault="00CD5881" w:rsidP="00CD5881">
      <w:pPr>
        <w:jc w:val="both"/>
        <w:rPr>
          <w:rFonts w:ascii="Arial" w:hAnsi="Arial" w:cs="Arial"/>
          <w:noProof/>
          <w:sz w:val="20"/>
          <w:szCs w:val="20"/>
        </w:rPr>
      </w:pPr>
      <w:r w:rsidRPr="00996B78">
        <w:rPr>
          <w:rFonts w:ascii="Arial" w:hAnsi="Arial" w:cs="Arial"/>
          <w:noProof/>
          <w:sz w:val="20"/>
          <w:szCs w:val="20"/>
        </w:rPr>
        <w:t>»</w:t>
      </w:r>
      <w:r w:rsidRPr="00996B78">
        <w:rPr>
          <w:rFonts w:ascii="Arial" w:eastAsia="Times New Roman" w:hAnsi="Arial" w:cs="Arial"/>
          <w:sz w:val="20"/>
          <w:szCs w:val="20"/>
          <w:lang w:eastAsia="sl-SI"/>
        </w:rPr>
        <w:t>Skupna predvidena višina sredstev, ki je na razpolago za izvedbo razpisa, je 38.000.000,00 EUR.</w:t>
      </w:r>
    </w:p>
    <w:p w:rsidR="00CD5881" w:rsidRPr="00996B78" w:rsidRDefault="00CD5881" w:rsidP="00CD5881">
      <w:pPr>
        <w:shd w:val="clear" w:color="auto" w:fill="FFFFFF"/>
        <w:jc w:val="both"/>
        <w:rPr>
          <w:rFonts w:ascii="Arial" w:eastAsia="Times New Roman" w:hAnsi="Arial" w:cs="Arial"/>
          <w:sz w:val="20"/>
          <w:szCs w:val="20"/>
          <w:lang w:eastAsia="sl-SI"/>
        </w:rPr>
      </w:pPr>
    </w:p>
    <w:p w:rsidR="00CD5881" w:rsidRPr="00996B78" w:rsidRDefault="00CD5881" w:rsidP="00CD5881">
      <w:pPr>
        <w:shd w:val="clear" w:color="auto" w:fill="FFFFFF"/>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 xml:space="preserve">Pravice porabe v višini 28.000.000,00 EUR so na razpolago na proračunski postavki 221176 – C1K5IC Krožno gospodarstvo-Spodbujanje predelave lesa-NOO-MGRT na EP št. 1611-21-0015 v obdobju 2022 – 2026. </w:t>
      </w:r>
    </w:p>
    <w:p w:rsidR="00CD5881" w:rsidRPr="00996B78" w:rsidRDefault="00CD5881" w:rsidP="00CD5881">
      <w:pPr>
        <w:shd w:val="clear" w:color="auto" w:fill="FFFFFF"/>
        <w:jc w:val="both"/>
        <w:rPr>
          <w:rFonts w:ascii="Arial" w:eastAsia="Times New Roman" w:hAnsi="Arial" w:cs="Arial"/>
          <w:sz w:val="20"/>
          <w:szCs w:val="20"/>
          <w:lang w:eastAsia="sl-SI"/>
        </w:rPr>
      </w:pPr>
    </w:p>
    <w:p w:rsidR="00CD5881" w:rsidRPr="00996B78" w:rsidRDefault="00CD5881" w:rsidP="00CD5881">
      <w:pPr>
        <w:shd w:val="clear" w:color="auto" w:fill="FFFFFF"/>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 xml:space="preserve">Pravice porabe sredstev v višini 10.000.000,00 EUR so na razpolago na proračunski postavki </w:t>
      </w:r>
      <w:r w:rsidRPr="00996B78">
        <w:rPr>
          <w:rFonts w:ascii="Arial" w:hAnsi="Arial" w:cs="Arial"/>
          <w:sz w:val="20"/>
          <w:szCs w:val="20"/>
          <w:lang w:eastAsia="sl-SI"/>
        </w:rPr>
        <w:t xml:space="preserve">559 – Sklad za podnebne spremembe, na evidenčnem projektu  2550-17-0003  – poraba sredstev Sklada za podnebne spremembe. </w:t>
      </w:r>
    </w:p>
    <w:p w:rsidR="00CD5881" w:rsidRPr="00996B78" w:rsidRDefault="00CD5881" w:rsidP="00CD5881">
      <w:pPr>
        <w:shd w:val="clear" w:color="auto" w:fill="FFFFFF"/>
        <w:jc w:val="both"/>
        <w:rPr>
          <w:rFonts w:ascii="Arial" w:eastAsia="Times New Roman" w:hAnsi="Arial" w:cs="Arial"/>
          <w:sz w:val="20"/>
          <w:szCs w:val="20"/>
          <w:lang w:eastAsia="sl-SI"/>
        </w:rPr>
      </w:pPr>
    </w:p>
    <w:p w:rsidR="00CD5881" w:rsidRPr="00996B78" w:rsidRDefault="00CD5881" w:rsidP="00CD5881">
      <w:pPr>
        <w:shd w:val="clear" w:color="auto" w:fill="FFFFFF"/>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Pogodbe na osnovi objavljenega JR ne bodo podpisane, dokler projekti ne bodo uvrščeni v načrt razvojnih programov.</w:t>
      </w:r>
    </w:p>
    <w:p w:rsidR="00CD5881" w:rsidRPr="00996B78" w:rsidRDefault="00CD5881" w:rsidP="00CD5881">
      <w:pPr>
        <w:shd w:val="clear" w:color="auto" w:fill="FFFFFF"/>
        <w:jc w:val="both"/>
        <w:rPr>
          <w:rFonts w:ascii="Arial" w:eastAsia="Times New Roman" w:hAnsi="Arial" w:cs="Arial"/>
          <w:sz w:val="20"/>
          <w:szCs w:val="20"/>
          <w:lang w:eastAsia="sl-SI"/>
        </w:rPr>
      </w:pPr>
    </w:p>
    <w:p w:rsidR="00CD5881" w:rsidRPr="00996B78" w:rsidRDefault="00CD5881" w:rsidP="00CD5881">
      <w:pPr>
        <w:shd w:val="clear" w:color="auto" w:fill="FFFFFF"/>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Obdobje razpoložljivosti sredstev za javni razpis obsega proračunska leta v obdobju 2022–2026, oziroma traja do porabe razpisanih sredstev.</w:t>
      </w:r>
    </w:p>
    <w:p w:rsidR="00CD5881" w:rsidRPr="00996B78" w:rsidRDefault="00CD5881" w:rsidP="00CD5881">
      <w:pPr>
        <w:shd w:val="clear" w:color="auto" w:fill="FFFFFF"/>
        <w:jc w:val="both"/>
        <w:rPr>
          <w:rFonts w:ascii="Arial" w:eastAsia="Times New Roman" w:hAnsi="Arial" w:cs="Arial"/>
          <w:sz w:val="20"/>
          <w:szCs w:val="20"/>
          <w:lang w:eastAsia="sl-SI"/>
        </w:rPr>
      </w:pPr>
    </w:p>
    <w:p w:rsidR="00CD5881" w:rsidRPr="00996B78" w:rsidRDefault="00CD5881" w:rsidP="00CD5881">
      <w:pPr>
        <w:shd w:val="clear" w:color="auto" w:fill="FFFFFF"/>
        <w:ind w:firstLine="330"/>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Okvirna dinamika izplačil sredstev po letih:</w:t>
      </w:r>
    </w:p>
    <w:tbl>
      <w:tblPr>
        <w:tblW w:w="5000" w:type="pct"/>
        <w:tblCellMar>
          <w:top w:w="15" w:type="dxa"/>
          <w:left w:w="15" w:type="dxa"/>
          <w:bottom w:w="15" w:type="dxa"/>
          <w:right w:w="15" w:type="dxa"/>
        </w:tblCellMar>
        <w:tblLook w:val="04A0" w:firstRow="1" w:lastRow="0" w:firstColumn="1" w:lastColumn="0" w:noHBand="0" w:noVBand="1"/>
      </w:tblPr>
      <w:tblGrid>
        <w:gridCol w:w="1359"/>
        <w:gridCol w:w="1502"/>
        <w:gridCol w:w="1553"/>
        <w:gridCol w:w="1647"/>
        <w:gridCol w:w="1273"/>
        <w:gridCol w:w="1154"/>
      </w:tblGrid>
      <w:tr w:rsidR="00CD5881" w:rsidRPr="00996B78" w:rsidTr="004002CD">
        <w:tc>
          <w:tcPr>
            <w:tcW w:w="800"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CD5881" w:rsidRPr="00996B78" w:rsidRDefault="00CD5881" w:rsidP="004002CD">
            <w:pPr>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Proračunska </w:t>
            </w:r>
          </w:p>
          <w:p w:rsidR="00CD5881" w:rsidRPr="00996B78" w:rsidRDefault="00CD5881" w:rsidP="004002CD">
            <w:pPr>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postavka</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CD5881" w:rsidRPr="00996B78" w:rsidRDefault="00CD5881" w:rsidP="004002CD">
            <w:pPr>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Leto 2022 </w:t>
            </w:r>
          </w:p>
          <w:p w:rsidR="00CD5881" w:rsidRPr="00996B78" w:rsidRDefault="00CD5881" w:rsidP="004002CD">
            <w:pPr>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(v EUR)</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CD5881" w:rsidRPr="00996B78" w:rsidRDefault="00CD5881" w:rsidP="004002CD">
            <w:pPr>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Leto 2023 </w:t>
            </w:r>
          </w:p>
          <w:p w:rsidR="00CD5881" w:rsidRPr="00996B78" w:rsidRDefault="00CD5881" w:rsidP="004002CD">
            <w:pPr>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(v EUR)</w:t>
            </w:r>
          </w:p>
        </w:tc>
        <w:tc>
          <w:tcPr>
            <w:tcW w:w="970"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CD5881" w:rsidRPr="00996B78" w:rsidRDefault="00CD5881" w:rsidP="004002CD">
            <w:pPr>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Leto 2024 </w:t>
            </w:r>
          </w:p>
          <w:p w:rsidR="00CD5881" w:rsidRPr="00996B78" w:rsidRDefault="00CD5881" w:rsidP="004002CD">
            <w:pPr>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(v EUR)</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CD5881" w:rsidRPr="00996B78" w:rsidRDefault="00CD5881" w:rsidP="004002CD">
            <w:pPr>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Leto 2025 </w:t>
            </w:r>
          </w:p>
          <w:p w:rsidR="00CD5881" w:rsidRPr="00996B78" w:rsidRDefault="00CD5881" w:rsidP="004002CD">
            <w:pPr>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(v EUR)</w:t>
            </w:r>
          </w:p>
        </w:tc>
        <w:tc>
          <w:tcPr>
            <w:tcW w:w="680"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CD5881" w:rsidRPr="00996B78" w:rsidRDefault="00CD5881" w:rsidP="004002CD">
            <w:pPr>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Leto 2026 </w:t>
            </w:r>
          </w:p>
          <w:p w:rsidR="00CD5881" w:rsidRPr="00996B78" w:rsidRDefault="00CD5881" w:rsidP="004002CD">
            <w:pPr>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(v EUR)</w:t>
            </w:r>
          </w:p>
        </w:tc>
      </w:tr>
      <w:tr w:rsidR="00CD5881" w:rsidRPr="00996B78" w:rsidTr="004002CD">
        <w:tc>
          <w:tcPr>
            <w:tcW w:w="800"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CD5881" w:rsidRPr="00996B78" w:rsidRDefault="00CD5881" w:rsidP="004002CD">
            <w:pPr>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221176</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vAlign w:val="center"/>
            <w:hideMark/>
          </w:tcPr>
          <w:p w:rsidR="00CD5881" w:rsidRPr="00996B78" w:rsidRDefault="00CD5881" w:rsidP="004002CD">
            <w:pPr>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1.100.000</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vAlign w:val="center"/>
            <w:hideMark/>
          </w:tcPr>
          <w:p w:rsidR="00CD5881" w:rsidRPr="00996B78" w:rsidRDefault="00CD5881" w:rsidP="004002CD">
            <w:pPr>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16.300.000</w:t>
            </w:r>
          </w:p>
        </w:tc>
        <w:tc>
          <w:tcPr>
            <w:tcW w:w="970"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vAlign w:val="center"/>
            <w:hideMark/>
          </w:tcPr>
          <w:p w:rsidR="00CD5881" w:rsidRPr="00996B78" w:rsidRDefault="00CD5881" w:rsidP="004002CD">
            <w:pPr>
              <w:jc w:val="both"/>
              <w:rPr>
                <w:rFonts w:ascii="Arial" w:eastAsia="Times New Roman" w:hAnsi="Arial" w:cs="Arial"/>
                <w:sz w:val="20"/>
                <w:szCs w:val="20"/>
                <w:lang w:eastAsia="sl-SI"/>
              </w:rPr>
            </w:pPr>
            <w:r>
              <w:rPr>
                <w:rFonts w:ascii="Arial" w:eastAsia="Times New Roman" w:hAnsi="Arial" w:cs="Arial"/>
                <w:sz w:val="20"/>
                <w:szCs w:val="20"/>
                <w:lang w:eastAsia="sl-SI"/>
              </w:rPr>
              <w:t>8.100.000</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vAlign w:val="center"/>
            <w:hideMark/>
          </w:tcPr>
          <w:p w:rsidR="00CD5881" w:rsidRPr="00996B78" w:rsidRDefault="00CD5881" w:rsidP="004002CD">
            <w:pPr>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1.600.000</w:t>
            </w:r>
          </w:p>
        </w:tc>
        <w:tc>
          <w:tcPr>
            <w:tcW w:w="680"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rsidR="00CD5881" w:rsidRPr="00996B78" w:rsidRDefault="00CD5881" w:rsidP="004002CD">
            <w:pPr>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900.000</w:t>
            </w:r>
          </w:p>
        </w:tc>
      </w:tr>
      <w:tr w:rsidR="00CD5881" w:rsidRPr="00996B78" w:rsidTr="004002CD">
        <w:tc>
          <w:tcPr>
            <w:tcW w:w="800"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rsidR="00CD5881" w:rsidRPr="00996B78" w:rsidRDefault="00CD5881" w:rsidP="004002CD">
            <w:pPr>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559</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vAlign w:val="center"/>
          </w:tcPr>
          <w:p w:rsidR="00CD5881" w:rsidRPr="00996B78" w:rsidRDefault="00CD5881" w:rsidP="004002CD">
            <w:pPr>
              <w:jc w:val="both"/>
              <w:rPr>
                <w:rFonts w:ascii="Arial" w:eastAsia="Times New Roman" w:hAnsi="Arial" w:cs="Arial"/>
                <w:sz w:val="20"/>
                <w:szCs w:val="20"/>
                <w:lang w:eastAsia="sl-SI"/>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vAlign w:val="center"/>
          </w:tcPr>
          <w:p w:rsidR="00CD5881" w:rsidRPr="00996B78" w:rsidRDefault="00CD5881" w:rsidP="004002CD">
            <w:pPr>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10.000.000</w:t>
            </w:r>
          </w:p>
        </w:tc>
        <w:tc>
          <w:tcPr>
            <w:tcW w:w="970"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vAlign w:val="center"/>
          </w:tcPr>
          <w:p w:rsidR="00CD5881" w:rsidRPr="00996B78" w:rsidRDefault="00CD5881" w:rsidP="004002CD">
            <w:pPr>
              <w:jc w:val="both"/>
              <w:rPr>
                <w:rFonts w:ascii="Arial" w:eastAsia="Times New Roman" w:hAnsi="Arial" w:cs="Arial"/>
                <w:sz w:val="20"/>
                <w:szCs w:val="20"/>
                <w:lang w:eastAsia="sl-SI"/>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vAlign w:val="center"/>
          </w:tcPr>
          <w:p w:rsidR="00CD5881" w:rsidRPr="00996B78" w:rsidRDefault="00CD5881" w:rsidP="004002CD">
            <w:pPr>
              <w:jc w:val="both"/>
              <w:rPr>
                <w:rFonts w:ascii="Arial" w:eastAsia="Times New Roman" w:hAnsi="Arial" w:cs="Arial"/>
                <w:sz w:val="20"/>
                <w:szCs w:val="20"/>
                <w:lang w:eastAsia="sl-SI"/>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rsidR="00CD5881" w:rsidRPr="00996B78" w:rsidRDefault="00CD5881" w:rsidP="004002CD">
            <w:pPr>
              <w:jc w:val="both"/>
              <w:rPr>
                <w:rFonts w:ascii="Arial" w:eastAsia="Times New Roman" w:hAnsi="Arial" w:cs="Arial"/>
                <w:sz w:val="20"/>
                <w:szCs w:val="20"/>
                <w:lang w:eastAsia="sl-SI"/>
              </w:rPr>
            </w:pPr>
          </w:p>
        </w:tc>
      </w:tr>
    </w:tbl>
    <w:p w:rsidR="00CD5881" w:rsidRDefault="00CD5881" w:rsidP="00CD5881">
      <w:pPr>
        <w:jc w:val="both"/>
        <w:rPr>
          <w:rFonts w:ascii="Arial" w:eastAsia="Times New Roman" w:hAnsi="Arial" w:cs="Arial"/>
          <w:sz w:val="20"/>
          <w:szCs w:val="20"/>
          <w:lang w:eastAsia="sl-SI"/>
        </w:rPr>
      </w:pPr>
    </w:p>
    <w:p w:rsidR="00CD5881" w:rsidRPr="00996B78" w:rsidRDefault="00CD5881" w:rsidP="00CD5881">
      <w:pPr>
        <w:jc w:val="both"/>
        <w:rPr>
          <w:rFonts w:ascii="Arial" w:hAnsi="Arial" w:cs="Arial"/>
          <w:noProof/>
          <w:sz w:val="20"/>
          <w:szCs w:val="20"/>
        </w:rPr>
      </w:pPr>
    </w:p>
    <w:p w:rsidR="00CD5881" w:rsidRDefault="00CD5881" w:rsidP="00CD5881">
      <w:pPr>
        <w:shd w:val="clear" w:color="auto" w:fill="FFFFFF"/>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Del razpisanih sredstev lahko ostane nerazdeljen v primeru premajhnega števila ustreznih vlog ali v primeru, da preostanek sredstev ne zadošča za pokritje celotnega planiranega sofinanciranja, opredeljenega v finančni konstrukciji vloge, ki bi bila naslednja upravičena do sofinanciranja.</w:t>
      </w:r>
    </w:p>
    <w:p w:rsidR="00CD5881" w:rsidRPr="00996B78" w:rsidRDefault="00CD5881" w:rsidP="00CD5881">
      <w:pPr>
        <w:shd w:val="clear" w:color="auto" w:fill="FFFFFF"/>
        <w:jc w:val="both"/>
        <w:rPr>
          <w:rFonts w:ascii="Arial" w:eastAsia="Times New Roman" w:hAnsi="Arial" w:cs="Arial"/>
          <w:sz w:val="20"/>
          <w:szCs w:val="20"/>
          <w:lang w:eastAsia="sl-SI"/>
        </w:rPr>
      </w:pPr>
    </w:p>
    <w:p w:rsidR="00CD5881" w:rsidRPr="00996B78" w:rsidRDefault="00CD5881" w:rsidP="00CD5881">
      <w:pPr>
        <w:shd w:val="clear" w:color="auto" w:fill="FFFFFF"/>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V primeru, da se posamezni prijavitelj ne odzove na poziv ministrstva k podpisu pogodbe o sofinanciranju, se sproščena sredstva lahko dodelijo pozitivno ocenjeni vlogi, ki je naslednja v vrsti za sofinanciranje glede na višino prejetih točk.</w:t>
      </w:r>
    </w:p>
    <w:p w:rsidR="00CD5881" w:rsidRDefault="00CD5881" w:rsidP="00CD5881">
      <w:pPr>
        <w:shd w:val="clear" w:color="auto" w:fill="FFFFFF"/>
        <w:jc w:val="both"/>
        <w:rPr>
          <w:rFonts w:ascii="Arial" w:eastAsia="Times New Roman" w:hAnsi="Arial" w:cs="Arial"/>
          <w:sz w:val="20"/>
          <w:szCs w:val="20"/>
          <w:lang w:eastAsia="sl-SI"/>
        </w:rPr>
      </w:pPr>
    </w:p>
    <w:p w:rsidR="00CD5881" w:rsidRPr="00996B78" w:rsidRDefault="00CD5881" w:rsidP="00CD5881">
      <w:pPr>
        <w:shd w:val="clear" w:color="auto" w:fill="FFFFFF"/>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Dinamika sofinanciranja posameznega podprtega projekta bo določena s pogodbo o dodelitvi sredstev v odvisnosti od finančnega načrta izvajanja projekta in od razpoložljivih pravic porabe oziroma proračunskih sredstev.</w:t>
      </w:r>
    </w:p>
    <w:p w:rsidR="00CD5881" w:rsidRDefault="00CD5881" w:rsidP="00CD5881">
      <w:pPr>
        <w:shd w:val="clear" w:color="auto" w:fill="FFFFFF"/>
        <w:jc w:val="both"/>
        <w:rPr>
          <w:rFonts w:ascii="Arial" w:eastAsia="Times New Roman" w:hAnsi="Arial" w:cs="Arial"/>
          <w:sz w:val="20"/>
          <w:szCs w:val="20"/>
          <w:lang w:eastAsia="sl-SI"/>
        </w:rPr>
      </w:pPr>
    </w:p>
    <w:p w:rsidR="00CD5881" w:rsidRPr="00996B78" w:rsidRDefault="00CD5881" w:rsidP="00CD5881">
      <w:pPr>
        <w:shd w:val="clear" w:color="auto" w:fill="FFFFFF"/>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Izplačila ministrstva in MOP so odvisna od razpoložljivosti pravic porabe in proračunskih sredstev za ta namen. Če bi bile ukinjene ali zmanjšane pravice porabe, lahko ministrstvo razveljavi razpis in izdane sklepe o izboru, ali spremeni pogodbeno vrednost ali dinamiko izplačil. Če se končni prejemnik ne strinja s predlogom spremembe, se šteje, da odstopa od vloge oziroma od pogodbe o sofinanciranju.</w:t>
      </w:r>
    </w:p>
    <w:p w:rsidR="00CD5881" w:rsidRDefault="00CD5881" w:rsidP="00CD5881">
      <w:pPr>
        <w:shd w:val="clear" w:color="auto" w:fill="FFFFFF"/>
        <w:jc w:val="both"/>
        <w:rPr>
          <w:rFonts w:ascii="Arial" w:eastAsia="Times New Roman" w:hAnsi="Arial" w:cs="Arial"/>
          <w:sz w:val="20"/>
          <w:szCs w:val="20"/>
          <w:lang w:eastAsia="sl-SI"/>
        </w:rPr>
      </w:pPr>
    </w:p>
    <w:p w:rsidR="00CD5881" w:rsidRPr="00996B78" w:rsidRDefault="00CD5881" w:rsidP="00CD5881">
      <w:pPr>
        <w:shd w:val="clear" w:color="auto" w:fill="FFFFFF"/>
        <w:jc w:val="both"/>
        <w:rPr>
          <w:rFonts w:ascii="Arial" w:eastAsia="Times New Roman" w:hAnsi="Arial" w:cs="Arial"/>
          <w:sz w:val="20"/>
          <w:szCs w:val="20"/>
          <w:lang w:eastAsia="sl-SI"/>
        </w:rPr>
      </w:pPr>
      <w:r w:rsidRPr="00996B78">
        <w:rPr>
          <w:rFonts w:ascii="Arial" w:eastAsia="Times New Roman" w:hAnsi="Arial" w:cs="Arial"/>
          <w:sz w:val="20"/>
          <w:szCs w:val="20"/>
          <w:lang w:eastAsia="sl-SI"/>
        </w:rPr>
        <w:t>Ministrstvo si pridržuje pravico, da lahko javni razpis kadarkoli do izdaje sklepov o (ne)izboru prekliče ali spremeni, kar stori z objavo v Uradnem listu RS</w:t>
      </w:r>
      <w:r>
        <w:rPr>
          <w:rFonts w:ascii="Arial" w:eastAsia="Times New Roman" w:hAnsi="Arial" w:cs="Arial"/>
          <w:sz w:val="20"/>
          <w:szCs w:val="20"/>
          <w:lang w:eastAsia="sl-SI"/>
        </w:rPr>
        <w:t>.</w:t>
      </w:r>
      <w:r w:rsidRPr="00996B78">
        <w:rPr>
          <w:rFonts w:ascii="Arial" w:eastAsia="Times New Roman" w:hAnsi="Arial" w:cs="Arial"/>
          <w:sz w:val="20"/>
          <w:szCs w:val="20"/>
          <w:lang w:eastAsia="sl-SI"/>
        </w:rPr>
        <w:t xml:space="preserve">«. </w:t>
      </w:r>
    </w:p>
    <w:p w:rsidR="00CD5881" w:rsidRPr="00996B78" w:rsidRDefault="00CD5881" w:rsidP="00CD5881">
      <w:pPr>
        <w:shd w:val="clear" w:color="auto" w:fill="FFFFFF"/>
        <w:ind w:firstLine="330"/>
        <w:jc w:val="both"/>
        <w:rPr>
          <w:rFonts w:ascii="Arial" w:eastAsia="Times New Roman" w:hAnsi="Arial" w:cs="Arial"/>
          <w:sz w:val="20"/>
          <w:szCs w:val="20"/>
          <w:lang w:eastAsia="sl-SI"/>
        </w:rPr>
      </w:pPr>
    </w:p>
    <w:p w:rsidR="00CD5881" w:rsidRPr="00996B78" w:rsidRDefault="00CD5881" w:rsidP="00CD5881">
      <w:pPr>
        <w:shd w:val="clear" w:color="auto" w:fill="FFFFFF"/>
        <w:jc w:val="both"/>
        <w:rPr>
          <w:rFonts w:ascii="Arial" w:eastAsia="Times New Roman" w:hAnsi="Arial" w:cs="Arial"/>
          <w:b/>
          <w:sz w:val="20"/>
          <w:szCs w:val="20"/>
          <w:lang w:eastAsia="sl-SI"/>
        </w:rPr>
      </w:pPr>
      <w:r w:rsidRPr="00996B78">
        <w:rPr>
          <w:rFonts w:ascii="Arial" w:eastAsia="Times New Roman" w:hAnsi="Arial" w:cs="Arial"/>
          <w:b/>
          <w:sz w:val="20"/>
          <w:szCs w:val="20"/>
          <w:lang w:eastAsia="sl-SI"/>
        </w:rPr>
        <w:lastRenderedPageBreak/>
        <w:t>Točka  9 »Obdobje, v katerem morajo biti porabljena sredstva«  spremeni tako, da se  glasi:</w:t>
      </w:r>
    </w:p>
    <w:p w:rsidR="00CD5881" w:rsidRPr="00996B78" w:rsidRDefault="00CD5881" w:rsidP="00CD5881">
      <w:pPr>
        <w:shd w:val="clear" w:color="auto" w:fill="FFFFFF"/>
        <w:ind w:firstLine="330"/>
        <w:jc w:val="both"/>
        <w:rPr>
          <w:rFonts w:ascii="Arial" w:eastAsia="Times New Roman" w:hAnsi="Arial" w:cs="Arial"/>
          <w:sz w:val="20"/>
          <w:szCs w:val="20"/>
          <w:lang w:eastAsia="sl-SI"/>
        </w:rPr>
      </w:pPr>
    </w:p>
    <w:p w:rsidR="00CD5881" w:rsidRPr="00996B78" w:rsidRDefault="00CD5881" w:rsidP="00CD5881">
      <w:pPr>
        <w:tabs>
          <w:tab w:val="num" w:pos="720"/>
        </w:tabs>
        <w:jc w:val="both"/>
        <w:rPr>
          <w:rFonts w:ascii="Arial" w:hAnsi="Arial" w:cs="Arial"/>
          <w:sz w:val="20"/>
          <w:szCs w:val="20"/>
        </w:rPr>
      </w:pPr>
      <w:r w:rsidRPr="00364955">
        <w:rPr>
          <w:rFonts w:ascii="Arial" w:hAnsi="Arial" w:cs="Arial"/>
          <w:sz w:val="20"/>
          <w:szCs w:val="20"/>
        </w:rPr>
        <w:t xml:space="preserve">»Obdobje upravičenosti stroškov in izdatkov se prične z oddajo vloge na javni razpis in konča 30.6.2026, razen kadar se stroški in izdatki pokrivajo iz sredstev Sklada za podnebne spremembe. V tem primeru je obdobje upravičenosti stroškov in izdatkov do 31.12.2023.  </w:t>
      </w:r>
    </w:p>
    <w:p w:rsidR="00CD5881" w:rsidRPr="00996B78" w:rsidRDefault="00CD5881" w:rsidP="00CD5881">
      <w:pPr>
        <w:tabs>
          <w:tab w:val="num" w:pos="720"/>
        </w:tabs>
        <w:jc w:val="both"/>
        <w:rPr>
          <w:rFonts w:ascii="Arial" w:hAnsi="Arial" w:cs="Arial"/>
          <w:sz w:val="20"/>
          <w:szCs w:val="20"/>
        </w:rPr>
      </w:pPr>
    </w:p>
    <w:p w:rsidR="00CD5881" w:rsidRPr="00996B78" w:rsidRDefault="00CD5881" w:rsidP="00CD5881">
      <w:pPr>
        <w:jc w:val="both"/>
        <w:rPr>
          <w:rFonts w:ascii="Arial" w:hAnsi="Arial" w:cs="Arial"/>
          <w:sz w:val="20"/>
          <w:szCs w:val="20"/>
        </w:rPr>
      </w:pPr>
      <w:r w:rsidRPr="00996B78">
        <w:rPr>
          <w:rFonts w:ascii="Arial" w:hAnsi="Arial" w:cs="Arial"/>
          <w:sz w:val="20"/>
          <w:szCs w:val="20"/>
        </w:rPr>
        <w:t xml:space="preserve">Obdobje upravičenosti javnih izdatkov je od oddaje vloge na javni razpis do 31.12.2026, razen v primeru javnih izdatkov iz Sklada za podnebne spremembe, kjer je obdobje </w:t>
      </w:r>
      <w:r w:rsidRPr="008B75CA">
        <w:rPr>
          <w:rFonts w:ascii="Arial" w:hAnsi="Arial" w:cs="Arial"/>
          <w:sz w:val="20"/>
          <w:szCs w:val="20"/>
        </w:rPr>
        <w:t>upravičenosti do 31.12.2023.«.</w:t>
      </w:r>
    </w:p>
    <w:p w:rsidR="00CD5881" w:rsidRPr="00996B78" w:rsidRDefault="00CD5881" w:rsidP="00CD5881">
      <w:pPr>
        <w:shd w:val="clear" w:color="auto" w:fill="FFFFFF"/>
        <w:ind w:firstLine="330"/>
        <w:jc w:val="both"/>
        <w:rPr>
          <w:rFonts w:ascii="Arial" w:eastAsia="Times New Roman" w:hAnsi="Arial" w:cs="Arial"/>
          <w:sz w:val="20"/>
          <w:szCs w:val="20"/>
          <w:lang w:eastAsia="sl-SI"/>
        </w:rPr>
      </w:pPr>
    </w:p>
    <w:p w:rsidR="00CD5881" w:rsidRPr="00996B78" w:rsidRDefault="00CD5881" w:rsidP="00CD5881">
      <w:pPr>
        <w:pStyle w:val="Brezrazmikov"/>
        <w:rPr>
          <w:rFonts w:ascii="Arial" w:hAnsi="Arial" w:cs="Arial"/>
          <w:b/>
          <w:sz w:val="20"/>
          <w:szCs w:val="20"/>
        </w:rPr>
      </w:pPr>
      <w:r w:rsidRPr="00996B78">
        <w:rPr>
          <w:rFonts w:ascii="Arial" w:eastAsiaTheme="minorEastAsia" w:hAnsi="Arial" w:cs="Arial"/>
          <w:b/>
          <w:sz w:val="20"/>
          <w:szCs w:val="20"/>
        </w:rPr>
        <w:t>V 15 točki »Z</w:t>
      </w:r>
      <w:r w:rsidRPr="00996B78">
        <w:rPr>
          <w:rFonts w:ascii="Arial" w:hAnsi="Arial" w:cs="Arial"/>
          <w:b/>
          <w:sz w:val="20"/>
          <w:szCs w:val="20"/>
        </w:rPr>
        <w:t xml:space="preserve">ahteve glede informiranja in obveščanja javnosti«  spremeni prvi odstavek tako, da se glasi: </w:t>
      </w:r>
    </w:p>
    <w:p w:rsidR="00CD5881" w:rsidRPr="00996B78" w:rsidRDefault="00CD5881" w:rsidP="00CD5881">
      <w:pPr>
        <w:pStyle w:val="Brezrazmikov"/>
        <w:rPr>
          <w:rFonts w:ascii="Arial" w:hAnsi="Arial" w:cs="Arial"/>
          <w:sz w:val="20"/>
          <w:szCs w:val="20"/>
        </w:rPr>
      </w:pPr>
    </w:p>
    <w:p w:rsidR="00CD5881" w:rsidRPr="00996B78" w:rsidRDefault="00CD5881" w:rsidP="00CD5881">
      <w:pPr>
        <w:autoSpaceDE w:val="0"/>
        <w:autoSpaceDN w:val="0"/>
        <w:adjustRightInd w:val="0"/>
        <w:jc w:val="both"/>
        <w:rPr>
          <w:rFonts w:ascii="Arial" w:eastAsiaTheme="minorEastAsia" w:hAnsi="Arial" w:cs="Arial"/>
          <w:sz w:val="20"/>
          <w:szCs w:val="20"/>
        </w:rPr>
      </w:pPr>
      <w:r w:rsidRPr="00996B78">
        <w:rPr>
          <w:rFonts w:ascii="Arial" w:eastAsiaTheme="minorEastAsia" w:hAnsi="Arial" w:cs="Arial"/>
          <w:sz w:val="20"/>
          <w:szCs w:val="20"/>
        </w:rPr>
        <w:t>»Izbrani prijavitelj mora najkasneje 14 dni po podpisu pogodbe na svoji spletni strani objaviti informacijo o projektu, ki je predmet sofinanciranja (naziv projekta, celotna vrednost projekta ter znesek sofinanciranja iz sklada Načrta za okrevanje in odpornost, datum pričetka in zaključka projekta ter znesek sofinanciranja iz Sklada za podnebne spremembe, v primeru sofina</w:t>
      </w:r>
      <w:r>
        <w:rPr>
          <w:rFonts w:ascii="Arial" w:eastAsiaTheme="minorEastAsia" w:hAnsi="Arial" w:cs="Arial"/>
          <w:sz w:val="20"/>
          <w:szCs w:val="20"/>
        </w:rPr>
        <w:t>n</w:t>
      </w:r>
      <w:r w:rsidRPr="00996B78">
        <w:rPr>
          <w:rFonts w:ascii="Arial" w:eastAsiaTheme="minorEastAsia" w:hAnsi="Arial" w:cs="Arial"/>
          <w:sz w:val="20"/>
          <w:szCs w:val="20"/>
        </w:rPr>
        <w:t>ciranja iz tega vira). Navesti mora tudi informacijo o viru financiranja: Načrt za okrevanje in odpornost, razvojno področje C3: Pametna, trajnostna in vključujoča rast, komponenta K2: Dvig produktivnosti, prijazno poslovno okolje za investitorje in investicija D: Zagotavljanje inovativnih ekosistemov ekonomsko-poslovne infrastrukture ali Sklad za podnebne spremembe. Kratka predstavitev projekta naj vsebuje namen in cilje oz. kazalnike, ki bodo s projektom doseženi. Ob zaključku projekta se objavijo tudi doseženi rezultati.</w:t>
      </w:r>
      <w:r>
        <w:rPr>
          <w:rFonts w:ascii="Arial" w:eastAsiaTheme="minorEastAsia" w:hAnsi="Arial" w:cs="Arial"/>
          <w:sz w:val="20"/>
          <w:szCs w:val="20"/>
        </w:rPr>
        <w:t>«.</w:t>
      </w:r>
    </w:p>
    <w:p w:rsidR="00CD5881" w:rsidRPr="00996B78" w:rsidRDefault="00CD5881" w:rsidP="00CD5881">
      <w:pPr>
        <w:shd w:val="clear" w:color="auto" w:fill="FFFFFF"/>
        <w:ind w:firstLine="330"/>
        <w:jc w:val="both"/>
        <w:rPr>
          <w:rFonts w:ascii="Arial" w:eastAsia="Times New Roman" w:hAnsi="Arial" w:cs="Arial"/>
          <w:sz w:val="20"/>
          <w:szCs w:val="20"/>
          <w:lang w:eastAsia="sl-SI"/>
        </w:rPr>
      </w:pPr>
    </w:p>
    <w:p w:rsidR="00CD5881" w:rsidRPr="00996B78" w:rsidRDefault="00CD5881" w:rsidP="00CD5881">
      <w:pPr>
        <w:pStyle w:val="Naslov1"/>
        <w:jc w:val="both"/>
        <w:rPr>
          <w:sz w:val="20"/>
          <w:szCs w:val="20"/>
        </w:rPr>
      </w:pPr>
      <w:r w:rsidRPr="00996B78">
        <w:rPr>
          <w:sz w:val="20"/>
          <w:szCs w:val="20"/>
        </w:rPr>
        <w:t xml:space="preserve">V točki 17  </w:t>
      </w:r>
      <w:r>
        <w:rPr>
          <w:sz w:val="20"/>
          <w:szCs w:val="20"/>
        </w:rPr>
        <w:t xml:space="preserve">»Zahteve glede dostopnosti dokumentacije nadzornim organom« </w:t>
      </w:r>
      <w:r w:rsidRPr="00996B78">
        <w:rPr>
          <w:sz w:val="20"/>
          <w:szCs w:val="20"/>
        </w:rPr>
        <w:t>spremeni prvi odstavek tako, da se glasi:</w:t>
      </w:r>
    </w:p>
    <w:p w:rsidR="00CD5881" w:rsidRPr="00996B78" w:rsidRDefault="00CD5881" w:rsidP="00CD5881">
      <w:pPr>
        <w:jc w:val="both"/>
        <w:rPr>
          <w:rFonts w:ascii="Arial" w:hAnsi="Arial" w:cs="Arial"/>
          <w:sz w:val="20"/>
          <w:szCs w:val="20"/>
        </w:rPr>
      </w:pPr>
      <w:r w:rsidRPr="00996B78">
        <w:rPr>
          <w:rFonts w:ascii="Arial" w:hAnsi="Arial" w:cs="Arial"/>
          <w:sz w:val="20"/>
          <w:szCs w:val="20"/>
        </w:rPr>
        <w:t>»Končni prejemnik mora omogočiti tehnični, administrativni in finančni nadzor nad izvajanjem projekta. Nadzor se izvaja s strani ministrstva, MOP, koordinacijskega organa (Urad MF za okrevanje in odpornost – URSOO), nacionalnega koordinatorja za revizijo (Urad za nadzor nad proračunom – UNP), nacionalnega koordinatorja za stroške (Ministrstvo za finance) in/ali drugih domačih ali evropskih nadzornih institucij (v nadaljevanju: nadzorni organi).«</w:t>
      </w:r>
      <w:r>
        <w:rPr>
          <w:rFonts w:ascii="Arial" w:hAnsi="Arial" w:cs="Arial"/>
          <w:sz w:val="20"/>
          <w:szCs w:val="20"/>
        </w:rPr>
        <w:t>.</w:t>
      </w:r>
    </w:p>
    <w:p w:rsidR="00CD5881" w:rsidRPr="00996B78" w:rsidRDefault="00CD5881" w:rsidP="00CD5881">
      <w:pPr>
        <w:shd w:val="clear" w:color="auto" w:fill="FFFFFF"/>
        <w:ind w:firstLine="330"/>
        <w:jc w:val="both"/>
        <w:rPr>
          <w:rFonts w:ascii="Arial" w:eastAsia="Times New Roman" w:hAnsi="Arial" w:cs="Arial"/>
          <w:sz w:val="20"/>
          <w:szCs w:val="20"/>
          <w:lang w:eastAsia="sl-SI"/>
        </w:rPr>
      </w:pPr>
    </w:p>
    <w:p w:rsidR="00CD5881" w:rsidRPr="00996B78" w:rsidRDefault="00CD5881" w:rsidP="00CD5881">
      <w:pPr>
        <w:shd w:val="clear" w:color="auto" w:fill="FFFFFF"/>
        <w:jc w:val="both"/>
        <w:rPr>
          <w:rFonts w:ascii="Arial" w:eastAsia="Times New Roman" w:hAnsi="Arial" w:cs="Arial"/>
          <w:sz w:val="20"/>
          <w:szCs w:val="20"/>
          <w:lang w:eastAsia="sl-SI"/>
        </w:rPr>
      </w:pPr>
    </w:p>
    <w:p w:rsidR="00CD5881" w:rsidRPr="00996B78" w:rsidRDefault="00CD5881" w:rsidP="00CD5881">
      <w:pPr>
        <w:shd w:val="clear" w:color="auto" w:fill="FFFFFF"/>
        <w:jc w:val="both"/>
        <w:rPr>
          <w:rFonts w:ascii="Arial" w:eastAsia="Times New Roman" w:hAnsi="Arial" w:cs="Arial"/>
          <w:b/>
          <w:sz w:val="20"/>
          <w:szCs w:val="20"/>
          <w:lang w:eastAsia="sl-SI"/>
        </w:rPr>
      </w:pPr>
      <w:r w:rsidRPr="00996B78">
        <w:rPr>
          <w:rFonts w:ascii="Arial" w:eastAsia="Times New Roman" w:hAnsi="Arial" w:cs="Arial"/>
          <w:b/>
          <w:sz w:val="20"/>
          <w:szCs w:val="20"/>
          <w:lang w:eastAsia="sl-SI"/>
        </w:rPr>
        <w:t>V točki 21 »Zahteve glede spremljanja in vrednotenja doseganja mejnikov, rezultatov in kazalnikov projekta«  spremenita tretji in četrti odstavek tako, da se glasita:</w:t>
      </w:r>
    </w:p>
    <w:p w:rsidR="00CD5881" w:rsidRPr="00996B78" w:rsidRDefault="00CD5881" w:rsidP="00CD5881">
      <w:pPr>
        <w:shd w:val="clear" w:color="auto" w:fill="FFFFFF"/>
        <w:ind w:firstLine="330"/>
        <w:jc w:val="both"/>
        <w:rPr>
          <w:rFonts w:ascii="Arial" w:eastAsia="Times New Roman" w:hAnsi="Arial" w:cs="Arial"/>
          <w:sz w:val="20"/>
          <w:szCs w:val="20"/>
          <w:lang w:eastAsia="sl-SI"/>
        </w:rPr>
      </w:pPr>
    </w:p>
    <w:p w:rsidR="00CD5881" w:rsidRPr="00996B78" w:rsidRDefault="00CD5881" w:rsidP="00CD5881">
      <w:pPr>
        <w:pStyle w:val="TEKST"/>
        <w:spacing w:line="240" w:lineRule="auto"/>
        <w:rPr>
          <w:rFonts w:ascii="Arial" w:eastAsiaTheme="minorHAnsi" w:hAnsi="Arial" w:cs="Arial"/>
          <w:lang w:eastAsia="en-US"/>
        </w:rPr>
      </w:pPr>
      <w:r w:rsidRPr="00996B78">
        <w:rPr>
          <w:rFonts w:ascii="Arial" w:eastAsiaTheme="minorHAnsi" w:hAnsi="Arial" w:cs="Arial"/>
          <w:lang w:eastAsia="en-US"/>
        </w:rPr>
        <w:t xml:space="preserve">»V primeru, da med izvajanjem projekta pride do sprememb, ki bi vplivale na oceno vloge tako, da bi se ocena znižala pod prag sofinanciranih projektov, ministrstvo lahko odstopi od pogodbe o dodelitvi sredstev ter zahteva vrnitev izplačanih sredstev skupaj z zakonskimi zamudnimi obrestmi od dneva nakazila sredstev na transakcijski račun končnega prejemnika do dneva vračila sredstev v proračunski sklad NOO oz. Sklad za podnebne spremembe. </w:t>
      </w:r>
    </w:p>
    <w:p w:rsidR="00CD5881" w:rsidRPr="00996B78" w:rsidRDefault="00CD5881" w:rsidP="00CD5881">
      <w:pPr>
        <w:pStyle w:val="TEKST"/>
        <w:spacing w:line="240" w:lineRule="auto"/>
        <w:rPr>
          <w:rFonts w:ascii="Arial" w:eastAsiaTheme="minorHAnsi" w:hAnsi="Arial" w:cs="Arial"/>
          <w:lang w:eastAsia="en-US"/>
        </w:rPr>
      </w:pPr>
    </w:p>
    <w:p w:rsidR="00CD5881" w:rsidRPr="00996B78" w:rsidRDefault="00CD5881" w:rsidP="00CD5881">
      <w:pPr>
        <w:jc w:val="both"/>
        <w:rPr>
          <w:rFonts w:ascii="Arial" w:eastAsiaTheme="minorHAnsi" w:hAnsi="Arial" w:cs="Arial"/>
          <w:sz w:val="20"/>
          <w:szCs w:val="20"/>
        </w:rPr>
      </w:pPr>
      <w:r w:rsidRPr="00996B78">
        <w:rPr>
          <w:rFonts w:ascii="Arial" w:eastAsiaTheme="minorHAnsi" w:hAnsi="Arial" w:cs="Arial"/>
          <w:sz w:val="20"/>
          <w:szCs w:val="20"/>
        </w:rPr>
        <w:t>V primeru, da končni prejemnik ob zaključku projekta ne bo dokazal uresničitev načrtovanih ciljev v celoti, lahko ministrstvo zahteva vračilo že izplačanih sredstev oz. sorazmernega dela sredstev za nerealizirane aktivnosti, skupaj z zakonskimi zamudnimi obrestmi od dneva nakazila sredstev na transakcijski račun končnega prejemnika do dneva vračila sredstev v proračunski sklad NOO oz. Sklad za podnebne spremembe</w:t>
      </w:r>
      <w:r>
        <w:rPr>
          <w:rFonts w:ascii="Arial" w:eastAsiaTheme="minorHAnsi" w:hAnsi="Arial" w:cs="Arial"/>
          <w:sz w:val="20"/>
          <w:szCs w:val="20"/>
        </w:rPr>
        <w:t>.</w:t>
      </w:r>
      <w:r w:rsidRPr="00996B78">
        <w:rPr>
          <w:rFonts w:ascii="Arial" w:eastAsiaTheme="minorHAnsi" w:hAnsi="Arial" w:cs="Arial"/>
          <w:sz w:val="20"/>
          <w:szCs w:val="20"/>
        </w:rPr>
        <w:t>«.</w:t>
      </w:r>
    </w:p>
    <w:p w:rsidR="00CD5881" w:rsidRPr="00996B78" w:rsidRDefault="00CD5881" w:rsidP="00CD5881">
      <w:pPr>
        <w:jc w:val="both"/>
        <w:rPr>
          <w:rFonts w:ascii="Arial" w:eastAsiaTheme="minorHAnsi" w:hAnsi="Arial" w:cs="Arial"/>
          <w:sz w:val="20"/>
          <w:szCs w:val="20"/>
        </w:rPr>
      </w:pPr>
    </w:p>
    <w:p w:rsidR="00CD5881" w:rsidRPr="00996B78" w:rsidRDefault="00CD5881" w:rsidP="00CD5881">
      <w:pPr>
        <w:jc w:val="both"/>
        <w:rPr>
          <w:rFonts w:ascii="Arial" w:eastAsiaTheme="minorHAnsi" w:hAnsi="Arial" w:cs="Arial"/>
          <w:b/>
          <w:sz w:val="20"/>
          <w:szCs w:val="20"/>
        </w:rPr>
      </w:pPr>
      <w:r w:rsidRPr="00996B78">
        <w:rPr>
          <w:rFonts w:ascii="Arial" w:eastAsiaTheme="minorHAnsi" w:hAnsi="Arial" w:cs="Arial"/>
          <w:b/>
          <w:sz w:val="20"/>
          <w:szCs w:val="20"/>
        </w:rPr>
        <w:t xml:space="preserve">Točka 22 »Posledice, če se ugotovi, da je postopku potrjevanja projektov ali izvajanje projektov prišlo do resnih napak, nepravilnosti, goljufije ali kršitve obveznosti« spremeni tako, da se glasi: </w:t>
      </w:r>
    </w:p>
    <w:p w:rsidR="00CD5881" w:rsidRPr="00996B78" w:rsidRDefault="00CD5881" w:rsidP="00CD5881">
      <w:pPr>
        <w:jc w:val="both"/>
        <w:rPr>
          <w:rFonts w:ascii="Arial" w:eastAsiaTheme="minorHAnsi" w:hAnsi="Arial" w:cs="Arial"/>
          <w:sz w:val="20"/>
          <w:szCs w:val="20"/>
        </w:rPr>
      </w:pPr>
    </w:p>
    <w:p w:rsidR="00CD5881" w:rsidRPr="00996B78" w:rsidRDefault="00CD5881" w:rsidP="00CD5881">
      <w:pPr>
        <w:jc w:val="both"/>
        <w:rPr>
          <w:rFonts w:ascii="Arial" w:hAnsi="Arial" w:cs="Arial"/>
          <w:sz w:val="20"/>
          <w:szCs w:val="20"/>
        </w:rPr>
      </w:pPr>
      <w:r w:rsidRPr="00996B78">
        <w:rPr>
          <w:rFonts w:ascii="Arial" w:hAnsi="Arial" w:cs="Arial"/>
          <w:sz w:val="20"/>
          <w:szCs w:val="20"/>
        </w:rPr>
        <w:t xml:space="preserve">»V kolikor se ugotovi, da je v postopku potrjevanja projektov ali izvajanja projektov prišlo do resnih napak, nepravilnosti ali kršitve obveznosti, ali pa končni prejemnik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končni prejemnik pa bo dolžan </w:t>
      </w:r>
      <w:r w:rsidRPr="00996B78">
        <w:rPr>
          <w:rFonts w:ascii="Arial" w:hAnsi="Arial" w:cs="Arial"/>
          <w:sz w:val="20"/>
          <w:szCs w:val="20"/>
        </w:rPr>
        <w:lastRenderedPageBreak/>
        <w:t>vrniti neupravičeno prejeta sredstva skupaj z zakonskimi zamudnimi obrestmi od dneva nakazila sredstev na  transakcijski račun končnega prejemnika do dneva vračila sredstev v proračunski sklad NOO oziroma Sklad za podnebne spremembe.  Če je takšno ravnanje namerno, se bo obravnavalo kot goljufija.«</w:t>
      </w:r>
      <w:r>
        <w:rPr>
          <w:rFonts w:ascii="Arial" w:hAnsi="Arial" w:cs="Arial"/>
          <w:sz w:val="20"/>
          <w:szCs w:val="20"/>
        </w:rPr>
        <w:t>.</w:t>
      </w:r>
    </w:p>
    <w:p w:rsidR="00CD5881" w:rsidRPr="00996B78" w:rsidRDefault="00CD5881" w:rsidP="00CD5881">
      <w:pPr>
        <w:jc w:val="both"/>
        <w:rPr>
          <w:rFonts w:ascii="Arial" w:eastAsiaTheme="minorHAnsi" w:hAnsi="Arial" w:cs="Arial"/>
          <w:sz w:val="20"/>
          <w:szCs w:val="20"/>
        </w:rPr>
      </w:pPr>
    </w:p>
    <w:p w:rsidR="00CD5881" w:rsidRPr="00996B78" w:rsidRDefault="00CD5881" w:rsidP="00CD5881">
      <w:pPr>
        <w:jc w:val="both"/>
        <w:rPr>
          <w:rFonts w:ascii="Arial" w:eastAsiaTheme="minorHAnsi" w:hAnsi="Arial" w:cs="Arial"/>
          <w:b/>
          <w:sz w:val="20"/>
          <w:szCs w:val="20"/>
        </w:rPr>
      </w:pPr>
    </w:p>
    <w:p w:rsidR="00CD5881" w:rsidRPr="00996B78" w:rsidRDefault="00CD5881" w:rsidP="00CD5881">
      <w:pPr>
        <w:pStyle w:val="Brezrazmikov"/>
        <w:jc w:val="both"/>
        <w:rPr>
          <w:rFonts w:ascii="Arial" w:hAnsi="Arial" w:cs="Arial"/>
          <w:b/>
          <w:sz w:val="20"/>
          <w:szCs w:val="20"/>
        </w:rPr>
      </w:pPr>
      <w:r w:rsidRPr="00996B78">
        <w:rPr>
          <w:rFonts w:ascii="Arial" w:eastAsiaTheme="minorHAnsi" w:hAnsi="Arial" w:cs="Arial"/>
          <w:b/>
          <w:sz w:val="20"/>
          <w:szCs w:val="20"/>
        </w:rPr>
        <w:t>Točka 23 »P</w:t>
      </w:r>
      <w:r w:rsidRPr="00996B78">
        <w:rPr>
          <w:rFonts w:ascii="Arial" w:hAnsi="Arial" w:cs="Arial"/>
          <w:b/>
          <w:sz w:val="20"/>
          <w:szCs w:val="20"/>
        </w:rPr>
        <w:t xml:space="preserve">osledice, če se ugotovi, da aktivnosti na projektu niso bile skladne s pravom unije in pravom Republike Slovenije«  spremeni tako, da se glasi: </w:t>
      </w:r>
    </w:p>
    <w:p w:rsidR="00CD5881" w:rsidRPr="00996B78" w:rsidRDefault="00CD5881" w:rsidP="00CD5881">
      <w:pPr>
        <w:pStyle w:val="Brezrazmikov"/>
        <w:jc w:val="both"/>
        <w:rPr>
          <w:rFonts w:ascii="Arial" w:hAnsi="Arial" w:cs="Arial"/>
          <w:sz w:val="20"/>
          <w:szCs w:val="20"/>
        </w:rPr>
      </w:pPr>
    </w:p>
    <w:p w:rsidR="00CD5881" w:rsidRPr="00996B78" w:rsidRDefault="00CD5881" w:rsidP="00CD5881">
      <w:pPr>
        <w:pStyle w:val="Brezrazmikov"/>
        <w:jc w:val="both"/>
        <w:rPr>
          <w:rFonts w:ascii="Arial" w:hAnsi="Arial" w:cs="Arial"/>
          <w:sz w:val="20"/>
          <w:szCs w:val="20"/>
        </w:rPr>
      </w:pPr>
      <w:r w:rsidRPr="00996B78">
        <w:rPr>
          <w:rFonts w:ascii="Arial" w:hAnsi="Arial" w:cs="Arial"/>
          <w:sz w:val="20"/>
          <w:szCs w:val="20"/>
        </w:rPr>
        <w:t>»V kolikor se ugotovi, da aktivnosti na projektu niso bile skladne s pravom Unije in pravom Republike Slovenije, bo ministrstvo odstopilo od pogodbe, končni prejemnik pa bo dolžan vrniti neupravičeno prejeta sredstva skupaj z zakonskimi zamudnimi obrestmi od dneva nakazila sredstev na transakcijski račun končnega prejemnika do dneva vračila sredstev v proračunski sklad NOO oziroma Sklad za podnebne spremembe.«</w:t>
      </w:r>
      <w:r>
        <w:rPr>
          <w:rFonts w:ascii="Arial" w:hAnsi="Arial" w:cs="Arial"/>
          <w:sz w:val="20"/>
          <w:szCs w:val="20"/>
        </w:rPr>
        <w:t>.</w:t>
      </w:r>
    </w:p>
    <w:p w:rsidR="00CD5881" w:rsidRPr="00996B78" w:rsidRDefault="00CD5881" w:rsidP="00CD5881">
      <w:pPr>
        <w:pStyle w:val="Brezrazmikov"/>
        <w:jc w:val="both"/>
        <w:rPr>
          <w:rFonts w:ascii="Arial" w:eastAsiaTheme="minorHAnsi" w:hAnsi="Arial" w:cs="Arial"/>
          <w:sz w:val="20"/>
          <w:szCs w:val="20"/>
        </w:rPr>
      </w:pPr>
    </w:p>
    <w:p w:rsidR="00CD5881" w:rsidRPr="00996B78" w:rsidRDefault="00CD5881" w:rsidP="00CD5881">
      <w:pPr>
        <w:pStyle w:val="Brezrazmikov"/>
        <w:jc w:val="both"/>
        <w:rPr>
          <w:rStyle w:val="Naslov1Znak"/>
          <w:bCs/>
          <w:caps/>
          <w:sz w:val="20"/>
          <w:szCs w:val="20"/>
        </w:rPr>
      </w:pPr>
      <w:r w:rsidRPr="00996B78">
        <w:rPr>
          <w:rFonts w:ascii="Arial" w:eastAsiaTheme="minorHAnsi" w:hAnsi="Arial" w:cs="Arial"/>
          <w:b/>
          <w:sz w:val="20"/>
          <w:szCs w:val="20"/>
        </w:rPr>
        <w:t>Točka 24 »</w:t>
      </w:r>
      <w:r w:rsidRPr="00996B78">
        <w:rPr>
          <w:rFonts w:ascii="Arial" w:hAnsi="Arial" w:cs="Arial"/>
          <w:b/>
          <w:sz w:val="20"/>
          <w:szCs w:val="20"/>
        </w:rPr>
        <w:t xml:space="preserve">Posledice, če se ugotovi dvojno financiranje posameznega projekta ali, da je višina financiranja </w:t>
      </w:r>
      <w:r w:rsidRPr="00996B78">
        <w:rPr>
          <w:rStyle w:val="Naslov1Znak"/>
          <w:sz w:val="20"/>
          <w:szCs w:val="20"/>
        </w:rPr>
        <w:t xml:space="preserve">projekta presegla maksimalno dovoljeno stopnjo oz. znesek pomoči«  spremeni tako, da se glasi: </w:t>
      </w:r>
    </w:p>
    <w:p w:rsidR="00CD5881" w:rsidRPr="00996B78" w:rsidRDefault="00CD5881" w:rsidP="00CD5881">
      <w:pPr>
        <w:pStyle w:val="Brezrazmikov"/>
        <w:jc w:val="both"/>
        <w:rPr>
          <w:rFonts w:ascii="Arial" w:hAnsi="Arial" w:cs="Arial"/>
          <w:sz w:val="20"/>
          <w:szCs w:val="20"/>
        </w:rPr>
      </w:pPr>
    </w:p>
    <w:p w:rsidR="00CD5881" w:rsidRPr="00996B78" w:rsidRDefault="00CD5881" w:rsidP="00CD5881">
      <w:pPr>
        <w:jc w:val="both"/>
        <w:rPr>
          <w:rFonts w:ascii="Arial" w:hAnsi="Arial" w:cs="Arial"/>
          <w:sz w:val="20"/>
          <w:szCs w:val="20"/>
        </w:rPr>
      </w:pPr>
      <w:r w:rsidRPr="00996B78">
        <w:rPr>
          <w:rFonts w:ascii="Arial" w:hAnsi="Arial" w:cs="Arial"/>
          <w:sz w:val="20"/>
          <w:szCs w:val="20"/>
        </w:rPr>
        <w:t>»Dvojno uveljavljanje stroškov in dvojno financiranje izdatkov, ki so že bili povrnjeni iz katerega koli drugega vira, ni dovoljeno. V kolikor se ugotovi dvojno uveljavljanje stroškov ali dvojno financiranje  izdatkov, ministrstvo odstopi od pogodbe in zahteva vračilo že izplačanih sredstev skupaj z zakonskimi zamudnimi obrestmi od dneva nakazila sredstev na transakcijski račun končnega prejemnika do dneva vračila sredstev v proračunski sklad NOO oz. Sklad za podnebne spremembe. Če je dvojno uveljavljanje stroškov ali dvojno financiranje izdatkov namerno, se bo obravnavalo kot goljufija.«</w:t>
      </w:r>
      <w:r>
        <w:rPr>
          <w:rFonts w:ascii="Arial" w:hAnsi="Arial" w:cs="Arial"/>
          <w:sz w:val="20"/>
          <w:szCs w:val="20"/>
        </w:rPr>
        <w:t>.</w:t>
      </w:r>
    </w:p>
    <w:p w:rsidR="00CD5881" w:rsidRPr="00996B78" w:rsidRDefault="00CD5881" w:rsidP="00CD5881">
      <w:pPr>
        <w:jc w:val="both"/>
        <w:rPr>
          <w:rFonts w:ascii="Arial" w:eastAsiaTheme="minorHAnsi" w:hAnsi="Arial" w:cs="Arial"/>
          <w:sz w:val="20"/>
          <w:szCs w:val="20"/>
        </w:rPr>
      </w:pPr>
    </w:p>
    <w:p w:rsidR="00CD5881" w:rsidRPr="00996B78" w:rsidRDefault="00CD5881" w:rsidP="00CD5881">
      <w:pPr>
        <w:jc w:val="both"/>
        <w:rPr>
          <w:rFonts w:ascii="Arial" w:hAnsi="Arial" w:cs="Arial"/>
          <w:noProof/>
          <w:sz w:val="20"/>
          <w:szCs w:val="20"/>
        </w:rPr>
      </w:pPr>
    </w:p>
    <w:p w:rsidR="00CD5881" w:rsidRPr="00996B78" w:rsidRDefault="00CD5881" w:rsidP="00CD5881">
      <w:pPr>
        <w:jc w:val="both"/>
        <w:rPr>
          <w:rFonts w:ascii="Arial" w:hAnsi="Arial" w:cs="Arial"/>
          <w:sz w:val="20"/>
          <w:szCs w:val="20"/>
          <w:lang w:eastAsia="sl-SI"/>
        </w:rPr>
      </w:pPr>
      <w:r w:rsidRPr="00996B78">
        <w:rPr>
          <w:rFonts w:ascii="Arial" w:hAnsi="Arial" w:cs="Arial"/>
          <w:sz w:val="20"/>
          <w:szCs w:val="20"/>
          <w:lang w:eastAsia="sl-SI"/>
        </w:rPr>
        <w:t>Vsa ostala določila javnega razpisa ostanejo nespremenjena.</w:t>
      </w:r>
    </w:p>
    <w:p w:rsidR="00CD5881" w:rsidRPr="00996B78" w:rsidRDefault="00CD5881" w:rsidP="00CD5881">
      <w:pPr>
        <w:jc w:val="both"/>
        <w:rPr>
          <w:rFonts w:ascii="Arial" w:hAnsi="Arial" w:cs="Arial"/>
          <w:sz w:val="20"/>
          <w:szCs w:val="20"/>
          <w:lang w:eastAsia="sl-SI"/>
        </w:rPr>
      </w:pPr>
    </w:p>
    <w:p w:rsidR="00CD5881" w:rsidRPr="00996B78" w:rsidRDefault="00CD5881" w:rsidP="00CD5881">
      <w:pPr>
        <w:jc w:val="both"/>
        <w:rPr>
          <w:rFonts w:ascii="Arial" w:hAnsi="Arial" w:cs="Arial"/>
          <w:sz w:val="20"/>
          <w:szCs w:val="20"/>
          <w:lang w:eastAsia="sl-SI"/>
        </w:rPr>
      </w:pPr>
    </w:p>
    <w:p w:rsidR="00CD5881" w:rsidRPr="00996B78" w:rsidRDefault="00CD5881" w:rsidP="00CD5881">
      <w:pPr>
        <w:jc w:val="both"/>
        <w:rPr>
          <w:rFonts w:ascii="Arial" w:hAnsi="Arial" w:cs="Arial"/>
          <w:sz w:val="20"/>
          <w:szCs w:val="20"/>
          <w:lang w:eastAsia="sl-SI"/>
        </w:rPr>
      </w:pPr>
    </w:p>
    <w:p w:rsidR="00CD5881" w:rsidRDefault="00CD5881" w:rsidP="00CD5881">
      <w:pPr>
        <w:jc w:val="both"/>
        <w:rPr>
          <w:rFonts w:ascii="Arial" w:hAnsi="Arial" w:cs="Arial"/>
          <w:sz w:val="20"/>
          <w:szCs w:val="20"/>
          <w:lang w:eastAsia="sl-SI"/>
        </w:rPr>
      </w:pPr>
      <w:r w:rsidRPr="00996B78">
        <w:rPr>
          <w:rFonts w:ascii="Arial" w:hAnsi="Arial" w:cs="Arial"/>
          <w:sz w:val="20"/>
          <w:szCs w:val="20"/>
          <w:lang w:eastAsia="sl-SI"/>
        </w:rPr>
        <w:t xml:space="preserve">                   </w:t>
      </w:r>
    </w:p>
    <w:p w:rsidR="00CD5881" w:rsidRDefault="00CD5881" w:rsidP="00CD5881">
      <w:pPr>
        <w:jc w:val="both"/>
        <w:rPr>
          <w:rFonts w:ascii="Arial" w:hAnsi="Arial" w:cs="Arial"/>
          <w:sz w:val="20"/>
          <w:szCs w:val="20"/>
          <w:lang w:eastAsia="sl-SI"/>
        </w:rPr>
      </w:pPr>
    </w:p>
    <w:p w:rsidR="00CD5881" w:rsidRPr="00996B78" w:rsidRDefault="00CD5881" w:rsidP="00CD5881">
      <w:pPr>
        <w:ind w:left="6372"/>
        <w:jc w:val="both"/>
        <w:rPr>
          <w:rFonts w:ascii="Arial" w:hAnsi="Arial" w:cs="Arial"/>
          <w:sz w:val="20"/>
          <w:szCs w:val="20"/>
          <w:lang w:eastAsia="sl-SI"/>
        </w:rPr>
      </w:pPr>
      <w:r>
        <w:rPr>
          <w:rFonts w:ascii="Arial" w:hAnsi="Arial" w:cs="Arial"/>
          <w:sz w:val="20"/>
          <w:szCs w:val="20"/>
          <w:lang w:eastAsia="sl-SI"/>
        </w:rPr>
        <w:t xml:space="preserve">         </w:t>
      </w:r>
      <w:r w:rsidRPr="00996B78">
        <w:rPr>
          <w:rFonts w:ascii="Arial" w:hAnsi="Arial" w:cs="Arial"/>
          <w:sz w:val="20"/>
          <w:szCs w:val="20"/>
          <w:lang w:eastAsia="sl-SI"/>
        </w:rPr>
        <w:t xml:space="preserve">   Matjaž Han</w:t>
      </w:r>
    </w:p>
    <w:p w:rsidR="00CD5881" w:rsidRPr="00996B78" w:rsidRDefault="00CD5881" w:rsidP="00CD5881">
      <w:pPr>
        <w:jc w:val="both"/>
        <w:rPr>
          <w:rFonts w:ascii="Arial" w:hAnsi="Arial" w:cs="Arial"/>
          <w:sz w:val="20"/>
          <w:szCs w:val="20"/>
          <w:lang w:eastAsia="sl-SI"/>
        </w:rPr>
      </w:pPr>
      <w:r>
        <w:rPr>
          <w:rFonts w:ascii="Arial" w:hAnsi="Arial" w:cs="Arial"/>
          <w:sz w:val="20"/>
          <w:szCs w:val="20"/>
          <w:lang w:eastAsia="sl-SI"/>
        </w:rPr>
        <w:t xml:space="preserve">                                                                                                                               </w:t>
      </w:r>
      <w:r w:rsidRPr="00996B78">
        <w:rPr>
          <w:rFonts w:ascii="Arial" w:hAnsi="Arial" w:cs="Arial"/>
          <w:sz w:val="20"/>
          <w:szCs w:val="20"/>
          <w:lang w:eastAsia="sl-SI"/>
        </w:rPr>
        <w:tab/>
      </w:r>
      <w:r w:rsidRPr="00996B78">
        <w:rPr>
          <w:rFonts w:ascii="Arial" w:hAnsi="Arial" w:cs="Arial"/>
          <w:sz w:val="20"/>
          <w:szCs w:val="20"/>
          <w:lang w:eastAsia="sl-SI"/>
        </w:rPr>
        <w:tab/>
      </w:r>
      <w:r w:rsidRPr="00996B78">
        <w:rPr>
          <w:rFonts w:ascii="Arial" w:hAnsi="Arial" w:cs="Arial"/>
          <w:sz w:val="20"/>
          <w:szCs w:val="20"/>
          <w:lang w:eastAsia="sl-SI"/>
        </w:rPr>
        <w:tab/>
      </w:r>
      <w:r w:rsidRPr="00996B78">
        <w:rPr>
          <w:rFonts w:ascii="Arial" w:hAnsi="Arial" w:cs="Arial"/>
          <w:sz w:val="20"/>
          <w:szCs w:val="20"/>
          <w:lang w:eastAsia="sl-SI"/>
        </w:rPr>
        <w:tab/>
      </w:r>
      <w:r w:rsidRPr="00996B78">
        <w:rPr>
          <w:rFonts w:ascii="Arial" w:hAnsi="Arial" w:cs="Arial"/>
          <w:sz w:val="20"/>
          <w:szCs w:val="20"/>
          <w:lang w:eastAsia="sl-SI"/>
        </w:rPr>
        <w:tab/>
      </w:r>
      <w:r w:rsidRPr="00996B78">
        <w:rPr>
          <w:rFonts w:ascii="Arial" w:hAnsi="Arial" w:cs="Arial"/>
          <w:sz w:val="20"/>
          <w:szCs w:val="20"/>
          <w:lang w:eastAsia="sl-SI"/>
        </w:rPr>
        <w:tab/>
      </w:r>
      <w:r w:rsidRPr="00996B78">
        <w:rPr>
          <w:rFonts w:ascii="Arial" w:hAnsi="Arial" w:cs="Arial"/>
          <w:sz w:val="20"/>
          <w:szCs w:val="20"/>
          <w:lang w:eastAsia="sl-SI"/>
        </w:rPr>
        <w:tab/>
      </w:r>
      <w:r w:rsidRPr="00996B78">
        <w:rPr>
          <w:rFonts w:ascii="Arial" w:hAnsi="Arial" w:cs="Arial"/>
          <w:sz w:val="20"/>
          <w:szCs w:val="20"/>
          <w:lang w:eastAsia="sl-SI"/>
        </w:rPr>
        <w:tab/>
      </w:r>
      <w:r w:rsidRPr="00996B78">
        <w:rPr>
          <w:rFonts w:ascii="Arial" w:hAnsi="Arial" w:cs="Arial"/>
          <w:sz w:val="20"/>
          <w:szCs w:val="20"/>
          <w:lang w:eastAsia="sl-SI"/>
        </w:rPr>
        <w:tab/>
      </w:r>
      <w:r w:rsidRPr="00996B78">
        <w:rPr>
          <w:rFonts w:ascii="Arial" w:hAnsi="Arial" w:cs="Arial"/>
          <w:sz w:val="20"/>
          <w:szCs w:val="20"/>
          <w:lang w:eastAsia="sl-SI"/>
        </w:rPr>
        <w:tab/>
        <w:t>MINISTER</w:t>
      </w:r>
    </w:p>
    <w:p w:rsidR="00153F35" w:rsidRDefault="00153F35" w:rsidP="00CD5881">
      <w:pPr>
        <w:pStyle w:val="podpisi"/>
        <w:tabs>
          <w:tab w:val="clear" w:pos="3402"/>
          <w:tab w:val="left" w:pos="1701"/>
        </w:tabs>
        <w:spacing w:line="260" w:lineRule="exact"/>
        <w:jc w:val="both"/>
        <w:rPr>
          <w:szCs w:val="20"/>
          <w:lang w:val="sl-SI"/>
        </w:rPr>
      </w:pPr>
    </w:p>
    <w:sectPr w:rsidR="00153F35" w:rsidSect="00827987">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C6C" w:rsidRDefault="00D23C6C">
      <w:r>
        <w:separator/>
      </w:r>
    </w:p>
  </w:endnote>
  <w:endnote w:type="continuationSeparator" w:id="0">
    <w:p w:rsidR="00D23C6C" w:rsidRDefault="00D2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C6C" w:rsidRDefault="00D23C6C">
      <w:r>
        <w:separator/>
      </w:r>
    </w:p>
  </w:footnote>
  <w:footnote w:type="continuationSeparator" w:id="0">
    <w:p w:rsidR="00D23C6C" w:rsidRDefault="00D2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ACC" w:rsidRPr="00110CBD" w:rsidRDefault="002A7ACC"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38"/>
    </w:tblGrid>
    <w:tr w:rsidR="002A7ACC" w:rsidRPr="008F3500" w:rsidTr="00DA54B0">
      <w:trPr>
        <w:cantSplit/>
        <w:trHeight w:hRule="exact" w:val="737"/>
      </w:trPr>
      <w:tc>
        <w:tcPr>
          <w:tcW w:w="538" w:type="dxa"/>
        </w:tcPr>
        <w:p w:rsidR="002A7ACC" w:rsidRPr="006D42D9" w:rsidRDefault="002A7ACC" w:rsidP="006D42D9">
          <w:pPr>
            <w:rPr>
              <w:rFonts w:ascii="Republika" w:hAnsi="Republika"/>
              <w:sz w:val="60"/>
              <w:szCs w:val="60"/>
            </w:rPr>
          </w:pPr>
        </w:p>
        <w:p w:rsidR="002A7ACC" w:rsidRPr="006D42D9" w:rsidRDefault="002A7ACC" w:rsidP="006D42D9">
          <w:pPr>
            <w:rPr>
              <w:rFonts w:ascii="Republika" w:hAnsi="Republika"/>
              <w:sz w:val="60"/>
              <w:szCs w:val="60"/>
            </w:rPr>
          </w:pPr>
        </w:p>
        <w:p w:rsidR="002A7ACC" w:rsidRPr="006D42D9" w:rsidRDefault="002A7ACC" w:rsidP="006D42D9">
          <w:pPr>
            <w:rPr>
              <w:rFonts w:ascii="Republika" w:hAnsi="Republika"/>
              <w:sz w:val="60"/>
              <w:szCs w:val="60"/>
            </w:rPr>
          </w:pPr>
        </w:p>
        <w:p w:rsidR="002A7ACC" w:rsidRPr="006D42D9" w:rsidRDefault="002A7ACC" w:rsidP="006D42D9">
          <w:pPr>
            <w:rPr>
              <w:rFonts w:ascii="Republika" w:hAnsi="Republika"/>
              <w:sz w:val="60"/>
              <w:szCs w:val="60"/>
            </w:rPr>
          </w:pPr>
        </w:p>
        <w:p w:rsidR="002A7ACC" w:rsidRPr="006D42D9" w:rsidRDefault="002A7ACC" w:rsidP="006D42D9">
          <w:pPr>
            <w:rPr>
              <w:rFonts w:ascii="Republika" w:hAnsi="Republika"/>
              <w:sz w:val="60"/>
              <w:szCs w:val="60"/>
            </w:rPr>
          </w:pPr>
        </w:p>
        <w:p w:rsidR="002A7ACC" w:rsidRPr="006D42D9" w:rsidRDefault="002A7ACC" w:rsidP="006D42D9">
          <w:pPr>
            <w:rPr>
              <w:rFonts w:ascii="Republika" w:hAnsi="Republika"/>
              <w:sz w:val="60"/>
              <w:szCs w:val="60"/>
            </w:rPr>
          </w:pPr>
        </w:p>
        <w:p w:rsidR="002A7ACC" w:rsidRPr="006D42D9" w:rsidRDefault="002A7ACC" w:rsidP="006D42D9">
          <w:pPr>
            <w:rPr>
              <w:rFonts w:ascii="Republika" w:hAnsi="Republika"/>
              <w:sz w:val="60"/>
              <w:szCs w:val="60"/>
            </w:rPr>
          </w:pPr>
        </w:p>
        <w:p w:rsidR="002A7ACC" w:rsidRPr="006D42D9" w:rsidRDefault="002A7ACC" w:rsidP="006D42D9">
          <w:pPr>
            <w:rPr>
              <w:rFonts w:ascii="Republika" w:hAnsi="Republika"/>
              <w:sz w:val="60"/>
              <w:szCs w:val="60"/>
            </w:rPr>
          </w:pPr>
        </w:p>
        <w:p w:rsidR="002A7ACC" w:rsidRPr="006D42D9" w:rsidRDefault="002A7ACC" w:rsidP="006D42D9">
          <w:pPr>
            <w:rPr>
              <w:rFonts w:ascii="Republika" w:hAnsi="Republika"/>
              <w:sz w:val="60"/>
              <w:szCs w:val="60"/>
            </w:rPr>
          </w:pPr>
        </w:p>
        <w:p w:rsidR="002A7ACC" w:rsidRPr="006D42D9" w:rsidRDefault="002A7ACC" w:rsidP="006D42D9">
          <w:pPr>
            <w:rPr>
              <w:rFonts w:ascii="Republika" w:hAnsi="Republika"/>
              <w:sz w:val="60"/>
              <w:szCs w:val="60"/>
            </w:rPr>
          </w:pPr>
        </w:p>
        <w:p w:rsidR="002A7ACC" w:rsidRPr="006D42D9" w:rsidRDefault="002A7ACC" w:rsidP="006D42D9">
          <w:pPr>
            <w:rPr>
              <w:rFonts w:ascii="Republika" w:hAnsi="Republika"/>
              <w:sz w:val="60"/>
              <w:szCs w:val="60"/>
            </w:rPr>
          </w:pPr>
        </w:p>
        <w:p w:rsidR="002A7ACC" w:rsidRPr="006D42D9" w:rsidRDefault="002A7ACC" w:rsidP="006D42D9">
          <w:pPr>
            <w:rPr>
              <w:rFonts w:ascii="Republika" w:hAnsi="Republika"/>
              <w:sz w:val="60"/>
              <w:szCs w:val="60"/>
            </w:rPr>
          </w:pPr>
        </w:p>
        <w:p w:rsidR="002A7ACC" w:rsidRPr="006D42D9" w:rsidRDefault="002A7ACC" w:rsidP="006D42D9">
          <w:pPr>
            <w:rPr>
              <w:rFonts w:ascii="Republika" w:hAnsi="Republika"/>
              <w:sz w:val="60"/>
              <w:szCs w:val="60"/>
            </w:rPr>
          </w:pPr>
        </w:p>
        <w:p w:rsidR="002A7ACC" w:rsidRPr="006D42D9" w:rsidRDefault="002A7ACC" w:rsidP="006D42D9">
          <w:pPr>
            <w:rPr>
              <w:rFonts w:ascii="Republika" w:hAnsi="Republika"/>
              <w:sz w:val="60"/>
              <w:szCs w:val="60"/>
            </w:rPr>
          </w:pPr>
        </w:p>
        <w:p w:rsidR="002A7ACC" w:rsidRPr="006D42D9" w:rsidRDefault="002A7ACC" w:rsidP="006D42D9">
          <w:pPr>
            <w:rPr>
              <w:rFonts w:ascii="Republika" w:hAnsi="Republika"/>
              <w:sz w:val="60"/>
              <w:szCs w:val="60"/>
            </w:rPr>
          </w:pPr>
        </w:p>
        <w:p w:rsidR="002A7ACC" w:rsidRDefault="002A7ACC" w:rsidP="006D42D9">
          <w:pPr>
            <w:rPr>
              <w:rFonts w:ascii="Republika" w:hAnsi="Republika"/>
              <w:sz w:val="60"/>
              <w:szCs w:val="60"/>
            </w:rPr>
          </w:pPr>
        </w:p>
        <w:p w:rsidR="002A7ACC" w:rsidRPr="006D42D9" w:rsidRDefault="002A7ACC" w:rsidP="006D42D9">
          <w:pPr>
            <w:rPr>
              <w:rFonts w:ascii="Republika" w:hAnsi="Republika"/>
              <w:sz w:val="60"/>
              <w:szCs w:val="60"/>
            </w:rPr>
          </w:pPr>
        </w:p>
      </w:tc>
    </w:tr>
  </w:tbl>
  <w:p w:rsidR="002A7ACC" w:rsidRPr="008F3500" w:rsidRDefault="00C3132F" w:rsidP="00946C49">
    <w:pPr>
      <w:autoSpaceDE w:val="0"/>
      <w:autoSpaceDN w:val="0"/>
      <w:adjustRightInd w:val="0"/>
      <w:rPr>
        <w:rFonts w:ascii="Republika" w:hAnsi="Republika"/>
      </w:rPr>
    </w:pPr>
    <w:r w:rsidRPr="007430F1">
      <w:rPr>
        <w:noProof/>
        <w:szCs w:val="20"/>
        <w:lang w:eastAsia="sl-SI"/>
      </w:rPr>
      <w:drawing>
        <wp:anchor distT="0" distB="0" distL="114300" distR="114300" simplePos="0" relativeHeight="251659776" behindDoc="0" locked="0" layoutInCell="1" allowOverlap="1" wp14:anchorId="6506A301" wp14:editId="4AA837A7">
          <wp:simplePos x="0" y="0"/>
          <wp:positionH relativeFrom="page">
            <wp:posOffset>5638800</wp:posOffset>
          </wp:positionH>
          <wp:positionV relativeFrom="paragraph">
            <wp:posOffset>-2540</wp:posOffset>
          </wp:positionV>
          <wp:extent cx="792000" cy="349200"/>
          <wp:effectExtent l="0" t="0" r="8255" b="0"/>
          <wp:wrapSquare wrapText="bothSides"/>
          <wp:docPr id="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 cy="34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ACC">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99AF9"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00D9311F" w:rsidRPr="00D9311F">
      <w:rPr>
        <w:rFonts w:ascii="Republika" w:hAnsi="Republika"/>
      </w:rPr>
      <w:t>R</w:t>
    </w:r>
    <w:r w:rsidR="00F04FE4" w:rsidRPr="00F04FE4">
      <w:rPr>
        <w:rFonts w:ascii="Republika" w:hAnsi="Republika"/>
      </w:rPr>
      <w:t>EPUBLIKA SLOVENIJA</w:t>
    </w:r>
  </w:p>
  <w:p w:rsidR="002A7ACC" w:rsidRDefault="00D9311F" w:rsidP="00957CAE">
    <w:pPr>
      <w:pStyle w:val="Glava"/>
      <w:tabs>
        <w:tab w:val="clear" w:pos="4320"/>
        <w:tab w:val="clear" w:pos="8640"/>
        <w:tab w:val="left" w:pos="5112"/>
      </w:tabs>
      <w:spacing w:after="120" w:line="240" w:lineRule="exact"/>
      <w:rPr>
        <w:rFonts w:ascii="Republika" w:hAnsi="Republika"/>
        <w:b/>
        <w:caps/>
      </w:rPr>
    </w:pPr>
    <w:r w:rsidRPr="00D9311F">
      <w:rPr>
        <w:rFonts w:ascii="Republika" w:hAnsi="Republika"/>
        <w:b/>
        <w:caps/>
      </w:rPr>
      <w:t>MI</w:t>
    </w:r>
    <w:r w:rsidR="00F04FE4" w:rsidRPr="00F04FE4">
      <w:rPr>
        <w:rFonts w:ascii="Republika" w:hAnsi="Republika"/>
        <w:b/>
        <w:caps/>
      </w:rPr>
      <w:t>NISTRSTVO ZA GOSPODARSKI RAZVOJ IN TEHNOLOGIJO</w:t>
    </w:r>
    <w:r w:rsidR="00F04FE4">
      <w:rPr>
        <w:rFonts w:ascii="Republika" w:hAnsi="Republika"/>
        <w:b/>
        <w:caps/>
      </w:rPr>
      <w:t xml:space="preserve"> </w:t>
    </w:r>
  </w:p>
  <w:p w:rsidR="002A7ACC" w:rsidRPr="00307F39" w:rsidRDefault="00C3132F" w:rsidP="00957CAE">
    <w:pPr>
      <w:pStyle w:val="Glava"/>
      <w:tabs>
        <w:tab w:val="clear" w:pos="4320"/>
        <w:tab w:val="clear" w:pos="8640"/>
        <w:tab w:val="left" w:pos="5112"/>
      </w:tabs>
      <w:spacing w:after="120" w:line="240" w:lineRule="exact"/>
      <w:rPr>
        <w:rFonts w:ascii="Republika" w:hAnsi="Republika"/>
        <w:caps/>
      </w:rPr>
    </w:pPr>
    <w:r w:rsidRPr="007430F1">
      <w:rPr>
        <w:rFonts w:ascii="Republika" w:hAnsi="Republika"/>
        <w:b/>
        <w:caps/>
        <w:noProof/>
        <w:szCs w:val="20"/>
        <w:lang w:eastAsia="sl-SI"/>
      </w:rPr>
      <w:drawing>
        <wp:anchor distT="0" distB="0" distL="114300" distR="114300" simplePos="0" relativeHeight="251661824" behindDoc="0" locked="0" layoutInCell="1" allowOverlap="1" wp14:anchorId="72B80E9B" wp14:editId="1A154E31">
          <wp:simplePos x="0" y="0"/>
          <wp:positionH relativeFrom="margin">
            <wp:posOffset>4540250</wp:posOffset>
          </wp:positionH>
          <wp:positionV relativeFrom="margin">
            <wp:posOffset>-946785</wp:posOffset>
          </wp:positionV>
          <wp:extent cx="864000" cy="259200"/>
          <wp:effectExtent l="0" t="0" r="0" b="7620"/>
          <wp:wrapSquare wrapText="bothSides"/>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4000" cy="25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FE4">
      <w:rPr>
        <w:rFonts w:ascii="Republika" w:hAnsi="Republika"/>
        <w:caps/>
      </w:rPr>
      <w:t>DI</w:t>
    </w:r>
    <w:r w:rsidR="00F04FE4" w:rsidRPr="00F04FE4">
      <w:rPr>
        <w:rFonts w:ascii="Republika" w:hAnsi="Republika"/>
        <w:caps/>
      </w:rPr>
      <w:t xml:space="preserve">REKTORAT ZA </w:t>
    </w:r>
    <w:r w:rsidR="00E71294">
      <w:rPr>
        <w:rFonts w:ascii="Republika" w:hAnsi="Republika"/>
        <w:caps/>
      </w:rPr>
      <w:t>LESARSTVO</w:t>
    </w:r>
    <w:r w:rsidR="00F04FE4">
      <w:rPr>
        <w:rFonts w:ascii="Republika" w:hAnsi="Republika"/>
        <w:caps/>
      </w:rPr>
      <w:t xml:space="preserve"> </w:t>
    </w:r>
  </w:p>
  <w:p w:rsidR="00A32318" w:rsidRPr="008F3500" w:rsidRDefault="00A32318" w:rsidP="00A32318">
    <w:pPr>
      <w:pStyle w:val="Glava"/>
      <w:tabs>
        <w:tab w:val="clear" w:pos="4320"/>
        <w:tab w:val="clear" w:pos="8640"/>
        <w:tab w:val="left" w:pos="5112"/>
      </w:tabs>
      <w:spacing w:before="240" w:line="240" w:lineRule="exact"/>
      <w:rPr>
        <w:rFonts w:cs="Arial"/>
        <w:sz w:val="16"/>
      </w:rPr>
    </w:pPr>
    <w:r>
      <w:rPr>
        <w:rFonts w:cs="Arial"/>
        <w:sz w:val="16"/>
      </w:rPr>
      <w:t>Kotnikova ulica 5</w:t>
    </w:r>
    <w:r w:rsidRPr="008F3500">
      <w:rPr>
        <w:rFonts w:cs="Arial"/>
        <w:sz w:val="16"/>
      </w:rPr>
      <w:t xml:space="preserve">, </w:t>
    </w:r>
    <w:r>
      <w:rPr>
        <w:rFonts w:cs="Arial"/>
        <w:sz w:val="16"/>
      </w:rPr>
      <w:t>1000 Ljubljana</w:t>
    </w:r>
    <w:r w:rsidRPr="008F3500">
      <w:rPr>
        <w:rFonts w:cs="Arial"/>
        <w:sz w:val="16"/>
      </w:rPr>
      <w:tab/>
      <w:t xml:space="preserve">T: </w:t>
    </w:r>
    <w:r w:rsidR="00F04FE4">
      <w:rPr>
        <w:sz w:val="16"/>
        <w:szCs w:val="16"/>
      </w:rPr>
      <w:t>0</w:t>
    </w:r>
    <w:r w:rsidRPr="00163622">
      <w:rPr>
        <w:sz w:val="16"/>
        <w:szCs w:val="16"/>
      </w:rPr>
      <w:t xml:space="preserve">1 400 </w:t>
    </w:r>
    <w:r w:rsidR="00E71294" w:rsidRPr="00E71294">
      <w:rPr>
        <w:sz w:val="16"/>
        <w:szCs w:val="16"/>
      </w:rPr>
      <w:t>36 83</w:t>
    </w:r>
  </w:p>
  <w:p w:rsidR="00A32318" w:rsidRPr="008F3500" w:rsidRDefault="00A32318" w:rsidP="00A32318">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Pr="00607CC1">
      <w:rPr>
        <w:rFonts w:cs="Arial"/>
        <w:sz w:val="16"/>
      </w:rPr>
      <w:t>gp.mgrt@gov.si</w:t>
    </w:r>
  </w:p>
  <w:p w:rsidR="00A32318" w:rsidRPr="00AE13F9" w:rsidRDefault="00A32318" w:rsidP="00A32318">
    <w:pPr>
      <w:pStyle w:val="Glava"/>
      <w:tabs>
        <w:tab w:val="clear" w:pos="4320"/>
        <w:tab w:val="clear" w:pos="8640"/>
        <w:tab w:val="left" w:pos="5112"/>
      </w:tabs>
      <w:spacing w:line="240" w:lineRule="exact"/>
      <w:rPr>
        <w:rFonts w:cs="Arial"/>
        <w:sz w:val="16"/>
      </w:rPr>
    </w:pPr>
    <w:r w:rsidRPr="008F3500">
      <w:rPr>
        <w:rFonts w:cs="Arial"/>
        <w:sz w:val="16"/>
      </w:rPr>
      <w:tab/>
    </w:r>
    <w:r w:rsidRPr="00607CC1">
      <w:rPr>
        <w:rFonts w:cs="Arial"/>
        <w:sz w:val="16"/>
      </w:rPr>
      <w:t>www.mgrt.gov.si</w:t>
    </w:r>
  </w:p>
  <w:p w:rsidR="002A7ACC" w:rsidRPr="00AE13F9" w:rsidRDefault="002A7ACC" w:rsidP="00A32318">
    <w:pPr>
      <w:pStyle w:val="Glava"/>
      <w:tabs>
        <w:tab w:val="clear" w:pos="4320"/>
        <w:tab w:val="clear" w:pos="8640"/>
        <w:tab w:val="left" w:pos="5112"/>
      </w:tabs>
      <w:spacing w:before="240"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B3"/>
    <w:rsid w:val="00023A88"/>
    <w:rsid w:val="000335E3"/>
    <w:rsid w:val="00043ACB"/>
    <w:rsid w:val="000673CB"/>
    <w:rsid w:val="0008171F"/>
    <w:rsid w:val="00087B53"/>
    <w:rsid w:val="000A1C2B"/>
    <w:rsid w:val="000A3D3E"/>
    <w:rsid w:val="000A7238"/>
    <w:rsid w:val="000B1C14"/>
    <w:rsid w:val="000C28A5"/>
    <w:rsid w:val="000D03A4"/>
    <w:rsid w:val="000D0989"/>
    <w:rsid w:val="000E52A5"/>
    <w:rsid w:val="00100491"/>
    <w:rsid w:val="001259AD"/>
    <w:rsid w:val="001357B2"/>
    <w:rsid w:val="00153F35"/>
    <w:rsid w:val="001C0B24"/>
    <w:rsid w:val="001D4CF1"/>
    <w:rsid w:val="001D68DA"/>
    <w:rsid w:val="001F2844"/>
    <w:rsid w:val="001F5EF8"/>
    <w:rsid w:val="00202A77"/>
    <w:rsid w:val="0021675C"/>
    <w:rsid w:val="002711D4"/>
    <w:rsid w:val="00271CE5"/>
    <w:rsid w:val="00282020"/>
    <w:rsid w:val="00285BBB"/>
    <w:rsid w:val="002A3807"/>
    <w:rsid w:val="002A7ACC"/>
    <w:rsid w:val="002B1EE6"/>
    <w:rsid w:val="002B72A8"/>
    <w:rsid w:val="002D3C86"/>
    <w:rsid w:val="002E3898"/>
    <w:rsid w:val="002F09D3"/>
    <w:rsid w:val="00307F39"/>
    <w:rsid w:val="0031497E"/>
    <w:rsid w:val="0032481F"/>
    <w:rsid w:val="003636BF"/>
    <w:rsid w:val="00363966"/>
    <w:rsid w:val="0037479F"/>
    <w:rsid w:val="003845B4"/>
    <w:rsid w:val="003854A3"/>
    <w:rsid w:val="00387B1A"/>
    <w:rsid w:val="00392E7B"/>
    <w:rsid w:val="003D3A67"/>
    <w:rsid w:val="003E1C74"/>
    <w:rsid w:val="003F62B8"/>
    <w:rsid w:val="00417B5B"/>
    <w:rsid w:val="0046396D"/>
    <w:rsid w:val="004708CD"/>
    <w:rsid w:val="0047145E"/>
    <w:rsid w:val="004763A8"/>
    <w:rsid w:val="00476BD2"/>
    <w:rsid w:val="00486B2A"/>
    <w:rsid w:val="004C42FC"/>
    <w:rsid w:val="004D7A90"/>
    <w:rsid w:val="004F2CC2"/>
    <w:rsid w:val="00500DB2"/>
    <w:rsid w:val="00502E41"/>
    <w:rsid w:val="005166D2"/>
    <w:rsid w:val="00526246"/>
    <w:rsid w:val="00537C34"/>
    <w:rsid w:val="00555390"/>
    <w:rsid w:val="005647BB"/>
    <w:rsid w:val="00567106"/>
    <w:rsid w:val="005712A3"/>
    <w:rsid w:val="00590015"/>
    <w:rsid w:val="005B62D5"/>
    <w:rsid w:val="005E1D3C"/>
    <w:rsid w:val="005E7866"/>
    <w:rsid w:val="0060665A"/>
    <w:rsid w:val="00607CC1"/>
    <w:rsid w:val="00614863"/>
    <w:rsid w:val="00624C80"/>
    <w:rsid w:val="00627C6B"/>
    <w:rsid w:val="00632253"/>
    <w:rsid w:val="00642714"/>
    <w:rsid w:val="006455CE"/>
    <w:rsid w:val="00651FCC"/>
    <w:rsid w:val="006536AD"/>
    <w:rsid w:val="006628CA"/>
    <w:rsid w:val="00690D03"/>
    <w:rsid w:val="006A5BEA"/>
    <w:rsid w:val="006A6FC6"/>
    <w:rsid w:val="006B2B83"/>
    <w:rsid w:val="006C01FC"/>
    <w:rsid w:val="006C447F"/>
    <w:rsid w:val="006C5BB8"/>
    <w:rsid w:val="006D39F9"/>
    <w:rsid w:val="006D42D9"/>
    <w:rsid w:val="00717ED3"/>
    <w:rsid w:val="00733017"/>
    <w:rsid w:val="007546A8"/>
    <w:rsid w:val="00783310"/>
    <w:rsid w:val="00790879"/>
    <w:rsid w:val="007A4A6D"/>
    <w:rsid w:val="007A709B"/>
    <w:rsid w:val="007A7CDF"/>
    <w:rsid w:val="007D1BCF"/>
    <w:rsid w:val="007D75CF"/>
    <w:rsid w:val="007E6DC5"/>
    <w:rsid w:val="00811CDA"/>
    <w:rsid w:val="00814213"/>
    <w:rsid w:val="00815FFB"/>
    <w:rsid w:val="00822ABC"/>
    <w:rsid w:val="00827987"/>
    <w:rsid w:val="00845680"/>
    <w:rsid w:val="00856825"/>
    <w:rsid w:val="00865D5E"/>
    <w:rsid w:val="00872C07"/>
    <w:rsid w:val="0088043C"/>
    <w:rsid w:val="008841FA"/>
    <w:rsid w:val="008906C9"/>
    <w:rsid w:val="008A1D3F"/>
    <w:rsid w:val="008C5738"/>
    <w:rsid w:val="008D04F0"/>
    <w:rsid w:val="008D6E70"/>
    <w:rsid w:val="008F3500"/>
    <w:rsid w:val="0090723A"/>
    <w:rsid w:val="0091054F"/>
    <w:rsid w:val="00924E3C"/>
    <w:rsid w:val="00946C49"/>
    <w:rsid w:val="00957CAE"/>
    <w:rsid w:val="00960B9C"/>
    <w:rsid w:val="009612BB"/>
    <w:rsid w:val="00961C83"/>
    <w:rsid w:val="009A1D23"/>
    <w:rsid w:val="009B197D"/>
    <w:rsid w:val="009B2262"/>
    <w:rsid w:val="009B27AA"/>
    <w:rsid w:val="009F2113"/>
    <w:rsid w:val="00A00FCA"/>
    <w:rsid w:val="00A03B27"/>
    <w:rsid w:val="00A125C5"/>
    <w:rsid w:val="00A26D53"/>
    <w:rsid w:val="00A32318"/>
    <w:rsid w:val="00A4255B"/>
    <w:rsid w:val="00A5039D"/>
    <w:rsid w:val="00A65EE7"/>
    <w:rsid w:val="00A70133"/>
    <w:rsid w:val="00A8453F"/>
    <w:rsid w:val="00AA738F"/>
    <w:rsid w:val="00AE13F9"/>
    <w:rsid w:val="00AE3E18"/>
    <w:rsid w:val="00B03033"/>
    <w:rsid w:val="00B17141"/>
    <w:rsid w:val="00B31575"/>
    <w:rsid w:val="00B31A75"/>
    <w:rsid w:val="00B76818"/>
    <w:rsid w:val="00B82BFE"/>
    <w:rsid w:val="00B8547D"/>
    <w:rsid w:val="00B870EC"/>
    <w:rsid w:val="00BD0A6F"/>
    <w:rsid w:val="00BD1A18"/>
    <w:rsid w:val="00C07DCE"/>
    <w:rsid w:val="00C250D5"/>
    <w:rsid w:val="00C3132F"/>
    <w:rsid w:val="00C409E4"/>
    <w:rsid w:val="00C52AF0"/>
    <w:rsid w:val="00C67460"/>
    <w:rsid w:val="00C92898"/>
    <w:rsid w:val="00C93314"/>
    <w:rsid w:val="00CA583C"/>
    <w:rsid w:val="00CC4F46"/>
    <w:rsid w:val="00CD5881"/>
    <w:rsid w:val="00CD77B3"/>
    <w:rsid w:val="00CE7514"/>
    <w:rsid w:val="00CF12BA"/>
    <w:rsid w:val="00D13754"/>
    <w:rsid w:val="00D23C6C"/>
    <w:rsid w:val="00D248DE"/>
    <w:rsid w:val="00D31518"/>
    <w:rsid w:val="00D8542D"/>
    <w:rsid w:val="00D905EA"/>
    <w:rsid w:val="00D9311F"/>
    <w:rsid w:val="00DA54B0"/>
    <w:rsid w:val="00DC6A71"/>
    <w:rsid w:val="00DE5B46"/>
    <w:rsid w:val="00DE771A"/>
    <w:rsid w:val="00DF4D57"/>
    <w:rsid w:val="00E0357D"/>
    <w:rsid w:val="00E17747"/>
    <w:rsid w:val="00E24EC2"/>
    <w:rsid w:val="00E37B2C"/>
    <w:rsid w:val="00E44978"/>
    <w:rsid w:val="00E64B3A"/>
    <w:rsid w:val="00E71294"/>
    <w:rsid w:val="00E7150D"/>
    <w:rsid w:val="00E94EA3"/>
    <w:rsid w:val="00EA064E"/>
    <w:rsid w:val="00EA5457"/>
    <w:rsid w:val="00EB230A"/>
    <w:rsid w:val="00EB4A13"/>
    <w:rsid w:val="00EC0549"/>
    <w:rsid w:val="00ED6763"/>
    <w:rsid w:val="00EE6249"/>
    <w:rsid w:val="00F04FE4"/>
    <w:rsid w:val="00F226A6"/>
    <w:rsid w:val="00F240BB"/>
    <w:rsid w:val="00F37CA5"/>
    <w:rsid w:val="00F46724"/>
    <w:rsid w:val="00F51E77"/>
    <w:rsid w:val="00F57FED"/>
    <w:rsid w:val="00F87598"/>
    <w:rsid w:val="00F939B7"/>
    <w:rsid w:val="00FD3538"/>
    <w:rsid w:val="00FD6532"/>
    <w:rsid w:val="00FE0344"/>
    <w:rsid w:val="00FE20AC"/>
    <w:rsid w:val="00FF68BC"/>
    <w:rsid w:val="00FF782C"/>
    <w:rsid w:val="00FF7F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509A76F6"/>
  <w15:docId w15:val="{32073CF2-78FF-4967-8FC8-8D825886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qFormat/>
    <w:rsid w:val="00CD5881"/>
    <w:rPr>
      <w:rFonts w:ascii="Arial Narrow" w:eastAsia="MS Mincho" w:hAnsi="Arial Narrow"/>
      <w:sz w:val="22"/>
      <w:szCs w:val="24"/>
      <w:lang w:eastAsia="en-US"/>
    </w:rPr>
  </w:style>
  <w:style w:type="paragraph" w:styleId="Naslov1">
    <w:name w:val="heading 1"/>
    <w:aliases w:val="NASLOV"/>
    <w:basedOn w:val="Navaden"/>
    <w:next w:val="Navaden"/>
    <w:link w:val="Naslov1Znak"/>
    <w:autoRedefine/>
    <w:uiPriority w:val="9"/>
    <w:qFormat/>
    <w:rsid w:val="003F0585"/>
    <w:pPr>
      <w:keepNext/>
      <w:spacing w:before="240" w:after="60" w:line="260" w:lineRule="atLeas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spacing w:line="260" w:lineRule="atLeast"/>
    </w:pPr>
    <w:rPr>
      <w:rFonts w:ascii="Arial" w:eastAsia="Times New Roman" w:hAnsi="Arial"/>
      <w:sz w:val="20"/>
    </w:rPr>
  </w:style>
  <w:style w:type="paragraph" w:styleId="Noga">
    <w:name w:val="footer"/>
    <w:basedOn w:val="Navaden"/>
    <w:semiHidden/>
    <w:rsid w:val="00AD2B87"/>
    <w:pPr>
      <w:tabs>
        <w:tab w:val="center" w:pos="4320"/>
        <w:tab w:val="right" w:pos="8640"/>
      </w:tabs>
      <w:spacing w:line="260" w:lineRule="atLeast"/>
    </w:pPr>
    <w:rPr>
      <w:rFonts w:ascii="Arial" w:eastAsia="Times New Roman" w:hAnsi="Arial"/>
      <w:sz w:val="20"/>
    </w:rPr>
  </w:style>
  <w:style w:type="paragraph" w:styleId="Zgradbadokumenta">
    <w:name w:val="Document Map"/>
    <w:basedOn w:val="Navaden"/>
    <w:link w:val="ZgradbadokumentaZnak"/>
    <w:rsid w:val="00B31575"/>
    <w:pPr>
      <w:spacing w:line="260" w:lineRule="atLeast"/>
    </w:pPr>
    <w:rPr>
      <w:rFonts w:ascii="Tahoma" w:eastAsia="Times New Roman"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line="260" w:lineRule="atLeast"/>
    </w:pPr>
    <w:rPr>
      <w:rFonts w:ascii="Arial" w:eastAsia="Times New Roman" w:hAnsi="Arial"/>
      <w:sz w:val="20"/>
      <w:szCs w:val="20"/>
      <w:lang w:eastAsia="sl-SI"/>
    </w:rPr>
  </w:style>
  <w:style w:type="paragraph" w:customStyle="1" w:styleId="ZADEVA">
    <w:name w:val="ZADEVA"/>
    <w:basedOn w:val="Navaden"/>
    <w:qFormat/>
    <w:rsid w:val="00DC6A71"/>
    <w:pPr>
      <w:tabs>
        <w:tab w:val="left" w:pos="1701"/>
      </w:tabs>
      <w:spacing w:line="260" w:lineRule="atLeast"/>
      <w:ind w:left="1701" w:hanging="1701"/>
    </w:pPr>
    <w:rPr>
      <w:rFonts w:ascii="Arial" w:eastAsia="Times New Roman" w:hAnsi="Arial"/>
      <w:b/>
      <w:sz w:val="20"/>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spacing w:line="260" w:lineRule="atLeast"/>
    </w:pPr>
    <w:rPr>
      <w:rFonts w:ascii="Arial" w:eastAsia="Times New Roman" w:hAnsi="Arial"/>
      <w:sz w:val="20"/>
      <w:lang w:val="it-IT"/>
    </w:rPr>
  </w:style>
  <w:style w:type="character" w:customStyle="1" w:styleId="GlavaZnak">
    <w:name w:val="Glava Znak"/>
    <w:link w:val="Glava"/>
    <w:rsid w:val="00B03033"/>
    <w:rPr>
      <w:rFonts w:ascii="Arial" w:hAnsi="Arial"/>
      <w:szCs w:val="24"/>
      <w:lang w:val="en-US" w:eastAsia="en-US"/>
    </w:rPr>
  </w:style>
  <w:style w:type="paragraph" w:styleId="Besedilooblaka">
    <w:name w:val="Balloon Text"/>
    <w:basedOn w:val="Navaden"/>
    <w:link w:val="BesedilooblakaZnak"/>
    <w:semiHidden/>
    <w:unhideWhenUsed/>
    <w:rsid w:val="00845680"/>
    <w:rPr>
      <w:rFonts w:ascii="Tahoma" w:eastAsia="Times New Roman" w:hAnsi="Tahoma" w:cs="Tahoma"/>
      <w:sz w:val="16"/>
      <w:szCs w:val="16"/>
    </w:rPr>
  </w:style>
  <w:style w:type="character" w:customStyle="1" w:styleId="BesedilooblakaZnak">
    <w:name w:val="Besedilo oblačka Znak"/>
    <w:basedOn w:val="Privzetapisavaodstavka"/>
    <w:link w:val="Besedilooblaka"/>
    <w:semiHidden/>
    <w:rsid w:val="00845680"/>
    <w:rPr>
      <w:rFonts w:ascii="Tahoma" w:hAnsi="Tahoma" w:cs="Tahoma"/>
      <w:sz w:val="16"/>
      <w:szCs w:val="16"/>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CD5881"/>
    <w:rPr>
      <w:rFonts w:ascii="Arial Narrow" w:eastAsia="MS Mincho" w:hAnsi="Arial Narrow"/>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CD5881"/>
    <w:pPr>
      <w:ind w:left="720"/>
      <w:contextualSpacing/>
    </w:pPr>
    <w:rPr>
      <w:sz w:val="20"/>
      <w:szCs w:val="20"/>
      <w:lang w:eastAsia="sl-SI"/>
    </w:rPr>
  </w:style>
  <w:style w:type="character" w:customStyle="1" w:styleId="TEKSTZnak">
    <w:name w:val="TEKST Znak"/>
    <w:basedOn w:val="Privzetapisavaodstavka"/>
    <w:link w:val="TEKST"/>
    <w:locked/>
    <w:rsid w:val="00CD5881"/>
    <w:rPr>
      <w:rFonts w:ascii="Trebuchet MS" w:hAnsi="Trebuchet MS"/>
    </w:rPr>
  </w:style>
  <w:style w:type="paragraph" w:customStyle="1" w:styleId="TEKST">
    <w:name w:val="TEKST"/>
    <w:basedOn w:val="Navaden"/>
    <w:link w:val="TEKSTZnak"/>
    <w:rsid w:val="00CD5881"/>
    <w:pPr>
      <w:spacing w:line="264" w:lineRule="auto"/>
      <w:jc w:val="both"/>
    </w:pPr>
    <w:rPr>
      <w:rFonts w:ascii="Trebuchet MS" w:eastAsia="Times New Roman" w:hAnsi="Trebuchet MS"/>
      <w:sz w:val="20"/>
      <w:szCs w:val="20"/>
      <w:lang w:eastAsia="sl-SI"/>
    </w:rPr>
  </w:style>
  <w:style w:type="character" w:customStyle="1" w:styleId="Naslov1Znak">
    <w:name w:val="Naslov 1 Znak"/>
    <w:aliases w:val="NASLOV Znak"/>
    <w:basedOn w:val="Privzetapisavaodstavka"/>
    <w:link w:val="Naslov1"/>
    <w:uiPriority w:val="9"/>
    <w:rsid w:val="00CD5881"/>
    <w:rPr>
      <w:rFonts w:ascii="Arial" w:hAnsi="Arial"/>
      <w:b/>
      <w:kern w:val="32"/>
      <w:sz w:val="28"/>
      <w:szCs w:val="32"/>
    </w:rPr>
  </w:style>
  <w:style w:type="paragraph" w:styleId="Brezrazmikov">
    <w:name w:val="No Spacing"/>
    <w:uiPriority w:val="1"/>
    <w:qFormat/>
    <w:rsid w:val="00CD5881"/>
    <w:rPr>
      <w:rFonts w:ascii="Arial Narrow" w:eastAsia="MS Mincho" w:hAnsi="Arial Narrow"/>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es\AppData\Local\Temp\notes26D01A\DLES_NOO_SI.dotx" TargetMode="External"/></Relationships>
</file>

<file path=word/theme/theme1.xml><?xml version="1.0" encoding="utf-8"?>
<a:theme xmlns:a="http://schemas.openxmlformats.org/drawingml/2006/main" name="Officeova tema">
  <a:themeElements>
    <a:clrScheme name="MGRT">
      <a:dk1>
        <a:srgbClr val="000000"/>
      </a:dk1>
      <a:lt1>
        <a:srgbClr val="FFFFFF"/>
      </a:lt1>
      <a:dk2>
        <a:srgbClr val="000000"/>
      </a:dk2>
      <a:lt2>
        <a:srgbClr val="FFFFFF"/>
      </a:lt2>
      <a:accent1>
        <a:srgbClr val="529DBA"/>
      </a:accent1>
      <a:accent2>
        <a:srgbClr val="3E7C94"/>
      </a:accent2>
      <a:accent3>
        <a:srgbClr val="1B495A"/>
      </a:accent3>
      <a:accent4>
        <a:srgbClr val="5C9A92"/>
      </a:accent4>
      <a:accent5>
        <a:srgbClr val="457A73"/>
      </a:accent5>
      <a:accent6>
        <a:srgbClr val="1F4843"/>
      </a:accent6>
      <a:hlink>
        <a:srgbClr val="529DBA"/>
      </a:hlink>
      <a:folHlink>
        <a:srgbClr val="3E7C94"/>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ACA598B-15D2-4A6E-8A8F-D08A49B0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DLES_NOO_SI</Template>
  <TotalTime>0</TotalTime>
  <Pages>4</Pages>
  <Words>1578</Words>
  <Characters>10073</Characters>
  <Application>Microsoft Office Word</Application>
  <DocSecurity>0</DocSecurity>
  <Lines>592</Lines>
  <Paragraphs>200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11451</CharactersWithSpaces>
  <SharedDoc>false</SharedDoc>
  <HLinks>
    <vt:vector size="12" baseType="variant">
      <vt:variant>
        <vt:i4>3276833</vt:i4>
      </vt:variant>
      <vt:variant>
        <vt:i4>3</vt:i4>
      </vt:variant>
      <vt:variant>
        <vt:i4>0</vt:i4>
      </vt:variant>
      <vt:variant>
        <vt:i4>5</vt:i4>
      </vt:variant>
      <vt:variant>
        <vt:lpwstr>http://www.mgrt.gov.si/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Mitja Špes</dc:creator>
  <cp:keywords/>
  <dc:description/>
  <cp:lastModifiedBy>Karin Jurman</cp:lastModifiedBy>
  <cp:revision>3</cp:revision>
  <cp:lastPrinted>2018-01-25T15:26:00Z</cp:lastPrinted>
  <dcterms:created xsi:type="dcterms:W3CDTF">2022-12-23T15:16:00Z</dcterms:created>
  <dcterms:modified xsi:type="dcterms:W3CDTF">2022-12-23T15:18:00Z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8d7d53d416dd965b50c14f30fb61afdbed5a37a5ca48093f8d8e96c5abf68f1c</vt:lpwstr>
  </property>
</Properties>
</file>