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01C" w:rsidRDefault="00E6101C" w:rsidP="00FA6F56">
      <w:pPr>
        <w:jc w:val="both"/>
        <w:rPr>
          <w:rFonts w:ascii="Arial" w:eastAsiaTheme="majorEastAsia" w:hAnsi="Arial" w:cs="Arial"/>
          <w:b/>
          <w:szCs w:val="20"/>
          <w:lang w:eastAsia="sl-SI"/>
        </w:rPr>
      </w:pPr>
    </w:p>
    <w:p w:rsidR="00FA6F56" w:rsidRPr="00E6101C" w:rsidRDefault="00FA6F56" w:rsidP="00E6101C">
      <w:pPr>
        <w:jc w:val="center"/>
        <w:rPr>
          <w:rFonts w:ascii="Arial" w:eastAsiaTheme="majorEastAsia" w:hAnsi="Arial" w:cs="Arial"/>
          <w:b/>
          <w:sz w:val="20"/>
          <w:szCs w:val="20"/>
          <w:lang w:eastAsia="sl-SI"/>
        </w:rPr>
      </w:pPr>
      <w:r w:rsidRPr="00E6101C">
        <w:rPr>
          <w:rFonts w:ascii="Arial" w:eastAsiaTheme="majorEastAsia" w:hAnsi="Arial" w:cs="Arial"/>
          <w:b/>
          <w:sz w:val="28"/>
          <w:szCs w:val="20"/>
          <w:lang w:eastAsia="sl-SI"/>
        </w:rPr>
        <w:t xml:space="preserve">Merila za presojo ustreznosti sofinanciranja </w:t>
      </w:r>
      <w:r w:rsidRPr="00E6101C">
        <w:rPr>
          <w:rFonts w:ascii="Arial" w:hAnsi="Arial" w:cs="Arial"/>
          <w:b/>
          <w:sz w:val="28"/>
          <w:szCs w:val="20"/>
        </w:rPr>
        <w:t xml:space="preserve"> investicije v dejavnosti, pomembne za prehod v nizkoogljično, krožno in podnebno odporno gospodarstvo</w:t>
      </w:r>
      <w:r w:rsidRPr="00E6101C">
        <w:rPr>
          <w:rFonts w:ascii="Arial" w:eastAsiaTheme="majorEastAsia" w:hAnsi="Arial" w:cs="Arial"/>
          <w:b/>
          <w:sz w:val="28"/>
          <w:szCs w:val="20"/>
          <w:lang w:eastAsia="sl-SI"/>
        </w:rPr>
        <w:t xml:space="preserve"> na podlagi Programa</w:t>
      </w:r>
    </w:p>
    <w:p w:rsidR="00FA6F56" w:rsidRDefault="00FA6F56" w:rsidP="00FA6F56">
      <w:pPr>
        <w:jc w:val="both"/>
        <w:rPr>
          <w:rFonts w:ascii="Arial" w:eastAsiaTheme="majorEastAsia" w:hAnsi="Arial" w:cs="Arial"/>
          <w:sz w:val="20"/>
          <w:szCs w:val="20"/>
          <w:lang w:eastAsia="sl-SI"/>
        </w:rPr>
      </w:pPr>
    </w:p>
    <w:p w:rsidR="00E6101C" w:rsidRDefault="00E6101C" w:rsidP="00FA6F56">
      <w:pPr>
        <w:jc w:val="both"/>
        <w:rPr>
          <w:rFonts w:ascii="Arial" w:eastAsiaTheme="majorEastAsia" w:hAnsi="Arial" w:cs="Arial"/>
          <w:sz w:val="20"/>
          <w:szCs w:val="20"/>
          <w:lang w:eastAsia="sl-SI"/>
        </w:rPr>
      </w:pPr>
    </w:p>
    <w:p w:rsidR="00E6101C" w:rsidRPr="00F64550" w:rsidRDefault="00E6101C" w:rsidP="00FA6F56">
      <w:pPr>
        <w:jc w:val="both"/>
        <w:rPr>
          <w:rFonts w:ascii="Arial" w:eastAsiaTheme="majorEastAsia" w:hAnsi="Arial" w:cs="Arial"/>
          <w:sz w:val="20"/>
          <w:szCs w:val="20"/>
          <w:lang w:eastAsia="sl-SI"/>
        </w:rPr>
      </w:pPr>
    </w:p>
    <w:tbl>
      <w:tblPr>
        <w:tblStyle w:val="Tabelamrea"/>
        <w:tblW w:w="5000" w:type="pct"/>
        <w:tblLook w:val="04A0" w:firstRow="1" w:lastRow="0" w:firstColumn="1" w:lastColumn="0" w:noHBand="0" w:noVBand="1"/>
      </w:tblPr>
      <w:tblGrid>
        <w:gridCol w:w="3538"/>
        <w:gridCol w:w="5524"/>
      </w:tblGrid>
      <w:tr w:rsidR="00FA6F56" w:rsidRPr="000737A4" w:rsidTr="00E6101C">
        <w:trPr>
          <w:trHeight w:val="576"/>
        </w:trPr>
        <w:tc>
          <w:tcPr>
            <w:tcW w:w="5000" w:type="pct"/>
            <w:gridSpan w:val="2"/>
            <w:shd w:val="clear" w:color="auto" w:fill="auto"/>
            <w:vAlign w:val="center"/>
          </w:tcPr>
          <w:p w:rsidR="00FA6F56" w:rsidRPr="000737A4" w:rsidRDefault="00FA6F56" w:rsidP="0070047F">
            <w:pPr>
              <w:jc w:val="center"/>
              <w:rPr>
                <w:rFonts w:ascii="Arial" w:eastAsiaTheme="majorEastAsia" w:hAnsi="Arial" w:cs="Arial"/>
                <w:b/>
                <w:sz w:val="20"/>
                <w:szCs w:val="20"/>
              </w:rPr>
            </w:pPr>
            <w:r>
              <w:rPr>
                <w:rFonts w:ascii="Arial" w:eastAsiaTheme="majorEastAsia" w:hAnsi="Arial" w:cs="Arial"/>
                <w:b/>
                <w:sz w:val="20"/>
                <w:szCs w:val="20"/>
              </w:rPr>
              <w:t>Merila</w:t>
            </w:r>
            <w:r w:rsidRPr="000737A4">
              <w:rPr>
                <w:rFonts w:ascii="Arial" w:eastAsiaTheme="majorEastAsia" w:hAnsi="Arial" w:cs="Arial"/>
                <w:b/>
                <w:sz w:val="20"/>
                <w:szCs w:val="20"/>
              </w:rPr>
              <w:t xml:space="preserve">, ki jih mora izpolnjevati investicija za sofinanciranje na podlagi </w:t>
            </w:r>
            <w:r w:rsidR="00E6101C" w:rsidRPr="00E6101C">
              <w:rPr>
                <w:rFonts w:ascii="Arial" w:eastAsiaTheme="majorEastAsia" w:hAnsi="Arial" w:cs="Arial"/>
                <w:b/>
                <w:sz w:val="20"/>
                <w:szCs w:val="20"/>
              </w:rPr>
              <w:t>Odlok</w:t>
            </w:r>
            <w:r w:rsidR="00E6101C">
              <w:rPr>
                <w:rFonts w:ascii="Arial" w:eastAsiaTheme="majorEastAsia" w:hAnsi="Arial" w:cs="Arial"/>
                <w:b/>
                <w:sz w:val="20"/>
                <w:szCs w:val="20"/>
              </w:rPr>
              <w:t>a</w:t>
            </w:r>
            <w:r w:rsidR="00E6101C" w:rsidRPr="00E6101C">
              <w:rPr>
                <w:rFonts w:ascii="Arial" w:eastAsiaTheme="majorEastAsia" w:hAnsi="Arial" w:cs="Arial"/>
                <w:b/>
                <w:sz w:val="20"/>
                <w:szCs w:val="20"/>
              </w:rPr>
              <w:t xml:space="preserve"> o Programu porabe sredstev Sklada za podnebne spremembe za leti 2022 in 2023 (Uradni list RS, št. 138/22; v nadaljevanju: Program)</w:t>
            </w:r>
          </w:p>
        </w:tc>
      </w:tr>
      <w:tr w:rsidR="00FA6F56" w:rsidRPr="00F64550" w:rsidTr="00E6101C">
        <w:tc>
          <w:tcPr>
            <w:tcW w:w="1952" w:type="pct"/>
            <w:vAlign w:val="center"/>
          </w:tcPr>
          <w:p w:rsidR="00FA6F56" w:rsidRPr="00F64550" w:rsidDel="00007426" w:rsidRDefault="00FA6F56" w:rsidP="00FA6F56">
            <w:pPr>
              <w:pStyle w:val="Odstavekseznama"/>
              <w:numPr>
                <w:ilvl w:val="0"/>
                <w:numId w:val="2"/>
              </w:numPr>
              <w:rPr>
                <w:rFonts w:ascii="Arial" w:eastAsiaTheme="majorEastAsia" w:hAnsi="Arial" w:cs="Arial"/>
                <w:sz w:val="20"/>
                <w:szCs w:val="20"/>
              </w:rPr>
            </w:pPr>
            <w:r w:rsidRPr="00F64550">
              <w:rPr>
                <w:rFonts w:ascii="Arial" w:eastAsiaTheme="majorEastAsia" w:hAnsi="Arial" w:cs="Arial"/>
                <w:sz w:val="20"/>
                <w:szCs w:val="20"/>
              </w:rPr>
              <w:t>Zmanjšanje emisij toplogrednih plinov</w:t>
            </w:r>
          </w:p>
        </w:tc>
        <w:tc>
          <w:tcPr>
            <w:tcW w:w="3048" w:type="pct"/>
          </w:tcPr>
          <w:p w:rsidR="00FA6F56" w:rsidRPr="00F64550" w:rsidRDefault="00FA6F56" w:rsidP="0070047F">
            <w:pPr>
              <w:spacing w:line="260" w:lineRule="atLeast"/>
              <w:contextualSpacing/>
              <w:jc w:val="both"/>
              <w:rPr>
                <w:rFonts w:ascii="Arial" w:eastAsiaTheme="minorEastAsia" w:hAnsi="Arial" w:cs="Arial"/>
                <w:sz w:val="20"/>
                <w:szCs w:val="20"/>
              </w:rPr>
            </w:pPr>
            <w:r w:rsidRPr="00F64550">
              <w:rPr>
                <w:rFonts w:ascii="Arial" w:eastAsiaTheme="minorEastAsia" w:hAnsi="Arial" w:cs="Arial"/>
                <w:sz w:val="20"/>
                <w:szCs w:val="20"/>
              </w:rPr>
              <w:t>Investicije morajo zagotavljale kapacitete za predelavo ali obdelavo lesa oziroma trajnostno gradnjo na snovno učinkovit, okolju prijazen način, v skladu s principi krožnega gospodarstva in z najboljšo razpoložljivo tehnologijo.</w:t>
            </w:r>
          </w:p>
          <w:p w:rsidR="00FA6F56" w:rsidRPr="00F64550" w:rsidRDefault="00FA6F56" w:rsidP="0070047F">
            <w:pPr>
              <w:rPr>
                <w:rFonts w:ascii="Arial" w:hAnsi="Arial" w:cs="Arial"/>
                <w:sz w:val="20"/>
                <w:szCs w:val="20"/>
              </w:rPr>
            </w:pPr>
          </w:p>
          <w:p w:rsidR="00FA6F56" w:rsidRPr="00F64550" w:rsidRDefault="00FA6F56" w:rsidP="0070047F">
            <w:pPr>
              <w:spacing w:line="276" w:lineRule="auto"/>
              <w:jc w:val="both"/>
              <w:rPr>
                <w:rFonts w:ascii="Arial" w:hAnsi="Arial" w:cs="Arial"/>
                <w:sz w:val="20"/>
                <w:szCs w:val="20"/>
              </w:rPr>
            </w:pPr>
            <w:r w:rsidRPr="00D7794D">
              <w:rPr>
                <w:rFonts w:ascii="Arial" w:hAnsi="Arial" w:cs="Arial"/>
                <w:sz w:val="20"/>
                <w:szCs w:val="20"/>
              </w:rPr>
              <w:t>Projekt mora biti izveden na področju uporabe lesa in/ali lesnih tvoriv (delež lesa v lesnih tvorivih mora biti nad 50 % volumna) (registracija projekta na področju SKD 2008 C16 ali C31 Proizvodnja pohištva (razen razreda C 31.03 – proizvodnja žimnic).</w:t>
            </w:r>
          </w:p>
        </w:tc>
      </w:tr>
      <w:tr w:rsidR="00FA6F56" w:rsidRPr="00F64550" w:rsidTr="00E6101C">
        <w:tc>
          <w:tcPr>
            <w:tcW w:w="1952" w:type="pct"/>
            <w:vAlign w:val="center"/>
          </w:tcPr>
          <w:p w:rsidR="00FA6F56" w:rsidRPr="00F64550" w:rsidRDefault="00FA6F56" w:rsidP="00FA6F56">
            <w:pPr>
              <w:pStyle w:val="Odstavekseznama"/>
              <w:numPr>
                <w:ilvl w:val="0"/>
                <w:numId w:val="2"/>
              </w:numPr>
              <w:rPr>
                <w:rFonts w:ascii="Arial" w:eastAsiaTheme="majorEastAsia" w:hAnsi="Arial" w:cs="Arial"/>
                <w:sz w:val="20"/>
                <w:szCs w:val="20"/>
              </w:rPr>
            </w:pPr>
            <w:r w:rsidRPr="00F64550">
              <w:rPr>
                <w:rFonts w:ascii="Arial" w:eastAsiaTheme="majorEastAsia" w:hAnsi="Arial" w:cs="Arial"/>
                <w:sz w:val="20"/>
                <w:szCs w:val="20"/>
              </w:rPr>
              <w:t>Izboljšanje energetske učinkovitosti</w:t>
            </w:r>
          </w:p>
        </w:tc>
        <w:tc>
          <w:tcPr>
            <w:tcW w:w="3048" w:type="pct"/>
          </w:tcPr>
          <w:p w:rsidR="00FA6F56" w:rsidRPr="00F64550" w:rsidRDefault="00FA6F56" w:rsidP="0070047F">
            <w:pPr>
              <w:jc w:val="both"/>
              <w:rPr>
                <w:rFonts w:ascii="Arial" w:eastAsiaTheme="majorEastAsia" w:hAnsi="Arial" w:cs="Arial"/>
                <w:sz w:val="20"/>
                <w:szCs w:val="20"/>
              </w:rPr>
            </w:pPr>
            <w:r w:rsidRPr="00F64550">
              <w:rPr>
                <w:rFonts w:ascii="Arial" w:hAnsi="Arial" w:cs="Arial"/>
                <w:sz w:val="20"/>
                <w:szCs w:val="20"/>
              </w:rPr>
              <w:t>Iz investicijske dokumentacije mora biti razviden nakup novih strojev in opreme.</w:t>
            </w:r>
          </w:p>
        </w:tc>
      </w:tr>
      <w:tr w:rsidR="00FA6F56" w:rsidRPr="00F64550" w:rsidTr="00E6101C">
        <w:tc>
          <w:tcPr>
            <w:tcW w:w="1952" w:type="pct"/>
            <w:vAlign w:val="center"/>
          </w:tcPr>
          <w:p w:rsidR="00FA6F56" w:rsidRPr="00F64550" w:rsidRDefault="00FA6F56" w:rsidP="00FA6F56">
            <w:pPr>
              <w:pStyle w:val="Odstavekseznama"/>
              <w:numPr>
                <w:ilvl w:val="0"/>
                <w:numId w:val="2"/>
              </w:numPr>
              <w:rPr>
                <w:rFonts w:ascii="Arial" w:eastAsiaTheme="majorEastAsia" w:hAnsi="Arial" w:cs="Arial"/>
                <w:sz w:val="20"/>
                <w:szCs w:val="20"/>
              </w:rPr>
            </w:pPr>
            <w:r w:rsidRPr="00F64550">
              <w:rPr>
                <w:rFonts w:ascii="Arial" w:eastAsiaTheme="majorEastAsia" w:hAnsi="Arial" w:cs="Arial"/>
                <w:sz w:val="20"/>
                <w:szCs w:val="20"/>
              </w:rPr>
              <w:t>Okoljsko odgovorno ravnanje</w:t>
            </w:r>
          </w:p>
        </w:tc>
        <w:tc>
          <w:tcPr>
            <w:tcW w:w="3048" w:type="pct"/>
          </w:tcPr>
          <w:p w:rsidR="00FA6F56" w:rsidRPr="00F64550" w:rsidRDefault="00FA6F56" w:rsidP="0070047F">
            <w:pPr>
              <w:jc w:val="both"/>
              <w:rPr>
                <w:rFonts w:ascii="Arial" w:hAnsi="Arial" w:cs="Arial"/>
                <w:sz w:val="20"/>
                <w:szCs w:val="20"/>
              </w:rPr>
            </w:pPr>
            <w:r w:rsidRPr="00F64550">
              <w:rPr>
                <w:rFonts w:ascii="Arial" w:hAnsi="Arial" w:cs="Arial"/>
                <w:sz w:val="20"/>
                <w:szCs w:val="20"/>
              </w:rPr>
              <w:t>Prejemnik subvencije  ima v vlogi na razpis opisan način okoljsko odgovornega ravnanja.</w:t>
            </w:r>
          </w:p>
        </w:tc>
      </w:tr>
      <w:tr w:rsidR="00FA6F56" w:rsidRPr="00F64550" w:rsidTr="00E6101C">
        <w:tc>
          <w:tcPr>
            <w:tcW w:w="1952" w:type="pct"/>
            <w:vAlign w:val="center"/>
          </w:tcPr>
          <w:p w:rsidR="00FA6F56" w:rsidRPr="00F64550" w:rsidRDefault="00FA6F56" w:rsidP="00FA6F56">
            <w:pPr>
              <w:pStyle w:val="Odstavekseznama"/>
              <w:numPr>
                <w:ilvl w:val="0"/>
                <w:numId w:val="2"/>
              </w:numPr>
              <w:rPr>
                <w:rFonts w:ascii="Arial" w:eastAsiaTheme="majorEastAsia" w:hAnsi="Arial" w:cs="Arial"/>
                <w:sz w:val="20"/>
                <w:szCs w:val="20"/>
              </w:rPr>
            </w:pPr>
            <w:r w:rsidRPr="00F64550">
              <w:rPr>
                <w:rFonts w:ascii="Arial" w:eastAsiaTheme="majorEastAsia" w:hAnsi="Arial" w:cs="Arial"/>
                <w:sz w:val="20"/>
                <w:szCs w:val="20"/>
              </w:rPr>
              <w:t>Začetek izvajanja investicije</w:t>
            </w:r>
          </w:p>
        </w:tc>
        <w:tc>
          <w:tcPr>
            <w:tcW w:w="3048" w:type="pct"/>
          </w:tcPr>
          <w:p w:rsidR="00FA6F56" w:rsidRPr="00F64550" w:rsidRDefault="00FA6F56" w:rsidP="0070047F">
            <w:pPr>
              <w:jc w:val="both"/>
              <w:rPr>
                <w:rFonts w:ascii="Arial" w:hAnsi="Arial" w:cs="Arial"/>
                <w:sz w:val="20"/>
                <w:szCs w:val="20"/>
              </w:rPr>
            </w:pPr>
            <w:r w:rsidRPr="00F64550">
              <w:rPr>
                <w:rFonts w:ascii="Arial" w:hAnsi="Arial" w:cs="Arial"/>
                <w:sz w:val="20"/>
                <w:szCs w:val="20"/>
              </w:rPr>
              <w:t xml:space="preserve">Investicija se začne najkasneje v roku enega  leta </w:t>
            </w:r>
            <w:r>
              <w:rPr>
                <w:rFonts w:ascii="Arial" w:hAnsi="Arial" w:cs="Arial"/>
                <w:sz w:val="20"/>
                <w:szCs w:val="20"/>
              </w:rPr>
              <w:t>po podpisu P</w:t>
            </w:r>
            <w:r w:rsidRPr="00F64550">
              <w:rPr>
                <w:rFonts w:ascii="Arial" w:hAnsi="Arial" w:cs="Arial"/>
                <w:sz w:val="20"/>
                <w:szCs w:val="20"/>
              </w:rPr>
              <w:t xml:space="preserve">ogodbe o </w:t>
            </w:r>
            <w:r>
              <w:rPr>
                <w:rFonts w:ascii="Arial" w:hAnsi="Arial" w:cs="Arial"/>
                <w:sz w:val="20"/>
                <w:szCs w:val="20"/>
              </w:rPr>
              <w:t>dodelitvi subvencije</w:t>
            </w:r>
            <w:r w:rsidRPr="00F64550">
              <w:rPr>
                <w:rFonts w:ascii="Arial" w:hAnsi="Arial" w:cs="Arial"/>
                <w:sz w:val="20"/>
                <w:szCs w:val="20"/>
              </w:rPr>
              <w:t>.</w:t>
            </w:r>
          </w:p>
        </w:tc>
      </w:tr>
    </w:tbl>
    <w:p w:rsidR="00FA6F56" w:rsidRPr="00F64550" w:rsidRDefault="00FA6F56" w:rsidP="00FA6F56">
      <w:pPr>
        <w:jc w:val="both"/>
        <w:rPr>
          <w:rFonts w:ascii="Arial" w:eastAsiaTheme="majorEastAsia" w:hAnsi="Arial" w:cs="Arial"/>
          <w:sz w:val="20"/>
          <w:szCs w:val="20"/>
          <w:lang w:eastAsia="sl-SI"/>
        </w:rPr>
      </w:pPr>
    </w:p>
    <w:p w:rsidR="00FA6F56" w:rsidRPr="00F64550" w:rsidRDefault="00FA6F56" w:rsidP="00FA6F56">
      <w:pPr>
        <w:jc w:val="both"/>
        <w:rPr>
          <w:rFonts w:ascii="Arial" w:eastAsiaTheme="majorEastAsia" w:hAnsi="Arial" w:cs="Arial"/>
          <w:sz w:val="20"/>
          <w:szCs w:val="20"/>
          <w:lang w:eastAsia="sl-SI"/>
        </w:rPr>
      </w:pPr>
      <w:r w:rsidRPr="00F64550">
        <w:rPr>
          <w:rFonts w:ascii="Arial" w:eastAsiaTheme="majorEastAsia" w:hAnsi="Arial" w:cs="Arial"/>
          <w:sz w:val="20"/>
          <w:szCs w:val="20"/>
          <w:lang w:eastAsia="sl-SI"/>
        </w:rPr>
        <w:t>I</w:t>
      </w:r>
      <w:r w:rsidR="00DF1318">
        <w:rPr>
          <w:rFonts w:ascii="Arial" w:eastAsiaTheme="majorEastAsia" w:hAnsi="Arial" w:cs="Arial"/>
          <w:sz w:val="20"/>
          <w:szCs w:val="20"/>
          <w:lang w:eastAsia="sl-SI"/>
        </w:rPr>
        <w:t xml:space="preserve">zpolnjevanje doseganja meril </w:t>
      </w:r>
    </w:p>
    <w:p w:rsidR="00FA6F56" w:rsidRPr="00D7794D" w:rsidRDefault="00FA6F56" w:rsidP="00FA6F56">
      <w:pPr>
        <w:jc w:val="both"/>
        <w:rPr>
          <w:rFonts w:ascii="Arial" w:eastAsiaTheme="majorEastAsia" w:hAnsi="Arial" w:cs="Arial"/>
          <w:sz w:val="20"/>
          <w:szCs w:val="20"/>
          <w:lang w:eastAsia="sl-SI"/>
        </w:rPr>
      </w:pPr>
    </w:p>
    <w:tbl>
      <w:tblPr>
        <w:tblStyle w:val="Tabelamrea"/>
        <w:tblW w:w="5000" w:type="pct"/>
        <w:tblLook w:val="04A0" w:firstRow="1" w:lastRow="0" w:firstColumn="1" w:lastColumn="0" w:noHBand="0" w:noVBand="1"/>
      </w:tblPr>
      <w:tblGrid>
        <w:gridCol w:w="1814"/>
        <w:gridCol w:w="3900"/>
        <w:gridCol w:w="3348"/>
      </w:tblGrid>
      <w:tr w:rsidR="00FA6F56" w:rsidRPr="000737A4" w:rsidTr="00E6101C">
        <w:trPr>
          <w:trHeight w:val="519"/>
        </w:trPr>
        <w:tc>
          <w:tcPr>
            <w:tcW w:w="1001" w:type="pct"/>
            <w:shd w:val="clear" w:color="auto" w:fill="auto"/>
            <w:vAlign w:val="center"/>
          </w:tcPr>
          <w:p w:rsidR="00FA6F56" w:rsidRPr="000737A4" w:rsidRDefault="00FA6F56" w:rsidP="0070047F">
            <w:pPr>
              <w:jc w:val="center"/>
              <w:rPr>
                <w:rFonts w:ascii="Arial" w:eastAsiaTheme="majorEastAsia" w:hAnsi="Arial" w:cs="Arial"/>
                <w:b/>
                <w:sz w:val="20"/>
                <w:szCs w:val="20"/>
              </w:rPr>
            </w:pPr>
            <w:r w:rsidRPr="000737A4">
              <w:rPr>
                <w:rFonts w:ascii="Arial" w:eastAsiaTheme="majorEastAsia" w:hAnsi="Arial" w:cs="Arial"/>
                <w:b/>
                <w:sz w:val="20"/>
                <w:szCs w:val="20"/>
              </w:rPr>
              <w:t>Merilo</w:t>
            </w:r>
          </w:p>
        </w:tc>
        <w:tc>
          <w:tcPr>
            <w:tcW w:w="2152" w:type="pct"/>
            <w:shd w:val="clear" w:color="auto" w:fill="auto"/>
            <w:vAlign w:val="center"/>
          </w:tcPr>
          <w:p w:rsidR="00FA6F56" w:rsidRPr="000737A4" w:rsidRDefault="00FA6F56" w:rsidP="0070047F">
            <w:pPr>
              <w:jc w:val="center"/>
              <w:rPr>
                <w:rFonts w:ascii="Arial" w:eastAsiaTheme="majorEastAsia" w:hAnsi="Arial" w:cs="Arial"/>
                <w:b/>
                <w:sz w:val="20"/>
                <w:szCs w:val="20"/>
              </w:rPr>
            </w:pPr>
            <w:r w:rsidRPr="000737A4">
              <w:rPr>
                <w:rFonts w:ascii="Arial" w:eastAsiaTheme="majorEastAsia" w:hAnsi="Arial" w:cs="Arial"/>
                <w:b/>
                <w:sz w:val="20"/>
                <w:szCs w:val="20"/>
              </w:rPr>
              <w:t>Opis merila in metodologija</w:t>
            </w:r>
          </w:p>
        </w:tc>
        <w:tc>
          <w:tcPr>
            <w:tcW w:w="1847" w:type="pct"/>
            <w:shd w:val="clear" w:color="auto" w:fill="auto"/>
            <w:vAlign w:val="center"/>
          </w:tcPr>
          <w:p w:rsidR="00FA6F56" w:rsidRPr="000737A4" w:rsidRDefault="00FA6F56" w:rsidP="0070047F">
            <w:pPr>
              <w:jc w:val="center"/>
              <w:rPr>
                <w:rFonts w:ascii="Arial" w:eastAsiaTheme="majorEastAsia" w:hAnsi="Arial" w:cs="Arial"/>
                <w:b/>
                <w:sz w:val="20"/>
                <w:szCs w:val="20"/>
              </w:rPr>
            </w:pPr>
            <w:r w:rsidRPr="000737A4">
              <w:rPr>
                <w:rFonts w:ascii="Arial" w:eastAsiaTheme="majorEastAsia" w:hAnsi="Arial" w:cs="Arial"/>
                <w:b/>
                <w:sz w:val="20"/>
                <w:szCs w:val="20"/>
              </w:rPr>
              <w:t>Priloge in dokazila</w:t>
            </w:r>
          </w:p>
        </w:tc>
      </w:tr>
      <w:tr w:rsidR="00FA6F56" w:rsidRPr="008138DB" w:rsidTr="00E6101C">
        <w:tc>
          <w:tcPr>
            <w:tcW w:w="1001" w:type="pct"/>
            <w:vAlign w:val="center"/>
          </w:tcPr>
          <w:p w:rsidR="00FA6F56" w:rsidRPr="008138DB" w:rsidRDefault="00FA6F56" w:rsidP="00FA6F56">
            <w:pPr>
              <w:pStyle w:val="Odstavekseznama"/>
              <w:numPr>
                <w:ilvl w:val="0"/>
                <w:numId w:val="1"/>
              </w:numPr>
              <w:jc w:val="both"/>
              <w:rPr>
                <w:rFonts w:ascii="Arial" w:eastAsiaTheme="majorEastAsia" w:hAnsi="Arial" w:cs="Arial"/>
                <w:sz w:val="20"/>
                <w:szCs w:val="20"/>
              </w:rPr>
            </w:pPr>
            <w:r w:rsidRPr="008138DB">
              <w:rPr>
                <w:rFonts w:ascii="Arial" w:hAnsi="Arial" w:cs="Arial"/>
                <w:sz w:val="20"/>
                <w:szCs w:val="20"/>
              </w:rPr>
              <w:t xml:space="preserve">Zmanjšanje emisij toplogrednih plinov </w:t>
            </w:r>
          </w:p>
        </w:tc>
        <w:tc>
          <w:tcPr>
            <w:tcW w:w="2152" w:type="pct"/>
            <w:vAlign w:val="center"/>
          </w:tcPr>
          <w:p w:rsidR="00FA6F56" w:rsidRDefault="00FA6F56" w:rsidP="0070047F">
            <w:pPr>
              <w:jc w:val="both"/>
              <w:rPr>
                <w:rFonts w:ascii="Arial" w:hAnsi="Arial" w:cs="Arial"/>
                <w:sz w:val="20"/>
                <w:szCs w:val="20"/>
              </w:rPr>
            </w:pPr>
            <w:r w:rsidRPr="008138DB">
              <w:rPr>
                <w:rFonts w:ascii="Arial" w:hAnsi="Arial" w:cs="Arial"/>
                <w:sz w:val="20"/>
                <w:szCs w:val="20"/>
              </w:rPr>
              <w:t xml:space="preserve">Investicija prispeva k zmanjšanju emisij toplogrednih plinov zaradi uporabe in predelave lesa. </w:t>
            </w:r>
          </w:p>
          <w:p w:rsidR="00FA6F56" w:rsidRDefault="00FA6F56" w:rsidP="0070047F">
            <w:pPr>
              <w:jc w:val="both"/>
              <w:rPr>
                <w:rFonts w:ascii="Arial" w:hAnsi="Arial" w:cs="Arial"/>
                <w:sz w:val="20"/>
                <w:szCs w:val="20"/>
              </w:rPr>
            </w:pPr>
          </w:p>
          <w:p w:rsidR="00FA6F56" w:rsidRDefault="00FA6F56" w:rsidP="0070047F">
            <w:pPr>
              <w:jc w:val="both"/>
              <w:rPr>
                <w:rFonts w:ascii="Arial" w:hAnsi="Arial" w:cs="Arial"/>
                <w:sz w:val="20"/>
                <w:szCs w:val="20"/>
              </w:rPr>
            </w:pPr>
            <w:r w:rsidRPr="006D2009">
              <w:rPr>
                <w:rFonts w:ascii="Arial" w:hAnsi="Arial" w:cs="Arial"/>
                <w:sz w:val="20"/>
                <w:szCs w:val="20"/>
              </w:rPr>
              <w:t>Ocena zmanjšanja emisij toplogrednih plinov  se izvede  na osnovi predpostavke, da 1kg lesa veže okrog 1,8 kg CO2.  Pri oceni se prav tako predpostavlja, da kubični meter lesa tehta povprečno 550kg, kar pomeni, da dobimo približno 1 tono vezanega CO2 na kubični meter lesa</w:t>
            </w:r>
            <w:r>
              <w:rPr>
                <w:rFonts w:ascii="Arial" w:hAnsi="Arial" w:cs="Arial"/>
                <w:sz w:val="20"/>
                <w:szCs w:val="20"/>
              </w:rPr>
              <w:t xml:space="preserve"> (sekvestracija).</w:t>
            </w:r>
          </w:p>
          <w:p w:rsidR="00FA6F56" w:rsidRDefault="00FA6F56" w:rsidP="0070047F">
            <w:pPr>
              <w:jc w:val="both"/>
              <w:rPr>
                <w:rFonts w:ascii="Arial" w:hAnsi="Arial" w:cs="Arial"/>
                <w:sz w:val="20"/>
                <w:szCs w:val="20"/>
              </w:rPr>
            </w:pPr>
          </w:p>
          <w:p w:rsidR="00FA6F56" w:rsidRDefault="00FA6F56" w:rsidP="0070047F">
            <w:pPr>
              <w:jc w:val="both"/>
              <w:rPr>
                <w:rFonts w:ascii="Arial" w:hAnsi="Arial" w:cs="Arial"/>
                <w:sz w:val="20"/>
                <w:szCs w:val="20"/>
              </w:rPr>
            </w:pPr>
            <w:r>
              <w:rPr>
                <w:rFonts w:ascii="Arial" w:hAnsi="Arial" w:cs="Arial"/>
                <w:sz w:val="20"/>
                <w:szCs w:val="20"/>
              </w:rPr>
              <w:t xml:space="preserve">Pri izračunu se prav tako upošteva načelo substitucije, pri čemer se izhaja iz predpostavke, da se z uporabo 1m3 lesenih  izdelkov  nadomesti izdelke iz ostalih energetsko potratnih materialov, </w:t>
            </w:r>
            <w:r>
              <w:rPr>
                <w:rFonts w:ascii="Arial" w:hAnsi="Arial" w:cs="Arial"/>
                <w:sz w:val="20"/>
                <w:szCs w:val="20"/>
              </w:rPr>
              <w:lastRenderedPageBreak/>
              <w:t>ter tako povprečno še dodatno prihranimo 1t C02/m3 lesenih  izdelkov.</w:t>
            </w:r>
            <w:r>
              <w:rPr>
                <w:rStyle w:val="Sprotnaopomba-sklic"/>
                <w:rFonts w:ascii="Arial" w:hAnsi="Arial" w:cs="Arial"/>
                <w:sz w:val="20"/>
                <w:szCs w:val="20"/>
              </w:rPr>
              <w:footnoteReference w:id="1"/>
            </w:r>
          </w:p>
          <w:p w:rsidR="00FA6F56" w:rsidRDefault="00FA6F56" w:rsidP="0070047F">
            <w:pPr>
              <w:jc w:val="both"/>
              <w:rPr>
                <w:rFonts w:ascii="Arial" w:hAnsi="Arial" w:cs="Arial"/>
                <w:sz w:val="20"/>
                <w:szCs w:val="20"/>
              </w:rPr>
            </w:pPr>
          </w:p>
          <w:p w:rsidR="00FA6F56" w:rsidRPr="008138DB" w:rsidRDefault="00FA6F56" w:rsidP="0070047F">
            <w:pPr>
              <w:jc w:val="both"/>
              <w:rPr>
                <w:rFonts w:ascii="Arial" w:hAnsi="Arial" w:cs="Arial"/>
                <w:sz w:val="20"/>
                <w:szCs w:val="20"/>
              </w:rPr>
            </w:pPr>
            <w:r>
              <w:rPr>
                <w:rFonts w:ascii="Arial" w:hAnsi="Arial" w:cs="Arial"/>
                <w:sz w:val="20"/>
                <w:szCs w:val="20"/>
              </w:rPr>
              <w:t xml:space="preserve"> </w:t>
            </w:r>
          </w:p>
        </w:tc>
        <w:tc>
          <w:tcPr>
            <w:tcW w:w="1847" w:type="pct"/>
          </w:tcPr>
          <w:p w:rsidR="00FA6F56" w:rsidRPr="008138DB" w:rsidRDefault="00FA6F56" w:rsidP="0070047F">
            <w:pPr>
              <w:rPr>
                <w:rFonts w:ascii="Arial" w:hAnsi="Arial" w:cs="Arial"/>
                <w:sz w:val="20"/>
                <w:szCs w:val="20"/>
              </w:rPr>
            </w:pPr>
          </w:p>
          <w:p w:rsidR="00FA6F56" w:rsidRDefault="00FA6F56" w:rsidP="0070047F">
            <w:pPr>
              <w:rPr>
                <w:rFonts w:ascii="Arial" w:hAnsi="Arial" w:cs="Arial"/>
                <w:sz w:val="20"/>
                <w:szCs w:val="20"/>
              </w:rPr>
            </w:pPr>
            <w:r>
              <w:rPr>
                <w:rFonts w:ascii="Arial" w:hAnsi="Arial" w:cs="Arial"/>
                <w:sz w:val="20"/>
                <w:szCs w:val="20"/>
              </w:rPr>
              <w:t xml:space="preserve">Vloga prijavitelja. </w:t>
            </w:r>
          </w:p>
          <w:p w:rsidR="00FA6F56" w:rsidRDefault="00FA6F56" w:rsidP="0070047F">
            <w:pPr>
              <w:rPr>
                <w:rFonts w:ascii="Arial" w:hAnsi="Arial" w:cs="Arial"/>
                <w:sz w:val="20"/>
                <w:szCs w:val="20"/>
              </w:rPr>
            </w:pPr>
          </w:p>
          <w:p w:rsidR="00FA6F56" w:rsidRPr="008138DB" w:rsidRDefault="00FA6F56" w:rsidP="0070047F">
            <w:pPr>
              <w:rPr>
                <w:rFonts w:ascii="Arial" w:hAnsi="Arial" w:cs="Arial"/>
                <w:sz w:val="20"/>
                <w:szCs w:val="20"/>
              </w:rPr>
            </w:pPr>
          </w:p>
        </w:tc>
      </w:tr>
      <w:tr w:rsidR="00FA6F56" w:rsidRPr="00D7794D" w:rsidTr="00E6101C">
        <w:tc>
          <w:tcPr>
            <w:tcW w:w="1001" w:type="pct"/>
            <w:vAlign w:val="center"/>
          </w:tcPr>
          <w:p w:rsidR="00FA6F56" w:rsidRPr="00D7794D" w:rsidRDefault="00FA6F56" w:rsidP="00FA6F56">
            <w:pPr>
              <w:pStyle w:val="Odstavekseznama"/>
              <w:numPr>
                <w:ilvl w:val="0"/>
                <w:numId w:val="1"/>
              </w:numPr>
              <w:rPr>
                <w:rFonts w:ascii="Arial" w:eastAsiaTheme="majorEastAsia" w:hAnsi="Arial" w:cs="Arial"/>
                <w:sz w:val="20"/>
                <w:szCs w:val="20"/>
              </w:rPr>
            </w:pPr>
            <w:r w:rsidRPr="00D7794D">
              <w:rPr>
                <w:rFonts w:ascii="Arial" w:eastAsiaTheme="majorEastAsia" w:hAnsi="Arial" w:cs="Arial"/>
                <w:sz w:val="20"/>
                <w:szCs w:val="20"/>
              </w:rPr>
              <w:t xml:space="preserve">Izboljšanje energetske učinkovitosti </w:t>
            </w:r>
          </w:p>
        </w:tc>
        <w:tc>
          <w:tcPr>
            <w:tcW w:w="2152" w:type="pct"/>
          </w:tcPr>
          <w:p w:rsidR="00FA6F56" w:rsidRPr="00D7794D" w:rsidRDefault="00FA6F56" w:rsidP="0070047F">
            <w:pPr>
              <w:rPr>
                <w:rFonts w:ascii="Arial" w:hAnsi="Arial" w:cs="Arial"/>
                <w:sz w:val="20"/>
                <w:szCs w:val="20"/>
              </w:rPr>
            </w:pPr>
            <w:r>
              <w:rPr>
                <w:rFonts w:ascii="Arial" w:hAnsi="Arial" w:cs="Arial"/>
                <w:sz w:val="20"/>
                <w:szCs w:val="20"/>
              </w:rPr>
              <w:t xml:space="preserve">Nakup nove opreme  in strojev dokazuje investitor z računi. </w:t>
            </w:r>
          </w:p>
        </w:tc>
        <w:tc>
          <w:tcPr>
            <w:tcW w:w="1847" w:type="pct"/>
            <w:vAlign w:val="center"/>
          </w:tcPr>
          <w:p w:rsidR="00FA6F56" w:rsidRPr="00D7794D" w:rsidRDefault="00FA6F56" w:rsidP="0070047F">
            <w:pPr>
              <w:rPr>
                <w:rFonts w:ascii="Arial" w:eastAsiaTheme="majorEastAsia" w:hAnsi="Arial" w:cs="Arial"/>
                <w:sz w:val="20"/>
                <w:szCs w:val="20"/>
              </w:rPr>
            </w:pPr>
            <w:r w:rsidRPr="00F64550">
              <w:rPr>
                <w:rFonts w:ascii="Arial" w:hAnsi="Arial" w:cs="Arial"/>
                <w:sz w:val="20"/>
                <w:szCs w:val="20"/>
              </w:rPr>
              <w:t>Iz investicijske dokumentacije mora biti razviden nakup nov</w:t>
            </w:r>
            <w:r w:rsidRPr="00D7794D">
              <w:rPr>
                <w:rFonts w:ascii="Arial" w:hAnsi="Arial" w:cs="Arial"/>
                <w:sz w:val="20"/>
                <w:szCs w:val="20"/>
              </w:rPr>
              <w:t>ih strojev in opreme.</w:t>
            </w:r>
            <w:r>
              <w:rPr>
                <w:rFonts w:ascii="Arial" w:hAnsi="Arial" w:cs="Arial"/>
                <w:sz w:val="20"/>
                <w:szCs w:val="20"/>
              </w:rPr>
              <w:t xml:space="preserve"> V zahtevkih se to dokazuje z računi. </w:t>
            </w:r>
          </w:p>
        </w:tc>
      </w:tr>
      <w:tr w:rsidR="00FA6F56" w:rsidRPr="00F64550" w:rsidTr="00E6101C">
        <w:tc>
          <w:tcPr>
            <w:tcW w:w="1001" w:type="pct"/>
            <w:vAlign w:val="center"/>
          </w:tcPr>
          <w:p w:rsidR="00FA6F56" w:rsidRPr="00F64550" w:rsidRDefault="00FA6F56" w:rsidP="00FA6F56">
            <w:pPr>
              <w:pStyle w:val="Odstavekseznama"/>
              <w:numPr>
                <w:ilvl w:val="0"/>
                <w:numId w:val="1"/>
              </w:numPr>
              <w:rPr>
                <w:rFonts w:ascii="Arial" w:eastAsiaTheme="majorEastAsia" w:hAnsi="Arial" w:cs="Arial"/>
                <w:sz w:val="20"/>
                <w:szCs w:val="20"/>
              </w:rPr>
            </w:pPr>
            <w:r w:rsidRPr="00F64550">
              <w:rPr>
                <w:rFonts w:ascii="Arial" w:eastAsiaTheme="majorEastAsia" w:hAnsi="Arial" w:cs="Arial"/>
                <w:sz w:val="20"/>
                <w:szCs w:val="20"/>
              </w:rPr>
              <w:t>Okoljsko odgovorno ravnanje</w:t>
            </w:r>
          </w:p>
        </w:tc>
        <w:tc>
          <w:tcPr>
            <w:tcW w:w="2152" w:type="pct"/>
          </w:tcPr>
          <w:p w:rsidR="00FA6F56" w:rsidRPr="00F64550" w:rsidRDefault="00FA6F56" w:rsidP="0070047F">
            <w:pPr>
              <w:jc w:val="both"/>
              <w:rPr>
                <w:rFonts w:ascii="Arial" w:eastAsiaTheme="majorEastAsia" w:hAnsi="Arial" w:cs="Arial"/>
                <w:sz w:val="20"/>
                <w:szCs w:val="20"/>
              </w:rPr>
            </w:pPr>
            <w:r w:rsidRPr="00F64550">
              <w:rPr>
                <w:rFonts w:ascii="Arial" w:eastAsiaTheme="majorEastAsia" w:hAnsi="Arial" w:cs="Arial"/>
                <w:sz w:val="20"/>
                <w:szCs w:val="20"/>
              </w:rPr>
              <w:t>Prejemnik subvencije  prispeva k skrbi za okolje in zmanjševanjem vplivov na okolje.</w:t>
            </w:r>
          </w:p>
          <w:p w:rsidR="00FA6F56" w:rsidRPr="00F64550" w:rsidRDefault="00FA6F56" w:rsidP="009C34EF">
            <w:pPr>
              <w:jc w:val="both"/>
              <w:rPr>
                <w:rFonts w:ascii="Arial" w:eastAsiaTheme="majorEastAsia" w:hAnsi="Arial" w:cs="Arial"/>
                <w:sz w:val="20"/>
                <w:szCs w:val="20"/>
              </w:rPr>
            </w:pPr>
            <w:r w:rsidRPr="00F64550">
              <w:rPr>
                <w:rFonts w:ascii="Arial" w:eastAsiaTheme="majorEastAsia" w:hAnsi="Arial" w:cs="Arial"/>
                <w:sz w:val="20"/>
                <w:szCs w:val="20"/>
              </w:rPr>
              <w:t>Okoljsko odgovorno ravnanje se izkazuje iz meril za DNSH</w:t>
            </w:r>
            <w:r w:rsidR="009C34EF" w:rsidRPr="00F64550">
              <w:rPr>
                <w:rFonts w:ascii="Arial" w:eastAsiaTheme="majorEastAsia" w:hAnsi="Arial" w:cs="Arial"/>
                <w:sz w:val="20"/>
                <w:szCs w:val="20"/>
              </w:rPr>
              <w:t>.</w:t>
            </w:r>
            <w:r w:rsidRPr="00F64550">
              <w:rPr>
                <w:rFonts w:ascii="Arial" w:eastAsiaTheme="majorEastAsia" w:hAnsi="Arial" w:cs="Arial"/>
                <w:sz w:val="20"/>
                <w:szCs w:val="20"/>
              </w:rPr>
              <w:t xml:space="preserve"> </w:t>
            </w:r>
          </w:p>
        </w:tc>
        <w:tc>
          <w:tcPr>
            <w:tcW w:w="1847" w:type="pct"/>
          </w:tcPr>
          <w:p w:rsidR="00FA6F56" w:rsidRPr="00F64550" w:rsidRDefault="00FA6F56" w:rsidP="009C34EF">
            <w:pPr>
              <w:rPr>
                <w:rFonts w:ascii="Arial" w:eastAsiaTheme="majorEastAsia" w:hAnsi="Arial" w:cs="Arial"/>
                <w:sz w:val="20"/>
                <w:szCs w:val="20"/>
              </w:rPr>
            </w:pPr>
            <w:r w:rsidRPr="00F64550">
              <w:rPr>
                <w:rFonts w:ascii="Arial" w:eastAsiaTheme="majorEastAsia" w:hAnsi="Arial" w:cs="Arial"/>
                <w:sz w:val="20"/>
                <w:szCs w:val="20"/>
              </w:rPr>
              <w:t>Prejemnik subvencije v vlogi podrobno prikaže izpolnjevanje načel DNSH</w:t>
            </w:r>
            <w:r w:rsidR="009C34EF">
              <w:rPr>
                <w:rStyle w:val="Sprotnaopomba-sklic"/>
                <w:rFonts w:ascii="Arial" w:eastAsiaTheme="majorEastAsia" w:hAnsi="Arial" w:cs="Arial"/>
                <w:sz w:val="20"/>
                <w:szCs w:val="20"/>
              </w:rPr>
              <w:footnoteReference w:id="2"/>
            </w:r>
            <w:r w:rsidR="009C34EF">
              <w:rPr>
                <w:rFonts w:ascii="Arial" w:eastAsiaTheme="majorEastAsia" w:hAnsi="Arial" w:cs="Arial"/>
                <w:sz w:val="20"/>
                <w:szCs w:val="20"/>
              </w:rPr>
              <w:t>.</w:t>
            </w:r>
          </w:p>
        </w:tc>
      </w:tr>
      <w:tr w:rsidR="00FA6F56" w:rsidRPr="00D7794D" w:rsidTr="00E6101C">
        <w:tc>
          <w:tcPr>
            <w:tcW w:w="1001" w:type="pct"/>
            <w:vAlign w:val="center"/>
          </w:tcPr>
          <w:p w:rsidR="00FA6F56" w:rsidRPr="00D7794D" w:rsidRDefault="00FA6F56" w:rsidP="00FA6F56">
            <w:pPr>
              <w:pStyle w:val="Odstavekseznama"/>
              <w:numPr>
                <w:ilvl w:val="0"/>
                <w:numId w:val="1"/>
              </w:numPr>
              <w:rPr>
                <w:rFonts w:ascii="Arial" w:eastAsiaTheme="majorEastAsia" w:hAnsi="Arial" w:cs="Arial"/>
                <w:sz w:val="20"/>
                <w:szCs w:val="20"/>
              </w:rPr>
            </w:pPr>
            <w:r w:rsidRPr="00D7794D">
              <w:rPr>
                <w:rFonts w:ascii="Arial" w:eastAsiaTheme="majorEastAsia" w:hAnsi="Arial" w:cs="Arial"/>
                <w:sz w:val="20"/>
                <w:szCs w:val="20"/>
              </w:rPr>
              <w:t>Datum začetka izvajanja investicije</w:t>
            </w:r>
          </w:p>
        </w:tc>
        <w:tc>
          <w:tcPr>
            <w:tcW w:w="2152" w:type="pct"/>
          </w:tcPr>
          <w:p w:rsidR="00FA6F56" w:rsidRPr="00D7794D" w:rsidRDefault="00FA6F56" w:rsidP="0070047F">
            <w:pPr>
              <w:jc w:val="both"/>
              <w:rPr>
                <w:rFonts w:ascii="Arial" w:eastAsiaTheme="majorEastAsia" w:hAnsi="Arial" w:cs="Arial"/>
                <w:sz w:val="20"/>
                <w:szCs w:val="20"/>
              </w:rPr>
            </w:pPr>
            <w:r w:rsidRPr="00D7794D">
              <w:rPr>
                <w:rFonts w:ascii="Arial" w:eastAsiaTheme="majorEastAsia" w:hAnsi="Arial" w:cs="Arial"/>
                <w:sz w:val="20"/>
                <w:szCs w:val="20"/>
              </w:rPr>
              <w:t xml:space="preserve">Investicija se ne sme začeti izvajati pred oddajo vloge na razpis. </w:t>
            </w:r>
          </w:p>
        </w:tc>
        <w:tc>
          <w:tcPr>
            <w:tcW w:w="1847" w:type="pct"/>
          </w:tcPr>
          <w:p w:rsidR="00FA6F56" w:rsidRPr="00D7794D" w:rsidRDefault="00FA6F56" w:rsidP="0070047F">
            <w:pPr>
              <w:rPr>
                <w:rFonts w:ascii="Arial" w:eastAsiaTheme="majorEastAsia" w:hAnsi="Arial" w:cs="Arial"/>
                <w:sz w:val="20"/>
                <w:szCs w:val="20"/>
              </w:rPr>
            </w:pPr>
            <w:r w:rsidRPr="00D7794D">
              <w:rPr>
                <w:rFonts w:ascii="Arial" w:eastAsiaTheme="majorEastAsia" w:hAnsi="Arial" w:cs="Arial"/>
                <w:sz w:val="20"/>
                <w:szCs w:val="20"/>
              </w:rPr>
              <w:t xml:space="preserve">Izpolnjevanje merila je razvidno iz prijavnega obrazca, točke 1, za javni razpis. </w:t>
            </w:r>
          </w:p>
        </w:tc>
      </w:tr>
    </w:tbl>
    <w:p w:rsidR="00FA6F56" w:rsidRPr="00F64550" w:rsidRDefault="00FA6F56" w:rsidP="00FA6F56">
      <w:pPr>
        <w:rPr>
          <w:rFonts w:ascii="Arial" w:hAnsi="Arial" w:cs="Arial"/>
          <w:sz w:val="20"/>
          <w:szCs w:val="20"/>
        </w:rPr>
      </w:pPr>
    </w:p>
    <w:p w:rsidR="00FA6F56" w:rsidRPr="00F64550" w:rsidRDefault="00FA6F56" w:rsidP="00FA6F56">
      <w:pPr>
        <w:rPr>
          <w:rFonts w:ascii="Arial" w:hAnsi="Arial" w:cs="Arial"/>
          <w:sz w:val="20"/>
          <w:szCs w:val="20"/>
        </w:rPr>
      </w:pPr>
      <w:r w:rsidRPr="00F64550">
        <w:rPr>
          <w:rFonts w:ascii="Arial" w:hAnsi="Arial" w:cs="Arial"/>
          <w:sz w:val="20"/>
          <w:szCs w:val="20"/>
        </w:rPr>
        <w:br w:type="page"/>
      </w:r>
    </w:p>
    <w:p w:rsidR="00FA6F56" w:rsidRPr="00D7794D" w:rsidRDefault="00FA6F56" w:rsidP="00FA6F56">
      <w:pPr>
        <w:rPr>
          <w:rFonts w:ascii="Arial" w:hAnsi="Arial" w:cs="Arial"/>
          <w:sz w:val="20"/>
          <w:szCs w:val="20"/>
        </w:rPr>
      </w:pPr>
      <w:r w:rsidRPr="00D7794D">
        <w:rPr>
          <w:rFonts w:ascii="Arial" w:hAnsi="Arial" w:cs="Arial"/>
          <w:sz w:val="20"/>
          <w:szCs w:val="20"/>
        </w:rPr>
        <w:lastRenderedPageBreak/>
        <w:t>Ocenjevalni list MGRT</w:t>
      </w:r>
    </w:p>
    <w:p w:rsidR="00FA6F56" w:rsidRPr="008138DB" w:rsidRDefault="00FA6F56" w:rsidP="00FA6F56">
      <w:pPr>
        <w:rPr>
          <w:rFonts w:ascii="Arial" w:hAnsi="Arial" w:cs="Arial"/>
          <w:sz w:val="20"/>
          <w:szCs w:val="20"/>
        </w:rPr>
      </w:pPr>
    </w:p>
    <w:p w:rsidR="00FA6F56" w:rsidRPr="000737A4" w:rsidRDefault="00FA6F56" w:rsidP="00FA6F56">
      <w:pPr>
        <w:jc w:val="center"/>
        <w:rPr>
          <w:rFonts w:ascii="Arial" w:hAnsi="Arial" w:cs="Arial"/>
          <w:sz w:val="20"/>
          <w:szCs w:val="20"/>
        </w:rPr>
      </w:pPr>
      <w:r w:rsidRPr="008138DB">
        <w:rPr>
          <w:rFonts w:ascii="Arial" w:hAnsi="Arial" w:cs="Arial"/>
          <w:sz w:val="20"/>
          <w:szCs w:val="20"/>
        </w:rPr>
        <w:t>Obrazec, ki ga izpolni MGRT</w:t>
      </w:r>
    </w:p>
    <w:p w:rsidR="00FA6F56" w:rsidRPr="000737A4" w:rsidRDefault="00FA6F56" w:rsidP="00FA6F56">
      <w:pPr>
        <w:pStyle w:val="Odstavekseznama"/>
        <w:autoSpaceDE w:val="0"/>
        <w:autoSpaceDN w:val="0"/>
        <w:adjustRightInd w:val="0"/>
        <w:spacing w:before="14"/>
        <w:jc w:val="center"/>
        <w:rPr>
          <w:rFonts w:ascii="Arial" w:eastAsia="SimHei" w:hAnsi="Arial" w:cs="Arial"/>
          <w:bCs/>
          <w:sz w:val="20"/>
          <w:szCs w:val="20"/>
          <w:lang w:eastAsia="sl-SI"/>
        </w:rPr>
      </w:pPr>
    </w:p>
    <w:p w:rsidR="00FA6F56" w:rsidRPr="000737A4" w:rsidRDefault="00FA6F56" w:rsidP="00FA6F56">
      <w:pPr>
        <w:autoSpaceDE w:val="0"/>
        <w:autoSpaceDN w:val="0"/>
        <w:adjustRightInd w:val="0"/>
        <w:spacing w:before="14"/>
        <w:rPr>
          <w:rFonts w:ascii="Arial" w:eastAsia="SimHei" w:hAnsi="Arial" w:cs="Arial"/>
          <w:bCs/>
          <w:sz w:val="20"/>
          <w:szCs w:val="20"/>
          <w:lang w:eastAsia="sl-SI"/>
        </w:rPr>
      </w:pPr>
    </w:p>
    <w:p w:rsidR="00FA6F56" w:rsidRPr="000737A4" w:rsidRDefault="00FA6F56" w:rsidP="00FA6F56">
      <w:pPr>
        <w:rPr>
          <w:rFonts w:ascii="Arial" w:hAnsi="Arial" w:cs="Arial"/>
          <w:sz w:val="20"/>
          <w:szCs w:val="20"/>
        </w:rPr>
      </w:pPr>
    </w:p>
    <w:tbl>
      <w:tblPr>
        <w:tblStyle w:val="Tabelamrea"/>
        <w:tblW w:w="4697" w:type="pct"/>
        <w:tblInd w:w="5" w:type="dxa"/>
        <w:tblLook w:val="04A0" w:firstRow="1" w:lastRow="0" w:firstColumn="1" w:lastColumn="0" w:noHBand="0" w:noVBand="1"/>
      </w:tblPr>
      <w:tblGrid>
        <w:gridCol w:w="2144"/>
        <w:gridCol w:w="5141"/>
        <w:gridCol w:w="1228"/>
      </w:tblGrid>
      <w:tr w:rsidR="00FA6F56" w:rsidRPr="000737A4" w:rsidTr="0070047F">
        <w:trPr>
          <w:trHeight w:val="795"/>
        </w:trPr>
        <w:tc>
          <w:tcPr>
            <w:tcW w:w="1307" w:type="pct"/>
            <w:shd w:val="clear" w:color="auto" w:fill="auto"/>
            <w:vAlign w:val="center"/>
          </w:tcPr>
          <w:p w:rsidR="00FA6F56" w:rsidRPr="000737A4" w:rsidRDefault="00FA6F56" w:rsidP="0070047F">
            <w:pPr>
              <w:jc w:val="center"/>
              <w:rPr>
                <w:rFonts w:ascii="Arial" w:eastAsiaTheme="majorEastAsia" w:hAnsi="Arial" w:cs="Arial"/>
                <w:b/>
                <w:sz w:val="20"/>
                <w:szCs w:val="20"/>
              </w:rPr>
            </w:pPr>
            <w:r w:rsidRPr="000737A4">
              <w:rPr>
                <w:rFonts w:ascii="Arial" w:eastAsia="SimHei" w:hAnsi="Arial" w:cs="Arial"/>
                <w:b/>
                <w:bCs/>
                <w:sz w:val="20"/>
                <w:szCs w:val="20"/>
              </w:rPr>
              <w:t>Podatki o prejemniku subvencije</w:t>
            </w:r>
          </w:p>
        </w:tc>
        <w:tc>
          <w:tcPr>
            <w:tcW w:w="3693" w:type="pct"/>
            <w:gridSpan w:val="2"/>
            <w:shd w:val="clear" w:color="auto" w:fill="auto"/>
            <w:vAlign w:val="center"/>
          </w:tcPr>
          <w:p w:rsidR="00FA6F56" w:rsidRPr="000737A4" w:rsidRDefault="00FA6F56" w:rsidP="0070047F">
            <w:pPr>
              <w:jc w:val="center"/>
              <w:rPr>
                <w:rFonts w:ascii="Arial" w:eastAsiaTheme="majorEastAsia" w:hAnsi="Arial" w:cs="Arial"/>
                <w:sz w:val="20"/>
                <w:szCs w:val="20"/>
              </w:rPr>
            </w:pPr>
          </w:p>
        </w:tc>
      </w:tr>
      <w:tr w:rsidR="00FA6F56" w:rsidRPr="00CB7903" w:rsidTr="0070047F">
        <w:trPr>
          <w:trHeight w:val="795"/>
        </w:trPr>
        <w:tc>
          <w:tcPr>
            <w:tcW w:w="1307" w:type="pct"/>
            <w:shd w:val="clear" w:color="auto" w:fill="auto"/>
            <w:vAlign w:val="center"/>
          </w:tcPr>
          <w:p w:rsidR="00FA6F56" w:rsidRPr="00CB7903" w:rsidRDefault="00FA6F56" w:rsidP="0070047F">
            <w:pPr>
              <w:jc w:val="center"/>
              <w:rPr>
                <w:rFonts w:ascii="Arial" w:eastAsiaTheme="majorEastAsia" w:hAnsi="Arial" w:cs="Arial"/>
                <w:b/>
                <w:sz w:val="20"/>
                <w:szCs w:val="20"/>
              </w:rPr>
            </w:pPr>
            <w:r w:rsidRPr="00CB7903">
              <w:rPr>
                <w:rFonts w:ascii="Arial" w:eastAsiaTheme="majorEastAsia" w:hAnsi="Arial" w:cs="Arial"/>
                <w:b/>
                <w:sz w:val="20"/>
                <w:szCs w:val="20"/>
              </w:rPr>
              <w:t>Merilo</w:t>
            </w:r>
          </w:p>
        </w:tc>
        <w:tc>
          <w:tcPr>
            <w:tcW w:w="3067" w:type="pct"/>
            <w:shd w:val="clear" w:color="auto" w:fill="auto"/>
            <w:vAlign w:val="center"/>
          </w:tcPr>
          <w:p w:rsidR="00FA6F56" w:rsidRPr="00CB7903" w:rsidRDefault="00FA6F56" w:rsidP="0070047F">
            <w:pPr>
              <w:jc w:val="center"/>
              <w:rPr>
                <w:rFonts w:ascii="Arial" w:eastAsiaTheme="majorEastAsia" w:hAnsi="Arial" w:cs="Arial"/>
                <w:b/>
                <w:sz w:val="20"/>
                <w:szCs w:val="20"/>
              </w:rPr>
            </w:pPr>
            <w:r w:rsidRPr="00CB7903">
              <w:rPr>
                <w:rFonts w:ascii="Arial" w:eastAsiaTheme="majorEastAsia" w:hAnsi="Arial" w:cs="Arial"/>
                <w:b/>
                <w:sz w:val="20"/>
                <w:szCs w:val="20"/>
              </w:rPr>
              <w:t>Utemeljitev upravičenosti sofinanciranja investicije na podlagi Programa</w:t>
            </w:r>
          </w:p>
        </w:tc>
        <w:tc>
          <w:tcPr>
            <w:tcW w:w="622" w:type="pct"/>
            <w:shd w:val="clear" w:color="auto" w:fill="auto"/>
            <w:vAlign w:val="center"/>
          </w:tcPr>
          <w:p w:rsidR="00FA6F56" w:rsidRPr="00CB7903" w:rsidRDefault="00FA6F56" w:rsidP="0070047F">
            <w:pPr>
              <w:jc w:val="center"/>
              <w:rPr>
                <w:rFonts w:ascii="Arial" w:eastAsiaTheme="majorEastAsia" w:hAnsi="Arial" w:cs="Arial"/>
                <w:b/>
                <w:sz w:val="20"/>
                <w:szCs w:val="20"/>
              </w:rPr>
            </w:pPr>
            <w:r w:rsidRPr="00CB7903">
              <w:rPr>
                <w:rFonts w:ascii="Arial" w:eastAsiaTheme="majorEastAsia" w:hAnsi="Arial" w:cs="Arial"/>
                <w:b/>
                <w:sz w:val="20"/>
                <w:szCs w:val="20"/>
              </w:rPr>
              <w:t>Ustrezanje merilom</w:t>
            </w:r>
          </w:p>
        </w:tc>
      </w:tr>
      <w:tr w:rsidR="00FA6F56" w:rsidRPr="000737A4" w:rsidTr="0070047F">
        <w:tc>
          <w:tcPr>
            <w:tcW w:w="1307" w:type="pct"/>
            <w:vAlign w:val="center"/>
          </w:tcPr>
          <w:p w:rsidR="00FA6F56" w:rsidRPr="000737A4" w:rsidRDefault="00FA6F56" w:rsidP="00FA6F56">
            <w:pPr>
              <w:pStyle w:val="Odstavekseznama"/>
              <w:numPr>
                <w:ilvl w:val="0"/>
                <w:numId w:val="3"/>
              </w:numPr>
              <w:rPr>
                <w:rFonts w:ascii="Arial" w:eastAsiaTheme="majorEastAsia" w:hAnsi="Arial" w:cs="Arial"/>
                <w:b/>
                <w:sz w:val="20"/>
                <w:szCs w:val="20"/>
              </w:rPr>
            </w:pPr>
            <w:r w:rsidRPr="000737A4">
              <w:rPr>
                <w:rFonts w:ascii="Arial" w:hAnsi="Arial" w:cs="Arial"/>
                <w:b/>
                <w:sz w:val="20"/>
                <w:szCs w:val="20"/>
              </w:rPr>
              <w:t xml:space="preserve">Zmanjšanje emisij toplogrednih plinov </w:t>
            </w:r>
          </w:p>
        </w:tc>
        <w:tc>
          <w:tcPr>
            <w:tcW w:w="3067" w:type="pct"/>
          </w:tcPr>
          <w:p w:rsidR="00FA6F56" w:rsidRPr="000737A4" w:rsidRDefault="00FA6F56" w:rsidP="0070047F">
            <w:pPr>
              <w:rPr>
                <w:rFonts w:ascii="Arial" w:hAnsi="Arial" w:cs="Arial"/>
                <w:sz w:val="20"/>
                <w:szCs w:val="20"/>
              </w:rPr>
            </w:pPr>
          </w:p>
          <w:p w:rsidR="00FA6F56" w:rsidRPr="000737A4" w:rsidRDefault="00FA6F56" w:rsidP="0070047F">
            <w:pPr>
              <w:rPr>
                <w:rFonts w:ascii="Arial" w:hAnsi="Arial" w:cs="Arial"/>
                <w:sz w:val="20"/>
                <w:szCs w:val="20"/>
              </w:rPr>
            </w:pPr>
          </w:p>
          <w:p w:rsidR="00FA6F56" w:rsidRPr="000737A4" w:rsidRDefault="00FA6F56" w:rsidP="0070047F">
            <w:pPr>
              <w:rPr>
                <w:rFonts w:ascii="Arial" w:hAnsi="Arial" w:cs="Arial"/>
                <w:sz w:val="20"/>
                <w:szCs w:val="20"/>
              </w:rPr>
            </w:pPr>
          </w:p>
          <w:p w:rsidR="00FA6F56" w:rsidRPr="000737A4" w:rsidRDefault="00FA6F56" w:rsidP="0070047F">
            <w:pPr>
              <w:rPr>
                <w:rFonts w:ascii="Arial" w:hAnsi="Arial" w:cs="Arial"/>
                <w:sz w:val="20"/>
                <w:szCs w:val="20"/>
              </w:rPr>
            </w:pPr>
          </w:p>
          <w:p w:rsidR="00FA6F56" w:rsidRPr="000737A4" w:rsidRDefault="00FA6F56" w:rsidP="0070047F">
            <w:pPr>
              <w:rPr>
                <w:rFonts w:ascii="Arial" w:hAnsi="Arial" w:cs="Arial"/>
                <w:sz w:val="20"/>
                <w:szCs w:val="20"/>
              </w:rPr>
            </w:pPr>
          </w:p>
        </w:tc>
        <w:tc>
          <w:tcPr>
            <w:tcW w:w="622" w:type="pct"/>
            <w:vAlign w:val="center"/>
          </w:tcPr>
          <w:p w:rsidR="00FA6F56" w:rsidRPr="000737A4" w:rsidRDefault="00FA6F56" w:rsidP="0070047F">
            <w:pPr>
              <w:jc w:val="center"/>
              <w:rPr>
                <w:rFonts w:ascii="Arial" w:hAnsi="Arial" w:cs="Arial"/>
                <w:sz w:val="20"/>
                <w:szCs w:val="20"/>
              </w:rPr>
            </w:pPr>
            <w:r w:rsidRPr="000737A4">
              <w:rPr>
                <w:rFonts w:ascii="Arial" w:eastAsiaTheme="majorEastAsia" w:hAnsi="Arial" w:cs="Arial"/>
                <w:sz w:val="20"/>
                <w:szCs w:val="20"/>
              </w:rPr>
              <w:t>DA/NE</w:t>
            </w:r>
          </w:p>
        </w:tc>
      </w:tr>
      <w:tr w:rsidR="00FA6F56" w:rsidRPr="000737A4" w:rsidTr="0070047F">
        <w:tc>
          <w:tcPr>
            <w:tcW w:w="1307" w:type="pct"/>
            <w:vAlign w:val="center"/>
          </w:tcPr>
          <w:p w:rsidR="00FA6F56" w:rsidRPr="000737A4" w:rsidRDefault="00FA6F56" w:rsidP="00FA6F56">
            <w:pPr>
              <w:pStyle w:val="Odstavekseznama"/>
              <w:numPr>
                <w:ilvl w:val="0"/>
                <w:numId w:val="3"/>
              </w:numPr>
              <w:rPr>
                <w:rFonts w:ascii="Arial" w:eastAsiaTheme="majorEastAsia" w:hAnsi="Arial" w:cs="Arial"/>
                <w:b/>
                <w:sz w:val="20"/>
                <w:szCs w:val="20"/>
              </w:rPr>
            </w:pPr>
            <w:r w:rsidRPr="000737A4">
              <w:rPr>
                <w:rFonts w:ascii="Arial" w:eastAsiaTheme="majorEastAsia" w:hAnsi="Arial" w:cs="Arial"/>
                <w:b/>
                <w:sz w:val="20"/>
                <w:szCs w:val="20"/>
              </w:rPr>
              <w:t xml:space="preserve">Izboljšanje energetske učinkovitosti </w:t>
            </w:r>
          </w:p>
        </w:tc>
        <w:tc>
          <w:tcPr>
            <w:tcW w:w="3067" w:type="pct"/>
          </w:tcPr>
          <w:p w:rsidR="00FA6F56" w:rsidRPr="000737A4" w:rsidRDefault="00FA6F56" w:rsidP="0070047F">
            <w:pPr>
              <w:jc w:val="both"/>
              <w:rPr>
                <w:rFonts w:ascii="Arial" w:eastAsiaTheme="majorEastAsia" w:hAnsi="Arial" w:cs="Arial"/>
                <w:sz w:val="20"/>
                <w:szCs w:val="20"/>
              </w:rPr>
            </w:pPr>
          </w:p>
          <w:p w:rsidR="00FA6F56" w:rsidRPr="000737A4" w:rsidRDefault="00FA6F56" w:rsidP="0070047F">
            <w:pPr>
              <w:jc w:val="both"/>
              <w:rPr>
                <w:rFonts w:ascii="Arial" w:eastAsiaTheme="majorEastAsia" w:hAnsi="Arial" w:cs="Arial"/>
                <w:sz w:val="20"/>
                <w:szCs w:val="20"/>
              </w:rPr>
            </w:pPr>
          </w:p>
          <w:p w:rsidR="00FA6F56" w:rsidRPr="000737A4" w:rsidRDefault="00FA6F56" w:rsidP="0070047F">
            <w:pPr>
              <w:jc w:val="both"/>
              <w:rPr>
                <w:rFonts w:ascii="Arial" w:eastAsiaTheme="majorEastAsia" w:hAnsi="Arial" w:cs="Arial"/>
                <w:sz w:val="20"/>
                <w:szCs w:val="20"/>
              </w:rPr>
            </w:pPr>
          </w:p>
          <w:p w:rsidR="00FA6F56" w:rsidRPr="000737A4" w:rsidRDefault="00FA6F56" w:rsidP="0070047F">
            <w:pPr>
              <w:jc w:val="both"/>
              <w:rPr>
                <w:rFonts w:ascii="Arial" w:eastAsiaTheme="majorEastAsia" w:hAnsi="Arial" w:cs="Arial"/>
                <w:sz w:val="20"/>
                <w:szCs w:val="20"/>
              </w:rPr>
            </w:pPr>
          </w:p>
          <w:p w:rsidR="00FA6F56" w:rsidRPr="000737A4" w:rsidRDefault="00FA6F56" w:rsidP="0070047F">
            <w:pPr>
              <w:jc w:val="both"/>
              <w:rPr>
                <w:rFonts w:ascii="Arial" w:eastAsiaTheme="majorEastAsia" w:hAnsi="Arial" w:cs="Arial"/>
                <w:sz w:val="20"/>
                <w:szCs w:val="20"/>
              </w:rPr>
            </w:pPr>
          </w:p>
        </w:tc>
        <w:tc>
          <w:tcPr>
            <w:tcW w:w="622" w:type="pct"/>
            <w:vAlign w:val="center"/>
          </w:tcPr>
          <w:p w:rsidR="00FA6F56" w:rsidRPr="000737A4" w:rsidRDefault="00FA6F56" w:rsidP="0070047F">
            <w:pPr>
              <w:jc w:val="center"/>
              <w:rPr>
                <w:rFonts w:ascii="Arial" w:eastAsiaTheme="majorEastAsia" w:hAnsi="Arial" w:cs="Arial"/>
                <w:sz w:val="20"/>
                <w:szCs w:val="20"/>
              </w:rPr>
            </w:pPr>
            <w:r w:rsidRPr="000737A4">
              <w:rPr>
                <w:rFonts w:ascii="Arial" w:eastAsiaTheme="majorEastAsia" w:hAnsi="Arial" w:cs="Arial"/>
                <w:sz w:val="20"/>
                <w:szCs w:val="20"/>
              </w:rPr>
              <w:t>DA/NE</w:t>
            </w:r>
          </w:p>
        </w:tc>
      </w:tr>
      <w:tr w:rsidR="00FA6F56" w:rsidRPr="000737A4" w:rsidTr="0070047F">
        <w:tc>
          <w:tcPr>
            <w:tcW w:w="1307" w:type="pct"/>
            <w:vAlign w:val="center"/>
          </w:tcPr>
          <w:p w:rsidR="00FA6F56" w:rsidRPr="000737A4" w:rsidRDefault="00FA6F56" w:rsidP="00FA6F56">
            <w:pPr>
              <w:pStyle w:val="Odstavekseznama"/>
              <w:numPr>
                <w:ilvl w:val="0"/>
                <w:numId w:val="3"/>
              </w:numPr>
              <w:rPr>
                <w:rFonts w:ascii="Arial" w:eastAsiaTheme="majorEastAsia" w:hAnsi="Arial" w:cs="Arial"/>
                <w:b/>
                <w:sz w:val="20"/>
                <w:szCs w:val="20"/>
              </w:rPr>
            </w:pPr>
            <w:r w:rsidRPr="000737A4">
              <w:rPr>
                <w:rFonts w:ascii="Arial" w:eastAsiaTheme="majorEastAsia" w:hAnsi="Arial" w:cs="Arial"/>
                <w:b/>
                <w:sz w:val="20"/>
                <w:szCs w:val="20"/>
              </w:rPr>
              <w:t>Okoljsko odgovorno ravnanje</w:t>
            </w:r>
          </w:p>
        </w:tc>
        <w:tc>
          <w:tcPr>
            <w:tcW w:w="3067" w:type="pct"/>
          </w:tcPr>
          <w:p w:rsidR="00FA6F56" w:rsidRPr="000737A4" w:rsidRDefault="00FA6F56" w:rsidP="0070047F">
            <w:pPr>
              <w:rPr>
                <w:rFonts w:ascii="Arial" w:eastAsiaTheme="majorEastAsia" w:hAnsi="Arial" w:cs="Arial"/>
                <w:sz w:val="20"/>
                <w:szCs w:val="20"/>
              </w:rPr>
            </w:pPr>
          </w:p>
        </w:tc>
        <w:tc>
          <w:tcPr>
            <w:tcW w:w="622" w:type="pct"/>
            <w:vAlign w:val="center"/>
          </w:tcPr>
          <w:p w:rsidR="00FA6F56" w:rsidRPr="000737A4" w:rsidRDefault="00FA6F56" w:rsidP="0070047F">
            <w:pPr>
              <w:jc w:val="center"/>
              <w:rPr>
                <w:rFonts w:ascii="Arial" w:eastAsiaTheme="majorEastAsia" w:hAnsi="Arial" w:cs="Arial"/>
                <w:sz w:val="20"/>
                <w:szCs w:val="20"/>
              </w:rPr>
            </w:pPr>
            <w:r w:rsidRPr="000737A4">
              <w:rPr>
                <w:rFonts w:ascii="Arial" w:eastAsiaTheme="majorEastAsia" w:hAnsi="Arial" w:cs="Arial"/>
                <w:sz w:val="20"/>
                <w:szCs w:val="20"/>
              </w:rPr>
              <w:t>DA/NE</w:t>
            </w:r>
          </w:p>
        </w:tc>
      </w:tr>
      <w:tr w:rsidR="00FA6F56" w:rsidRPr="000737A4" w:rsidTr="0070047F">
        <w:tc>
          <w:tcPr>
            <w:tcW w:w="1307" w:type="pct"/>
            <w:vAlign w:val="center"/>
          </w:tcPr>
          <w:p w:rsidR="00FA6F56" w:rsidRPr="000737A4" w:rsidRDefault="00FA6F56" w:rsidP="00FA6F56">
            <w:pPr>
              <w:pStyle w:val="Odstavekseznama"/>
              <w:numPr>
                <w:ilvl w:val="0"/>
                <w:numId w:val="3"/>
              </w:numPr>
              <w:rPr>
                <w:rFonts w:ascii="Arial" w:eastAsiaTheme="majorEastAsia" w:hAnsi="Arial" w:cs="Arial"/>
                <w:b/>
                <w:sz w:val="20"/>
                <w:szCs w:val="20"/>
              </w:rPr>
            </w:pPr>
            <w:r w:rsidRPr="000737A4">
              <w:rPr>
                <w:rFonts w:ascii="Arial" w:eastAsiaTheme="majorEastAsia" w:hAnsi="Arial" w:cs="Arial"/>
                <w:b/>
                <w:sz w:val="20"/>
                <w:szCs w:val="20"/>
              </w:rPr>
              <w:t>Datum začetka izvajanja investicije</w:t>
            </w:r>
          </w:p>
        </w:tc>
        <w:tc>
          <w:tcPr>
            <w:tcW w:w="3067" w:type="pct"/>
          </w:tcPr>
          <w:p w:rsidR="00FA6F56" w:rsidRPr="000737A4" w:rsidRDefault="00FA6F56" w:rsidP="0070047F">
            <w:pPr>
              <w:rPr>
                <w:rFonts w:ascii="Arial" w:eastAsiaTheme="majorEastAsia" w:hAnsi="Arial" w:cs="Arial"/>
                <w:sz w:val="20"/>
                <w:szCs w:val="20"/>
              </w:rPr>
            </w:pPr>
          </w:p>
          <w:p w:rsidR="00FA6F56" w:rsidRPr="000737A4" w:rsidRDefault="00FA6F56" w:rsidP="0070047F">
            <w:pPr>
              <w:jc w:val="both"/>
              <w:rPr>
                <w:rFonts w:ascii="Arial" w:eastAsiaTheme="majorEastAsia" w:hAnsi="Arial" w:cs="Arial"/>
                <w:sz w:val="20"/>
                <w:szCs w:val="20"/>
              </w:rPr>
            </w:pPr>
          </w:p>
          <w:p w:rsidR="00FA6F56" w:rsidRPr="000737A4" w:rsidRDefault="00FA6F56" w:rsidP="0070047F">
            <w:pPr>
              <w:jc w:val="both"/>
              <w:rPr>
                <w:rFonts w:ascii="Arial" w:eastAsiaTheme="majorEastAsia" w:hAnsi="Arial" w:cs="Arial"/>
                <w:sz w:val="20"/>
                <w:szCs w:val="20"/>
              </w:rPr>
            </w:pPr>
          </w:p>
          <w:p w:rsidR="00FA6F56" w:rsidRPr="000737A4" w:rsidRDefault="00FA6F56" w:rsidP="0070047F">
            <w:pPr>
              <w:jc w:val="both"/>
              <w:rPr>
                <w:rFonts w:ascii="Arial" w:eastAsiaTheme="majorEastAsia" w:hAnsi="Arial" w:cs="Arial"/>
                <w:sz w:val="20"/>
                <w:szCs w:val="20"/>
              </w:rPr>
            </w:pPr>
          </w:p>
          <w:p w:rsidR="00FA6F56" w:rsidRPr="000737A4" w:rsidRDefault="00FA6F56" w:rsidP="0070047F">
            <w:pPr>
              <w:jc w:val="both"/>
              <w:rPr>
                <w:rFonts w:ascii="Arial" w:eastAsiaTheme="majorEastAsia" w:hAnsi="Arial" w:cs="Arial"/>
                <w:sz w:val="20"/>
                <w:szCs w:val="20"/>
              </w:rPr>
            </w:pPr>
          </w:p>
        </w:tc>
        <w:tc>
          <w:tcPr>
            <w:tcW w:w="622" w:type="pct"/>
            <w:vAlign w:val="center"/>
          </w:tcPr>
          <w:p w:rsidR="00FA6F56" w:rsidRPr="000737A4" w:rsidRDefault="00FA6F56" w:rsidP="0070047F">
            <w:pPr>
              <w:jc w:val="center"/>
              <w:rPr>
                <w:rFonts w:ascii="Arial" w:eastAsiaTheme="majorEastAsia" w:hAnsi="Arial" w:cs="Arial"/>
                <w:sz w:val="20"/>
                <w:szCs w:val="20"/>
              </w:rPr>
            </w:pPr>
            <w:r w:rsidRPr="000737A4">
              <w:rPr>
                <w:rFonts w:ascii="Arial" w:eastAsiaTheme="majorEastAsia" w:hAnsi="Arial" w:cs="Arial"/>
                <w:sz w:val="20"/>
                <w:szCs w:val="20"/>
              </w:rPr>
              <w:t>DA/NE</w:t>
            </w:r>
          </w:p>
        </w:tc>
      </w:tr>
    </w:tbl>
    <w:p w:rsidR="00FA6F56" w:rsidRPr="00196A90" w:rsidRDefault="00FA6F56" w:rsidP="00FA6F56">
      <w:pPr>
        <w:rPr>
          <w:rFonts w:ascii="Arial" w:hAnsi="Arial" w:cs="Arial"/>
          <w:sz w:val="20"/>
          <w:szCs w:val="20"/>
        </w:rPr>
      </w:pPr>
    </w:p>
    <w:p w:rsidR="00FA6F56" w:rsidRPr="00196A90" w:rsidRDefault="00FA6F56" w:rsidP="00FA6F56">
      <w:pPr>
        <w:rPr>
          <w:rFonts w:ascii="Arial" w:hAnsi="Arial" w:cs="Arial"/>
          <w:sz w:val="20"/>
          <w:szCs w:val="20"/>
        </w:rPr>
      </w:pPr>
      <w:r w:rsidRPr="00196A90">
        <w:rPr>
          <w:rFonts w:ascii="Arial" w:hAnsi="Arial" w:cs="Arial"/>
          <w:sz w:val="20"/>
          <w:szCs w:val="20"/>
        </w:rPr>
        <w:t xml:space="preserve">Ugotovitve </w:t>
      </w:r>
      <w:r>
        <w:rPr>
          <w:rFonts w:ascii="Arial" w:hAnsi="Arial" w:cs="Arial"/>
          <w:sz w:val="20"/>
          <w:szCs w:val="20"/>
        </w:rPr>
        <w:t>MGRT:</w:t>
      </w:r>
    </w:p>
    <w:p w:rsidR="00FA6F56" w:rsidRPr="00196A90" w:rsidRDefault="00FA6F56" w:rsidP="00FA6F56">
      <w:pPr>
        <w:rPr>
          <w:rFonts w:ascii="Arial" w:hAnsi="Arial" w:cs="Arial"/>
          <w:sz w:val="20"/>
          <w:szCs w:val="20"/>
        </w:rPr>
      </w:pPr>
    </w:p>
    <w:p w:rsidR="00FA6F56" w:rsidRPr="00B519DF" w:rsidRDefault="00FA6F56" w:rsidP="00FA6F56">
      <w:pPr>
        <w:rPr>
          <w:rFonts w:ascii="Arial" w:hAnsi="Arial" w:cs="Arial"/>
          <w:sz w:val="20"/>
          <w:szCs w:val="20"/>
        </w:rPr>
      </w:pPr>
    </w:p>
    <w:p w:rsidR="00FA6F56" w:rsidRPr="00B519DF" w:rsidRDefault="00FA6F56" w:rsidP="00FA6F56">
      <w:pPr>
        <w:rPr>
          <w:rFonts w:ascii="Arial" w:hAnsi="Arial" w:cs="Arial"/>
          <w:sz w:val="20"/>
          <w:szCs w:val="20"/>
        </w:rPr>
      </w:pPr>
    </w:p>
    <w:p w:rsidR="00FA6F56" w:rsidRPr="00B519DF" w:rsidRDefault="00FA6F56" w:rsidP="00FA6F56">
      <w:pPr>
        <w:rPr>
          <w:rFonts w:ascii="Arial" w:hAnsi="Arial" w:cs="Arial"/>
          <w:sz w:val="20"/>
          <w:szCs w:val="20"/>
        </w:rPr>
      </w:pPr>
    </w:p>
    <w:p w:rsidR="00FA6F56" w:rsidRPr="00B519DF" w:rsidRDefault="00FA6F56" w:rsidP="00FA6F56">
      <w:pPr>
        <w:rPr>
          <w:rFonts w:ascii="Arial" w:hAnsi="Arial" w:cs="Arial"/>
          <w:sz w:val="20"/>
          <w:szCs w:val="20"/>
        </w:rPr>
      </w:pPr>
      <w:r w:rsidRPr="00B519DF">
        <w:rPr>
          <w:rFonts w:ascii="Arial" w:hAnsi="Arial" w:cs="Arial"/>
          <w:sz w:val="20"/>
          <w:szCs w:val="20"/>
        </w:rPr>
        <w:t xml:space="preserve">Podpis </w:t>
      </w:r>
      <w:r>
        <w:rPr>
          <w:rFonts w:ascii="Arial" w:hAnsi="Arial" w:cs="Arial"/>
          <w:sz w:val="20"/>
          <w:szCs w:val="20"/>
        </w:rPr>
        <w:t xml:space="preserve">ocenjevalca: </w:t>
      </w:r>
      <w:r w:rsidRPr="00B519DF">
        <w:rPr>
          <w:rFonts w:ascii="Arial" w:hAnsi="Arial" w:cs="Arial"/>
          <w:sz w:val="20"/>
          <w:szCs w:val="20"/>
        </w:rPr>
        <w:t>_____________________</w:t>
      </w:r>
    </w:p>
    <w:p w:rsidR="00FA6F56" w:rsidRPr="00B519DF" w:rsidRDefault="00FA6F56" w:rsidP="00FA6F56">
      <w:pPr>
        <w:rPr>
          <w:rFonts w:ascii="Arial" w:hAnsi="Arial" w:cs="Arial"/>
          <w:sz w:val="20"/>
          <w:szCs w:val="20"/>
        </w:rPr>
      </w:pPr>
      <w:r w:rsidRPr="00B519DF">
        <w:rPr>
          <w:rFonts w:ascii="Arial" w:hAnsi="Arial" w:cs="Arial"/>
          <w:sz w:val="20"/>
          <w:szCs w:val="20"/>
        </w:rPr>
        <w:t xml:space="preserve">Podpis </w:t>
      </w:r>
      <w:r>
        <w:rPr>
          <w:rFonts w:ascii="Arial" w:hAnsi="Arial" w:cs="Arial"/>
          <w:sz w:val="20"/>
          <w:szCs w:val="20"/>
        </w:rPr>
        <w:t>ocenjevalca</w:t>
      </w:r>
      <w:r w:rsidRPr="00B519DF">
        <w:rPr>
          <w:rFonts w:ascii="Arial" w:hAnsi="Arial" w:cs="Arial"/>
          <w:sz w:val="20"/>
          <w:szCs w:val="20"/>
        </w:rPr>
        <w:t>:_____________________</w:t>
      </w:r>
    </w:p>
    <w:p w:rsidR="00FA6F56" w:rsidRPr="00B519DF" w:rsidRDefault="00FA6F56" w:rsidP="00FA6F56">
      <w:pPr>
        <w:rPr>
          <w:rFonts w:ascii="Arial" w:hAnsi="Arial" w:cs="Arial"/>
          <w:sz w:val="20"/>
          <w:szCs w:val="20"/>
        </w:rPr>
      </w:pPr>
    </w:p>
    <w:p w:rsidR="00FA6F56" w:rsidRDefault="00FA6F56" w:rsidP="00FA6F56">
      <w:pPr>
        <w:rPr>
          <w:rFonts w:ascii="Arial" w:hAnsi="Arial" w:cs="Arial"/>
          <w:sz w:val="20"/>
          <w:szCs w:val="20"/>
        </w:rPr>
      </w:pPr>
      <w:r w:rsidRPr="00B519DF">
        <w:rPr>
          <w:rFonts w:ascii="Arial" w:hAnsi="Arial" w:cs="Arial"/>
          <w:sz w:val="20"/>
          <w:szCs w:val="20"/>
        </w:rPr>
        <w:t>Datum:_________________________________</w:t>
      </w:r>
    </w:p>
    <w:p w:rsidR="00FA6F56" w:rsidRDefault="00FA6F56" w:rsidP="00FA6F56">
      <w:pPr>
        <w:rPr>
          <w:rFonts w:ascii="Arial" w:hAnsi="Arial" w:cs="Arial"/>
          <w:sz w:val="20"/>
          <w:szCs w:val="20"/>
        </w:rPr>
      </w:pPr>
    </w:p>
    <w:p w:rsidR="006F207A" w:rsidRDefault="006F207A"/>
    <w:sectPr w:rsidR="006F207A" w:rsidSect="00E6101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5B1" w:rsidRDefault="002035B1" w:rsidP="00FA6F56">
      <w:r>
        <w:separator/>
      </w:r>
    </w:p>
  </w:endnote>
  <w:endnote w:type="continuationSeparator" w:id="0">
    <w:p w:rsidR="002035B1" w:rsidRDefault="002035B1" w:rsidP="00FA6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54" w:rsidRDefault="0020285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54" w:rsidRDefault="0020285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54" w:rsidRDefault="0020285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5B1" w:rsidRDefault="002035B1" w:rsidP="00FA6F56">
      <w:r>
        <w:separator/>
      </w:r>
    </w:p>
  </w:footnote>
  <w:footnote w:type="continuationSeparator" w:id="0">
    <w:p w:rsidR="002035B1" w:rsidRDefault="002035B1" w:rsidP="00FA6F56">
      <w:r>
        <w:continuationSeparator/>
      </w:r>
    </w:p>
  </w:footnote>
  <w:footnote w:id="1">
    <w:p w:rsidR="00FA6F56" w:rsidRPr="009C34EF" w:rsidRDefault="00FA6F56" w:rsidP="009C34EF">
      <w:pPr>
        <w:jc w:val="both"/>
        <w:rPr>
          <w:rFonts w:ascii="Arial" w:hAnsi="Arial" w:cs="Arial"/>
          <w:sz w:val="18"/>
          <w:szCs w:val="18"/>
        </w:rPr>
      </w:pPr>
      <w:r w:rsidRPr="009C34EF">
        <w:rPr>
          <w:rStyle w:val="Sprotnaopomba-sklic"/>
          <w:rFonts w:ascii="Arial" w:hAnsi="Arial" w:cs="Arial"/>
          <w:sz w:val="18"/>
          <w:szCs w:val="18"/>
        </w:rPr>
        <w:footnoteRef/>
      </w:r>
      <w:r w:rsidRPr="009C34EF">
        <w:rPr>
          <w:rFonts w:ascii="Arial" w:hAnsi="Arial" w:cs="Arial"/>
          <w:sz w:val="18"/>
          <w:szCs w:val="18"/>
        </w:rPr>
        <w:t xml:space="preserve"> Opis izhodišč in podrobne metodologije se nahaja v dokumentu Ekonomski vidiki prestrukturiranja lesno predelovane panoge v Republiki Sloveniji, InnoRenew CoE Center odličnosti za raziskave in inovacije na področju obnovljivih materialov in zdravega bivanjskega okolja, 2020. </w:t>
      </w:r>
    </w:p>
    <w:p w:rsidR="00FA6F56" w:rsidRPr="009C34EF" w:rsidRDefault="00FA6F56" w:rsidP="009C34EF">
      <w:pPr>
        <w:jc w:val="both"/>
        <w:rPr>
          <w:rFonts w:ascii="Arial" w:hAnsi="Arial" w:cs="Arial"/>
          <w:sz w:val="18"/>
          <w:szCs w:val="18"/>
        </w:rPr>
      </w:pPr>
    </w:p>
    <w:p w:rsidR="00FA6F56" w:rsidRPr="009C34EF" w:rsidRDefault="00FA6F56" w:rsidP="009C34EF">
      <w:pPr>
        <w:jc w:val="both"/>
        <w:rPr>
          <w:rFonts w:ascii="Arial" w:hAnsi="Arial" w:cs="Arial"/>
          <w:sz w:val="18"/>
          <w:szCs w:val="18"/>
        </w:rPr>
      </w:pPr>
      <w:r w:rsidRPr="009C34EF">
        <w:rPr>
          <w:rFonts w:ascii="Arial" w:hAnsi="Arial" w:cs="Arial"/>
          <w:sz w:val="18"/>
          <w:szCs w:val="18"/>
        </w:rPr>
        <w:t>https://www.gov.si/assets/ministrstva/MGRT/Dokumenti/DL/Strateski-dokumenti/Studija_Ekonomski_vidiki.pdf</w:t>
      </w:r>
    </w:p>
    <w:p w:rsidR="00FA6F56" w:rsidRPr="009C34EF" w:rsidRDefault="00FA6F56" w:rsidP="009C34EF">
      <w:pPr>
        <w:jc w:val="both"/>
        <w:rPr>
          <w:rFonts w:ascii="Arial" w:hAnsi="Arial" w:cs="Arial"/>
          <w:sz w:val="18"/>
          <w:szCs w:val="18"/>
        </w:rPr>
      </w:pPr>
    </w:p>
    <w:p w:rsidR="009C34EF" w:rsidRPr="009C34EF" w:rsidRDefault="00FA6F56" w:rsidP="009C34EF">
      <w:pPr>
        <w:pStyle w:val="Sprotnaopomba-besedilo"/>
        <w:jc w:val="both"/>
        <w:rPr>
          <w:rFonts w:ascii="Arial" w:hAnsi="Arial" w:cs="Arial"/>
          <w:sz w:val="18"/>
          <w:szCs w:val="18"/>
        </w:rPr>
      </w:pPr>
      <w:r w:rsidRPr="009C34EF">
        <w:rPr>
          <w:rFonts w:ascii="Arial" w:hAnsi="Arial" w:cs="Arial"/>
          <w:sz w:val="18"/>
          <w:szCs w:val="18"/>
        </w:rPr>
        <w:t xml:space="preserve">Za izračun se vzame poenostavljen in strokovno uveljavljen izračun za načeli sekvestracije in substiticije. </w:t>
      </w:r>
    </w:p>
    <w:p w:rsidR="00FA6F56" w:rsidRPr="009C34EF" w:rsidRDefault="00FA6F56" w:rsidP="009C34EF">
      <w:pPr>
        <w:pStyle w:val="Sprotnaopomba-besedilo"/>
        <w:jc w:val="both"/>
        <w:rPr>
          <w:rFonts w:ascii="Arial" w:hAnsi="Arial" w:cs="Arial"/>
          <w:sz w:val="18"/>
          <w:szCs w:val="18"/>
        </w:rPr>
      </w:pPr>
      <w:r w:rsidRPr="009C34EF">
        <w:rPr>
          <w:rFonts w:ascii="Arial" w:hAnsi="Arial" w:cs="Arial"/>
          <w:sz w:val="18"/>
          <w:szCs w:val="18"/>
        </w:rPr>
        <w:t xml:space="preserve"> </w:t>
      </w:r>
    </w:p>
  </w:footnote>
  <w:footnote w:id="2">
    <w:p w:rsidR="009C34EF" w:rsidRPr="009C34EF" w:rsidRDefault="009C34EF" w:rsidP="009C34EF">
      <w:pPr>
        <w:pStyle w:val="Sprotnaopomba-besedilo"/>
        <w:jc w:val="both"/>
        <w:rPr>
          <w:rFonts w:ascii="Arial" w:hAnsi="Arial" w:cs="Arial"/>
          <w:sz w:val="18"/>
          <w:szCs w:val="18"/>
        </w:rPr>
      </w:pPr>
      <w:r w:rsidRPr="009C34EF">
        <w:rPr>
          <w:rStyle w:val="Sprotnaopomba-sklic"/>
          <w:rFonts w:ascii="Arial" w:hAnsi="Arial" w:cs="Arial"/>
          <w:sz w:val="18"/>
          <w:szCs w:val="18"/>
        </w:rPr>
        <w:footnoteRef/>
      </w:r>
      <w:r w:rsidRPr="009C34EF">
        <w:rPr>
          <w:rFonts w:ascii="Arial" w:hAnsi="Arial" w:cs="Arial"/>
          <w:sz w:val="18"/>
          <w:szCs w:val="18"/>
        </w:rPr>
        <w:t xml:space="preserve"> DNSH = </w:t>
      </w:r>
      <w:r w:rsidR="005C4B32">
        <w:rPr>
          <w:rFonts w:ascii="Arial" w:hAnsi="Arial" w:cs="Arial"/>
          <w:sz w:val="18"/>
          <w:szCs w:val="18"/>
        </w:rPr>
        <w:t>»N</w:t>
      </w:r>
      <w:r w:rsidRPr="009C34EF">
        <w:rPr>
          <w:rFonts w:ascii="Arial" w:hAnsi="Arial" w:cs="Arial"/>
          <w:sz w:val="18"/>
          <w:szCs w:val="18"/>
        </w:rPr>
        <w:t>ačelo, da se ne škoduje bistveno«, kar pomeni, da se ne podpirajo ali izvajajo gospodarske dejavnosti, ki bistveno škodujejo kateremu koli od okoljskih ciljev  v smislu člena 17 Uredbe (EU) 2020/852 in Tehničnih smernic za uporabo „načela, da se ne škoduje bistveno“ v skladu z uredbo o vzpostavitvi mehanizma za okrevanje in odpornost, ki so bile objavljene dne 18.2.2021 v UL EU št. C58/01, še posebno v zvezi z zaščito biotske raznovrstnosti. Pri tem se upoštevata tako okoljski vpliv same dejavnosti kot okoljski vpliv proizvodov in storitev, ki jih ta dejavnost zagotavlja, v njihovem celotnem življenjskem ciklu, pri čemer se zlasti upošteva proizvodnja, uporaba in konec življenjske dobe teh proizvodov in storitev.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54" w:rsidRDefault="0020285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854" w:rsidRDefault="0020285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01C" w:rsidRPr="008F3500" w:rsidRDefault="00E6101C" w:rsidP="00E6101C">
    <w:pPr>
      <w:autoSpaceDE w:val="0"/>
      <w:autoSpaceDN w:val="0"/>
      <w:adjustRightInd w:val="0"/>
      <w:rPr>
        <w:rFonts w:ascii="Republika" w:hAnsi="Republika"/>
      </w:rPr>
    </w:pPr>
    <w:r w:rsidRPr="00190D10">
      <w:rPr>
        <w:rFonts w:ascii="Arial" w:hAnsi="Arial" w:cs="Arial"/>
        <w:noProof/>
        <w:lang w:eastAsia="sl-SI"/>
      </w:rPr>
      <w:drawing>
        <wp:anchor distT="0" distB="0" distL="114300" distR="114300" simplePos="0" relativeHeight="251662336" behindDoc="0" locked="1" layoutInCell="1" allowOverlap="0" wp14:anchorId="2C4105A9" wp14:editId="5582E668">
          <wp:simplePos x="0" y="0"/>
          <wp:positionH relativeFrom="column">
            <wp:posOffset>-504825</wp:posOffset>
          </wp:positionH>
          <wp:positionV relativeFrom="page">
            <wp:posOffset>420370</wp:posOffset>
          </wp:positionV>
          <wp:extent cx="309245" cy="345440"/>
          <wp:effectExtent l="0" t="0" r="0" b="0"/>
          <wp:wrapNone/>
          <wp:docPr id="7" name="Slika 7"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245" cy="345440"/>
                  </a:xfrm>
                  <a:prstGeom prst="rect">
                    <a:avLst/>
                  </a:prstGeom>
                  <a:noFill/>
                </pic:spPr>
              </pic:pic>
            </a:graphicData>
          </a:graphic>
          <wp14:sizeRelH relativeFrom="margin">
            <wp14:pctWidth>0</wp14:pctWidth>
          </wp14:sizeRelH>
          <wp14:sizeRelV relativeFrom="margin">
            <wp14:pctHeight>0</wp14:pctHeight>
          </wp14:sizeRelV>
        </wp:anchor>
      </w:drawing>
    </w:r>
    <w:r w:rsidRPr="007430F1">
      <w:rPr>
        <w:noProof/>
        <w:szCs w:val="20"/>
        <w:lang w:eastAsia="sl-SI"/>
      </w:rPr>
      <w:drawing>
        <wp:anchor distT="0" distB="0" distL="114300" distR="114300" simplePos="0" relativeHeight="251660288" behindDoc="0" locked="0" layoutInCell="1" allowOverlap="1" wp14:anchorId="19CDFE99" wp14:editId="0EACECC1">
          <wp:simplePos x="0" y="0"/>
          <wp:positionH relativeFrom="page">
            <wp:posOffset>5638800</wp:posOffset>
          </wp:positionH>
          <wp:positionV relativeFrom="paragraph">
            <wp:posOffset>-2540</wp:posOffset>
          </wp:positionV>
          <wp:extent cx="792000" cy="349200"/>
          <wp:effectExtent l="0" t="0" r="8255" b="0"/>
          <wp:wrapSquare wrapText="bothSides"/>
          <wp:docPr id="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000" cy="349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lang w:eastAsia="sl-SI"/>
      </w:rPr>
      <mc:AlternateContent>
        <mc:Choice Requires="wps">
          <w:drawing>
            <wp:anchor distT="0" distB="0" distL="114300" distR="114300" simplePos="0" relativeHeight="251659264" behindDoc="1" locked="0" layoutInCell="0" allowOverlap="1" wp14:anchorId="1B03724B" wp14:editId="6E447A57">
              <wp:simplePos x="0" y="0"/>
              <wp:positionH relativeFrom="column">
                <wp:posOffset>-431800</wp:posOffset>
              </wp:positionH>
              <wp:positionV relativeFrom="page">
                <wp:posOffset>3600450</wp:posOffset>
              </wp:positionV>
              <wp:extent cx="252095" cy="0"/>
              <wp:effectExtent l="6350" t="9525" r="8255" b="952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20EC1"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D9311F">
      <w:rPr>
        <w:rFonts w:ascii="Republika" w:hAnsi="Republika"/>
      </w:rPr>
      <w:t>R</w:t>
    </w:r>
    <w:r w:rsidRPr="00F04FE4">
      <w:rPr>
        <w:rFonts w:ascii="Republika" w:hAnsi="Republika"/>
      </w:rPr>
      <w:t>EPUBLIKA SLOVENIJA</w:t>
    </w:r>
  </w:p>
  <w:p w:rsidR="00E6101C" w:rsidRDefault="00E6101C" w:rsidP="00E6101C">
    <w:pPr>
      <w:pStyle w:val="Glava"/>
      <w:tabs>
        <w:tab w:val="left" w:pos="5112"/>
      </w:tabs>
      <w:spacing w:after="120" w:line="240" w:lineRule="exact"/>
      <w:rPr>
        <w:rFonts w:ascii="Republika" w:hAnsi="Republika"/>
        <w:b/>
        <w:caps/>
      </w:rPr>
    </w:pPr>
    <w:r w:rsidRPr="00D9311F">
      <w:rPr>
        <w:rFonts w:ascii="Republika" w:hAnsi="Republika"/>
        <w:b/>
        <w:caps/>
      </w:rPr>
      <w:t>MI</w:t>
    </w:r>
    <w:r w:rsidRPr="00F04FE4">
      <w:rPr>
        <w:rFonts w:ascii="Republika" w:hAnsi="Republika"/>
        <w:b/>
        <w:caps/>
      </w:rPr>
      <w:t>NISTRSTVO ZA GOSPODARSKI RAZVOJ IN TEHNOLOGIJO</w:t>
    </w:r>
    <w:r>
      <w:rPr>
        <w:rFonts w:ascii="Republika" w:hAnsi="Republika"/>
        <w:b/>
        <w:caps/>
      </w:rPr>
      <w:t xml:space="preserve"> </w:t>
    </w:r>
  </w:p>
  <w:p w:rsidR="00E6101C" w:rsidRPr="00307F39" w:rsidRDefault="00E6101C" w:rsidP="00E6101C">
    <w:pPr>
      <w:pStyle w:val="Glava"/>
      <w:tabs>
        <w:tab w:val="left" w:pos="5112"/>
      </w:tabs>
      <w:spacing w:after="120" w:line="240" w:lineRule="exact"/>
      <w:rPr>
        <w:rFonts w:ascii="Republika" w:hAnsi="Republika"/>
        <w:caps/>
      </w:rPr>
    </w:pPr>
    <w:r w:rsidRPr="007430F1">
      <w:rPr>
        <w:rFonts w:ascii="Republika" w:hAnsi="Republika"/>
        <w:b/>
        <w:caps/>
        <w:noProof/>
        <w:szCs w:val="20"/>
        <w:lang w:eastAsia="sl-SI"/>
      </w:rPr>
      <w:drawing>
        <wp:anchor distT="0" distB="0" distL="114300" distR="114300" simplePos="0" relativeHeight="251661312" behindDoc="0" locked="0" layoutInCell="1" allowOverlap="1" wp14:anchorId="5416464D" wp14:editId="7593EAFC">
          <wp:simplePos x="0" y="0"/>
          <wp:positionH relativeFrom="margin">
            <wp:posOffset>4668520</wp:posOffset>
          </wp:positionH>
          <wp:positionV relativeFrom="margin">
            <wp:posOffset>-851535</wp:posOffset>
          </wp:positionV>
          <wp:extent cx="864000" cy="259200"/>
          <wp:effectExtent l="0" t="0" r="0" b="7620"/>
          <wp:wrapSquare wrapText="bothSides"/>
          <wp:docPr id="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4000" cy="259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Republika" w:hAnsi="Republika"/>
        <w:caps/>
      </w:rPr>
      <w:t>DI</w:t>
    </w:r>
    <w:r w:rsidRPr="00F04FE4">
      <w:rPr>
        <w:rFonts w:ascii="Republika" w:hAnsi="Republika"/>
        <w:caps/>
      </w:rPr>
      <w:t xml:space="preserve">REKTORAT ZA </w:t>
    </w:r>
    <w:r>
      <w:rPr>
        <w:rFonts w:ascii="Republika" w:hAnsi="Republika"/>
        <w:caps/>
      </w:rPr>
      <w:t xml:space="preserve">LESARSTVO </w:t>
    </w:r>
  </w:p>
  <w:p w:rsidR="00E6101C" w:rsidRPr="008F3500" w:rsidRDefault="00E6101C" w:rsidP="00E6101C">
    <w:pPr>
      <w:pStyle w:val="Glava"/>
      <w:tabs>
        <w:tab w:val="left" w:pos="5112"/>
      </w:tabs>
      <w:spacing w:before="240" w:line="240" w:lineRule="exact"/>
      <w:rPr>
        <w:rFonts w:cs="Arial"/>
        <w:sz w:val="16"/>
      </w:rPr>
    </w:pPr>
    <w:r>
      <w:rPr>
        <w:rFonts w:cs="Arial"/>
        <w:sz w:val="16"/>
      </w:rPr>
      <w:t>Kotnikova ulica 5</w:t>
    </w:r>
    <w:r w:rsidRPr="008F3500">
      <w:rPr>
        <w:rFonts w:cs="Arial"/>
        <w:sz w:val="16"/>
      </w:rPr>
      <w:t xml:space="preserve">, </w:t>
    </w:r>
    <w:r>
      <w:rPr>
        <w:rFonts w:cs="Arial"/>
        <w:sz w:val="16"/>
      </w:rPr>
      <w:t>1000 Ljubljana</w:t>
    </w:r>
    <w:r w:rsidRPr="008F3500">
      <w:rPr>
        <w:rFonts w:cs="Arial"/>
        <w:sz w:val="16"/>
      </w:rPr>
      <w:tab/>
      <w:t xml:space="preserve">T: </w:t>
    </w:r>
    <w:r>
      <w:rPr>
        <w:sz w:val="16"/>
        <w:szCs w:val="16"/>
      </w:rPr>
      <w:t>0</w:t>
    </w:r>
    <w:r w:rsidRPr="00163622">
      <w:rPr>
        <w:sz w:val="16"/>
        <w:szCs w:val="16"/>
      </w:rPr>
      <w:t xml:space="preserve">1 400 </w:t>
    </w:r>
    <w:r w:rsidRPr="00E71294">
      <w:rPr>
        <w:sz w:val="16"/>
        <w:szCs w:val="16"/>
      </w:rPr>
      <w:t>36 83</w:t>
    </w:r>
  </w:p>
  <w:p w:rsidR="00E6101C" w:rsidRPr="008F3500" w:rsidRDefault="00E6101C" w:rsidP="00E6101C">
    <w:pPr>
      <w:pStyle w:val="Glava"/>
      <w:tabs>
        <w:tab w:val="left" w:pos="5112"/>
      </w:tabs>
      <w:spacing w:line="240" w:lineRule="exact"/>
      <w:rPr>
        <w:rFonts w:cs="Arial"/>
        <w:sz w:val="16"/>
      </w:rPr>
    </w:pPr>
    <w:r w:rsidRPr="008F3500">
      <w:rPr>
        <w:rFonts w:cs="Arial"/>
        <w:sz w:val="16"/>
      </w:rPr>
      <w:tab/>
      <w:t xml:space="preserve">E: </w:t>
    </w:r>
    <w:r w:rsidRPr="00607CC1">
      <w:rPr>
        <w:rFonts w:cs="Arial"/>
        <w:sz w:val="16"/>
      </w:rPr>
      <w:t>gp.mgrt@gov.si</w:t>
    </w:r>
  </w:p>
  <w:p w:rsidR="00E6101C" w:rsidRPr="00AE13F9" w:rsidRDefault="00E6101C" w:rsidP="00E6101C">
    <w:pPr>
      <w:pStyle w:val="Glava"/>
      <w:tabs>
        <w:tab w:val="left" w:pos="5112"/>
      </w:tabs>
      <w:spacing w:line="240" w:lineRule="exact"/>
      <w:rPr>
        <w:rFonts w:cs="Arial"/>
        <w:sz w:val="16"/>
      </w:rPr>
    </w:pPr>
    <w:r w:rsidRPr="008F3500">
      <w:rPr>
        <w:rFonts w:cs="Arial"/>
        <w:sz w:val="16"/>
      </w:rPr>
      <w:tab/>
    </w:r>
    <w:r w:rsidRPr="00607CC1">
      <w:rPr>
        <w:rFonts w:cs="Arial"/>
        <w:sz w:val="16"/>
      </w:rPr>
      <w:t>www.mgrt.gov.si</w:t>
    </w:r>
  </w:p>
  <w:p w:rsidR="00E6101C" w:rsidRDefault="00E6101C">
    <w:pPr>
      <w:pStyle w:val="Glava"/>
    </w:pPr>
    <w:bookmarkStart w:id="0" w:name="_GoBack"/>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4127"/>
    <w:multiLevelType w:val="hybridMultilevel"/>
    <w:tmpl w:val="72909A2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66A35BF"/>
    <w:multiLevelType w:val="multilevel"/>
    <w:tmpl w:val="981251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F7650AA"/>
    <w:multiLevelType w:val="hybridMultilevel"/>
    <w:tmpl w:val="29A85BDE"/>
    <w:lvl w:ilvl="0" w:tplc="E0407E1C">
      <w:start w:val="1"/>
      <w:numFmt w:val="decimal"/>
      <w:lvlText w:val="%1."/>
      <w:lvlJc w:val="left"/>
      <w:pPr>
        <w:ind w:left="360" w:hanging="360"/>
      </w:pPr>
      <w:rPr>
        <w:rFonts w:ascii="Arial" w:eastAsiaTheme="minorHAnsi" w:hAnsi="Arial" w:cs="Arial"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F56"/>
    <w:rsid w:val="001B2344"/>
    <w:rsid w:val="00202854"/>
    <w:rsid w:val="002035B1"/>
    <w:rsid w:val="004C7A75"/>
    <w:rsid w:val="005772F6"/>
    <w:rsid w:val="005C4B32"/>
    <w:rsid w:val="006F207A"/>
    <w:rsid w:val="007C7DC5"/>
    <w:rsid w:val="009C34EF"/>
    <w:rsid w:val="00BA6A68"/>
    <w:rsid w:val="00DE69AD"/>
    <w:rsid w:val="00DF1318"/>
    <w:rsid w:val="00E6101C"/>
    <w:rsid w:val="00EC3CFE"/>
    <w:rsid w:val="00FA6F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396AA-AEC1-49BF-A8E6-35EB1B22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A6F56"/>
    <w:pPr>
      <w:spacing w:after="0" w:line="240" w:lineRule="auto"/>
    </w:pPr>
    <w:rPr>
      <w:rFonts w:ascii="Times New Roman" w:eastAsia="Times New Roman" w:hAnsi="Times New Roman" w:cs="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FA6F5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Naslov2a,za tekst,Označevanje,List Paragraph2,naslov 1,Bullet 1,Bullet Points,Bullet layer,Colorful List - Accent 11,Dot pt,F5 List Paragraph,Indicator Text,Issue Action POC,List Paragraph Char Char Char,List Paragraph1,MAIN CONTENT,K1"/>
    <w:basedOn w:val="Navaden"/>
    <w:link w:val="OdstavekseznamaZnak"/>
    <w:uiPriority w:val="1"/>
    <w:qFormat/>
    <w:rsid w:val="00FA6F56"/>
    <w:pPr>
      <w:ind w:left="720"/>
      <w:contextualSpacing/>
    </w:pPr>
  </w:style>
  <w:style w:type="character" w:customStyle="1" w:styleId="OdstavekseznamaZnak">
    <w:name w:val="Odstavek seznama Znak"/>
    <w:aliases w:val="Naslov2a Znak,za tekst Znak,Označevanje Znak,List Paragraph2 Znak,naslov 1 Znak,Bullet 1 Znak,Bullet Points Znak,Bullet layer Znak,Colorful List - Accent 11 Znak,Dot pt Znak,F5 List Paragraph Znak,Indicator Text Znak,K1 Znak"/>
    <w:basedOn w:val="Privzetapisavaodstavka"/>
    <w:link w:val="Odstavekseznama"/>
    <w:uiPriority w:val="1"/>
    <w:qFormat/>
    <w:locked/>
    <w:rsid w:val="00FA6F56"/>
    <w:rPr>
      <w:rFonts w:ascii="Times New Roman" w:eastAsia="Times New Roman" w:hAnsi="Times New Roman" w:cs="Times New Roman"/>
      <w:sz w:val="24"/>
      <w:szCs w:val="24"/>
    </w:rPr>
  </w:style>
  <w:style w:type="paragraph" w:styleId="Sprotnaopomba-besedilo">
    <w:name w:val="footnote text"/>
    <w:basedOn w:val="Navaden"/>
    <w:link w:val="Sprotnaopomba-besediloZnak"/>
    <w:semiHidden/>
    <w:unhideWhenUsed/>
    <w:rsid w:val="00FA6F56"/>
    <w:rPr>
      <w:sz w:val="20"/>
      <w:szCs w:val="20"/>
    </w:rPr>
  </w:style>
  <w:style w:type="character" w:customStyle="1" w:styleId="Sprotnaopomba-besediloZnak">
    <w:name w:val="Sprotna opomba - besedilo Znak"/>
    <w:basedOn w:val="Privzetapisavaodstavka"/>
    <w:link w:val="Sprotnaopomba-besedilo"/>
    <w:semiHidden/>
    <w:rsid w:val="00FA6F56"/>
    <w:rPr>
      <w:rFonts w:ascii="Times New Roman" w:eastAsia="Times New Roman" w:hAnsi="Times New Roman" w:cs="Times New Roman"/>
      <w:sz w:val="20"/>
      <w:szCs w:val="20"/>
    </w:rPr>
  </w:style>
  <w:style w:type="character" w:styleId="Sprotnaopomba-sklic">
    <w:name w:val="footnote reference"/>
    <w:basedOn w:val="Privzetapisavaodstavka"/>
    <w:semiHidden/>
    <w:unhideWhenUsed/>
    <w:rsid w:val="00FA6F56"/>
    <w:rPr>
      <w:vertAlign w:val="superscript"/>
    </w:rPr>
  </w:style>
  <w:style w:type="paragraph" w:styleId="Glava">
    <w:name w:val="header"/>
    <w:aliases w:val="Glava - napis,Glava1"/>
    <w:basedOn w:val="Navaden"/>
    <w:link w:val="GlavaZnak"/>
    <w:uiPriority w:val="99"/>
    <w:unhideWhenUsed/>
    <w:rsid w:val="00E6101C"/>
    <w:pPr>
      <w:tabs>
        <w:tab w:val="center" w:pos="4536"/>
        <w:tab w:val="right" w:pos="9072"/>
      </w:tabs>
    </w:pPr>
  </w:style>
  <w:style w:type="character" w:customStyle="1" w:styleId="GlavaZnak">
    <w:name w:val="Glava Znak"/>
    <w:aliases w:val="Glava - napis Znak,Glava1 Znak"/>
    <w:basedOn w:val="Privzetapisavaodstavka"/>
    <w:link w:val="Glava"/>
    <w:uiPriority w:val="99"/>
    <w:rsid w:val="00E6101C"/>
    <w:rPr>
      <w:rFonts w:ascii="Times New Roman" w:eastAsia="Times New Roman" w:hAnsi="Times New Roman" w:cs="Times New Roman"/>
      <w:sz w:val="24"/>
      <w:szCs w:val="24"/>
    </w:rPr>
  </w:style>
  <w:style w:type="paragraph" w:styleId="Noga">
    <w:name w:val="footer"/>
    <w:basedOn w:val="Navaden"/>
    <w:link w:val="NogaZnak"/>
    <w:uiPriority w:val="99"/>
    <w:unhideWhenUsed/>
    <w:rsid w:val="00E6101C"/>
    <w:pPr>
      <w:tabs>
        <w:tab w:val="center" w:pos="4536"/>
        <w:tab w:val="right" w:pos="9072"/>
      </w:tabs>
    </w:pPr>
  </w:style>
  <w:style w:type="character" w:customStyle="1" w:styleId="NogaZnak">
    <w:name w:val="Noga Znak"/>
    <w:basedOn w:val="Privzetapisavaodstavka"/>
    <w:link w:val="Noga"/>
    <w:uiPriority w:val="99"/>
    <w:rsid w:val="00E6101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D2556CC-CA56-40B6-8A66-82EC5DD6C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465</Words>
  <Characters>2789</Characters>
  <Application>Microsoft Office Word</Application>
  <DocSecurity>0</DocSecurity>
  <Lines>61</Lines>
  <Paragraphs>26</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Kotnik</dc:creator>
  <cp:keywords/>
  <dc:description/>
  <cp:lastModifiedBy>Karin Jurman</cp:lastModifiedBy>
  <cp:revision>2</cp:revision>
  <dcterms:created xsi:type="dcterms:W3CDTF">2022-12-23T15:17:00Z</dcterms:created>
  <dcterms:modified xsi:type="dcterms:W3CDTF">2022-12-23T15:17:00Z</dcterms:modified>
</cp:coreProperties>
</file>