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D8" w:rsidRPr="000F14D1" w:rsidRDefault="003728D8" w:rsidP="000F14D1">
      <w:pPr>
        <w:autoSpaceDE w:val="0"/>
        <w:autoSpaceDN w:val="0"/>
        <w:adjustRightInd w:val="0"/>
        <w:spacing w:after="0" w:line="240" w:lineRule="auto"/>
        <w:jc w:val="center"/>
        <w:rPr>
          <w:rFonts w:ascii="Arial" w:hAnsi="Arial" w:cs="Arial"/>
          <w:b/>
          <w:color w:val="000000"/>
          <w:sz w:val="28"/>
        </w:rPr>
      </w:pPr>
      <w:r w:rsidRPr="000F14D1">
        <w:rPr>
          <w:rFonts w:ascii="Arial" w:hAnsi="Arial" w:cs="Arial"/>
          <w:b/>
          <w:color w:val="000000"/>
          <w:sz w:val="28"/>
        </w:rPr>
        <w:t>J</w:t>
      </w:r>
      <w:r w:rsidRPr="000F14D1">
        <w:rPr>
          <w:rFonts w:ascii="Arial" w:hAnsi="Arial" w:cs="Arial"/>
          <w:b/>
          <w:color w:val="000000"/>
          <w:sz w:val="28"/>
        </w:rPr>
        <w:t>avni razpis</w:t>
      </w:r>
      <w:r w:rsidRPr="000F14D1">
        <w:rPr>
          <w:rFonts w:ascii="Arial" w:hAnsi="Arial" w:cs="Arial"/>
          <w:b/>
          <w:color w:val="000000"/>
          <w:sz w:val="28"/>
        </w:rPr>
        <w:t xml:space="preserve"> za sofinanciranje vzpostavitve in delovanja kompetenčnega centra za razvoj kadrov  v lesni industriji za obdobje 2021-2022</w:t>
      </w:r>
    </w:p>
    <w:p w:rsidR="003728D8" w:rsidRPr="000F14D1" w:rsidRDefault="003728D8" w:rsidP="000F14D1">
      <w:pPr>
        <w:autoSpaceDE w:val="0"/>
        <w:autoSpaceDN w:val="0"/>
        <w:adjustRightInd w:val="0"/>
        <w:spacing w:after="0" w:line="240" w:lineRule="auto"/>
        <w:jc w:val="center"/>
        <w:rPr>
          <w:rFonts w:ascii="Arial" w:hAnsi="Arial" w:cs="Arial"/>
          <w:b/>
          <w:color w:val="000000"/>
          <w:sz w:val="28"/>
        </w:rPr>
      </w:pPr>
    </w:p>
    <w:p w:rsidR="003728D8" w:rsidRDefault="003728D8" w:rsidP="000F14D1">
      <w:pPr>
        <w:autoSpaceDE w:val="0"/>
        <w:autoSpaceDN w:val="0"/>
        <w:adjustRightInd w:val="0"/>
        <w:spacing w:after="0" w:line="240" w:lineRule="auto"/>
        <w:jc w:val="center"/>
        <w:rPr>
          <w:rFonts w:ascii="Arial" w:hAnsi="Arial" w:cs="Arial"/>
          <w:b/>
          <w:color w:val="000000"/>
          <w:sz w:val="28"/>
        </w:rPr>
      </w:pPr>
      <w:r w:rsidRPr="000F14D1">
        <w:rPr>
          <w:rFonts w:ascii="Arial" w:hAnsi="Arial" w:cs="Arial"/>
          <w:b/>
          <w:color w:val="000000"/>
          <w:sz w:val="28"/>
        </w:rPr>
        <w:t>Vprašanja in odgovori</w:t>
      </w:r>
    </w:p>
    <w:p w:rsidR="000F14D1" w:rsidRDefault="000F14D1" w:rsidP="000F14D1">
      <w:pPr>
        <w:autoSpaceDE w:val="0"/>
        <w:autoSpaceDN w:val="0"/>
        <w:adjustRightInd w:val="0"/>
        <w:spacing w:after="0" w:line="240" w:lineRule="auto"/>
        <w:jc w:val="center"/>
        <w:rPr>
          <w:rFonts w:ascii="Arial" w:hAnsi="Arial" w:cs="Arial"/>
          <w:b/>
          <w:color w:val="000000"/>
          <w:sz w:val="28"/>
        </w:rPr>
      </w:pPr>
    </w:p>
    <w:p w:rsidR="000F14D1" w:rsidRDefault="000F14D1" w:rsidP="000F14D1">
      <w:pPr>
        <w:autoSpaceDE w:val="0"/>
        <w:autoSpaceDN w:val="0"/>
        <w:adjustRightInd w:val="0"/>
        <w:spacing w:after="0" w:line="240" w:lineRule="auto"/>
        <w:jc w:val="center"/>
        <w:rPr>
          <w:rFonts w:ascii="Arial" w:hAnsi="Arial" w:cs="Arial"/>
          <w:b/>
          <w:color w:val="000000"/>
          <w:sz w:val="28"/>
        </w:rPr>
      </w:pPr>
    </w:p>
    <w:p w:rsidR="00A90E6C" w:rsidRPr="000F14D1" w:rsidRDefault="00A90E6C" w:rsidP="000F14D1">
      <w:pPr>
        <w:autoSpaceDE w:val="0"/>
        <w:autoSpaceDN w:val="0"/>
        <w:adjustRightInd w:val="0"/>
        <w:spacing w:after="0" w:line="240" w:lineRule="auto"/>
        <w:jc w:val="center"/>
        <w:rPr>
          <w:rFonts w:ascii="Arial" w:hAnsi="Arial" w:cs="Arial"/>
          <w:b/>
          <w:color w:val="000000"/>
          <w:sz w:val="28"/>
        </w:rPr>
      </w:pPr>
    </w:p>
    <w:p w:rsidR="003728D8" w:rsidRPr="000F14D1" w:rsidRDefault="000F14D1" w:rsidP="003728D8">
      <w:pPr>
        <w:autoSpaceDE w:val="0"/>
        <w:autoSpaceDN w:val="0"/>
        <w:adjustRightInd w:val="0"/>
        <w:spacing w:after="0" w:line="240" w:lineRule="auto"/>
        <w:rPr>
          <w:rFonts w:ascii="Arial" w:hAnsi="Arial" w:cs="Arial"/>
          <w:color w:val="000000"/>
        </w:rPr>
      </w:pPr>
      <w:r>
        <w:rPr>
          <w:rFonts w:ascii="Arial" w:hAnsi="Arial" w:cs="Arial"/>
          <w:color w:val="000000"/>
        </w:rPr>
        <w:t>1.</w:t>
      </w:r>
    </w:p>
    <w:p w:rsidR="003728D8" w:rsidRPr="000F14D1" w:rsidRDefault="003728D8"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V zvezi z JR za sofinanciranje vzpostavitve in delovanja kompetenčnega centra za razvoj kadrov  v lesni industriji za obdobje 2021-2022, smo v točki 10.1 razpisne dokumentacije v tretjem odstavku zasledili, da se izpolnjevanje pogoja glede poravnanih vse zapadlih finančnih obveznosti iz naslova obveznih dajatev in drugih denarnih nedavčnih obveznosti v skladu z zakonom, ki ureja finančno upravo, ki jih pobira davčni organ, ugotavlja na dan oddaje vloge.</w:t>
      </w:r>
    </w:p>
    <w:p w:rsidR="003728D8" w:rsidRPr="000F14D1" w:rsidRDefault="003728D8" w:rsidP="00A90E6C">
      <w:pPr>
        <w:autoSpaceDE w:val="0"/>
        <w:autoSpaceDN w:val="0"/>
        <w:adjustRightInd w:val="0"/>
        <w:spacing w:after="0" w:line="240" w:lineRule="auto"/>
        <w:jc w:val="both"/>
        <w:rPr>
          <w:rFonts w:ascii="Arial" w:hAnsi="Arial" w:cs="Arial"/>
          <w:color w:val="000000"/>
        </w:rPr>
      </w:pPr>
    </w:p>
    <w:p w:rsidR="003728D8" w:rsidRPr="000F14D1" w:rsidRDefault="003728D8"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Nadalje je v razpisni dokumentaciji navedeno, da vlagatelj lahko iz razloga hitrejše izvedbe postopka ustrezno dokazilo o plačilu davkov in prispevkov za vse partnerje, priloži tudi sam. Priporočljivo je, da vlagatelj na ta način preveri tudi izpolnjevanje pogojev vseh partnerjev.</w:t>
      </w:r>
    </w:p>
    <w:p w:rsidR="003728D8" w:rsidRPr="000F14D1" w:rsidRDefault="003728D8" w:rsidP="00A90E6C">
      <w:pPr>
        <w:autoSpaceDE w:val="0"/>
        <w:autoSpaceDN w:val="0"/>
        <w:adjustRightInd w:val="0"/>
        <w:spacing w:after="0" w:line="240" w:lineRule="auto"/>
        <w:jc w:val="both"/>
        <w:rPr>
          <w:rFonts w:ascii="Arial" w:hAnsi="Arial" w:cs="Arial"/>
          <w:color w:val="000000"/>
        </w:rPr>
      </w:pPr>
    </w:p>
    <w:p w:rsidR="00DD7CBF" w:rsidRPr="000F14D1" w:rsidRDefault="003728D8" w:rsidP="00A90E6C">
      <w:pPr>
        <w:jc w:val="both"/>
        <w:rPr>
          <w:rFonts w:ascii="Arial" w:hAnsi="Arial" w:cs="Arial"/>
          <w:color w:val="000000"/>
        </w:rPr>
      </w:pPr>
      <w:r w:rsidRPr="000F14D1">
        <w:rPr>
          <w:rFonts w:ascii="Arial" w:hAnsi="Arial" w:cs="Arial"/>
          <w:color w:val="000000"/>
        </w:rPr>
        <w:t>Zanima nas, ali se bodo upoštevala tovrstna dokazila partnerjev z datumom pred oddajo vloge</w:t>
      </w:r>
      <w:r w:rsidRPr="000F14D1">
        <w:rPr>
          <w:rFonts w:ascii="Arial" w:hAnsi="Arial" w:cs="Arial"/>
          <w:color w:val="000000"/>
        </w:rPr>
        <w:t>?</w:t>
      </w:r>
    </w:p>
    <w:p w:rsidR="003728D8" w:rsidRPr="000F14D1" w:rsidRDefault="003728D8" w:rsidP="00A90E6C">
      <w:pPr>
        <w:spacing w:after="0"/>
        <w:jc w:val="both"/>
        <w:rPr>
          <w:rFonts w:ascii="Arial" w:hAnsi="Arial" w:cs="Arial"/>
          <w:i/>
          <w:color w:val="000000"/>
        </w:rPr>
      </w:pPr>
      <w:r w:rsidRPr="000F14D1">
        <w:rPr>
          <w:rFonts w:ascii="Arial" w:hAnsi="Arial" w:cs="Arial"/>
          <w:i/>
          <w:color w:val="000000"/>
        </w:rPr>
        <w:t>Odg.:</w:t>
      </w:r>
    </w:p>
    <w:p w:rsidR="003728D8" w:rsidRPr="000F14D1" w:rsidRDefault="003728D8" w:rsidP="00A90E6C">
      <w:pPr>
        <w:jc w:val="both"/>
        <w:rPr>
          <w:rFonts w:ascii="Arial" w:hAnsi="Arial" w:cs="Arial"/>
          <w:color w:val="000000"/>
        </w:rPr>
      </w:pPr>
      <w:r w:rsidRPr="000F14D1">
        <w:rPr>
          <w:rFonts w:ascii="Arial" w:hAnsi="Arial" w:cs="Arial"/>
          <w:i/>
          <w:color w:val="000000"/>
        </w:rPr>
        <w:t>Priporočilo razpisovalca, da se za člane partnerstva preveri poravnava obveznosti pri FURS-u že pred oddajo vloge, je namenjena predvsem temu, da bo partnerstvo ustrezno že predhodno preverilo, da so že prvotno vključeni člani, ki izpolnju</w:t>
      </w:r>
      <w:r w:rsidRPr="000F14D1">
        <w:rPr>
          <w:rFonts w:ascii="Arial" w:hAnsi="Arial" w:cs="Arial"/>
          <w:i/>
          <w:color w:val="000000"/>
        </w:rPr>
        <w:t>j</w:t>
      </w:r>
      <w:r w:rsidRPr="000F14D1">
        <w:rPr>
          <w:rFonts w:ascii="Arial" w:hAnsi="Arial" w:cs="Arial"/>
          <w:i/>
          <w:color w:val="000000"/>
        </w:rPr>
        <w:t xml:space="preserve">ejo ta pogoj, in da kasneje ne bo prihajalo do težav pri iskanju nadomestnih članov, v primeru, da se za katerega izmed članov ugotovi neizpolnjevanje tega pogoja (pogoste se dogaja, da podjetja nimajo poravnanih vseh prispevkov). Dejstvo pa je, da bo ministrstvo neposredno pri FURS-u še samo preverilo izpolnjevanje zadevnega pogoja </w:t>
      </w:r>
      <w:r w:rsidR="000F14D1">
        <w:rPr>
          <w:rFonts w:ascii="Arial" w:hAnsi="Arial" w:cs="Arial"/>
          <w:i/>
          <w:color w:val="000000"/>
        </w:rPr>
        <w:t xml:space="preserve">za stanje </w:t>
      </w:r>
      <w:r w:rsidRPr="000F14D1">
        <w:rPr>
          <w:rFonts w:ascii="Arial" w:hAnsi="Arial" w:cs="Arial"/>
          <w:i/>
          <w:color w:val="000000"/>
        </w:rPr>
        <w:t>na dan oddaje vloge.</w:t>
      </w:r>
    </w:p>
    <w:p w:rsidR="000F14D1" w:rsidRDefault="000F14D1" w:rsidP="00A90E6C">
      <w:pPr>
        <w:autoSpaceDE w:val="0"/>
        <w:autoSpaceDN w:val="0"/>
        <w:adjustRightInd w:val="0"/>
        <w:spacing w:after="0" w:line="240" w:lineRule="auto"/>
        <w:jc w:val="both"/>
        <w:rPr>
          <w:rFonts w:ascii="Arial" w:hAnsi="Arial" w:cs="Arial"/>
          <w:color w:val="000000"/>
        </w:rPr>
      </w:pPr>
      <w:r>
        <w:rPr>
          <w:rFonts w:ascii="Arial" w:hAnsi="Arial" w:cs="Arial"/>
          <w:color w:val="000000"/>
        </w:rPr>
        <w:t>2.</w:t>
      </w:r>
    </w:p>
    <w:p w:rsidR="009517FD" w:rsidRPr="000F14D1" w:rsidRDefault="009517FD"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V razpisni dokumentaciji točka 11a. je navedeno da so upravičeni stroški projekta med drugim tudi stroški plač in drugih povračil stroškov dela zaposlenih na projektu za delo do 2 zaposlitev za polni delovni čas (160 ur na posameznega zaposlenega za posamezni mesec, pri čemer kvoto ur posamezne osebe ni možno deliti na več oseb).</w:t>
      </w:r>
    </w:p>
    <w:p w:rsidR="009517FD" w:rsidRPr="000F14D1" w:rsidRDefault="009517FD" w:rsidP="00A90E6C">
      <w:pPr>
        <w:autoSpaceDE w:val="0"/>
        <w:autoSpaceDN w:val="0"/>
        <w:adjustRightInd w:val="0"/>
        <w:spacing w:after="0" w:line="240" w:lineRule="auto"/>
        <w:jc w:val="both"/>
        <w:rPr>
          <w:rFonts w:ascii="Arial" w:hAnsi="Arial" w:cs="Arial"/>
          <w:color w:val="000000"/>
        </w:rPr>
      </w:pPr>
    </w:p>
    <w:p w:rsidR="009517FD" w:rsidRPr="000F14D1" w:rsidRDefault="009517FD"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 xml:space="preserve"> V RD razpisni dokumentaciji točka 12a. pa je navedeno, da se na projektu lahko uveljavlja stroške dela do 2 zaposlitev za posamezni mesec. </w:t>
      </w:r>
    </w:p>
    <w:p w:rsidR="009517FD" w:rsidRPr="000F14D1" w:rsidRDefault="009517FD" w:rsidP="00A90E6C">
      <w:pPr>
        <w:autoSpaceDE w:val="0"/>
        <w:autoSpaceDN w:val="0"/>
        <w:adjustRightInd w:val="0"/>
        <w:spacing w:after="0" w:line="240" w:lineRule="auto"/>
        <w:jc w:val="both"/>
        <w:rPr>
          <w:rFonts w:ascii="Arial" w:hAnsi="Arial" w:cs="Arial"/>
          <w:color w:val="000000"/>
        </w:rPr>
      </w:pPr>
    </w:p>
    <w:p w:rsidR="009517FD" w:rsidRPr="000F14D1" w:rsidRDefault="009517FD"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Vodenje projekta mora zagotavljati nosilni partner, pri čemer pa je delo projektne pisarne lahko tudi decentralizirano, to pomeni, da se kvota zaposlitev za delo v projektni pisarni lahko razdeli tudi na ostale partnerje.</w:t>
      </w:r>
    </w:p>
    <w:p w:rsidR="009517FD" w:rsidRPr="000F14D1" w:rsidRDefault="009517FD" w:rsidP="00A90E6C">
      <w:pPr>
        <w:autoSpaceDE w:val="0"/>
        <w:autoSpaceDN w:val="0"/>
        <w:adjustRightInd w:val="0"/>
        <w:spacing w:after="0" w:line="240" w:lineRule="auto"/>
        <w:jc w:val="both"/>
        <w:rPr>
          <w:rFonts w:ascii="Arial" w:hAnsi="Arial" w:cs="Arial"/>
          <w:color w:val="000000"/>
        </w:rPr>
      </w:pPr>
    </w:p>
    <w:p w:rsidR="009517FD" w:rsidRPr="000F14D1" w:rsidRDefault="009517FD"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Zanima nas ali lahko stroške dela v projektni pisarni zagotavlja več oseb iz partnerjev na projektu (poleg nosilnega partnerja), ki skupaj  prispevajo do 2 zaposlitvi mesečno?</w:t>
      </w:r>
    </w:p>
    <w:p w:rsidR="000F14D1" w:rsidRDefault="000F14D1" w:rsidP="00A90E6C">
      <w:pPr>
        <w:spacing w:after="0"/>
        <w:jc w:val="both"/>
        <w:rPr>
          <w:rFonts w:ascii="Arial" w:hAnsi="Arial" w:cs="Arial"/>
        </w:rPr>
      </w:pPr>
    </w:p>
    <w:p w:rsidR="00187116" w:rsidRPr="000F14D1" w:rsidRDefault="00187116" w:rsidP="00A90E6C">
      <w:pPr>
        <w:spacing w:after="0"/>
        <w:jc w:val="both"/>
        <w:rPr>
          <w:rFonts w:ascii="Arial" w:hAnsi="Arial" w:cs="Arial"/>
          <w:i/>
        </w:rPr>
      </w:pPr>
      <w:r w:rsidRPr="000F14D1">
        <w:rPr>
          <w:rFonts w:ascii="Arial" w:hAnsi="Arial" w:cs="Arial"/>
          <w:i/>
        </w:rPr>
        <w:t>Odg.:</w:t>
      </w:r>
    </w:p>
    <w:p w:rsidR="00187116" w:rsidRPr="000F14D1" w:rsidRDefault="00187116" w:rsidP="00A90E6C">
      <w:pPr>
        <w:jc w:val="both"/>
        <w:rPr>
          <w:rFonts w:ascii="Arial" w:hAnsi="Arial" w:cs="Arial"/>
          <w:i/>
          <w:color w:val="000000"/>
        </w:rPr>
      </w:pPr>
      <w:r w:rsidRPr="000F14D1">
        <w:rPr>
          <w:rFonts w:ascii="Arial" w:hAnsi="Arial" w:cs="Arial"/>
          <w:i/>
          <w:color w:val="000000"/>
        </w:rPr>
        <w:t>I</w:t>
      </w:r>
      <w:r w:rsidRPr="000F14D1">
        <w:rPr>
          <w:rFonts w:ascii="Arial" w:hAnsi="Arial" w:cs="Arial"/>
          <w:i/>
          <w:color w:val="000000"/>
        </w:rPr>
        <w:t>stočasno (za pos</w:t>
      </w:r>
      <w:r w:rsidRPr="000F14D1">
        <w:rPr>
          <w:rFonts w:ascii="Arial" w:hAnsi="Arial" w:cs="Arial"/>
          <w:i/>
          <w:color w:val="000000"/>
        </w:rPr>
        <w:t>a</w:t>
      </w:r>
      <w:r w:rsidRPr="000F14D1">
        <w:rPr>
          <w:rFonts w:ascii="Arial" w:hAnsi="Arial" w:cs="Arial"/>
          <w:i/>
          <w:color w:val="000000"/>
        </w:rPr>
        <w:t>mezni mesec) je možno stroške dela uveljavljati samo za dve osebi.</w:t>
      </w:r>
    </w:p>
    <w:p w:rsidR="00187116" w:rsidRPr="000F14D1" w:rsidRDefault="00187116" w:rsidP="00A90E6C">
      <w:pPr>
        <w:jc w:val="both"/>
        <w:rPr>
          <w:rFonts w:ascii="Arial" w:hAnsi="Arial" w:cs="Arial"/>
          <w:color w:val="000000"/>
        </w:rPr>
      </w:pPr>
    </w:p>
    <w:p w:rsidR="00187116" w:rsidRPr="000F14D1" w:rsidRDefault="00187116" w:rsidP="00A90E6C">
      <w:pPr>
        <w:spacing w:after="0"/>
        <w:jc w:val="both"/>
        <w:rPr>
          <w:rFonts w:ascii="Arial" w:hAnsi="Arial" w:cs="Arial"/>
        </w:rPr>
      </w:pPr>
      <w:r w:rsidRPr="000F14D1">
        <w:rPr>
          <w:rFonts w:ascii="Arial" w:hAnsi="Arial" w:cs="Arial"/>
        </w:rPr>
        <w:lastRenderedPageBreak/>
        <w:t>3.</w:t>
      </w:r>
    </w:p>
    <w:p w:rsidR="00187116" w:rsidRPr="000F14D1" w:rsidRDefault="00187116"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 xml:space="preserve">Glede izpolnjevanje kriterija </w:t>
      </w:r>
      <w:r w:rsidRPr="000F14D1">
        <w:rPr>
          <w:rFonts w:ascii="Arial" w:hAnsi="Arial" w:cs="Arial"/>
          <w:i/>
          <w:iCs/>
          <w:color w:val="000000"/>
        </w:rPr>
        <w:t>1.3 Načrtovana sestava projektne pisarne</w:t>
      </w:r>
      <w:r w:rsidRPr="000F14D1">
        <w:rPr>
          <w:rFonts w:ascii="Arial" w:hAnsi="Arial" w:cs="Arial"/>
          <w:color w:val="000000"/>
        </w:rPr>
        <w:t xml:space="preserve">, nas zanima ali se reference štejejo tudi od oseb, imenovanih v projektno pisarno, iz podjetij partnerstva ali drugih partnerjev, ki ne uveljavljajo stroška dela v projekti pisarni? </w:t>
      </w:r>
    </w:p>
    <w:p w:rsidR="00187116" w:rsidRPr="000F14D1" w:rsidRDefault="00187116" w:rsidP="00A90E6C">
      <w:pPr>
        <w:autoSpaceDE w:val="0"/>
        <w:autoSpaceDN w:val="0"/>
        <w:adjustRightInd w:val="0"/>
        <w:spacing w:after="0" w:line="240" w:lineRule="auto"/>
        <w:jc w:val="both"/>
        <w:rPr>
          <w:rFonts w:ascii="Arial" w:hAnsi="Arial" w:cs="Arial"/>
          <w:color w:val="000000"/>
        </w:rPr>
      </w:pPr>
    </w:p>
    <w:p w:rsidR="000F14D1" w:rsidRPr="00A90E6C" w:rsidRDefault="000F14D1" w:rsidP="00A90E6C">
      <w:pPr>
        <w:spacing w:after="0"/>
        <w:jc w:val="both"/>
        <w:rPr>
          <w:rFonts w:ascii="Arial" w:hAnsi="Arial" w:cs="Arial"/>
          <w:i/>
          <w:color w:val="000000"/>
        </w:rPr>
      </w:pPr>
      <w:r w:rsidRPr="00A90E6C">
        <w:rPr>
          <w:rFonts w:ascii="Arial" w:hAnsi="Arial" w:cs="Arial"/>
          <w:i/>
          <w:color w:val="000000"/>
        </w:rPr>
        <w:t>Odg.:</w:t>
      </w:r>
    </w:p>
    <w:p w:rsidR="000F14D1" w:rsidRPr="00A90E6C" w:rsidRDefault="000F14D1" w:rsidP="00A90E6C">
      <w:pPr>
        <w:autoSpaceDE w:val="0"/>
        <w:autoSpaceDN w:val="0"/>
        <w:adjustRightInd w:val="0"/>
        <w:spacing w:after="0" w:line="240" w:lineRule="auto"/>
        <w:jc w:val="both"/>
        <w:rPr>
          <w:rFonts w:ascii="Arial" w:hAnsi="Arial" w:cs="Arial"/>
          <w:i/>
          <w:color w:val="000000"/>
        </w:rPr>
      </w:pPr>
      <w:r w:rsidRPr="00A90E6C">
        <w:rPr>
          <w:rFonts w:ascii="Arial" w:hAnsi="Arial" w:cs="Arial"/>
          <w:i/>
          <w:color w:val="000000"/>
        </w:rPr>
        <w:t>Pri ocenjevanju merila "Načrtovana sestava projektne pisarne" se bo primarno upoštevalo izkazane reference oseb, za katere se uveljavlja strošek dela. Je pa za namene dokazovanja referenc predvsem tretje alineje (področje dizajn managementa, digitalizacije ali zelene ekonomije) dopuščeno dokazovanje tudi z referencami zaposlenih ostalih partnerjev, ki bodo aktivno vključeni v izvedbeno strukturo projekta. Bo pa v skladu s pojasnilom iz razpisne dokumentacije upoštevana pri ocenjevanju posameznega področja zgolj oseba z izkazanimi največ referencami na zadevnem področju.  V sled prikaza sposobnosti celovite izvedbene strukture projekta pa predlagamo, da prikažete širšo kadrovsko strukturo, ki bo skrbela za izvedbo projekta.</w:t>
      </w:r>
    </w:p>
    <w:p w:rsidR="000F14D1" w:rsidRDefault="000F14D1" w:rsidP="00A90E6C">
      <w:pPr>
        <w:autoSpaceDE w:val="0"/>
        <w:autoSpaceDN w:val="0"/>
        <w:adjustRightInd w:val="0"/>
        <w:spacing w:after="0" w:line="240" w:lineRule="auto"/>
        <w:jc w:val="both"/>
        <w:rPr>
          <w:rFonts w:ascii="Arial" w:hAnsi="Arial" w:cs="Arial"/>
          <w:color w:val="000000"/>
        </w:rPr>
      </w:pPr>
    </w:p>
    <w:p w:rsidR="00A90E6C" w:rsidRPr="00A90E6C" w:rsidRDefault="00A90E6C" w:rsidP="00A90E6C">
      <w:pPr>
        <w:spacing w:after="0"/>
        <w:jc w:val="both"/>
        <w:rPr>
          <w:rFonts w:ascii="Arial" w:hAnsi="Arial" w:cs="Arial"/>
        </w:rPr>
      </w:pPr>
      <w:r>
        <w:rPr>
          <w:rFonts w:ascii="Arial" w:hAnsi="Arial" w:cs="Arial"/>
        </w:rPr>
        <w:t>4</w:t>
      </w:r>
      <w:r w:rsidRPr="000F14D1">
        <w:rPr>
          <w:rFonts w:ascii="Arial" w:hAnsi="Arial" w:cs="Arial"/>
        </w:rPr>
        <w:t>.</w:t>
      </w:r>
    </w:p>
    <w:p w:rsidR="00187116" w:rsidRPr="000F14D1" w:rsidRDefault="00187116" w:rsidP="00A90E6C">
      <w:pPr>
        <w:autoSpaceDE w:val="0"/>
        <w:autoSpaceDN w:val="0"/>
        <w:adjustRightInd w:val="0"/>
        <w:spacing w:after="0" w:line="240" w:lineRule="auto"/>
        <w:jc w:val="both"/>
        <w:rPr>
          <w:rFonts w:ascii="Arial" w:hAnsi="Arial" w:cs="Arial"/>
          <w:color w:val="000000"/>
        </w:rPr>
      </w:pPr>
      <w:r w:rsidRPr="000F14D1">
        <w:rPr>
          <w:rFonts w:ascii="Arial" w:hAnsi="Arial" w:cs="Arial"/>
          <w:color w:val="000000"/>
        </w:rPr>
        <w:t xml:space="preserve">V kriterijih za ocenjevanje, v točki </w:t>
      </w:r>
      <w:r w:rsidRPr="000F14D1">
        <w:rPr>
          <w:rFonts w:ascii="Arial" w:hAnsi="Arial" w:cs="Arial"/>
          <w:i/>
          <w:iCs/>
          <w:color w:val="000000"/>
        </w:rPr>
        <w:t>2.1 Vključitev podjetij oz. drugih pravnih oseb s področja dizajn managementa, digitalizacije ali zelene ekonomije</w:t>
      </w:r>
      <w:r w:rsidRPr="000F14D1">
        <w:rPr>
          <w:rFonts w:ascii="Arial" w:hAnsi="Arial" w:cs="Arial"/>
          <w:color w:val="000000"/>
        </w:rPr>
        <w:t>, je navedeno: Število partnerjev, ki je registrirano za opravljanje te dejavnosti in je to glavna dejavnost z ustreznimi referencami ter vsaj enim zaposlenim.</w:t>
      </w:r>
    </w:p>
    <w:p w:rsidR="00187116" w:rsidRPr="000F14D1" w:rsidRDefault="00187116" w:rsidP="00A90E6C">
      <w:pPr>
        <w:autoSpaceDE w:val="0"/>
        <w:autoSpaceDN w:val="0"/>
        <w:adjustRightInd w:val="0"/>
        <w:spacing w:after="0" w:line="240" w:lineRule="auto"/>
        <w:jc w:val="both"/>
        <w:rPr>
          <w:rFonts w:ascii="Arial" w:hAnsi="Arial" w:cs="Arial"/>
          <w:color w:val="000000"/>
        </w:rPr>
      </w:pPr>
    </w:p>
    <w:p w:rsidR="00187116" w:rsidRPr="000F14D1" w:rsidRDefault="00187116" w:rsidP="00A90E6C">
      <w:pPr>
        <w:jc w:val="both"/>
        <w:rPr>
          <w:rFonts w:ascii="Arial" w:hAnsi="Arial" w:cs="Arial"/>
          <w:color w:val="000000"/>
        </w:rPr>
      </w:pPr>
      <w:r w:rsidRPr="000F14D1">
        <w:rPr>
          <w:rFonts w:ascii="Arial" w:hAnsi="Arial" w:cs="Arial"/>
          <w:color w:val="000000"/>
        </w:rPr>
        <w:t>Prosimo za pojasnilo kakšno glavno dejavnost mora imeti partner registrirano za izpolnjevanje kriterija 2.1.</w:t>
      </w:r>
    </w:p>
    <w:p w:rsidR="000F14D1" w:rsidRPr="00A90E6C" w:rsidRDefault="000F14D1" w:rsidP="00A90E6C">
      <w:pPr>
        <w:spacing w:after="0"/>
        <w:jc w:val="both"/>
        <w:rPr>
          <w:rFonts w:ascii="Arial" w:hAnsi="Arial" w:cs="Arial"/>
          <w:i/>
          <w:color w:val="000000"/>
        </w:rPr>
      </w:pPr>
      <w:r w:rsidRPr="00A90E6C">
        <w:rPr>
          <w:rFonts w:ascii="Arial" w:hAnsi="Arial" w:cs="Arial"/>
          <w:i/>
          <w:color w:val="000000"/>
        </w:rPr>
        <w:t>Odg.:</w:t>
      </w:r>
    </w:p>
    <w:p w:rsidR="00187116" w:rsidRPr="00A90E6C" w:rsidRDefault="00187116" w:rsidP="00A90E6C">
      <w:pPr>
        <w:jc w:val="both"/>
        <w:rPr>
          <w:rFonts w:ascii="Arial" w:hAnsi="Arial" w:cs="Arial"/>
          <w:i/>
        </w:rPr>
      </w:pPr>
      <w:bookmarkStart w:id="0" w:name="_GoBack"/>
      <w:bookmarkEnd w:id="0"/>
      <w:r w:rsidRPr="00A90E6C">
        <w:rPr>
          <w:rFonts w:ascii="Arial" w:hAnsi="Arial" w:cs="Arial"/>
          <w:i/>
          <w:color w:val="000000"/>
        </w:rPr>
        <w:t>Merilo "Vključitev podjetij oz. drugih pravnih oseb s področja dizajn managementa, digitalizacije ali zelene ekonomije" je namenjeno preverjanju ustrezne sestave partnerstva glede na ciljno izpostavljena področja v okviru razpisa. Pri preverjanju tega merila so bo gledalo predvsem reference partnerjev na teh področjih, kar pa mora biti podkrepljeno z ustrezno registracijo glavnih dejavnosti (ker gre za širok spekter možnih dejavnosti navajamo zgolj nekaj možnih primerov: npr. za dizajn management - 74.100 - Obl</w:t>
      </w:r>
      <w:r w:rsidRPr="00A90E6C">
        <w:rPr>
          <w:rFonts w:ascii="Arial" w:hAnsi="Arial" w:cs="Arial"/>
          <w:i/>
          <w:color w:val="000000"/>
        </w:rPr>
        <w:t>i</w:t>
      </w:r>
      <w:r w:rsidRPr="00A90E6C">
        <w:rPr>
          <w:rFonts w:ascii="Arial" w:hAnsi="Arial" w:cs="Arial"/>
          <w:i/>
          <w:color w:val="000000"/>
        </w:rPr>
        <w:t xml:space="preserve">kovanje, </w:t>
      </w:r>
      <w:proofErr w:type="spellStart"/>
      <w:r w:rsidRPr="00A90E6C">
        <w:rPr>
          <w:rFonts w:ascii="Arial" w:hAnsi="Arial" w:cs="Arial"/>
          <w:i/>
          <w:color w:val="000000"/>
        </w:rPr>
        <w:t>aranžerstvo</w:t>
      </w:r>
      <w:proofErr w:type="spellEnd"/>
      <w:r w:rsidRPr="00A90E6C">
        <w:rPr>
          <w:rFonts w:ascii="Arial" w:hAnsi="Arial" w:cs="Arial"/>
          <w:i/>
          <w:color w:val="000000"/>
        </w:rPr>
        <w:t xml:space="preserve">, </w:t>
      </w:r>
      <w:proofErr w:type="spellStart"/>
      <w:r w:rsidRPr="00A90E6C">
        <w:rPr>
          <w:rFonts w:ascii="Arial" w:hAnsi="Arial" w:cs="Arial"/>
          <w:i/>
          <w:color w:val="000000"/>
        </w:rPr>
        <w:t>dekoraterstvo</w:t>
      </w:r>
      <w:proofErr w:type="spellEnd"/>
      <w:r w:rsidRPr="00A90E6C">
        <w:rPr>
          <w:rFonts w:ascii="Arial" w:hAnsi="Arial" w:cs="Arial"/>
          <w:i/>
          <w:color w:val="000000"/>
        </w:rPr>
        <w:t xml:space="preserve"> (grafično oblikovanje, industrijsko oblikovanje....); za digitalizacijo - 63.110 - Obdelava podatkov in s tem povezane dejavnosti; 62.020 - Svetovanje o računalniških programih in napravah, 62.030 - Upravljanje računalniških naprav in sistemov, 72.190 Raziskovalna in razvojna dejavnost na drugih področjih naravoslovja in tehnologije (informatika), itd.; npr. za zelene ekonomije - 70.220 - Drugo podjetniško in poslovno svetovanje ....).</w:t>
      </w:r>
    </w:p>
    <w:sectPr w:rsidR="00187116" w:rsidRPr="00A9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561E6"/>
    <w:multiLevelType w:val="hybridMultilevel"/>
    <w:tmpl w:val="FB6E37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0A31B04"/>
    <w:multiLevelType w:val="hybridMultilevel"/>
    <w:tmpl w:val="54582C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D8"/>
    <w:rsid w:val="000F14D1"/>
    <w:rsid w:val="00187116"/>
    <w:rsid w:val="003728D8"/>
    <w:rsid w:val="007452EB"/>
    <w:rsid w:val="009517FD"/>
    <w:rsid w:val="00A90E6C"/>
    <w:rsid w:val="00DD7CBF"/>
    <w:rsid w:val="00FC78B1"/>
    <w:rsid w:val="00FD19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1A92"/>
  <w15:chartTrackingRefBased/>
  <w15:docId w15:val="{FD76CF3E-7283-4903-A8D1-91355415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746</Words>
  <Characters>4257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Sajko</dc:creator>
  <cp:keywords/>
  <dc:description/>
  <cp:lastModifiedBy>Darko Sajko</cp:lastModifiedBy>
  <cp:revision>3</cp:revision>
  <dcterms:created xsi:type="dcterms:W3CDTF">2021-05-27T09:11:00Z</dcterms:created>
  <dcterms:modified xsi:type="dcterms:W3CDTF">2021-05-27T09:34:00Z</dcterms:modified>
</cp:coreProperties>
</file>