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56333255"/>
        <w:docPartObj>
          <w:docPartGallery w:val="Cover Pages"/>
          <w:docPartUnique/>
        </w:docPartObj>
      </w:sdtPr>
      <w:sdtContent>
        <w:p w14:paraId="59BBA844" w14:textId="2741952C" w:rsidR="002E441B" w:rsidRDefault="00D737FB" w:rsidP="00D737FB">
          <w:pPr>
            <w:pStyle w:val="Odstavekseznama"/>
            <w:numPr>
              <w:ilvl w:val="0"/>
              <w:numId w:val="31"/>
            </w:numPr>
          </w:pPr>
          <w:r>
            <w:t>Verzija je prilagojena zaradi zagotavljanja dostopnosti</w:t>
          </w:r>
        </w:p>
        <w:p w14:paraId="0F33123F" w14:textId="77777777" w:rsidR="002E441B" w:rsidRDefault="002E441B"/>
        <w:p w14:paraId="354FB0B0" w14:textId="77777777" w:rsidR="002E441B" w:rsidRPr="002E441B" w:rsidRDefault="002E441B" w:rsidP="002E441B"/>
        <w:p w14:paraId="4D3A1373" w14:textId="77777777" w:rsidR="002E441B" w:rsidRDefault="002E441B"/>
        <w:p w14:paraId="4808EF81" w14:textId="40C79D9C" w:rsidR="002E441B" w:rsidRDefault="002E441B"/>
        <w:p w14:paraId="19D901B4" w14:textId="77777777" w:rsidR="002E441B" w:rsidRDefault="002E441B">
          <w:r>
            <w:rPr>
              <w:noProof/>
              <w:lang w:eastAsia="sl-SI"/>
            </w:rPr>
            <mc:AlternateContent>
              <mc:Choice Requires="wps">
                <w:drawing>
                  <wp:anchor distT="0" distB="0" distL="114300" distR="114300" simplePos="0" relativeHeight="251661312" behindDoc="0" locked="0" layoutInCell="0" allowOverlap="1" wp14:anchorId="7C408CCC" wp14:editId="53666F5C">
                    <wp:simplePos x="0" y="0"/>
                    <wp:positionH relativeFrom="page">
                      <wp:align>left</wp:align>
                    </wp:positionH>
                    <wp:positionV relativeFrom="page">
                      <wp:posOffset>5425440</wp:posOffset>
                    </wp:positionV>
                    <wp:extent cx="6970395" cy="2103120"/>
                    <wp:effectExtent l="0" t="0" r="15875" b="1143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21031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F34B3D0" w14:textId="2D0E52B9" w:rsidR="00A15ADE" w:rsidRDefault="00A15ADE" w:rsidP="001B19E3">
                                <w:pPr>
                                  <w:pStyle w:val="Brezrazmikov"/>
                                  <w:jc w:val="center"/>
                                  <w:rPr>
                                    <w:color w:val="FFFFFF" w:themeColor="background1"/>
                                    <w:sz w:val="72"/>
                                    <w:szCs w:val="72"/>
                                  </w:rPr>
                                </w:pPr>
                                <w:r>
                                  <w:rPr>
                                    <w:b/>
                                    <w:color w:val="92D050"/>
                                    <w:sz w:val="48"/>
                                    <w:szCs w:val="48"/>
                                  </w:rPr>
                                  <w:t>Strateška izhodišča za spodbujanje uporabe obnovljivih virov energije in energetske učinkovitosti v gospodarstvu</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7C408CCC" id="Pravokotnik 16" o:spid="_x0000_s1026" style="position:absolute;margin-left:0;margin-top:427.2pt;width:548.85pt;height:165.6pt;z-index:251661312;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" o:allowincell="f" fillcolor="white [3201]" strokecolor="#70ad47 [3209]" strokeweight="1pt">
                    <v:textbox inset="14.4pt,,14.4pt">
                      <w:txbxContent>
                        <w:p w14:paraId="6F34B3D0" w14:textId="2D0E52B9" w:rsidR="00A15ADE" w:rsidRDefault="00A15ADE" w:rsidP="001B19E3">
                          <w:pPr>
                            <w:pStyle w:val="Brezrazmikov"/>
                            <w:jc w:val="center"/>
                            <w:rPr>
                              <w:color w:val="FFFFFF" w:themeColor="background1"/>
                              <w:sz w:val="72"/>
                              <w:szCs w:val="72"/>
                            </w:rPr>
                          </w:pPr>
                          <w:r>
                            <w:rPr>
                              <w:b/>
                              <w:color w:val="92D050"/>
                              <w:sz w:val="48"/>
                              <w:szCs w:val="48"/>
                            </w:rPr>
                            <w:t>Strateška izhodišča za spodbujanje uporabe obnovljivih virov energije in energetske učinkovitosti v gospodarstvu</w:t>
                          </w:r>
                        </w:p>
                      </w:txbxContent>
                    </v:textbox>
                    <w10:wrap anchorx="page" anchory="page"/>
                  </v:rect>
                </w:pict>
              </mc:Fallback>
            </mc:AlternateContent>
          </w:r>
          <w:r w:rsidRPr="002E441B">
            <w:br w:type="page"/>
          </w:r>
        </w:p>
      </w:sdtContent>
    </w:sdt>
    <w:p w14:paraId="36BF2431" w14:textId="30000A98" w:rsidR="00D11952" w:rsidRDefault="00D11952">
      <w:pPr>
        <w:pStyle w:val="Kazalovsebine1"/>
        <w:tabs>
          <w:tab w:val="left" w:pos="440"/>
          <w:tab w:val="right" w:leader="dot" w:pos="9062"/>
        </w:tabs>
        <w:rPr>
          <w:rFonts w:ascii="Arial" w:hAnsi="Arial" w:cs="Arial"/>
        </w:rPr>
      </w:pPr>
      <w:r>
        <w:rPr>
          <w:rFonts w:ascii="Arial" w:hAnsi="Arial" w:cs="Arial"/>
        </w:rPr>
        <w:lastRenderedPageBreak/>
        <w:t xml:space="preserve">KAZALO VSEBINE </w:t>
      </w:r>
    </w:p>
    <w:p w14:paraId="526510FC" w14:textId="77777777" w:rsidR="00D11952" w:rsidRDefault="00D11952">
      <w:pPr>
        <w:pStyle w:val="Kazalovsebine1"/>
        <w:tabs>
          <w:tab w:val="left" w:pos="440"/>
          <w:tab w:val="right" w:leader="dot" w:pos="9062"/>
        </w:tabs>
        <w:rPr>
          <w:rFonts w:ascii="Arial" w:hAnsi="Arial" w:cs="Arial"/>
        </w:rPr>
      </w:pPr>
    </w:p>
    <w:p w14:paraId="020D0B2C" w14:textId="1260BCBC" w:rsidR="00D11952" w:rsidRPr="00254965" w:rsidRDefault="00D11952">
      <w:pPr>
        <w:pStyle w:val="Kazalovsebine1"/>
        <w:tabs>
          <w:tab w:val="left" w:pos="440"/>
          <w:tab w:val="right" w:leader="dot" w:pos="9062"/>
        </w:tabs>
        <w:rPr>
          <w:rFonts w:cstheme="minorBidi"/>
          <w:noProof/>
          <w:sz w:val="20"/>
          <w:szCs w:val="20"/>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102741365" w:history="1">
        <w:r w:rsidRPr="00254965">
          <w:rPr>
            <w:rStyle w:val="Hiperpovezava"/>
            <w:rFonts w:ascii="Arial" w:hAnsi="Arial" w:cs="Arial"/>
            <w:noProof/>
            <w:sz w:val="20"/>
            <w:szCs w:val="20"/>
          </w:rPr>
          <w:t>I.</w:t>
        </w:r>
        <w:r w:rsidRPr="00254965">
          <w:rPr>
            <w:rFonts w:cstheme="minorBidi"/>
            <w:noProof/>
            <w:sz w:val="20"/>
            <w:szCs w:val="20"/>
          </w:rPr>
          <w:tab/>
        </w:r>
        <w:r w:rsidRPr="00254965">
          <w:rPr>
            <w:rStyle w:val="Hiperpovezava"/>
            <w:rFonts w:ascii="Arial" w:hAnsi="Arial" w:cs="Arial"/>
            <w:noProof/>
            <w:sz w:val="20"/>
            <w:szCs w:val="20"/>
          </w:rPr>
          <w:t>IZHODIŠČA</w:t>
        </w:r>
        <w:r w:rsidRPr="00254965">
          <w:rPr>
            <w:noProof/>
            <w:webHidden/>
            <w:sz w:val="20"/>
            <w:szCs w:val="20"/>
          </w:rPr>
          <w:tab/>
        </w:r>
        <w:r w:rsidRPr="00254965">
          <w:rPr>
            <w:noProof/>
            <w:webHidden/>
            <w:sz w:val="20"/>
            <w:szCs w:val="20"/>
          </w:rPr>
          <w:fldChar w:fldCharType="begin"/>
        </w:r>
        <w:r w:rsidRPr="00254965">
          <w:rPr>
            <w:noProof/>
            <w:webHidden/>
            <w:sz w:val="20"/>
            <w:szCs w:val="20"/>
          </w:rPr>
          <w:instrText xml:space="preserve"> PAGEREF _Toc102741365 \h </w:instrText>
        </w:r>
        <w:r w:rsidRPr="00254965">
          <w:rPr>
            <w:noProof/>
            <w:webHidden/>
            <w:sz w:val="20"/>
            <w:szCs w:val="20"/>
          </w:rPr>
        </w:r>
        <w:r w:rsidRPr="00254965">
          <w:rPr>
            <w:noProof/>
            <w:webHidden/>
            <w:sz w:val="20"/>
            <w:szCs w:val="20"/>
          </w:rPr>
          <w:fldChar w:fldCharType="separate"/>
        </w:r>
        <w:r w:rsidR="00DD581B">
          <w:rPr>
            <w:noProof/>
            <w:webHidden/>
            <w:sz w:val="20"/>
            <w:szCs w:val="20"/>
          </w:rPr>
          <w:t>1</w:t>
        </w:r>
        <w:r w:rsidRPr="00254965">
          <w:rPr>
            <w:noProof/>
            <w:webHidden/>
            <w:sz w:val="20"/>
            <w:szCs w:val="20"/>
          </w:rPr>
          <w:fldChar w:fldCharType="end"/>
        </w:r>
      </w:hyperlink>
    </w:p>
    <w:p w14:paraId="505A2BAA" w14:textId="0B97571B" w:rsidR="00D11952" w:rsidRPr="00254965" w:rsidRDefault="00A15ADE">
      <w:pPr>
        <w:pStyle w:val="Kazalovsebine1"/>
        <w:tabs>
          <w:tab w:val="left" w:pos="440"/>
          <w:tab w:val="right" w:leader="dot" w:pos="9062"/>
        </w:tabs>
        <w:rPr>
          <w:rFonts w:cstheme="minorBidi"/>
          <w:noProof/>
          <w:sz w:val="20"/>
          <w:szCs w:val="20"/>
        </w:rPr>
      </w:pPr>
      <w:hyperlink w:anchor="_Toc102741373" w:history="1">
        <w:r w:rsidR="00D11952" w:rsidRPr="00254965">
          <w:rPr>
            <w:rStyle w:val="Hiperpovezava"/>
            <w:rFonts w:ascii="Arial" w:eastAsia="Calibri" w:hAnsi="Arial" w:cs="Arial"/>
            <w:noProof/>
            <w:sz w:val="20"/>
            <w:szCs w:val="20"/>
          </w:rPr>
          <w:t>II.</w:t>
        </w:r>
        <w:r w:rsidR="00D11952" w:rsidRPr="00254965">
          <w:rPr>
            <w:rFonts w:cstheme="minorBidi"/>
            <w:noProof/>
            <w:sz w:val="20"/>
            <w:szCs w:val="20"/>
          </w:rPr>
          <w:tab/>
        </w:r>
        <w:r w:rsidR="00D11952" w:rsidRPr="00254965">
          <w:rPr>
            <w:rStyle w:val="Hiperpovezava"/>
            <w:rFonts w:ascii="Arial" w:eastAsia="Calibri" w:hAnsi="Arial" w:cs="Arial"/>
            <w:noProof/>
            <w:sz w:val="20"/>
            <w:szCs w:val="20"/>
          </w:rPr>
          <w:t>IZZIVI</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_Toc102741373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2E4A0B2D" w14:textId="2908C60A" w:rsidR="00D11952" w:rsidRPr="00254965" w:rsidRDefault="00A15ADE">
      <w:pPr>
        <w:pStyle w:val="Kazalovsebine1"/>
        <w:tabs>
          <w:tab w:val="left" w:pos="660"/>
          <w:tab w:val="right" w:leader="dot" w:pos="9062"/>
        </w:tabs>
        <w:rPr>
          <w:rFonts w:cstheme="minorBidi"/>
          <w:noProof/>
          <w:sz w:val="20"/>
          <w:szCs w:val="20"/>
        </w:rPr>
      </w:pPr>
      <w:hyperlink w:anchor="_Toc102741374" w:history="1">
        <w:r w:rsidR="00D11952" w:rsidRPr="00254965">
          <w:rPr>
            <w:rStyle w:val="Hiperpovezava"/>
            <w:rFonts w:ascii="Arial" w:eastAsia="Times New Roman" w:hAnsi="Arial" w:cs="Arial"/>
            <w:noProof/>
            <w:sz w:val="20"/>
            <w:szCs w:val="20"/>
          </w:rPr>
          <w:t>III.</w:t>
        </w:r>
        <w:r w:rsidR="00D11952" w:rsidRPr="00254965">
          <w:rPr>
            <w:rFonts w:cstheme="minorBidi"/>
            <w:noProof/>
            <w:sz w:val="20"/>
            <w:szCs w:val="20"/>
          </w:rPr>
          <w:tab/>
        </w:r>
        <w:r w:rsidR="00D11952" w:rsidRPr="00254965">
          <w:rPr>
            <w:rStyle w:val="Hiperpovezava"/>
            <w:rFonts w:ascii="Arial" w:eastAsia="Times New Roman" w:hAnsi="Arial" w:cs="Arial"/>
            <w:noProof/>
            <w:sz w:val="20"/>
            <w:szCs w:val="20"/>
          </w:rPr>
          <w:t>CILJI</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_Toc102741374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12359D65" w14:textId="7B88CB0A" w:rsidR="00D11952" w:rsidRPr="00254965" w:rsidRDefault="00A15ADE">
      <w:pPr>
        <w:pStyle w:val="Kazalovsebine1"/>
        <w:tabs>
          <w:tab w:val="left" w:pos="660"/>
          <w:tab w:val="right" w:leader="dot" w:pos="9062"/>
        </w:tabs>
        <w:rPr>
          <w:rFonts w:cstheme="minorBidi"/>
          <w:noProof/>
          <w:sz w:val="20"/>
          <w:szCs w:val="20"/>
        </w:rPr>
      </w:pPr>
      <w:hyperlink w:anchor="_Toc102741383" w:history="1">
        <w:r w:rsidR="00D11952" w:rsidRPr="00254965">
          <w:rPr>
            <w:rStyle w:val="Hiperpovezava"/>
            <w:rFonts w:ascii="Arial" w:eastAsia="Calibri" w:hAnsi="Arial" w:cs="Arial"/>
            <w:noProof/>
            <w:sz w:val="20"/>
            <w:szCs w:val="20"/>
          </w:rPr>
          <w:t>IV.</w:t>
        </w:r>
        <w:r w:rsidR="00D11952" w:rsidRPr="00254965">
          <w:rPr>
            <w:rFonts w:cstheme="minorBidi"/>
            <w:noProof/>
            <w:sz w:val="20"/>
            <w:szCs w:val="20"/>
          </w:rPr>
          <w:tab/>
        </w:r>
        <w:r w:rsidR="00D11952" w:rsidRPr="00254965">
          <w:rPr>
            <w:rStyle w:val="Hiperpovezava"/>
            <w:rFonts w:ascii="Arial" w:eastAsia="Calibri" w:hAnsi="Arial" w:cs="Arial"/>
            <w:noProof/>
            <w:sz w:val="20"/>
            <w:szCs w:val="20"/>
          </w:rPr>
          <w:t>STRATEŠKA IZHODIŠČA KOT USMERITVE ZA REFORMO ENERGETSKE UČINKOVITOSTI V GOSPODARSTVU</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_Toc102741383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2DE3F07A" w14:textId="094C1594" w:rsidR="00D11952" w:rsidRPr="00254965" w:rsidRDefault="00A15ADE">
      <w:pPr>
        <w:pStyle w:val="Kazalovsebine2"/>
        <w:tabs>
          <w:tab w:val="right" w:leader="dot" w:pos="9062"/>
        </w:tabs>
        <w:rPr>
          <w:rFonts w:eastAsiaTheme="minorEastAsia"/>
          <w:noProof/>
          <w:sz w:val="20"/>
          <w:szCs w:val="20"/>
          <w:lang w:eastAsia="sl-SI"/>
        </w:rPr>
      </w:pPr>
      <w:hyperlink w:anchor="_Toc102741384" w:history="1">
        <w:r w:rsidR="00D11952" w:rsidRPr="00254965">
          <w:rPr>
            <w:rStyle w:val="Hiperpovezava"/>
            <w:rFonts w:ascii="Arial" w:hAnsi="Arial" w:cs="Arial"/>
            <w:noProof/>
            <w:sz w:val="20"/>
            <w:szCs w:val="20"/>
          </w:rPr>
          <w:t xml:space="preserve">IV.1. </w:t>
        </w:r>
        <w:r w:rsidR="00D11952" w:rsidRPr="00254965">
          <w:rPr>
            <w:rStyle w:val="Hiperpovezava"/>
            <w:rFonts w:ascii="Arial" w:eastAsia="Calibri" w:hAnsi="Arial" w:cs="Arial"/>
            <w:noProof/>
            <w:sz w:val="20"/>
            <w:szCs w:val="20"/>
          </w:rPr>
          <w:t>Krepitev tržnega mehanizma za spodbujanje proizvodnje in uporabe OVE kot strateškega izhodišča za naslavljanje tržnih vrzeli na področju energetske učinkovitosti v gospodarstvu</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_Toc102741384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1C8D486C" w14:textId="45404EE6" w:rsidR="00D11952" w:rsidRPr="00254965" w:rsidRDefault="00A15ADE">
      <w:pPr>
        <w:pStyle w:val="Kazalovsebine3"/>
        <w:tabs>
          <w:tab w:val="right" w:leader="dot" w:pos="9062"/>
        </w:tabs>
        <w:rPr>
          <w:rFonts w:cstheme="minorBidi"/>
          <w:noProof/>
          <w:sz w:val="20"/>
          <w:szCs w:val="20"/>
        </w:rPr>
      </w:pPr>
      <w:hyperlink w:anchor="_Toc102741385" w:history="1">
        <w:r w:rsidR="00D11952" w:rsidRPr="00254965">
          <w:rPr>
            <w:rStyle w:val="Hiperpovezava"/>
            <w:rFonts w:ascii="Arial" w:eastAsia="Calibri" w:hAnsi="Arial" w:cs="Arial"/>
            <w:noProof/>
            <w:sz w:val="20"/>
            <w:szCs w:val="20"/>
          </w:rPr>
          <w:t>IV.1.1. Tržni mehanizem za povečanje dostopa na trg za ponudnike in povečanje dostopa do električne energije za uporabnike</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_Toc102741385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73201160" w14:textId="098E6016" w:rsidR="00D11952" w:rsidRPr="00254965" w:rsidRDefault="00A15ADE">
      <w:pPr>
        <w:pStyle w:val="Kazalovsebine3"/>
        <w:tabs>
          <w:tab w:val="right" w:leader="dot" w:pos="9062"/>
        </w:tabs>
        <w:rPr>
          <w:rFonts w:cstheme="minorBidi"/>
          <w:noProof/>
          <w:sz w:val="20"/>
          <w:szCs w:val="20"/>
        </w:rPr>
      </w:pPr>
      <w:hyperlink w:anchor="_Toc102741386" w:history="1">
        <w:r w:rsidR="00D11952" w:rsidRPr="00254965">
          <w:rPr>
            <w:rStyle w:val="Hiperpovezava"/>
            <w:rFonts w:ascii="Arial" w:eastAsia="Calibri" w:hAnsi="Arial" w:cs="Arial"/>
            <w:noProof/>
            <w:sz w:val="20"/>
            <w:szCs w:val="20"/>
          </w:rPr>
          <w:t>IV.1.2. Podporni finančni mehanizem za reinvestiranje prihrankov zaradi doseganja večje energetske učinkovitosti v podjetjih</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_Toc102741386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30478E48" w14:textId="0E662547" w:rsidR="00D11952" w:rsidRPr="00254965" w:rsidRDefault="00A15ADE">
      <w:pPr>
        <w:pStyle w:val="Kazalovsebine3"/>
        <w:tabs>
          <w:tab w:val="right" w:leader="dot" w:pos="9062"/>
        </w:tabs>
        <w:rPr>
          <w:rFonts w:cstheme="minorBidi"/>
          <w:noProof/>
          <w:sz w:val="20"/>
          <w:szCs w:val="20"/>
        </w:rPr>
      </w:pPr>
      <w:hyperlink w:anchor="_Toc102741387" w:history="1">
        <w:r w:rsidR="00D11952" w:rsidRPr="00254965">
          <w:rPr>
            <w:rStyle w:val="Hiperpovezava"/>
            <w:rFonts w:ascii="Arial" w:eastAsia="Calibri" w:hAnsi="Arial" w:cs="Arial"/>
            <w:noProof/>
            <w:sz w:val="20"/>
            <w:szCs w:val="20"/>
          </w:rPr>
          <w:t>IV.1.3.  Priprava strategije energetskega upravljanja v podjetju kot eno od orodij za izboljšanje energetskega upravljanja v podjetjih</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_Toc102741387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442A241E" w14:textId="3B2DFA2E" w:rsidR="00D11952" w:rsidRPr="00254965" w:rsidRDefault="00A15ADE">
      <w:pPr>
        <w:pStyle w:val="Kazalovsebine3"/>
        <w:tabs>
          <w:tab w:val="right" w:leader="dot" w:pos="9062"/>
        </w:tabs>
        <w:rPr>
          <w:rFonts w:cstheme="minorBidi"/>
          <w:noProof/>
          <w:sz w:val="20"/>
          <w:szCs w:val="20"/>
        </w:rPr>
      </w:pPr>
      <w:hyperlink w:anchor="_Toc102741388" w:history="1">
        <w:r w:rsidR="00D11952" w:rsidRPr="00254965">
          <w:rPr>
            <w:rStyle w:val="Hiperpovezava"/>
            <w:rFonts w:ascii="Arial" w:eastAsia="Calibri" w:hAnsi="Arial" w:cs="Arial"/>
            <w:noProof/>
            <w:sz w:val="20"/>
            <w:szCs w:val="20"/>
          </w:rPr>
          <w:t>IV.1.3.1  Podatki kot eden najpomembnejših elementov pri pripravi strategije energetskega upravljanja</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_Toc102741388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1FB86313" w14:textId="4D360E04" w:rsidR="00D11952" w:rsidRPr="00254965" w:rsidRDefault="00A15ADE">
      <w:pPr>
        <w:pStyle w:val="Kazalovsebine3"/>
        <w:tabs>
          <w:tab w:val="right" w:leader="dot" w:pos="9062"/>
        </w:tabs>
        <w:rPr>
          <w:rFonts w:cstheme="minorBidi"/>
          <w:noProof/>
          <w:sz w:val="20"/>
          <w:szCs w:val="20"/>
        </w:rPr>
      </w:pPr>
      <w:hyperlink w:anchor="_Toc102741389" w:history="1">
        <w:r w:rsidR="00D11952" w:rsidRPr="00254965">
          <w:rPr>
            <w:rStyle w:val="Hiperpovezava"/>
            <w:rFonts w:ascii="Arial" w:eastAsia="Calibri" w:hAnsi="Arial" w:cs="Arial"/>
            <w:noProof/>
            <w:sz w:val="20"/>
            <w:szCs w:val="20"/>
          </w:rPr>
          <w:t>IV.1.4. Uporaba naprednih tehnologij s poudarkom na krepitvi učinkovitosti energetskega upravljanja poslovnih procesov</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_Toc102741389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7FBD9103" w14:textId="692144EA" w:rsidR="00D11952" w:rsidRPr="00254965" w:rsidRDefault="00A15ADE">
      <w:pPr>
        <w:pStyle w:val="Kazalovsebine3"/>
        <w:tabs>
          <w:tab w:val="right" w:leader="dot" w:pos="9062"/>
        </w:tabs>
        <w:rPr>
          <w:rFonts w:cstheme="minorBidi"/>
          <w:noProof/>
          <w:sz w:val="20"/>
          <w:szCs w:val="20"/>
        </w:rPr>
      </w:pPr>
      <w:hyperlink w:anchor="_Toc102741390" w:history="1">
        <w:r w:rsidR="00D11952" w:rsidRPr="00254965">
          <w:rPr>
            <w:rStyle w:val="Hiperpovezava"/>
            <w:rFonts w:ascii="Arial" w:eastAsia="Calibri" w:hAnsi="Arial" w:cs="Arial"/>
            <w:noProof/>
            <w:sz w:val="20"/>
            <w:szCs w:val="20"/>
          </w:rPr>
          <w:t>IV.1.5. Strateška izhodišča in cilji</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_Toc102741390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26711A60" w14:textId="71ABD995" w:rsidR="00D11952" w:rsidRPr="00254965" w:rsidRDefault="00A15ADE">
      <w:pPr>
        <w:pStyle w:val="Kazalovsebine2"/>
        <w:tabs>
          <w:tab w:val="right" w:leader="dot" w:pos="9062"/>
        </w:tabs>
        <w:rPr>
          <w:rFonts w:eastAsiaTheme="minorEastAsia"/>
          <w:noProof/>
          <w:sz w:val="20"/>
          <w:szCs w:val="20"/>
          <w:lang w:eastAsia="sl-SI"/>
        </w:rPr>
      </w:pPr>
      <w:hyperlink w:anchor="_Toc102741391" w:history="1">
        <w:r w:rsidR="00D11952" w:rsidRPr="00254965">
          <w:rPr>
            <w:rStyle w:val="Hiperpovezava"/>
            <w:rFonts w:ascii="Arial" w:hAnsi="Arial" w:cs="Arial"/>
            <w:noProof/>
            <w:sz w:val="20"/>
            <w:szCs w:val="20"/>
          </w:rPr>
          <w:t xml:space="preserve">IV.2. </w:t>
        </w:r>
        <w:r w:rsidR="00D11952" w:rsidRPr="00254965">
          <w:rPr>
            <w:rStyle w:val="Hiperpovezava"/>
            <w:rFonts w:ascii="Arial" w:eastAsia="Calibri" w:hAnsi="Arial" w:cs="Arial"/>
            <w:noProof/>
            <w:sz w:val="20"/>
            <w:szCs w:val="20"/>
          </w:rPr>
          <w:t>Krepitev energetske učinkovitosti z vidika oblikovanja tehnološke rešitve oziroma orodja za ustrezno obravnavo kreditnega sistema ogljičnih emisij z vidika evropskega sistema za trgovanje z emisijami (ETS – emission trading system)</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_Toc102741391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5C0D9922" w14:textId="3B7274A9" w:rsidR="00D11952" w:rsidRPr="00254965" w:rsidRDefault="00A15ADE">
      <w:pPr>
        <w:pStyle w:val="Kazalovsebine3"/>
        <w:tabs>
          <w:tab w:val="right" w:leader="dot" w:pos="9062"/>
        </w:tabs>
        <w:rPr>
          <w:rFonts w:cstheme="minorBidi"/>
          <w:noProof/>
          <w:sz w:val="20"/>
          <w:szCs w:val="20"/>
        </w:rPr>
      </w:pPr>
      <w:hyperlink w:anchor="_Toc102741392" w:history="1">
        <w:r w:rsidR="00D11952" w:rsidRPr="00254965">
          <w:rPr>
            <w:rStyle w:val="Hiperpovezava"/>
            <w:rFonts w:ascii="Arial" w:eastAsia="Calibri" w:hAnsi="Arial" w:cs="Arial"/>
            <w:noProof/>
            <w:sz w:val="20"/>
            <w:szCs w:val="20"/>
          </w:rPr>
          <w:t>IV.2.1. Ozadje</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_Toc102741392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10B89967" w14:textId="5B4E5A87" w:rsidR="00D11952" w:rsidRPr="00254965" w:rsidRDefault="00A15ADE">
      <w:pPr>
        <w:pStyle w:val="Kazalovsebine3"/>
        <w:tabs>
          <w:tab w:val="right" w:leader="dot" w:pos="9062"/>
        </w:tabs>
        <w:rPr>
          <w:rFonts w:cstheme="minorBidi"/>
          <w:noProof/>
          <w:sz w:val="20"/>
          <w:szCs w:val="20"/>
        </w:rPr>
      </w:pPr>
      <w:hyperlink w:anchor="_Toc102741393" w:history="1">
        <w:r w:rsidR="00D11952" w:rsidRPr="00254965">
          <w:rPr>
            <w:rStyle w:val="Hiperpovezava"/>
            <w:rFonts w:ascii="Arial" w:eastAsia="Calibri" w:hAnsi="Arial" w:cs="Arial"/>
            <w:noProof/>
            <w:sz w:val="20"/>
            <w:szCs w:val="20"/>
          </w:rPr>
          <w:t>IV.2.2. Napredne digitalne tehnologije kot orodje za zmanjšanje emisij toplogrednih plinov</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_Toc102741393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14E1B50D" w14:textId="104C64D1" w:rsidR="00D11952" w:rsidRPr="00254965" w:rsidRDefault="00A15ADE">
      <w:pPr>
        <w:pStyle w:val="Kazalovsebine3"/>
        <w:tabs>
          <w:tab w:val="right" w:leader="dot" w:pos="9062"/>
        </w:tabs>
        <w:rPr>
          <w:rFonts w:cstheme="minorBidi"/>
          <w:noProof/>
          <w:sz w:val="20"/>
          <w:szCs w:val="20"/>
        </w:rPr>
      </w:pPr>
      <w:hyperlink w:anchor="_Toc102741394" w:history="1">
        <w:r w:rsidR="00D11952" w:rsidRPr="00254965">
          <w:rPr>
            <w:rStyle w:val="Hiperpovezava"/>
            <w:rFonts w:ascii="Arial" w:eastAsia="Calibri" w:hAnsi="Arial" w:cs="Arial"/>
            <w:noProof/>
            <w:sz w:val="20"/>
            <w:szCs w:val="20"/>
          </w:rPr>
          <w:t>IV.2.3. Opredelitev modela – orodja za podporo registru kuponov za trgovanje z emisijami</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_Toc102741394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31EB62C7" w14:textId="521F2526" w:rsidR="00D11952" w:rsidRPr="00254965" w:rsidRDefault="00A15ADE">
      <w:pPr>
        <w:pStyle w:val="Kazalovsebine3"/>
        <w:tabs>
          <w:tab w:val="right" w:leader="dot" w:pos="9062"/>
        </w:tabs>
        <w:rPr>
          <w:rFonts w:cstheme="minorBidi"/>
          <w:noProof/>
          <w:sz w:val="20"/>
          <w:szCs w:val="20"/>
        </w:rPr>
      </w:pPr>
      <w:hyperlink w:anchor="_Toc102741395" w:history="1">
        <w:r w:rsidR="00D11952" w:rsidRPr="00254965">
          <w:rPr>
            <w:rStyle w:val="Hiperpovezava"/>
            <w:rFonts w:ascii="Arial" w:eastAsia="Calibri" w:hAnsi="Arial" w:cs="Arial"/>
            <w:noProof/>
            <w:sz w:val="20"/>
            <w:szCs w:val="20"/>
          </w:rPr>
          <w:t>IV.2.4. Strateška izhodišča in cilji</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_Toc102741395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2E3948D5" w14:textId="44CD7D2D" w:rsidR="00D11952" w:rsidRPr="00254965" w:rsidRDefault="00A15ADE">
      <w:pPr>
        <w:pStyle w:val="Kazalovsebine2"/>
        <w:tabs>
          <w:tab w:val="right" w:leader="dot" w:pos="9062"/>
        </w:tabs>
        <w:rPr>
          <w:rFonts w:eastAsiaTheme="minorEastAsia"/>
          <w:noProof/>
          <w:sz w:val="20"/>
          <w:szCs w:val="20"/>
          <w:lang w:eastAsia="sl-SI"/>
        </w:rPr>
      </w:pPr>
      <w:hyperlink w:anchor="_Toc102741396" w:history="1">
        <w:r w:rsidR="00D11952" w:rsidRPr="00254965">
          <w:rPr>
            <w:rStyle w:val="Hiperpovezava"/>
            <w:rFonts w:ascii="Arial" w:hAnsi="Arial" w:cs="Arial"/>
            <w:noProof/>
            <w:sz w:val="20"/>
            <w:szCs w:val="20"/>
          </w:rPr>
          <w:t xml:space="preserve">IV.3. </w:t>
        </w:r>
        <w:r w:rsidR="00D11952" w:rsidRPr="00254965">
          <w:rPr>
            <w:rStyle w:val="Hiperpovezava"/>
            <w:rFonts w:ascii="Arial" w:eastAsia="Calibri" w:hAnsi="Arial" w:cs="Arial"/>
            <w:noProof/>
            <w:sz w:val="20"/>
            <w:szCs w:val="20"/>
          </w:rPr>
          <w:t>Krepitev energetske učinkovitosti v industriji, še posebej na področju investicij in v gradbenem sektorju</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_Toc102741396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66ABD35E" w14:textId="55209A1A" w:rsidR="00D11952" w:rsidRPr="00254965" w:rsidRDefault="00A15ADE">
      <w:pPr>
        <w:pStyle w:val="Kazalovsebine3"/>
        <w:tabs>
          <w:tab w:val="right" w:leader="dot" w:pos="9062"/>
        </w:tabs>
        <w:rPr>
          <w:rFonts w:cstheme="minorBidi"/>
          <w:noProof/>
          <w:sz w:val="20"/>
          <w:szCs w:val="20"/>
        </w:rPr>
      </w:pPr>
      <w:hyperlink w:anchor="_Toc102741397" w:history="1">
        <w:r w:rsidR="00D11952" w:rsidRPr="00254965">
          <w:rPr>
            <w:rStyle w:val="Hiperpovezava"/>
            <w:rFonts w:ascii="Arial" w:eastAsia="Calibri" w:hAnsi="Arial" w:cs="Arial"/>
            <w:noProof/>
            <w:sz w:val="20"/>
            <w:szCs w:val="20"/>
          </w:rPr>
          <w:t>IV.3.1. Ozadje</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_Toc102741397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68D89BA1" w14:textId="3E27C8C8" w:rsidR="00D11952" w:rsidRPr="00254965" w:rsidRDefault="00A15ADE">
      <w:pPr>
        <w:pStyle w:val="Kazalovsebine3"/>
        <w:tabs>
          <w:tab w:val="right" w:leader="dot" w:pos="9062"/>
        </w:tabs>
        <w:rPr>
          <w:rFonts w:cstheme="minorBidi"/>
          <w:noProof/>
          <w:sz w:val="20"/>
          <w:szCs w:val="20"/>
        </w:rPr>
      </w:pPr>
      <w:hyperlink w:anchor="_Toc102741398" w:history="1">
        <w:r w:rsidR="00D11952" w:rsidRPr="00254965">
          <w:rPr>
            <w:rStyle w:val="Hiperpovezava"/>
            <w:rFonts w:ascii="Arial" w:eastAsia="Calibri" w:hAnsi="Arial" w:cs="Arial"/>
            <w:noProof/>
            <w:sz w:val="20"/>
            <w:szCs w:val="20"/>
          </w:rPr>
          <w:t>IV.3.2. Napredne digitalne tehnologije kot orodje za učinkovito implementacijo modela BIM</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_Toc102741398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58D77190" w14:textId="3939C640" w:rsidR="00D11952" w:rsidRPr="00254965" w:rsidRDefault="00A15ADE">
      <w:pPr>
        <w:pStyle w:val="Kazalovsebine3"/>
        <w:tabs>
          <w:tab w:val="right" w:leader="dot" w:pos="9062"/>
        </w:tabs>
        <w:rPr>
          <w:rFonts w:cstheme="minorBidi"/>
          <w:noProof/>
          <w:sz w:val="20"/>
          <w:szCs w:val="20"/>
        </w:rPr>
      </w:pPr>
      <w:hyperlink w:anchor="_Toc102741399" w:history="1">
        <w:r w:rsidR="00D11952" w:rsidRPr="00254965">
          <w:rPr>
            <w:rStyle w:val="Hiperpovezava"/>
            <w:rFonts w:ascii="Arial" w:eastAsia="Calibri" w:hAnsi="Arial" w:cs="Arial"/>
            <w:noProof/>
            <w:sz w:val="20"/>
            <w:szCs w:val="20"/>
          </w:rPr>
          <w:t>IV.3.3. Opredelitev modela BIM v navezavi na napredne digitalne tehnologije za digitalni potni list  materialov</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_Toc102741399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5C2C87BD" w14:textId="12E750CD" w:rsidR="00D11952" w:rsidRPr="00254965" w:rsidRDefault="00A15ADE">
      <w:pPr>
        <w:pStyle w:val="Kazalovsebine3"/>
        <w:tabs>
          <w:tab w:val="right" w:leader="dot" w:pos="9062"/>
        </w:tabs>
        <w:rPr>
          <w:rFonts w:cstheme="minorBidi"/>
          <w:noProof/>
          <w:sz w:val="20"/>
          <w:szCs w:val="20"/>
        </w:rPr>
      </w:pPr>
      <w:hyperlink w:anchor="_Toc102741400" w:history="1">
        <w:r w:rsidR="00D11952" w:rsidRPr="00254965">
          <w:rPr>
            <w:rStyle w:val="Hiperpovezava"/>
            <w:rFonts w:ascii="Arial" w:eastAsia="Calibri" w:hAnsi="Arial" w:cs="Arial"/>
            <w:noProof/>
            <w:sz w:val="20"/>
            <w:szCs w:val="20"/>
          </w:rPr>
          <w:t>IV.3.4. Strateška izhodišča in cilji</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_Toc102741400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3360431D" w14:textId="3D7ABD6D" w:rsidR="00D11952" w:rsidRPr="00254965" w:rsidRDefault="00A15ADE">
      <w:pPr>
        <w:pStyle w:val="Kazalovsebine2"/>
        <w:tabs>
          <w:tab w:val="right" w:leader="dot" w:pos="9062"/>
        </w:tabs>
        <w:rPr>
          <w:rFonts w:eastAsiaTheme="minorEastAsia"/>
          <w:noProof/>
          <w:sz w:val="20"/>
          <w:szCs w:val="20"/>
          <w:lang w:eastAsia="sl-SI"/>
        </w:rPr>
      </w:pPr>
      <w:hyperlink w:anchor="_Toc102741401" w:history="1">
        <w:r w:rsidR="00D11952" w:rsidRPr="00254965">
          <w:rPr>
            <w:rStyle w:val="Hiperpovezava"/>
            <w:rFonts w:ascii="Arial" w:hAnsi="Arial" w:cs="Arial"/>
            <w:noProof/>
            <w:sz w:val="20"/>
            <w:szCs w:val="20"/>
          </w:rPr>
          <w:t xml:space="preserve">IV.4. </w:t>
        </w:r>
        <w:r w:rsidR="00D11952" w:rsidRPr="00254965">
          <w:rPr>
            <w:rStyle w:val="Hiperpovezava"/>
            <w:rFonts w:ascii="Arial" w:eastAsia="Calibri" w:hAnsi="Arial" w:cs="Arial"/>
            <w:noProof/>
            <w:sz w:val="20"/>
            <w:szCs w:val="20"/>
          </w:rPr>
          <w:t>Vzpostavitev testnega laboratorija za regulatorne rešitve za hitrejšo integracijo inovativnih tehnoloških rešitev v zakonodaji</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_Toc102741401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0EFB8721" w14:textId="309BC6B9" w:rsidR="00D11952" w:rsidRPr="00254965" w:rsidRDefault="00A15ADE">
      <w:pPr>
        <w:pStyle w:val="Kazalovsebine3"/>
        <w:tabs>
          <w:tab w:val="right" w:leader="dot" w:pos="9062"/>
        </w:tabs>
        <w:rPr>
          <w:rFonts w:cstheme="minorBidi"/>
          <w:noProof/>
          <w:sz w:val="20"/>
          <w:szCs w:val="20"/>
        </w:rPr>
      </w:pPr>
      <w:hyperlink w:anchor="_Toc102741402" w:history="1">
        <w:r w:rsidR="00D11952" w:rsidRPr="00254965">
          <w:rPr>
            <w:rStyle w:val="Hiperpovezava"/>
            <w:rFonts w:ascii="Arial" w:eastAsia="Calibri" w:hAnsi="Arial" w:cs="Arial"/>
            <w:noProof/>
            <w:sz w:val="20"/>
            <w:szCs w:val="20"/>
          </w:rPr>
          <w:t>IV.4.1  Okvir za vzpostavitev testnega laboratorija</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_Toc102741402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627BBD6D" w14:textId="60322809" w:rsidR="00D11952" w:rsidRPr="00254965" w:rsidRDefault="00A15ADE">
      <w:pPr>
        <w:pStyle w:val="Kazalovsebine3"/>
        <w:tabs>
          <w:tab w:val="right" w:leader="dot" w:pos="9062"/>
        </w:tabs>
        <w:rPr>
          <w:rFonts w:cstheme="minorBidi"/>
          <w:noProof/>
          <w:sz w:val="20"/>
          <w:szCs w:val="20"/>
        </w:rPr>
      </w:pPr>
      <w:hyperlink w:anchor="_Toc102741403" w:history="1">
        <w:r w:rsidR="00D11952" w:rsidRPr="00254965">
          <w:rPr>
            <w:rStyle w:val="Hiperpovezava"/>
            <w:rFonts w:ascii="Arial" w:eastAsia="Calibri" w:hAnsi="Arial" w:cs="Arial"/>
            <w:noProof/>
            <w:sz w:val="20"/>
            <w:szCs w:val="20"/>
          </w:rPr>
          <w:t>IV.4.2  Cilji in načela testnega laboratorija</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_Toc102741403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401EE087" w14:textId="73D71A45" w:rsidR="00D11952" w:rsidRPr="00254965" w:rsidRDefault="00A15ADE">
      <w:pPr>
        <w:pStyle w:val="Kazalovsebine3"/>
        <w:tabs>
          <w:tab w:val="right" w:leader="dot" w:pos="9062"/>
        </w:tabs>
        <w:rPr>
          <w:rFonts w:cstheme="minorBidi"/>
          <w:noProof/>
          <w:sz w:val="20"/>
          <w:szCs w:val="20"/>
        </w:rPr>
      </w:pPr>
      <w:hyperlink w:anchor="_Toc102741404" w:history="1">
        <w:r w:rsidR="00D11952" w:rsidRPr="00254965">
          <w:rPr>
            <w:rStyle w:val="Hiperpovezava"/>
            <w:rFonts w:ascii="Arial" w:eastAsia="Calibri" w:hAnsi="Arial" w:cs="Arial"/>
            <w:noProof/>
            <w:sz w:val="20"/>
            <w:szCs w:val="20"/>
          </w:rPr>
          <w:t>IV.4.3.  Vzpostavitev testnega laboratorija</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_Toc102741404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7B988464" w14:textId="0F2449C0" w:rsidR="00D11952" w:rsidRDefault="00A15ADE">
      <w:pPr>
        <w:pStyle w:val="Kazalovsebine3"/>
        <w:tabs>
          <w:tab w:val="right" w:leader="dot" w:pos="9062"/>
        </w:tabs>
        <w:rPr>
          <w:rFonts w:cstheme="minorBidi"/>
          <w:noProof/>
        </w:rPr>
      </w:pPr>
      <w:hyperlink w:anchor="_Toc102741405" w:history="1">
        <w:r w:rsidR="00D11952" w:rsidRPr="00254965">
          <w:rPr>
            <w:rStyle w:val="Hiperpovezava"/>
            <w:rFonts w:ascii="Arial" w:eastAsia="Calibri" w:hAnsi="Arial" w:cs="Arial"/>
            <w:noProof/>
            <w:sz w:val="20"/>
            <w:szCs w:val="20"/>
          </w:rPr>
          <w:t>IV.4.4.  Proces testiranja in evalvacije inovativne tehnološke rešitve v testnem laboratoriju (sandbox-u)</w:t>
        </w:r>
        <w:r w:rsidR="00D11952" w:rsidRPr="00254965">
          <w:rPr>
            <w:noProof/>
            <w:webHidden/>
            <w:sz w:val="20"/>
            <w:szCs w:val="20"/>
          </w:rPr>
          <w:tab/>
        </w:r>
        <w:r w:rsidR="00D11952" w:rsidRPr="00254965">
          <w:rPr>
            <w:noProof/>
            <w:webHidden/>
            <w:sz w:val="20"/>
            <w:szCs w:val="20"/>
          </w:rPr>
          <w:fldChar w:fldCharType="begin"/>
        </w:r>
        <w:r w:rsidR="00D11952" w:rsidRPr="00254965">
          <w:rPr>
            <w:noProof/>
            <w:webHidden/>
            <w:sz w:val="20"/>
            <w:szCs w:val="20"/>
          </w:rPr>
          <w:instrText xml:space="preserve"> PAGEREF _Toc102741405 \h </w:instrText>
        </w:r>
        <w:r w:rsidR="00D11952" w:rsidRPr="00254965">
          <w:rPr>
            <w:noProof/>
            <w:webHidden/>
            <w:sz w:val="20"/>
            <w:szCs w:val="20"/>
          </w:rPr>
        </w:r>
        <w:r w:rsidR="00D11952" w:rsidRPr="00254965">
          <w:rPr>
            <w:noProof/>
            <w:webHidden/>
            <w:sz w:val="20"/>
            <w:szCs w:val="20"/>
          </w:rPr>
          <w:fldChar w:fldCharType="separate"/>
        </w:r>
        <w:r w:rsidR="00DD581B">
          <w:rPr>
            <w:noProof/>
            <w:webHidden/>
            <w:sz w:val="20"/>
            <w:szCs w:val="20"/>
          </w:rPr>
          <w:t>1</w:t>
        </w:r>
        <w:r w:rsidR="00D11952" w:rsidRPr="00254965">
          <w:rPr>
            <w:noProof/>
            <w:webHidden/>
            <w:sz w:val="20"/>
            <w:szCs w:val="20"/>
          </w:rPr>
          <w:fldChar w:fldCharType="end"/>
        </w:r>
      </w:hyperlink>
    </w:p>
    <w:p w14:paraId="20C4C734" w14:textId="138888A4" w:rsidR="00742015" w:rsidRPr="00742015" w:rsidRDefault="00D11952">
      <w:pPr>
        <w:rPr>
          <w:rFonts w:ascii="Arial" w:hAnsi="Arial" w:cs="Arial"/>
        </w:rPr>
      </w:pPr>
      <w:r>
        <w:rPr>
          <w:rFonts w:ascii="Arial" w:hAnsi="Arial" w:cs="Arial"/>
        </w:rPr>
        <w:fldChar w:fldCharType="end"/>
      </w:r>
    </w:p>
    <w:p w14:paraId="2EF37EE7" w14:textId="77777777" w:rsidR="00FB4864" w:rsidRPr="00B7410B" w:rsidRDefault="00FB4864" w:rsidP="003445EF">
      <w:pPr>
        <w:pStyle w:val="Naslov1"/>
        <w:numPr>
          <w:ilvl w:val="0"/>
          <w:numId w:val="29"/>
        </w:numPr>
        <w:rPr>
          <w:rFonts w:ascii="Arial" w:hAnsi="Arial" w:cs="Arial"/>
          <w:b/>
          <w:color w:val="70AD47" w:themeColor="accent6"/>
        </w:rPr>
      </w:pPr>
      <w:bookmarkStart w:id="0" w:name="_Toc102741365"/>
      <w:r w:rsidRPr="00B7410B">
        <w:rPr>
          <w:rFonts w:ascii="Arial" w:hAnsi="Arial" w:cs="Arial"/>
          <w:b/>
          <w:color w:val="70AD47" w:themeColor="accent6"/>
        </w:rPr>
        <w:t>IZHODIŠČA</w:t>
      </w:r>
      <w:bookmarkEnd w:id="0"/>
    </w:p>
    <w:p w14:paraId="4E5833DE" w14:textId="77777777" w:rsidR="00DB54EA" w:rsidRDefault="00DB54EA" w:rsidP="00747BFE">
      <w:pPr>
        <w:keepNext/>
        <w:keepLines/>
        <w:spacing w:after="0" w:line="240" w:lineRule="auto"/>
        <w:jc w:val="both"/>
        <w:outlineLvl w:val="1"/>
        <w:rPr>
          <w:rFonts w:ascii="Arial" w:eastAsia="Times New Roman" w:hAnsi="Arial" w:cs="Arial"/>
          <w:sz w:val="20"/>
          <w:szCs w:val="20"/>
        </w:rPr>
      </w:pPr>
    </w:p>
    <w:p w14:paraId="60C73B34" w14:textId="77777777" w:rsidR="00210E47" w:rsidRDefault="00210E47" w:rsidP="00747BFE">
      <w:pPr>
        <w:keepNext/>
        <w:keepLines/>
        <w:spacing w:after="0" w:line="240" w:lineRule="auto"/>
        <w:jc w:val="both"/>
        <w:outlineLvl w:val="1"/>
        <w:rPr>
          <w:rFonts w:ascii="Arial" w:eastAsia="Times New Roman" w:hAnsi="Arial" w:cs="Arial"/>
          <w:sz w:val="20"/>
          <w:szCs w:val="20"/>
        </w:rPr>
      </w:pPr>
      <w:bookmarkStart w:id="1" w:name="_Toc102741366"/>
      <w:r>
        <w:rPr>
          <w:rFonts w:ascii="Arial" w:eastAsia="Times New Roman" w:hAnsi="Arial" w:cs="Arial"/>
          <w:sz w:val="20"/>
          <w:szCs w:val="20"/>
        </w:rPr>
        <w:t>Strateška izhodišča za spodbujanje uporabe obnovljivih virov energije podrobneje predstavljajo tri reformne elemente, predvidene v Načrtu za okrevanje in odpornost, v komponenti C1.K1 Obnovljivi viri energije in učinkovita raba energije v gospodarstvu</w:t>
      </w:r>
      <w:r>
        <w:rPr>
          <w:rStyle w:val="Sprotnaopomba-sklic"/>
          <w:rFonts w:ascii="Arial" w:eastAsia="Times New Roman" w:hAnsi="Arial" w:cs="Arial"/>
          <w:sz w:val="20"/>
          <w:szCs w:val="20"/>
        </w:rPr>
        <w:footnoteReference w:id="1"/>
      </w:r>
      <w:r>
        <w:rPr>
          <w:rFonts w:ascii="Arial" w:eastAsia="Times New Roman" w:hAnsi="Arial" w:cs="Arial"/>
          <w:sz w:val="20"/>
          <w:szCs w:val="20"/>
        </w:rPr>
        <w:t>. Reformni elementi naslavljajo tri glavna področja, in sicer (i) povečanje učinkovitosti trga na strani ponudbe in povpraševanja z nadgradnjo t.i. tržnice (ang. Marketplace) električne energije iz obnovljivih virov energije, (ii) povečanje učinkovitosti spremljanja in evidentiranja izpustov s pomočjo tehnološke rešitve, pilotno uporabljene na registru ETS in (iii) povečanje snovne in energetske učinkovitosti v gradbeništvu z uporabo naprednih digitalnih tehnologij v primeru metode BIM (ang. Building Information Modelling).</w:t>
      </w:r>
      <w:bookmarkEnd w:id="1"/>
      <w:r>
        <w:rPr>
          <w:rFonts w:ascii="Arial" w:eastAsia="Times New Roman" w:hAnsi="Arial" w:cs="Arial"/>
          <w:sz w:val="20"/>
          <w:szCs w:val="20"/>
        </w:rPr>
        <w:t xml:space="preserve"> </w:t>
      </w:r>
    </w:p>
    <w:p w14:paraId="0CF60C1E" w14:textId="77777777" w:rsidR="00210E47" w:rsidRDefault="00210E47" w:rsidP="00747BFE">
      <w:pPr>
        <w:keepNext/>
        <w:keepLines/>
        <w:spacing w:after="0" w:line="240" w:lineRule="auto"/>
        <w:jc w:val="both"/>
        <w:outlineLvl w:val="1"/>
        <w:rPr>
          <w:rFonts w:ascii="Arial" w:eastAsia="Times New Roman" w:hAnsi="Arial" w:cs="Arial"/>
          <w:sz w:val="20"/>
          <w:szCs w:val="20"/>
        </w:rPr>
      </w:pPr>
    </w:p>
    <w:p w14:paraId="40E4E1A2" w14:textId="487E7D5A" w:rsidR="00210E47" w:rsidRDefault="00210E47" w:rsidP="00747BFE">
      <w:pPr>
        <w:keepNext/>
        <w:keepLines/>
        <w:spacing w:after="0" w:line="240" w:lineRule="auto"/>
        <w:jc w:val="both"/>
        <w:outlineLvl w:val="1"/>
        <w:rPr>
          <w:rFonts w:ascii="Arial" w:eastAsia="Times New Roman" w:hAnsi="Arial" w:cs="Arial"/>
          <w:sz w:val="20"/>
          <w:szCs w:val="20"/>
        </w:rPr>
      </w:pPr>
      <w:bookmarkStart w:id="2" w:name="_Toc102741367"/>
      <w:r>
        <w:rPr>
          <w:rFonts w:ascii="Arial" w:eastAsia="Times New Roman" w:hAnsi="Arial" w:cs="Arial"/>
          <w:sz w:val="20"/>
          <w:szCs w:val="20"/>
        </w:rPr>
        <w:t xml:space="preserve">Poleg tega strateška izhodišča tudi predvidevajo institucionalizacijo inovativnega pristopa k obravnavi testnih in pilotnih rešitev, ki temeljijo na naprednih (digitalnih) tehnologijah in naprednih tehnologijah za proizvodnjo energije, v obliki testnega laboratorija (oziroma ang. Sandbox - regulatornega peskovnika). Z namenom poenotenja izraza in zagotavljanja večje razumljivosti funkcije tovrstnega testnega laboratorija, se v dokumentu uporablja izraz regulatorni peskovnik. Regulatorni peskovnik se bo izvajal v sklopu aktivnosti krovnega </w:t>
      </w:r>
      <w:r w:rsidRPr="00210E47">
        <w:rPr>
          <w:rFonts w:ascii="Arial" w:eastAsia="Times New Roman" w:hAnsi="Arial" w:cs="Arial"/>
          <w:sz w:val="20"/>
          <w:szCs w:val="20"/>
        </w:rPr>
        <w:t>programa Laboratorija politik, ki je sestavni del Celovitega strateškega projekta razogljičenja Slovenije preko prehoda v krožno gospodarstvo.</w:t>
      </w:r>
      <w:bookmarkEnd w:id="2"/>
      <w:r w:rsidRPr="00210E47">
        <w:rPr>
          <w:rFonts w:ascii="Arial" w:eastAsia="Times New Roman" w:hAnsi="Arial" w:cs="Arial"/>
          <w:sz w:val="20"/>
          <w:szCs w:val="20"/>
        </w:rPr>
        <w:t xml:space="preserve"> </w:t>
      </w:r>
    </w:p>
    <w:p w14:paraId="7245BBBA" w14:textId="77777777" w:rsidR="00210E47" w:rsidRDefault="00210E47" w:rsidP="00747BFE">
      <w:pPr>
        <w:keepNext/>
        <w:keepLines/>
        <w:spacing w:after="0" w:line="240" w:lineRule="auto"/>
        <w:jc w:val="both"/>
        <w:outlineLvl w:val="1"/>
        <w:rPr>
          <w:rFonts w:ascii="Arial" w:eastAsia="Times New Roman" w:hAnsi="Arial" w:cs="Arial"/>
          <w:sz w:val="20"/>
          <w:szCs w:val="20"/>
        </w:rPr>
      </w:pPr>
    </w:p>
    <w:p w14:paraId="3D4E475A" w14:textId="77777777" w:rsidR="00210E47" w:rsidRDefault="00210E47" w:rsidP="00747BFE">
      <w:pPr>
        <w:keepNext/>
        <w:keepLines/>
        <w:spacing w:after="0" w:line="240" w:lineRule="auto"/>
        <w:jc w:val="both"/>
        <w:outlineLvl w:val="1"/>
        <w:rPr>
          <w:rFonts w:ascii="Arial" w:eastAsia="Times New Roman" w:hAnsi="Arial" w:cs="Arial"/>
          <w:sz w:val="20"/>
          <w:szCs w:val="20"/>
        </w:rPr>
      </w:pPr>
      <w:bookmarkStart w:id="3" w:name="_Toc102741368"/>
      <w:r>
        <w:rPr>
          <w:rFonts w:ascii="Arial" w:eastAsia="Times New Roman" w:hAnsi="Arial" w:cs="Arial"/>
          <w:sz w:val="20"/>
          <w:szCs w:val="20"/>
        </w:rPr>
        <w:t>Priprava strateških izhodišč temelji na ugotovitvah in priporočilih, ki jih je Evropska komisija priporočila Sloveniji v svojih Poročilih o državi, ki so priloga nacionalnim reformnim programom (ang. CSR – Country Specific Recommendations).</w:t>
      </w:r>
      <w:bookmarkEnd w:id="3"/>
      <w:r>
        <w:rPr>
          <w:rFonts w:ascii="Arial" w:eastAsia="Times New Roman" w:hAnsi="Arial" w:cs="Arial"/>
          <w:sz w:val="20"/>
          <w:szCs w:val="20"/>
        </w:rPr>
        <w:t xml:space="preserve"> </w:t>
      </w:r>
    </w:p>
    <w:p w14:paraId="6862B8B6" w14:textId="77777777" w:rsidR="00210E47" w:rsidRDefault="00210E47" w:rsidP="00747BFE">
      <w:pPr>
        <w:keepNext/>
        <w:keepLines/>
        <w:spacing w:after="0" w:line="240" w:lineRule="auto"/>
        <w:jc w:val="both"/>
        <w:outlineLvl w:val="1"/>
        <w:rPr>
          <w:rFonts w:ascii="Arial" w:eastAsia="Times New Roman" w:hAnsi="Arial" w:cs="Arial"/>
          <w:sz w:val="20"/>
          <w:szCs w:val="20"/>
        </w:rPr>
      </w:pPr>
    </w:p>
    <w:p w14:paraId="5A685AD8" w14:textId="538261AE" w:rsidR="00D21F86" w:rsidRPr="00DB54EA" w:rsidRDefault="00210E47" w:rsidP="00D21F86">
      <w:pPr>
        <w:keepNext/>
        <w:keepLines/>
        <w:spacing w:after="0" w:line="240" w:lineRule="auto"/>
        <w:jc w:val="both"/>
        <w:outlineLvl w:val="1"/>
        <w:rPr>
          <w:rFonts w:ascii="Arial" w:eastAsia="Times New Roman" w:hAnsi="Arial" w:cs="Arial"/>
          <w:sz w:val="20"/>
          <w:szCs w:val="20"/>
        </w:rPr>
      </w:pPr>
      <w:bookmarkStart w:id="4" w:name="_Toc102741369"/>
      <w:r>
        <w:rPr>
          <w:rFonts w:ascii="Arial" w:eastAsia="Times New Roman" w:hAnsi="Arial" w:cs="Arial"/>
          <w:sz w:val="20"/>
          <w:szCs w:val="20"/>
        </w:rPr>
        <w:t xml:space="preserve">V </w:t>
      </w:r>
      <w:r w:rsidR="00D21F86" w:rsidRPr="00D21F86">
        <w:rPr>
          <w:rFonts w:ascii="Arial" w:eastAsia="Times New Roman" w:hAnsi="Arial" w:cs="Arial"/>
          <w:sz w:val="20"/>
          <w:szCs w:val="20"/>
        </w:rPr>
        <w:t>CSR 2019</w:t>
      </w:r>
      <w:r>
        <w:rPr>
          <w:rFonts w:ascii="Arial" w:eastAsia="Times New Roman" w:hAnsi="Arial" w:cs="Arial"/>
          <w:sz w:val="20"/>
          <w:szCs w:val="20"/>
        </w:rPr>
        <w:t xml:space="preserve"> navaja</w:t>
      </w:r>
      <w:bookmarkEnd w:id="4"/>
      <w:r w:rsidR="00A81C05">
        <w:rPr>
          <w:rFonts w:ascii="Arial" w:eastAsia="Times New Roman" w:hAnsi="Arial" w:cs="Arial"/>
          <w:sz w:val="20"/>
          <w:szCs w:val="20"/>
        </w:rPr>
        <w:t xml:space="preserve">: </w:t>
      </w:r>
      <w:bookmarkStart w:id="5" w:name="_Toc102741370"/>
      <w:r w:rsidR="00D21F86" w:rsidRPr="00D21F86">
        <w:rPr>
          <w:rFonts w:ascii="Arial" w:eastAsia="Times New Roman" w:hAnsi="Arial" w:cs="Arial"/>
          <w:sz w:val="20"/>
          <w:szCs w:val="20"/>
        </w:rPr>
        <w:t>Ekonomsko politiko v zvezi z naložbami naj se osredotoči na raziskave in inovacije, nizkoogljični in energijski prehod, trajnostni promet (zlasti železniški) in okoljsko infrastrukturo, pri tem pa se upošteva regionalne razlike.</w:t>
      </w:r>
      <w:bookmarkEnd w:id="5"/>
      <w:r w:rsidR="00A81C05">
        <w:rPr>
          <w:rFonts w:ascii="Arial" w:eastAsia="Times New Roman" w:hAnsi="Arial" w:cs="Arial"/>
          <w:sz w:val="20"/>
          <w:szCs w:val="20"/>
        </w:rPr>
        <w:t xml:space="preserve"> </w:t>
      </w:r>
      <w:bookmarkStart w:id="6" w:name="_Toc102741371"/>
      <w:r>
        <w:rPr>
          <w:rFonts w:ascii="Arial" w:eastAsia="Times New Roman" w:hAnsi="Arial" w:cs="Arial"/>
          <w:sz w:val="20"/>
          <w:szCs w:val="20"/>
        </w:rPr>
        <w:t xml:space="preserve">V </w:t>
      </w:r>
      <w:r w:rsidR="00D21F86" w:rsidRPr="00D21F86">
        <w:rPr>
          <w:rFonts w:ascii="Arial" w:eastAsia="Times New Roman" w:hAnsi="Arial" w:cs="Arial"/>
          <w:sz w:val="20"/>
          <w:szCs w:val="20"/>
        </w:rPr>
        <w:t>CSR 2020</w:t>
      </w:r>
      <w:r>
        <w:rPr>
          <w:rFonts w:ascii="Arial" w:eastAsia="Times New Roman" w:hAnsi="Arial" w:cs="Arial"/>
          <w:sz w:val="20"/>
          <w:szCs w:val="20"/>
        </w:rPr>
        <w:t xml:space="preserve"> pa je navedeno naslednje:</w:t>
      </w:r>
      <w:bookmarkEnd w:id="6"/>
      <w:r>
        <w:rPr>
          <w:rFonts w:ascii="Arial" w:eastAsia="Times New Roman" w:hAnsi="Arial" w:cs="Arial"/>
          <w:sz w:val="20"/>
          <w:szCs w:val="20"/>
        </w:rPr>
        <w:t xml:space="preserve"> </w:t>
      </w:r>
      <w:bookmarkStart w:id="7" w:name="_Toc102741372"/>
      <w:r w:rsidR="00D21F86" w:rsidRPr="00D21F86">
        <w:rPr>
          <w:rFonts w:ascii="Arial" w:eastAsia="Times New Roman" w:hAnsi="Arial" w:cs="Arial"/>
          <w:sz w:val="20"/>
          <w:szCs w:val="20"/>
        </w:rPr>
        <w:t>Prednost je potrebno dati zrelim javnim naložbenim projektom in spodbujati je potrebno zasebne naložbe v podporo gospodarskemu okrevanju. Osredotočiti se je potrebno na naložbe za zeleni in digitalni prehod, zlasti na čisto in učinkovito proizvodnjo in rabo energije, okoljsko infrastrukturo, trajnostni promet, raziskave in inovacije ter uvajanje omrežja 5G; spodbuja digitalne zmogljivosti podjetij ter krepi digitalna znanja in spretnosti, e-trgovino in e-zdravje.</w:t>
      </w:r>
      <w:bookmarkEnd w:id="7"/>
    </w:p>
    <w:p w14:paraId="7071E55C" w14:textId="77777777" w:rsidR="00DB54EA" w:rsidRDefault="00DB54EA" w:rsidP="00747BFE">
      <w:pPr>
        <w:keepNext/>
        <w:keepLines/>
        <w:spacing w:after="0" w:line="240" w:lineRule="auto"/>
        <w:jc w:val="both"/>
        <w:outlineLvl w:val="1"/>
        <w:rPr>
          <w:rFonts w:ascii="Arial" w:eastAsia="Times New Roman" w:hAnsi="Arial" w:cs="Arial"/>
          <w:sz w:val="20"/>
          <w:szCs w:val="20"/>
          <w:u w:val="single"/>
        </w:rPr>
      </w:pPr>
    </w:p>
    <w:p w14:paraId="5C78F2E8" w14:textId="77777777" w:rsidR="0089340C" w:rsidRPr="00747BFE" w:rsidRDefault="0089340C" w:rsidP="0089340C">
      <w:pPr>
        <w:spacing w:after="0" w:line="240" w:lineRule="auto"/>
        <w:jc w:val="both"/>
        <w:rPr>
          <w:rFonts w:ascii="Arial" w:eastAsia="Calibri" w:hAnsi="Arial" w:cs="Arial"/>
          <w:sz w:val="20"/>
          <w:szCs w:val="20"/>
        </w:rPr>
      </w:pPr>
      <w:r w:rsidRPr="00747BFE">
        <w:rPr>
          <w:rFonts w:ascii="Arial" w:eastAsia="Calibri" w:hAnsi="Arial" w:cs="Arial"/>
          <w:sz w:val="20"/>
        </w:rPr>
        <w:t xml:space="preserve">Vlada Republike Slovenije leta 2020 sprejela </w:t>
      </w:r>
      <w:r w:rsidRPr="00747BFE">
        <w:rPr>
          <w:rFonts w:ascii="Arial" w:eastAsia="Calibri" w:hAnsi="Arial" w:cs="Arial"/>
          <w:b/>
          <w:sz w:val="20"/>
        </w:rPr>
        <w:t xml:space="preserve">celoviti nacionalni energetski in podnebni načrt Republike Slovenije (NEPN), </w:t>
      </w:r>
      <w:r w:rsidRPr="00747BFE">
        <w:rPr>
          <w:rFonts w:ascii="Arial" w:eastAsia="Calibri" w:hAnsi="Arial" w:cs="Arial"/>
          <w:sz w:val="20"/>
        </w:rPr>
        <w:t>katerega glavni cilj je</w:t>
      </w:r>
      <w:r w:rsidRPr="00747BFE">
        <w:rPr>
          <w:rFonts w:ascii="Arial" w:eastAsia="Calibri" w:hAnsi="Arial" w:cs="Arial"/>
          <w:b/>
          <w:sz w:val="20"/>
        </w:rPr>
        <w:t xml:space="preserve"> </w:t>
      </w:r>
      <w:r w:rsidRPr="00747BFE">
        <w:rPr>
          <w:rFonts w:ascii="Arial" w:eastAsia="Calibri" w:hAnsi="Arial" w:cs="Arial"/>
          <w:sz w:val="20"/>
          <w:szCs w:val="20"/>
        </w:rPr>
        <w:t xml:space="preserve">doseči vsaj 27-odstotni delež </w:t>
      </w:r>
      <w:r>
        <w:rPr>
          <w:rFonts w:ascii="Arial" w:eastAsia="Calibri" w:hAnsi="Arial" w:cs="Arial"/>
          <w:sz w:val="20"/>
          <w:szCs w:val="20"/>
        </w:rPr>
        <w:t>obnovljivih virov energije (</w:t>
      </w:r>
      <w:r w:rsidRPr="00747BFE">
        <w:rPr>
          <w:rFonts w:ascii="Arial" w:eastAsia="Calibri" w:hAnsi="Arial" w:cs="Arial"/>
          <w:sz w:val="20"/>
          <w:szCs w:val="20"/>
        </w:rPr>
        <w:t>OVE</w:t>
      </w:r>
      <w:r>
        <w:rPr>
          <w:rFonts w:ascii="Arial" w:eastAsia="Calibri" w:hAnsi="Arial" w:cs="Arial"/>
          <w:sz w:val="20"/>
          <w:szCs w:val="20"/>
        </w:rPr>
        <w:t>)</w:t>
      </w:r>
      <w:r w:rsidRPr="00747BFE">
        <w:rPr>
          <w:rFonts w:ascii="Arial" w:eastAsia="Calibri" w:hAnsi="Arial" w:cs="Arial"/>
          <w:sz w:val="20"/>
          <w:szCs w:val="20"/>
        </w:rPr>
        <w:t xml:space="preserve"> v končni rabi energije do leta 2030, tj. (indikativno): </w:t>
      </w:r>
    </w:p>
    <w:p w14:paraId="270B8B1F" w14:textId="77777777" w:rsidR="0089340C" w:rsidRPr="00747BFE" w:rsidRDefault="0089340C" w:rsidP="003445EF">
      <w:pPr>
        <w:numPr>
          <w:ilvl w:val="0"/>
          <w:numId w:val="1"/>
        </w:numPr>
        <w:spacing w:after="0" w:line="240" w:lineRule="auto"/>
        <w:contextualSpacing/>
        <w:jc w:val="both"/>
        <w:rPr>
          <w:rFonts w:ascii="Arial" w:eastAsia="Calibri" w:hAnsi="Arial" w:cs="Arial"/>
          <w:sz w:val="20"/>
          <w:szCs w:val="20"/>
        </w:rPr>
      </w:pPr>
      <w:r w:rsidRPr="00747BFE">
        <w:rPr>
          <w:rFonts w:ascii="Arial" w:eastAsia="Calibri" w:hAnsi="Arial" w:cs="Arial"/>
          <w:sz w:val="20"/>
          <w:szCs w:val="20"/>
        </w:rPr>
        <w:t xml:space="preserve">vsaj 2/3 rabe energije v stavbah iz OVE do leta 2030 (gre za delež rabe OVE v končni rabi energentov brez električne energije in daljinske toplote), </w:t>
      </w:r>
    </w:p>
    <w:p w14:paraId="00E4D9C4" w14:textId="77777777" w:rsidR="0089340C" w:rsidRPr="00747BFE" w:rsidRDefault="0089340C" w:rsidP="003445EF">
      <w:pPr>
        <w:numPr>
          <w:ilvl w:val="0"/>
          <w:numId w:val="1"/>
        </w:numPr>
        <w:spacing w:after="0" w:line="240" w:lineRule="auto"/>
        <w:contextualSpacing/>
        <w:jc w:val="both"/>
        <w:rPr>
          <w:rFonts w:ascii="Arial" w:eastAsia="Calibri" w:hAnsi="Arial" w:cs="Arial"/>
          <w:sz w:val="20"/>
          <w:szCs w:val="20"/>
        </w:rPr>
      </w:pPr>
      <w:r w:rsidRPr="00747BFE">
        <w:rPr>
          <w:rFonts w:ascii="Arial" w:eastAsia="Calibri" w:hAnsi="Arial" w:cs="Arial"/>
          <w:sz w:val="20"/>
          <w:szCs w:val="20"/>
        </w:rPr>
        <w:t>vsaj 30-odstotni delež OVE v industriji,</w:t>
      </w:r>
    </w:p>
    <w:p w14:paraId="6682DBD7" w14:textId="77777777" w:rsidR="0089340C" w:rsidRPr="00747BFE" w:rsidRDefault="0089340C" w:rsidP="003445EF">
      <w:pPr>
        <w:numPr>
          <w:ilvl w:val="0"/>
          <w:numId w:val="1"/>
        </w:numPr>
        <w:spacing w:after="0" w:line="240" w:lineRule="auto"/>
        <w:contextualSpacing/>
        <w:jc w:val="both"/>
        <w:rPr>
          <w:rFonts w:ascii="Arial" w:eastAsia="Calibri" w:hAnsi="Arial" w:cs="Arial"/>
          <w:sz w:val="20"/>
          <w:szCs w:val="20"/>
        </w:rPr>
      </w:pPr>
      <w:r w:rsidRPr="00747BFE">
        <w:rPr>
          <w:rFonts w:ascii="Arial" w:eastAsia="Calibri" w:hAnsi="Arial" w:cs="Arial"/>
          <w:sz w:val="20"/>
          <w:szCs w:val="20"/>
        </w:rPr>
        <w:t>43-odstotni delež v sektorju električna energija,</w:t>
      </w:r>
    </w:p>
    <w:p w14:paraId="4538A451" w14:textId="77777777" w:rsidR="0089340C" w:rsidRPr="00747BFE" w:rsidRDefault="0089340C" w:rsidP="003445EF">
      <w:pPr>
        <w:numPr>
          <w:ilvl w:val="0"/>
          <w:numId w:val="1"/>
        </w:numPr>
        <w:spacing w:after="0" w:line="240" w:lineRule="auto"/>
        <w:contextualSpacing/>
        <w:jc w:val="both"/>
        <w:rPr>
          <w:rFonts w:ascii="Arial" w:eastAsia="Calibri" w:hAnsi="Arial" w:cs="Arial"/>
          <w:sz w:val="20"/>
          <w:szCs w:val="20"/>
        </w:rPr>
      </w:pPr>
      <w:r w:rsidRPr="00747BFE">
        <w:rPr>
          <w:rFonts w:ascii="Arial" w:eastAsia="Calibri" w:hAnsi="Arial" w:cs="Arial"/>
          <w:sz w:val="20"/>
          <w:szCs w:val="20"/>
        </w:rPr>
        <w:t xml:space="preserve">41-odstotni delež v sektorju toplota in hlajenje, </w:t>
      </w:r>
    </w:p>
    <w:p w14:paraId="29049B3B" w14:textId="77777777" w:rsidR="0089340C" w:rsidRPr="00747BFE" w:rsidRDefault="0089340C" w:rsidP="003445EF">
      <w:pPr>
        <w:numPr>
          <w:ilvl w:val="0"/>
          <w:numId w:val="1"/>
        </w:numPr>
        <w:spacing w:after="0" w:line="240" w:lineRule="auto"/>
        <w:contextualSpacing/>
        <w:jc w:val="both"/>
        <w:rPr>
          <w:rFonts w:ascii="Arial" w:eastAsia="Calibri" w:hAnsi="Arial" w:cs="Arial"/>
          <w:sz w:val="20"/>
          <w:szCs w:val="20"/>
        </w:rPr>
      </w:pPr>
      <w:r w:rsidRPr="00747BFE">
        <w:rPr>
          <w:rFonts w:ascii="Arial" w:eastAsia="Calibri" w:hAnsi="Arial" w:cs="Arial"/>
          <w:sz w:val="20"/>
          <w:szCs w:val="20"/>
        </w:rPr>
        <w:t>21-odstotni delež v prometu (delež biogoriv je vsaj 11%).</w:t>
      </w:r>
    </w:p>
    <w:p w14:paraId="30C3FE2D" w14:textId="77777777" w:rsidR="0089340C" w:rsidRPr="00747BFE" w:rsidRDefault="0089340C" w:rsidP="0089340C">
      <w:pPr>
        <w:spacing w:after="0" w:line="240" w:lineRule="auto"/>
        <w:jc w:val="both"/>
        <w:rPr>
          <w:rFonts w:ascii="Arial" w:eastAsia="Calibri" w:hAnsi="Arial" w:cs="Arial"/>
          <w:sz w:val="20"/>
          <w:szCs w:val="20"/>
        </w:rPr>
      </w:pPr>
    </w:p>
    <w:p w14:paraId="69FAD2B8" w14:textId="355F265D" w:rsidR="0089340C" w:rsidRPr="00747BFE" w:rsidRDefault="0089340C" w:rsidP="0089340C">
      <w:pPr>
        <w:spacing w:after="0" w:line="240" w:lineRule="auto"/>
        <w:jc w:val="both"/>
        <w:rPr>
          <w:rFonts w:ascii="Arial" w:eastAsia="Times New Roman" w:hAnsi="Arial" w:cs="Arial"/>
          <w:sz w:val="20"/>
          <w:szCs w:val="20"/>
          <w:lang w:eastAsia="sl-SI"/>
        </w:rPr>
      </w:pPr>
      <w:r w:rsidRPr="00747BFE">
        <w:rPr>
          <w:rFonts w:ascii="Arial" w:eastAsia="Calibri" w:hAnsi="Arial" w:cs="Arial"/>
          <w:sz w:val="20"/>
          <w:szCs w:val="20"/>
        </w:rPr>
        <w:t xml:space="preserve">Podlaga za načrtovanje </w:t>
      </w:r>
      <w:r w:rsidR="00210E47">
        <w:rPr>
          <w:rFonts w:ascii="Arial" w:eastAsia="Calibri" w:hAnsi="Arial" w:cs="Arial"/>
          <w:sz w:val="20"/>
          <w:szCs w:val="20"/>
        </w:rPr>
        <w:t xml:space="preserve">reformnih elementov </w:t>
      </w:r>
      <w:r w:rsidRPr="00747BFE">
        <w:rPr>
          <w:rFonts w:ascii="Arial" w:eastAsia="Calibri" w:hAnsi="Arial" w:cs="Arial"/>
          <w:sz w:val="20"/>
          <w:szCs w:val="20"/>
        </w:rPr>
        <w:t>ukrepov je</w:t>
      </w:r>
      <w:r w:rsidR="00210E47">
        <w:rPr>
          <w:rFonts w:ascii="Arial" w:eastAsia="Calibri" w:hAnsi="Arial" w:cs="Arial"/>
          <w:sz w:val="20"/>
          <w:szCs w:val="20"/>
        </w:rPr>
        <w:t xml:space="preserve"> bil</w:t>
      </w:r>
      <w:r w:rsidRPr="00747BFE">
        <w:rPr>
          <w:rFonts w:ascii="Arial" w:eastAsia="Calibri" w:hAnsi="Arial" w:cs="Arial"/>
          <w:sz w:val="20"/>
          <w:szCs w:val="20"/>
        </w:rPr>
        <w:t xml:space="preserve"> tudi </w:t>
      </w:r>
      <w:r w:rsidRPr="00747BFE">
        <w:rPr>
          <w:rFonts w:ascii="Arial" w:eastAsia="Times New Roman" w:hAnsi="Arial" w:cs="Arial"/>
          <w:b/>
          <w:bCs/>
          <w:sz w:val="20"/>
          <w:szCs w:val="20"/>
          <w:shd w:val="clear" w:color="auto" w:fill="FFFFFF"/>
          <w:lang w:eastAsia="sl-SI"/>
        </w:rPr>
        <w:t>Razvojni načrt distribucijskega sistema električne energije v Republiki Sloveniji od leta 2021 do leta 2030</w:t>
      </w:r>
      <w:r w:rsidRPr="00747BFE">
        <w:rPr>
          <w:rFonts w:ascii="Arial" w:eastAsia="Times New Roman" w:hAnsi="Arial" w:cs="Arial"/>
          <w:bCs/>
          <w:sz w:val="20"/>
          <w:szCs w:val="20"/>
          <w:shd w:val="clear" w:color="auto" w:fill="FFFFFF"/>
          <w:lang w:eastAsia="sl-SI"/>
        </w:rPr>
        <w:t xml:space="preserve">, s katerim </w:t>
      </w:r>
      <w:r w:rsidRPr="00747BFE">
        <w:rPr>
          <w:rFonts w:ascii="Arial" w:eastAsia="Calibri" w:hAnsi="Arial" w:cs="Arial"/>
          <w:sz w:val="20"/>
        </w:rPr>
        <w:t xml:space="preserve">Slovenija sledi smernicam EU v smeri zniževanja emisij </w:t>
      </w:r>
      <w:r>
        <w:rPr>
          <w:rFonts w:ascii="Arial" w:eastAsia="Calibri" w:hAnsi="Arial" w:cs="Arial"/>
          <w:sz w:val="20"/>
        </w:rPr>
        <w:t>toplogrednih plinov (</w:t>
      </w:r>
      <w:r w:rsidRPr="00747BFE">
        <w:rPr>
          <w:rFonts w:ascii="Arial" w:eastAsia="Calibri" w:hAnsi="Arial" w:cs="Arial"/>
          <w:sz w:val="20"/>
        </w:rPr>
        <w:t>TGP</w:t>
      </w:r>
      <w:r>
        <w:rPr>
          <w:rFonts w:ascii="Arial" w:eastAsia="Calibri" w:hAnsi="Arial" w:cs="Arial"/>
          <w:sz w:val="20"/>
        </w:rPr>
        <w:t>)</w:t>
      </w:r>
      <w:r w:rsidRPr="00747BFE">
        <w:rPr>
          <w:rFonts w:ascii="Arial" w:eastAsia="Calibri" w:hAnsi="Arial" w:cs="Arial"/>
          <w:sz w:val="20"/>
        </w:rPr>
        <w:t xml:space="preserve"> ter zmanjševanja rabe energije oziroma povečevanja energetske učinkovitosti. Za dosego zastavljenih ciljev in strategij bodo potrebne sinergije ter povezovanja med različnimi resorji in sektorji. Za zmanjševanje TGP bo treba povečati tudi trajnostno mobilnost in vlagati v alternativne vire pridobivanja energije, ki bodo na dolgi rok konkurenčni in stabilni v oskrbi z energijo. Pri tem je zelo pomembno, da sprejme ustreznejši zakonodajni okvir, ki bo zagotavljal lažje umeščanje v prostor, ustrezne pogoje in finančne vire za pospešen razvoj distribucijskega omrežja.</w:t>
      </w:r>
    </w:p>
    <w:p w14:paraId="5672DCE5" w14:textId="77777777" w:rsidR="0089340C" w:rsidRDefault="0089340C" w:rsidP="0089340C">
      <w:pPr>
        <w:spacing w:after="0" w:line="240" w:lineRule="auto"/>
        <w:jc w:val="both"/>
        <w:rPr>
          <w:rFonts w:ascii="Arial" w:eastAsia="Calibri" w:hAnsi="Arial" w:cs="Arial"/>
          <w:sz w:val="20"/>
          <w:szCs w:val="20"/>
        </w:rPr>
      </w:pPr>
    </w:p>
    <w:p w14:paraId="7D684C6D" w14:textId="29B457EA" w:rsidR="006E7C96" w:rsidRPr="00747BFE" w:rsidRDefault="006E7C96" w:rsidP="006E7C96">
      <w:pPr>
        <w:autoSpaceDE w:val="0"/>
        <w:autoSpaceDN w:val="0"/>
        <w:adjustRightInd w:val="0"/>
        <w:spacing w:after="0" w:line="240" w:lineRule="auto"/>
        <w:jc w:val="both"/>
        <w:rPr>
          <w:rFonts w:ascii="Arial" w:eastAsia="Calibri" w:hAnsi="Arial" w:cs="Arial"/>
          <w:sz w:val="20"/>
          <w:szCs w:val="20"/>
        </w:rPr>
      </w:pPr>
      <w:r w:rsidRPr="00747BFE">
        <w:rPr>
          <w:rFonts w:ascii="Arial" w:eastAsia="Calibri" w:hAnsi="Arial" w:cs="Arial"/>
          <w:sz w:val="20"/>
          <w:szCs w:val="20"/>
        </w:rPr>
        <w:t xml:space="preserve">Zanesljivost oskrbe je eden od treh temeljnih stebrov energetske politike in je neločljivo povezan s podnebno trajnostjo in konkurenčnostjo oskrbe z energijo. </w:t>
      </w:r>
      <w:r>
        <w:rPr>
          <w:rFonts w:ascii="Arial" w:eastAsia="Calibri" w:hAnsi="Arial" w:cs="Arial"/>
          <w:sz w:val="20"/>
          <w:szCs w:val="20"/>
        </w:rPr>
        <w:t xml:space="preserve">Različna geografska območja imajo različne </w:t>
      </w:r>
      <w:r w:rsidRPr="00747BFE">
        <w:rPr>
          <w:rFonts w:ascii="Arial" w:eastAsia="Calibri" w:hAnsi="Arial" w:cs="Arial"/>
          <w:sz w:val="20"/>
          <w:szCs w:val="20"/>
        </w:rPr>
        <w:t xml:space="preserve">prednosti in slabosti, glede na njihov potencial pri uvajanju OVE, tako na področju proizvodnje in distribucije električne energije kot tudi na področju </w:t>
      </w:r>
      <w:r w:rsidR="007B61F4">
        <w:rPr>
          <w:rFonts w:ascii="Arial" w:eastAsia="Calibri" w:hAnsi="Arial" w:cs="Arial"/>
          <w:sz w:val="20"/>
          <w:szCs w:val="20"/>
        </w:rPr>
        <w:t>ustrezne dostopnosti do električne energije (</w:t>
      </w:r>
      <w:r w:rsidRPr="00747BFE">
        <w:rPr>
          <w:rFonts w:ascii="Arial" w:eastAsia="Calibri" w:hAnsi="Arial" w:cs="Arial"/>
          <w:sz w:val="20"/>
          <w:szCs w:val="20"/>
        </w:rPr>
        <w:t>ogrevanja in hlajenja</w:t>
      </w:r>
      <w:r w:rsidR="007B61F4">
        <w:rPr>
          <w:rFonts w:ascii="Arial" w:eastAsia="Calibri" w:hAnsi="Arial" w:cs="Arial"/>
          <w:sz w:val="20"/>
          <w:szCs w:val="20"/>
        </w:rPr>
        <w:t>)</w:t>
      </w:r>
      <w:r w:rsidRPr="00747BFE">
        <w:rPr>
          <w:rFonts w:ascii="Arial" w:eastAsia="Calibri" w:hAnsi="Arial" w:cs="Arial"/>
          <w:sz w:val="20"/>
          <w:szCs w:val="20"/>
        </w:rPr>
        <w:t xml:space="preserve">, </w:t>
      </w:r>
      <w:r w:rsidR="007B61F4">
        <w:rPr>
          <w:rFonts w:ascii="Arial" w:eastAsia="Calibri" w:hAnsi="Arial" w:cs="Arial"/>
          <w:sz w:val="20"/>
          <w:szCs w:val="20"/>
        </w:rPr>
        <w:t xml:space="preserve">pri čemer lahko z optimizacijo procesov bolje </w:t>
      </w:r>
      <w:r w:rsidRPr="00747BFE">
        <w:rPr>
          <w:rFonts w:ascii="Arial" w:eastAsia="Calibri" w:hAnsi="Arial" w:cs="Arial"/>
          <w:sz w:val="20"/>
          <w:szCs w:val="20"/>
        </w:rPr>
        <w:t>prispev</w:t>
      </w:r>
      <w:r>
        <w:rPr>
          <w:rFonts w:ascii="Arial" w:eastAsia="Calibri" w:hAnsi="Arial" w:cs="Arial"/>
          <w:sz w:val="20"/>
          <w:szCs w:val="20"/>
        </w:rPr>
        <w:t>amo</w:t>
      </w:r>
      <w:r w:rsidRPr="00747BFE">
        <w:rPr>
          <w:rFonts w:ascii="Arial" w:eastAsia="Calibri" w:hAnsi="Arial" w:cs="Arial"/>
          <w:sz w:val="20"/>
          <w:szCs w:val="20"/>
        </w:rPr>
        <w:t xml:space="preserve"> k trajnostnemu in uravnoteženemu razvoju teh območij in Slovenije kot celote. Razvoj OVE na drugi strani pomeni investicije, ki kratkoročno (z izdelavo, izgradnjo in vgradnjo naprav) in dolgoročno (z upravljanjem in vzdrževanjem) zagotavljajo nova delovna mesta. Na območjih, kjer je večja koncentracija prebivalstva, predvsem v mestih, so zaradi onesnaženosti zraka problematična kurišča v individualnih hišah ali neustrezni daljinski sistemi, zato bodo </w:t>
      </w:r>
      <w:r>
        <w:rPr>
          <w:rFonts w:ascii="Arial" w:eastAsia="Calibri" w:hAnsi="Arial" w:cs="Arial"/>
          <w:sz w:val="20"/>
          <w:szCs w:val="20"/>
        </w:rPr>
        <w:t xml:space="preserve">je treba predvideti </w:t>
      </w:r>
      <w:r w:rsidRPr="00747BFE">
        <w:rPr>
          <w:rFonts w:ascii="Arial" w:eastAsia="Calibri" w:hAnsi="Arial" w:cs="Arial"/>
          <w:sz w:val="20"/>
          <w:szCs w:val="20"/>
        </w:rPr>
        <w:t>investicije</w:t>
      </w:r>
      <w:r>
        <w:rPr>
          <w:rFonts w:ascii="Arial" w:eastAsia="Calibri" w:hAnsi="Arial" w:cs="Arial"/>
          <w:sz w:val="20"/>
          <w:szCs w:val="20"/>
        </w:rPr>
        <w:t>, ki bodo</w:t>
      </w:r>
      <w:r w:rsidRPr="00747BFE">
        <w:rPr>
          <w:rFonts w:ascii="Arial" w:eastAsia="Calibri" w:hAnsi="Arial" w:cs="Arial"/>
          <w:sz w:val="20"/>
          <w:szCs w:val="20"/>
        </w:rPr>
        <w:t xml:space="preserve"> pripomogle k izboljšanju zdravja prebivalstva. </w:t>
      </w:r>
      <w:r w:rsidR="007B61F4">
        <w:rPr>
          <w:rFonts w:ascii="Arial" w:eastAsia="Calibri" w:hAnsi="Arial" w:cs="Arial"/>
          <w:sz w:val="20"/>
          <w:szCs w:val="20"/>
        </w:rPr>
        <w:t>D</w:t>
      </w:r>
      <w:r w:rsidRPr="00747BFE">
        <w:rPr>
          <w:rFonts w:ascii="Arial" w:eastAsia="Calibri" w:hAnsi="Arial" w:cs="Arial"/>
          <w:sz w:val="20"/>
          <w:szCs w:val="20"/>
        </w:rPr>
        <w:t xml:space="preserve">aljinski sistemi </w:t>
      </w:r>
      <w:r w:rsidR="007B61F4">
        <w:rPr>
          <w:rFonts w:ascii="Arial" w:eastAsia="Calibri" w:hAnsi="Arial" w:cs="Arial"/>
          <w:sz w:val="20"/>
          <w:szCs w:val="20"/>
        </w:rPr>
        <w:t xml:space="preserve">so </w:t>
      </w:r>
      <w:r w:rsidRPr="00747BFE">
        <w:rPr>
          <w:rFonts w:ascii="Arial" w:eastAsia="Calibri" w:hAnsi="Arial" w:cs="Arial"/>
          <w:sz w:val="20"/>
          <w:szCs w:val="20"/>
        </w:rPr>
        <w:t>pomemben način ogrevanja za ranljive skupine prebivalstva, ki so zaradi finančnih zmožnosti omejeni pri izbiri načina ogrevanja.</w:t>
      </w:r>
      <w:r>
        <w:rPr>
          <w:rFonts w:ascii="Arial" w:eastAsia="Calibri" w:hAnsi="Arial" w:cs="Arial"/>
          <w:sz w:val="20"/>
          <w:szCs w:val="20"/>
        </w:rPr>
        <w:t xml:space="preserve"> </w:t>
      </w:r>
      <w:r w:rsidRPr="00747BFE">
        <w:rPr>
          <w:rFonts w:ascii="Arial" w:eastAsia="Calibri" w:hAnsi="Arial" w:cs="Arial"/>
          <w:sz w:val="20"/>
          <w:szCs w:val="20"/>
        </w:rPr>
        <w:t xml:space="preserve">Zanesljivo energetsko omrežje je eden temeljev sodobnega bivanja, kar spoznamo ob njegovih večjih izpadih tako doma kot tudi po svetu. </w:t>
      </w:r>
      <w:r w:rsidR="007A4537">
        <w:rPr>
          <w:rFonts w:ascii="Arial" w:eastAsia="Calibri" w:hAnsi="Arial" w:cs="Arial"/>
          <w:sz w:val="20"/>
          <w:szCs w:val="20"/>
        </w:rPr>
        <w:t xml:space="preserve">Zato je čim večja uporaba naprednih, tudi digitalnih tehnologij v procesih prenosa in distribucije električne energije toliko bolj pomembna, saj ohranja stalnost in neprekinjenost dobav ter zadosten obseg razpoložljive energije z dostopnostjo v realnem času. </w:t>
      </w:r>
    </w:p>
    <w:p w14:paraId="2548EAC2" w14:textId="77777777" w:rsidR="006E7C96" w:rsidRDefault="006E7C96" w:rsidP="0089340C">
      <w:pPr>
        <w:spacing w:after="0" w:line="240" w:lineRule="auto"/>
        <w:jc w:val="both"/>
        <w:rPr>
          <w:rFonts w:ascii="Arial" w:eastAsia="Calibri" w:hAnsi="Arial" w:cs="Arial"/>
          <w:sz w:val="20"/>
          <w:szCs w:val="20"/>
        </w:rPr>
      </w:pPr>
    </w:p>
    <w:p w14:paraId="7962E35F" w14:textId="5912E78A" w:rsidR="0089340C" w:rsidRPr="00747BFE" w:rsidRDefault="007A4537" w:rsidP="0089340C">
      <w:pPr>
        <w:spacing w:after="0" w:line="240" w:lineRule="auto"/>
        <w:jc w:val="both"/>
        <w:rPr>
          <w:rFonts w:ascii="Arial" w:eastAsia="Calibri" w:hAnsi="Arial" w:cs="Arial"/>
          <w:sz w:val="20"/>
          <w:szCs w:val="20"/>
        </w:rPr>
      </w:pPr>
      <w:r>
        <w:rPr>
          <w:rFonts w:ascii="Arial" w:eastAsia="Calibri" w:hAnsi="Arial" w:cs="Arial"/>
          <w:sz w:val="20"/>
          <w:szCs w:val="20"/>
        </w:rPr>
        <w:t>Še posebej je to pomemben prehod na OVE</w:t>
      </w:r>
      <w:r w:rsidR="006E7C96">
        <w:rPr>
          <w:rFonts w:ascii="Arial" w:eastAsia="Calibri" w:hAnsi="Arial" w:cs="Arial"/>
          <w:sz w:val="20"/>
          <w:szCs w:val="20"/>
        </w:rPr>
        <w:t xml:space="preserve"> v t.i. premogovniških regijah, ki sodijo v okvir ukrepov Mehanizma za pravični prehod</w:t>
      </w:r>
      <w:r w:rsidR="007B61F4" w:rsidRPr="007B61F4">
        <w:rPr>
          <w:rFonts w:ascii="Arial" w:eastAsia="Calibri" w:hAnsi="Arial" w:cs="Arial"/>
          <w:sz w:val="20"/>
          <w:szCs w:val="20"/>
        </w:rPr>
        <w:t xml:space="preserve"> </w:t>
      </w:r>
      <w:r w:rsidR="007B61F4">
        <w:rPr>
          <w:rFonts w:ascii="Arial" w:eastAsia="Calibri" w:hAnsi="Arial" w:cs="Arial"/>
          <w:sz w:val="20"/>
          <w:szCs w:val="20"/>
        </w:rPr>
        <w:t>- Savinjsko-Šaleška</w:t>
      </w:r>
      <w:r w:rsidR="007B61F4" w:rsidRPr="00747BFE">
        <w:rPr>
          <w:rFonts w:ascii="Arial" w:eastAsia="Calibri" w:hAnsi="Arial" w:cs="Arial"/>
          <w:sz w:val="20"/>
          <w:szCs w:val="20"/>
        </w:rPr>
        <w:t xml:space="preserve"> (SAŠA) regij</w:t>
      </w:r>
      <w:r w:rsidR="007B61F4">
        <w:rPr>
          <w:rFonts w:ascii="Arial" w:eastAsia="Calibri" w:hAnsi="Arial" w:cs="Arial"/>
          <w:sz w:val="20"/>
          <w:szCs w:val="20"/>
        </w:rPr>
        <w:t>a</w:t>
      </w:r>
      <w:r w:rsidR="007B61F4" w:rsidRPr="00747BFE">
        <w:rPr>
          <w:rFonts w:ascii="Arial" w:eastAsia="Calibri" w:hAnsi="Arial" w:cs="Arial"/>
          <w:sz w:val="20"/>
          <w:szCs w:val="20"/>
        </w:rPr>
        <w:t xml:space="preserve"> in Zasavsk</w:t>
      </w:r>
      <w:r w:rsidR="007B61F4">
        <w:rPr>
          <w:rFonts w:ascii="Arial" w:eastAsia="Calibri" w:hAnsi="Arial" w:cs="Arial"/>
          <w:sz w:val="20"/>
          <w:szCs w:val="20"/>
        </w:rPr>
        <w:t>a</w:t>
      </w:r>
      <w:r w:rsidR="007B61F4" w:rsidRPr="00747BFE">
        <w:rPr>
          <w:rFonts w:ascii="Arial" w:eastAsia="Calibri" w:hAnsi="Arial" w:cs="Arial"/>
          <w:sz w:val="20"/>
          <w:szCs w:val="20"/>
        </w:rPr>
        <w:t xml:space="preserve"> regij</w:t>
      </w:r>
      <w:r w:rsidR="007B61F4">
        <w:rPr>
          <w:rFonts w:ascii="Arial" w:eastAsia="Calibri" w:hAnsi="Arial" w:cs="Arial"/>
          <w:sz w:val="20"/>
          <w:szCs w:val="20"/>
        </w:rPr>
        <w:t xml:space="preserve">a. </w:t>
      </w:r>
      <w:r>
        <w:rPr>
          <w:rFonts w:ascii="Arial" w:eastAsia="Calibri" w:hAnsi="Arial" w:cs="Arial"/>
          <w:sz w:val="20"/>
          <w:szCs w:val="20"/>
        </w:rPr>
        <w:t>V</w:t>
      </w:r>
      <w:r w:rsidR="007B61F4">
        <w:rPr>
          <w:rFonts w:ascii="Arial" w:eastAsia="Calibri" w:hAnsi="Arial" w:cs="Arial"/>
          <w:sz w:val="20"/>
          <w:szCs w:val="20"/>
        </w:rPr>
        <w:t xml:space="preserve"> </w:t>
      </w:r>
      <w:r w:rsidR="0089340C" w:rsidRPr="00747BFE">
        <w:rPr>
          <w:rFonts w:ascii="Arial" w:eastAsia="Calibri" w:hAnsi="Arial" w:cs="Arial"/>
          <w:sz w:val="20"/>
          <w:szCs w:val="20"/>
        </w:rPr>
        <w:t>pripravi</w:t>
      </w:r>
      <w:r>
        <w:rPr>
          <w:rFonts w:ascii="Arial" w:eastAsia="Calibri" w:hAnsi="Arial" w:cs="Arial"/>
          <w:sz w:val="20"/>
          <w:szCs w:val="20"/>
        </w:rPr>
        <w:t xml:space="preserve"> s</w:t>
      </w:r>
      <w:r w:rsidR="00210E47">
        <w:rPr>
          <w:rFonts w:ascii="Arial" w:eastAsia="Calibri" w:hAnsi="Arial" w:cs="Arial"/>
          <w:sz w:val="20"/>
          <w:szCs w:val="20"/>
        </w:rPr>
        <w:t>ta</w:t>
      </w:r>
      <w:r w:rsidR="0089340C">
        <w:rPr>
          <w:rFonts w:ascii="Arial" w:eastAsia="Calibri" w:hAnsi="Arial" w:cs="Arial"/>
          <w:sz w:val="20"/>
          <w:szCs w:val="20"/>
        </w:rPr>
        <w:t xml:space="preserve"> </w:t>
      </w:r>
      <w:r w:rsidR="0089340C" w:rsidRPr="0089340C">
        <w:rPr>
          <w:rFonts w:ascii="Arial" w:eastAsia="Calibri" w:hAnsi="Arial" w:cs="Arial"/>
          <w:b/>
          <w:sz w:val="20"/>
          <w:szCs w:val="20"/>
        </w:rPr>
        <w:t>Območn</w:t>
      </w:r>
      <w:r w:rsidR="00210E47">
        <w:rPr>
          <w:rFonts w:ascii="Arial" w:eastAsia="Calibri" w:hAnsi="Arial" w:cs="Arial"/>
          <w:b/>
          <w:sz w:val="20"/>
          <w:szCs w:val="20"/>
        </w:rPr>
        <w:t>a</w:t>
      </w:r>
      <w:r w:rsidR="0089340C" w:rsidRPr="0089340C">
        <w:rPr>
          <w:rFonts w:ascii="Arial" w:eastAsia="Calibri" w:hAnsi="Arial" w:cs="Arial"/>
          <w:b/>
          <w:sz w:val="20"/>
          <w:szCs w:val="20"/>
        </w:rPr>
        <w:t xml:space="preserve"> razvojn</w:t>
      </w:r>
      <w:r w:rsidR="00210E47">
        <w:rPr>
          <w:rFonts w:ascii="Arial" w:eastAsia="Calibri" w:hAnsi="Arial" w:cs="Arial"/>
          <w:b/>
          <w:sz w:val="20"/>
          <w:szCs w:val="20"/>
        </w:rPr>
        <w:t>a</w:t>
      </w:r>
      <w:r w:rsidR="0089340C" w:rsidRPr="0089340C">
        <w:rPr>
          <w:rFonts w:ascii="Arial" w:eastAsia="Calibri" w:hAnsi="Arial" w:cs="Arial"/>
          <w:b/>
          <w:sz w:val="20"/>
          <w:szCs w:val="20"/>
        </w:rPr>
        <w:t xml:space="preserve"> načrt</w:t>
      </w:r>
      <w:r w:rsidR="00210E47">
        <w:rPr>
          <w:rFonts w:ascii="Arial" w:eastAsia="Calibri" w:hAnsi="Arial" w:cs="Arial"/>
          <w:b/>
          <w:sz w:val="20"/>
          <w:szCs w:val="20"/>
        </w:rPr>
        <w:t>a za pravični prehod</w:t>
      </w:r>
      <w:r w:rsidR="0089340C">
        <w:rPr>
          <w:rFonts w:ascii="Arial" w:eastAsia="Calibri" w:hAnsi="Arial" w:cs="Arial"/>
          <w:sz w:val="20"/>
          <w:szCs w:val="20"/>
        </w:rPr>
        <w:t>, ki ima</w:t>
      </w:r>
      <w:r w:rsidR="00210E47">
        <w:rPr>
          <w:rFonts w:ascii="Arial" w:eastAsia="Calibri" w:hAnsi="Arial" w:cs="Arial"/>
          <w:sz w:val="20"/>
          <w:szCs w:val="20"/>
        </w:rPr>
        <w:t>ta</w:t>
      </w:r>
      <w:r w:rsidR="0089340C">
        <w:rPr>
          <w:rFonts w:ascii="Arial" w:eastAsia="Calibri" w:hAnsi="Arial" w:cs="Arial"/>
          <w:sz w:val="20"/>
          <w:szCs w:val="20"/>
        </w:rPr>
        <w:t xml:space="preserve"> za izhodišče </w:t>
      </w:r>
      <w:r w:rsidR="0089340C">
        <w:rPr>
          <w:rFonts w:ascii="Arial" w:eastAsia="Calibri" w:hAnsi="Arial" w:cs="Arial"/>
          <w:b/>
          <w:sz w:val="20"/>
          <w:szCs w:val="20"/>
        </w:rPr>
        <w:t>Nacionalno strategijo</w:t>
      </w:r>
      <w:r w:rsidR="0089340C" w:rsidRPr="00747BFE">
        <w:rPr>
          <w:rFonts w:ascii="Arial" w:eastAsia="Calibri" w:hAnsi="Arial" w:cs="Arial"/>
          <w:b/>
          <w:sz w:val="20"/>
          <w:szCs w:val="20"/>
        </w:rPr>
        <w:t xml:space="preserve"> za izstop iz premoga in prestrukturiranje premogovnih regij v skladu z načeli pravičnega prehoda</w:t>
      </w:r>
      <w:r w:rsidR="0089340C" w:rsidRPr="00747BFE">
        <w:rPr>
          <w:rFonts w:ascii="Arial" w:eastAsia="Calibri" w:hAnsi="Arial" w:cs="Arial"/>
          <w:sz w:val="20"/>
          <w:szCs w:val="20"/>
        </w:rPr>
        <w:t xml:space="preserve">, ki  določa leto </w:t>
      </w:r>
      <w:r w:rsidR="00210E47">
        <w:rPr>
          <w:rFonts w:ascii="Arial" w:eastAsia="Calibri" w:hAnsi="Arial" w:cs="Arial"/>
          <w:sz w:val="20"/>
          <w:szCs w:val="20"/>
        </w:rPr>
        <w:t xml:space="preserve">2033 kot leto </w:t>
      </w:r>
      <w:r w:rsidR="0089340C" w:rsidRPr="00747BFE">
        <w:rPr>
          <w:rFonts w:ascii="Arial" w:eastAsia="Calibri" w:hAnsi="Arial" w:cs="Arial"/>
          <w:sz w:val="20"/>
          <w:szCs w:val="20"/>
        </w:rPr>
        <w:t>prenehanja rabe premoga za proizvodnjo energije v Sloveniji</w:t>
      </w:r>
      <w:r w:rsidR="007B61F4">
        <w:rPr>
          <w:rFonts w:ascii="Arial" w:eastAsia="Calibri" w:hAnsi="Arial" w:cs="Arial"/>
          <w:sz w:val="20"/>
          <w:szCs w:val="20"/>
        </w:rPr>
        <w:t xml:space="preserve">. S </w:t>
      </w:r>
      <w:r w:rsidR="0089340C" w:rsidRPr="00747BFE">
        <w:rPr>
          <w:rFonts w:ascii="Arial" w:eastAsia="Calibri" w:hAnsi="Arial" w:cs="Arial"/>
          <w:sz w:val="20"/>
          <w:szCs w:val="20"/>
        </w:rPr>
        <w:t>tem bo Slovenija naredila pomemben korak k podnebno nevtralni družbi.</w:t>
      </w:r>
    </w:p>
    <w:p w14:paraId="61B9BDFA" w14:textId="77777777" w:rsidR="0089340C" w:rsidRDefault="0089340C" w:rsidP="00747BFE">
      <w:pPr>
        <w:spacing w:after="0" w:line="240" w:lineRule="auto"/>
        <w:jc w:val="both"/>
        <w:rPr>
          <w:rFonts w:ascii="Arial" w:eastAsia="Calibri" w:hAnsi="Arial" w:cs="Arial"/>
          <w:sz w:val="20"/>
          <w:szCs w:val="20"/>
        </w:rPr>
      </w:pPr>
    </w:p>
    <w:p w14:paraId="2DBA1370" w14:textId="77777777" w:rsidR="00DB3D8F" w:rsidRDefault="006E7C96" w:rsidP="00747BFE">
      <w:pPr>
        <w:spacing w:after="0" w:line="240" w:lineRule="auto"/>
        <w:jc w:val="both"/>
        <w:rPr>
          <w:rFonts w:ascii="Arial" w:eastAsia="Calibri" w:hAnsi="Arial" w:cs="Times New Roman"/>
          <w:sz w:val="20"/>
        </w:rPr>
      </w:pPr>
      <w:r w:rsidRPr="006E7C96">
        <w:rPr>
          <w:rFonts w:ascii="Arial" w:eastAsia="Calibri" w:hAnsi="Arial" w:cs="Arial"/>
          <w:sz w:val="20"/>
          <w:szCs w:val="20"/>
        </w:rPr>
        <w:t>Tudi v prihodnje Slovenija predvideva vlaganja v različne oblike proizvodnje čistejše električne energije. V skladu z NEPN  bomo spodbujali tiste tehnologije</w:t>
      </w:r>
      <w:r w:rsidR="007A4537">
        <w:rPr>
          <w:rFonts w:ascii="Arial" w:eastAsia="Calibri" w:hAnsi="Arial" w:cs="Arial"/>
          <w:sz w:val="20"/>
          <w:szCs w:val="20"/>
        </w:rPr>
        <w:t>, ki bodo ustrezno podprle proizvodnjo električne energije iz</w:t>
      </w:r>
      <w:r w:rsidRPr="006E7C96">
        <w:rPr>
          <w:rFonts w:ascii="Arial" w:eastAsia="Calibri" w:hAnsi="Arial" w:cs="Arial"/>
          <w:sz w:val="20"/>
          <w:szCs w:val="20"/>
        </w:rPr>
        <w:t xml:space="preserve"> obnovljivih virov, </w:t>
      </w:r>
      <w:r w:rsidR="007A4537">
        <w:rPr>
          <w:rFonts w:ascii="Arial" w:eastAsia="Calibri" w:hAnsi="Arial" w:cs="Arial"/>
          <w:sz w:val="20"/>
          <w:szCs w:val="20"/>
        </w:rPr>
        <w:t xml:space="preserve">njihovo učinkovito distribucijo in tudi hrambo energije. </w:t>
      </w:r>
      <w:r w:rsidR="007B61F4">
        <w:rPr>
          <w:rFonts w:ascii="Arial" w:eastAsia="Calibri" w:hAnsi="Arial" w:cs="Arial"/>
          <w:sz w:val="20"/>
          <w:szCs w:val="20"/>
        </w:rPr>
        <w:t xml:space="preserve">Pomemben je tudi </w:t>
      </w:r>
      <w:r w:rsidRPr="006E7C96">
        <w:rPr>
          <w:rFonts w:ascii="Arial" w:eastAsia="Calibri" w:hAnsi="Arial" w:cs="Arial"/>
          <w:sz w:val="20"/>
          <w:szCs w:val="20"/>
        </w:rPr>
        <w:t>razvoj in proizvodnj</w:t>
      </w:r>
      <w:r w:rsidR="007B61F4">
        <w:rPr>
          <w:rFonts w:ascii="Arial" w:eastAsia="Calibri" w:hAnsi="Arial" w:cs="Arial"/>
          <w:sz w:val="20"/>
          <w:szCs w:val="20"/>
        </w:rPr>
        <w:t>a</w:t>
      </w:r>
      <w:r w:rsidRPr="006E7C96">
        <w:rPr>
          <w:rFonts w:ascii="Arial" w:eastAsia="Calibri" w:hAnsi="Arial" w:cs="Arial"/>
          <w:sz w:val="20"/>
          <w:szCs w:val="20"/>
        </w:rPr>
        <w:t xml:space="preserve"> čistejših virov energije, alternativnih in naprednih goriv ter vzpostavljanje lokalnih energetskih skupnosti</w:t>
      </w:r>
      <w:r w:rsidR="007B61F4">
        <w:rPr>
          <w:rFonts w:ascii="Arial" w:eastAsia="Calibri" w:hAnsi="Arial" w:cs="Arial"/>
          <w:sz w:val="20"/>
          <w:szCs w:val="20"/>
        </w:rPr>
        <w:t>, še zlasti pa so pomembna vlaganja v</w:t>
      </w:r>
      <w:r w:rsidRPr="006E7C96">
        <w:rPr>
          <w:rFonts w:ascii="Arial" w:eastAsia="Calibri" w:hAnsi="Arial" w:cs="Arial"/>
          <w:sz w:val="20"/>
          <w:szCs w:val="20"/>
        </w:rPr>
        <w:t xml:space="preserve"> nadaljnj</w:t>
      </w:r>
      <w:r w:rsidR="007B61F4">
        <w:rPr>
          <w:rFonts w:ascii="Arial" w:eastAsia="Calibri" w:hAnsi="Arial" w:cs="Arial"/>
          <w:sz w:val="20"/>
          <w:szCs w:val="20"/>
        </w:rPr>
        <w:t xml:space="preserve">o vzpostavitev </w:t>
      </w:r>
      <w:r w:rsidRPr="006E7C96">
        <w:rPr>
          <w:rFonts w:ascii="Arial" w:eastAsia="Calibri" w:hAnsi="Arial" w:cs="Arial"/>
          <w:sz w:val="20"/>
          <w:szCs w:val="20"/>
        </w:rPr>
        <w:t>pametnih sistemov</w:t>
      </w:r>
      <w:r w:rsidR="007B61F4">
        <w:rPr>
          <w:rFonts w:ascii="Arial" w:eastAsia="Calibri" w:hAnsi="Arial" w:cs="Arial"/>
          <w:sz w:val="20"/>
          <w:szCs w:val="20"/>
        </w:rPr>
        <w:t xml:space="preserve"> za proizvodnjo,</w:t>
      </w:r>
      <w:r w:rsidRPr="006E7C96">
        <w:rPr>
          <w:rFonts w:ascii="Arial" w:eastAsia="Calibri" w:hAnsi="Arial" w:cs="Arial"/>
          <w:sz w:val="20"/>
          <w:szCs w:val="20"/>
        </w:rPr>
        <w:t xml:space="preserve"> distribucijo energije</w:t>
      </w:r>
      <w:r w:rsidR="007B61F4">
        <w:rPr>
          <w:rFonts w:ascii="Arial" w:eastAsia="Calibri" w:hAnsi="Arial" w:cs="Arial"/>
          <w:sz w:val="20"/>
          <w:szCs w:val="20"/>
        </w:rPr>
        <w:t xml:space="preserve"> in oblikovanje ustreznih modelov za njihovo učinkovito implementacijo</w:t>
      </w:r>
      <w:r w:rsidRPr="006E7C96">
        <w:rPr>
          <w:rFonts w:ascii="Arial" w:eastAsia="Calibri" w:hAnsi="Arial" w:cs="Arial"/>
          <w:sz w:val="20"/>
          <w:szCs w:val="20"/>
        </w:rPr>
        <w:t>.</w:t>
      </w:r>
      <w:r w:rsidR="00DB3D8F" w:rsidRPr="00DB3D8F">
        <w:rPr>
          <w:rFonts w:ascii="Arial" w:eastAsia="Calibri" w:hAnsi="Arial" w:cs="Times New Roman"/>
          <w:sz w:val="20"/>
        </w:rPr>
        <w:t xml:space="preserve"> </w:t>
      </w:r>
    </w:p>
    <w:p w14:paraId="56886D94" w14:textId="77777777" w:rsidR="007F34FE" w:rsidRDefault="007F34FE" w:rsidP="00747BFE">
      <w:pPr>
        <w:spacing w:after="0" w:line="240" w:lineRule="auto"/>
        <w:jc w:val="both"/>
        <w:rPr>
          <w:rFonts w:ascii="Arial" w:eastAsia="Calibri" w:hAnsi="Arial" w:cs="Times New Roman"/>
          <w:sz w:val="20"/>
        </w:rPr>
      </w:pPr>
    </w:p>
    <w:p w14:paraId="4AE0A1F4" w14:textId="5DA5A627" w:rsidR="007F34FE" w:rsidRDefault="00210E47" w:rsidP="00747BFE">
      <w:pPr>
        <w:spacing w:after="0" w:line="240" w:lineRule="auto"/>
        <w:jc w:val="both"/>
        <w:rPr>
          <w:rFonts w:ascii="Arial" w:eastAsia="Calibri" w:hAnsi="Arial" w:cs="Times New Roman"/>
          <w:sz w:val="20"/>
        </w:rPr>
      </w:pPr>
      <w:r>
        <w:rPr>
          <w:rFonts w:ascii="Arial" w:eastAsia="Calibri" w:hAnsi="Arial" w:cs="Times New Roman"/>
          <w:sz w:val="20"/>
        </w:rPr>
        <w:t>N</w:t>
      </w:r>
      <w:r w:rsidR="009468DA">
        <w:rPr>
          <w:rFonts w:ascii="Arial" w:eastAsia="Calibri" w:hAnsi="Arial" w:cs="Times New Roman"/>
          <w:sz w:val="20"/>
        </w:rPr>
        <w:t>ekatere tehnologije</w:t>
      </w:r>
      <w:r>
        <w:rPr>
          <w:rFonts w:ascii="Arial" w:eastAsia="Calibri" w:hAnsi="Arial" w:cs="Times New Roman"/>
          <w:sz w:val="20"/>
        </w:rPr>
        <w:t xml:space="preserve"> danes</w:t>
      </w:r>
      <w:r w:rsidR="009468DA">
        <w:rPr>
          <w:rFonts w:ascii="Arial" w:eastAsia="Calibri" w:hAnsi="Arial" w:cs="Times New Roman"/>
          <w:sz w:val="20"/>
        </w:rPr>
        <w:t xml:space="preserve"> že ob</w:t>
      </w:r>
      <w:r w:rsidR="00263F35">
        <w:rPr>
          <w:rFonts w:ascii="Arial" w:eastAsia="Calibri" w:hAnsi="Arial" w:cs="Times New Roman"/>
          <w:sz w:val="20"/>
        </w:rPr>
        <w:t>stajajo in jih je treba ustrezno nadgraditi za zagotovitev večje energetske učinkovitosti</w:t>
      </w:r>
      <w:r>
        <w:rPr>
          <w:rFonts w:ascii="Arial" w:eastAsia="Calibri" w:hAnsi="Arial" w:cs="Times New Roman"/>
          <w:sz w:val="20"/>
        </w:rPr>
        <w:t xml:space="preserve"> v gospodarstvu. H</w:t>
      </w:r>
      <w:r w:rsidR="00263F35">
        <w:rPr>
          <w:rFonts w:ascii="Arial" w:eastAsia="Calibri" w:hAnsi="Arial" w:cs="Times New Roman"/>
          <w:sz w:val="20"/>
        </w:rPr>
        <w:t xml:space="preserve">krati pa je treba razviti nove tehnologije, ki bodo prispevale tako k bolj učinkoviti rabi OVE, kot </w:t>
      </w:r>
      <w:r w:rsidR="007F34FE">
        <w:rPr>
          <w:rFonts w:ascii="Arial" w:eastAsia="Calibri" w:hAnsi="Arial" w:cs="Times New Roman"/>
          <w:sz w:val="20"/>
        </w:rPr>
        <w:t xml:space="preserve">tudi </w:t>
      </w:r>
      <w:r w:rsidR="00263F35">
        <w:rPr>
          <w:rFonts w:ascii="Arial" w:eastAsia="Calibri" w:hAnsi="Arial" w:cs="Times New Roman"/>
          <w:sz w:val="20"/>
        </w:rPr>
        <w:t>k doseganju večje energetske učinkovitosti s hkratno modifikacijo in prilagoditvijo poslovnih procesov v podjetjih</w:t>
      </w:r>
      <w:r>
        <w:rPr>
          <w:rFonts w:ascii="Arial" w:eastAsia="Calibri" w:hAnsi="Arial" w:cs="Times New Roman"/>
          <w:sz w:val="20"/>
        </w:rPr>
        <w:t>. Te tehnologije naslavljamo</w:t>
      </w:r>
      <w:r w:rsidR="00263F35">
        <w:rPr>
          <w:rFonts w:ascii="Arial" w:eastAsia="Calibri" w:hAnsi="Arial" w:cs="Times New Roman"/>
          <w:sz w:val="20"/>
        </w:rPr>
        <w:t>, v sklopu</w:t>
      </w:r>
      <w:r w:rsidR="007F34FE">
        <w:rPr>
          <w:rFonts w:ascii="Arial" w:eastAsia="Calibri" w:hAnsi="Arial" w:cs="Times New Roman"/>
          <w:sz w:val="20"/>
        </w:rPr>
        <w:t xml:space="preserve"> reformnih elementov ali komponent, ki temeljijo predvsem na optimizaciji procesov za doseganje energetske učinkovitosti v gospodarstvu</w:t>
      </w:r>
      <w:r>
        <w:rPr>
          <w:rFonts w:ascii="Arial" w:eastAsia="Calibri" w:hAnsi="Arial" w:cs="Times New Roman"/>
          <w:sz w:val="20"/>
        </w:rPr>
        <w:t>, predvsem</w:t>
      </w:r>
      <w:r w:rsidR="007F34FE">
        <w:rPr>
          <w:rFonts w:ascii="Arial" w:eastAsia="Calibri" w:hAnsi="Arial" w:cs="Times New Roman"/>
          <w:sz w:val="20"/>
        </w:rPr>
        <w:t xml:space="preserve"> z razvojem in uporabo inovativnih naprednih tehnologij s področja energije ter ob podpori naprednih digitalnih tehnologij, ki lahko energetsko učinkovitost zagotovi tudi v daljšem obdobju. </w:t>
      </w:r>
    </w:p>
    <w:p w14:paraId="26B1E9A8" w14:textId="77777777" w:rsidR="007F34FE" w:rsidRDefault="007F34FE" w:rsidP="00747BFE">
      <w:pPr>
        <w:spacing w:after="0" w:line="240" w:lineRule="auto"/>
        <w:jc w:val="both"/>
        <w:rPr>
          <w:rFonts w:ascii="Arial" w:eastAsia="Calibri" w:hAnsi="Arial" w:cs="Times New Roman"/>
          <w:sz w:val="20"/>
        </w:rPr>
      </w:pPr>
    </w:p>
    <w:p w14:paraId="125D879C" w14:textId="48C1AE24" w:rsidR="007F34FE" w:rsidRDefault="007F34FE" w:rsidP="00747BFE">
      <w:pPr>
        <w:spacing w:after="0" w:line="240" w:lineRule="auto"/>
        <w:jc w:val="both"/>
        <w:rPr>
          <w:rFonts w:ascii="Arial" w:eastAsia="Calibri" w:hAnsi="Arial" w:cs="Times New Roman"/>
          <w:sz w:val="20"/>
        </w:rPr>
      </w:pPr>
      <w:r>
        <w:rPr>
          <w:rFonts w:ascii="Arial" w:eastAsia="Calibri" w:hAnsi="Arial" w:cs="Times New Roman"/>
          <w:sz w:val="20"/>
        </w:rPr>
        <w:t>Operacionalizacija strateških izhodišč je predvidena skozi Akcijske načrte za posamez</w:t>
      </w:r>
      <w:r w:rsidR="00210E47">
        <w:rPr>
          <w:rFonts w:ascii="Arial" w:eastAsia="Calibri" w:hAnsi="Arial" w:cs="Times New Roman"/>
          <w:sz w:val="20"/>
        </w:rPr>
        <w:t>e</w:t>
      </w:r>
      <w:r>
        <w:rPr>
          <w:rFonts w:ascii="Arial" w:eastAsia="Calibri" w:hAnsi="Arial" w:cs="Times New Roman"/>
          <w:sz w:val="20"/>
        </w:rPr>
        <w:t xml:space="preserve">n element reforme ter opredelitev postopka izvedbe testnega laboratorija za inovativne tehnološke rešitve s področja energetske učinkovitosti v gospodarstvu, in sicer: </w:t>
      </w:r>
    </w:p>
    <w:p w14:paraId="49426EEC" w14:textId="4BE6E235" w:rsidR="00A15ADE" w:rsidRDefault="00A15ADE" w:rsidP="00747BFE">
      <w:pPr>
        <w:spacing w:after="0" w:line="240" w:lineRule="auto"/>
        <w:jc w:val="both"/>
        <w:rPr>
          <w:rFonts w:ascii="Arial" w:eastAsia="Calibri" w:hAnsi="Arial" w:cs="Times New Roman"/>
          <w:sz w:val="20"/>
        </w:rPr>
      </w:pPr>
    </w:p>
    <w:p w14:paraId="7380DA86" w14:textId="005FD7F3" w:rsidR="00A15ADE" w:rsidRDefault="00A15ADE" w:rsidP="00747BFE">
      <w:pPr>
        <w:spacing w:after="0" w:line="240" w:lineRule="auto"/>
        <w:jc w:val="both"/>
        <w:rPr>
          <w:rFonts w:ascii="Arial" w:eastAsia="Calibri" w:hAnsi="Arial" w:cs="Times New Roman"/>
          <w:sz w:val="20"/>
        </w:rPr>
      </w:pPr>
      <w:r w:rsidRPr="00D737FB">
        <w:rPr>
          <w:rFonts w:ascii="Arial" w:eastAsia="Calibri" w:hAnsi="Arial" w:cs="Times New Roman"/>
          <w:b/>
          <w:sz w:val="20"/>
        </w:rPr>
        <w:t>Akcijski načrt</w:t>
      </w:r>
      <w:r w:rsidR="0020527C" w:rsidRPr="00D737FB">
        <w:rPr>
          <w:rFonts w:ascii="Arial" w:eastAsia="Calibri" w:hAnsi="Arial" w:cs="Times New Roman"/>
          <w:b/>
          <w:sz w:val="20"/>
        </w:rPr>
        <w:t>i</w:t>
      </w:r>
      <w:r w:rsidRPr="00D737FB">
        <w:rPr>
          <w:rFonts w:ascii="Arial" w:eastAsia="Calibri" w:hAnsi="Arial" w:cs="Times New Roman"/>
          <w:b/>
          <w:sz w:val="20"/>
        </w:rPr>
        <w:t xml:space="preserve"> za energetsko </w:t>
      </w:r>
      <w:r w:rsidR="0020527C" w:rsidRPr="00D737FB">
        <w:rPr>
          <w:rFonts w:ascii="Arial" w:eastAsia="Calibri" w:hAnsi="Arial" w:cs="Times New Roman"/>
          <w:b/>
          <w:sz w:val="20"/>
        </w:rPr>
        <w:t>učinkovitost</w:t>
      </w:r>
      <w:r>
        <w:rPr>
          <w:rFonts w:ascii="Arial" w:eastAsia="Calibri" w:hAnsi="Arial" w:cs="Times New Roman"/>
          <w:sz w:val="20"/>
        </w:rPr>
        <w:t xml:space="preserve"> (prilagoditev za dostopnost) </w:t>
      </w:r>
    </w:p>
    <w:p w14:paraId="4990B416" w14:textId="0105CDBE" w:rsidR="00D737FB" w:rsidRDefault="00D737FB" w:rsidP="00747BFE">
      <w:pPr>
        <w:spacing w:after="0" w:line="240" w:lineRule="auto"/>
        <w:jc w:val="both"/>
        <w:rPr>
          <w:rFonts w:ascii="Arial" w:eastAsia="Calibri" w:hAnsi="Arial" w:cs="Times New Roman"/>
          <w:sz w:val="20"/>
        </w:rPr>
      </w:pPr>
    </w:p>
    <w:p w14:paraId="56B2AEDD" w14:textId="3C201F84" w:rsidR="00D737FB" w:rsidRDefault="00D737FB" w:rsidP="00D737FB">
      <w:pPr>
        <w:pStyle w:val="Odstavekseznama"/>
        <w:numPr>
          <w:ilvl w:val="0"/>
          <w:numId w:val="30"/>
        </w:numPr>
        <w:spacing w:after="0" w:line="240" w:lineRule="auto"/>
        <w:jc w:val="both"/>
        <w:rPr>
          <w:rFonts w:ascii="Arial" w:eastAsia="Calibri" w:hAnsi="Arial" w:cs="Times New Roman"/>
          <w:sz w:val="20"/>
        </w:rPr>
      </w:pPr>
      <w:r w:rsidRPr="00D737FB">
        <w:rPr>
          <w:rFonts w:ascii="Arial" w:eastAsia="Calibri" w:hAnsi="Arial" w:cs="Times New Roman"/>
          <w:sz w:val="20"/>
        </w:rPr>
        <w:t xml:space="preserve">Krepitev tržnega mehanizma za spodbujanje proizvodnje in uporabe OVE kot strateškega izhodišča </w:t>
      </w:r>
      <w:r>
        <w:rPr>
          <w:rFonts w:ascii="Arial" w:eastAsia="Calibri" w:hAnsi="Arial" w:cs="Times New Roman"/>
          <w:sz w:val="20"/>
        </w:rPr>
        <w:t>za naslavljanje tržnih vrzeli na področju energetske učinkovitosti v gospodarstvu – Akcijski načrt za vzpostavitev modela upravljanja z obnovljivimi viri energije na strani ponudbe in povpraševanja</w:t>
      </w:r>
    </w:p>
    <w:p w14:paraId="3765E026" w14:textId="346B71F6" w:rsidR="00D737FB" w:rsidRDefault="00D737FB" w:rsidP="00D737FB">
      <w:pPr>
        <w:pStyle w:val="Odstavekseznama"/>
        <w:numPr>
          <w:ilvl w:val="0"/>
          <w:numId w:val="30"/>
        </w:numPr>
        <w:spacing w:after="0" w:line="240" w:lineRule="auto"/>
        <w:jc w:val="both"/>
        <w:rPr>
          <w:rFonts w:ascii="Arial" w:eastAsia="Calibri" w:hAnsi="Arial" w:cs="Times New Roman"/>
          <w:sz w:val="20"/>
        </w:rPr>
      </w:pPr>
      <w:r>
        <w:rPr>
          <w:rFonts w:ascii="Arial" w:eastAsia="Calibri" w:hAnsi="Arial" w:cs="Times New Roman"/>
          <w:sz w:val="20"/>
        </w:rPr>
        <w:t>Pilotna izvedba tehnološke rešitve oziroma orodja za register ETS za podjetja, vključena v sistem ETS – Akcijski načrt za pripravo tehnološke rešitve / orodja za register ETS za podjetja, vključena v sistem ETS</w:t>
      </w:r>
    </w:p>
    <w:p w14:paraId="18FFBA3E" w14:textId="2AF6FA78" w:rsidR="00D737FB" w:rsidRDefault="00D737FB" w:rsidP="00D737FB">
      <w:pPr>
        <w:pStyle w:val="Odstavekseznama"/>
        <w:numPr>
          <w:ilvl w:val="0"/>
          <w:numId w:val="30"/>
        </w:numPr>
        <w:spacing w:after="0" w:line="240" w:lineRule="auto"/>
        <w:jc w:val="both"/>
        <w:rPr>
          <w:rFonts w:ascii="Arial" w:eastAsia="Calibri" w:hAnsi="Arial" w:cs="Times New Roman"/>
          <w:sz w:val="20"/>
        </w:rPr>
      </w:pPr>
      <w:r>
        <w:rPr>
          <w:rFonts w:ascii="Arial" w:eastAsia="Calibri" w:hAnsi="Arial" w:cs="Times New Roman"/>
          <w:sz w:val="20"/>
        </w:rPr>
        <w:t xml:space="preserve">Povečanje potenciala energetske učinkovitosti v industriji, še posebej na področju investicij </w:t>
      </w:r>
      <w:r w:rsidR="00F80520">
        <w:rPr>
          <w:rFonts w:ascii="Arial" w:eastAsia="Calibri" w:hAnsi="Arial" w:cs="Times New Roman"/>
          <w:sz w:val="20"/>
        </w:rPr>
        <w:t>in v gradbenem sektorju – Akcijski načrt uvedbe in uporabe digitalizacije v gradbeništvu</w:t>
      </w:r>
    </w:p>
    <w:p w14:paraId="5FF38809" w14:textId="4B81A53A" w:rsidR="00F80520" w:rsidRPr="00D737FB" w:rsidRDefault="00F80520" w:rsidP="00D737FB">
      <w:pPr>
        <w:pStyle w:val="Odstavekseznama"/>
        <w:numPr>
          <w:ilvl w:val="0"/>
          <w:numId w:val="30"/>
        </w:numPr>
        <w:spacing w:after="0" w:line="240" w:lineRule="auto"/>
        <w:jc w:val="both"/>
        <w:rPr>
          <w:rFonts w:ascii="Arial" w:eastAsia="Calibri" w:hAnsi="Arial" w:cs="Times New Roman"/>
          <w:sz w:val="20"/>
        </w:rPr>
      </w:pPr>
      <w:r>
        <w:rPr>
          <w:rFonts w:ascii="Arial" w:eastAsia="Calibri" w:hAnsi="Arial" w:cs="Times New Roman"/>
          <w:sz w:val="20"/>
        </w:rPr>
        <w:t>Vzpostavitev testnega laboratorija za regulatorne rešitve za hitrejšo integracijo inovativnih tehnoloških rešitev v zakonodajo – Pravilnik za vzpostavitev in delovanje testnega laboratorija / regulatornega peskovnika (sandbox-a) za napredne tehnologije na področju energetske učinkovitosti</w:t>
      </w:r>
    </w:p>
    <w:p w14:paraId="29281A47" w14:textId="77777777" w:rsidR="007F34FE" w:rsidRDefault="007F34FE" w:rsidP="00747BFE">
      <w:pPr>
        <w:spacing w:after="0" w:line="240" w:lineRule="auto"/>
        <w:jc w:val="both"/>
        <w:rPr>
          <w:rFonts w:ascii="Arial" w:eastAsia="Calibri" w:hAnsi="Arial" w:cs="Times New Roman"/>
          <w:sz w:val="20"/>
        </w:rPr>
      </w:pPr>
    </w:p>
    <w:p w14:paraId="0284EEE3" w14:textId="52931A4C" w:rsidR="007F34FE" w:rsidRDefault="007F34FE" w:rsidP="00747BFE">
      <w:pPr>
        <w:spacing w:after="0" w:line="240" w:lineRule="auto"/>
        <w:jc w:val="both"/>
        <w:rPr>
          <w:rFonts w:ascii="Arial" w:eastAsia="Calibri" w:hAnsi="Arial" w:cs="Times New Roman"/>
          <w:sz w:val="20"/>
        </w:rPr>
      </w:pPr>
    </w:p>
    <w:p w14:paraId="40CD2CD1" w14:textId="243A9272" w:rsidR="007F34FE" w:rsidRDefault="007F34FE" w:rsidP="00747BFE">
      <w:pPr>
        <w:spacing w:after="0" w:line="240" w:lineRule="auto"/>
        <w:jc w:val="both"/>
        <w:rPr>
          <w:rFonts w:ascii="Arial" w:eastAsia="Calibri" w:hAnsi="Arial" w:cs="Times New Roman"/>
          <w:sz w:val="20"/>
        </w:rPr>
      </w:pPr>
    </w:p>
    <w:p w14:paraId="1A3D2A2B" w14:textId="77777777" w:rsidR="007F34FE" w:rsidRDefault="007F34FE" w:rsidP="00747BFE">
      <w:pPr>
        <w:spacing w:after="0" w:line="240" w:lineRule="auto"/>
        <w:jc w:val="both"/>
        <w:rPr>
          <w:rFonts w:ascii="Arial" w:eastAsia="Calibri" w:hAnsi="Arial" w:cs="Times New Roman"/>
          <w:sz w:val="20"/>
        </w:rPr>
      </w:pPr>
      <w:r>
        <w:rPr>
          <w:rFonts w:ascii="Arial" w:eastAsia="Calibri" w:hAnsi="Arial" w:cs="Times New Roman"/>
          <w:sz w:val="20"/>
        </w:rPr>
        <w:t xml:space="preserve"> </w:t>
      </w:r>
    </w:p>
    <w:p w14:paraId="37876EBE" w14:textId="77777777" w:rsidR="007F34FE" w:rsidRDefault="007F34FE" w:rsidP="00747BFE">
      <w:pPr>
        <w:spacing w:after="0" w:line="240" w:lineRule="auto"/>
        <w:jc w:val="both"/>
        <w:rPr>
          <w:rFonts w:ascii="Arial" w:eastAsia="Calibri" w:hAnsi="Arial" w:cs="Times New Roman"/>
          <w:sz w:val="20"/>
        </w:rPr>
      </w:pPr>
    </w:p>
    <w:p w14:paraId="61B02E90" w14:textId="1330A4B0" w:rsidR="00136D59" w:rsidRDefault="00AE4D82" w:rsidP="00747BFE">
      <w:pPr>
        <w:spacing w:after="0" w:line="240" w:lineRule="auto"/>
        <w:jc w:val="both"/>
        <w:rPr>
          <w:rFonts w:ascii="Arial" w:eastAsia="Calibri" w:hAnsi="Arial" w:cs="Times New Roman"/>
          <w:sz w:val="20"/>
        </w:rPr>
      </w:pPr>
      <w:r>
        <w:rPr>
          <w:rFonts w:ascii="Arial" w:eastAsia="Calibri" w:hAnsi="Arial" w:cs="Times New Roman"/>
          <w:sz w:val="20"/>
        </w:rPr>
        <w:t xml:space="preserve">Medtem ko so sestavni del tega dokumenta (1) Akcijski načrt za vzpostavitev modela upravljanja z OVE na strani ponudbe in povpraševanja, (2) Akcijski načrt za pripravo tehnološke rešitve / orodja za register ETS za podjetja, ki so vključena v shemo ETS in (3) pravilnik za vzpostavitev in delovanje testnega laboratorija, sestavni del tega dokumenta, pa je </w:t>
      </w:r>
      <w:r w:rsidR="00FC020C">
        <w:rPr>
          <w:rFonts w:ascii="Arial" w:eastAsia="Calibri" w:hAnsi="Arial" w:cs="Times New Roman"/>
          <w:sz w:val="20"/>
        </w:rPr>
        <w:t xml:space="preserve">Akcijski načrt uvedbe in uporabe digitalizacije v gradbeništvu (BIM) samostojen dokument, </w:t>
      </w:r>
    </w:p>
    <w:p w14:paraId="3EF7255A" w14:textId="77777777" w:rsidR="00AE4D82" w:rsidRDefault="00FC020C" w:rsidP="00136D59">
      <w:pPr>
        <w:pStyle w:val="Naslov2"/>
        <w:rPr>
          <w:rFonts w:ascii="Arial" w:eastAsia="Calibri" w:hAnsi="Arial" w:cs="Times New Roman"/>
          <w:sz w:val="20"/>
        </w:rPr>
      </w:pPr>
      <w:r>
        <w:rPr>
          <w:rFonts w:ascii="Arial" w:eastAsia="Calibri" w:hAnsi="Arial" w:cs="Times New Roman"/>
          <w:sz w:val="20"/>
        </w:rPr>
        <w:t xml:space="preserve"> </w:t>
      </w:r>
      <w:r w:rsidR="00AE4D82">
        <w:rPr>
          <w:rFonts w:ascii="Arial" w:eastAsia="Calibri" w:hAnsi="Arial" w:cs="Times New Roman"/>
          <w:sz w:val="20"/>
        </w:rPr>
        <w:t xml:space="preserve"> </w:t>
      </w:r>
    </w:p>
    <w:p w14:paraId="2A60BBC6" w14:textId="77777777" w:rsidR="0089340C" w:rsidRPr="00B7410B" w:rsidRDefault="001C32C2" w:rsidP="003445EF">
      <w:pPr>
        <w:pStyle w:val="Naslov1"/>
        <w:numPr>
          <w:ilvl w:val="0"/>
          <w:numId w:val="29"/>
        </w:numPr>
        <w:rPr>
          <w:rFonts w:ascii="Arial" w:eastAsia="Calibri" w:hAnsi="Arial" w:cs="Arial"/>
          <w:b/>
          <w:color w:val="70AD47" w:themeColor="accent6"/>
        </w:rPr>
      </w:pPr>
      <w:bookmarkStart w:id="8" w:name="_Toc102741373"/>
      <w:r w:rsidRPr="00B7410B">
        <w:rPr>
          <w:rFonts w:ascii="Arial" w:eastAsia="Calibri" w:hAnsi="Arial" w:cs="Arial"/>
          <w:b/>
          <w:color w:val="70AD47" w:themeColor="accent6"/>
        </w:rPr>
        <w:t>IZZIVI</w:t>
      </w:r>
      <w:bookmarkEnd w:id="8"/>
    </w:p>
    <w:p w14:paraId="5C1058BF" w14:textId="77777777" w:rsidR="006E7C96" w:rsidRPr="00747BFE" w:rsidRDefault="006E7C96" w:rsidP="006E7C96">
      <w:pPr>
        <w:spacing w:after="0" w:line="240" w:lineRule="auto"/>
        <w:jc w:val="both"/>
        <w:rPr>
          <w:rFonts w:ascii="Arial" w:eastAsia="Calibri" w:hAnsi="Arial" w:cs="Arial"/>
          <w:sz w:val="20"/>
          <w:u w:val="single"/>
        </w:rPr>
      </w:pPr>
    </w:p>
    <w:p w14:paraId="7A296B9A" w14:textId="77777777" w:rsidR="006E7C96" w:rsidRPr="00747BFE" w:rsidRDefault="006E7C96" w:rsidP="006E7C96">
      <w:pPr>
        <w:autoSpaceDE w:val="0"/>
        <w:autoSpaceDN w:val="0"/>
        <w:adjustRightInd w:val="0"/>
        <w:spacing w:after="0" w:line="240" w:lineRule="auto"/>
        <w:jc w:val="both"/>
        <w:rPr>
          <w:rFonts w:ascii="Arial" w:eastAsia="Calibri" w:hAnsi="Arial" w:cs="Arial"/>
          <w:sz w:val="20"/>
          <w:szCs w:val="20"/>
        </w:rPr>
      </w:pPr>
    </w:p>
    <w:p w14:paraId="2211F972" w14:textId="4C2AAEC1" w:rsidR="006C14C0" w:rsidRDefault="00747BFE" w:rsidP="00747BFE">
      <w:pPr>
        <w:spacing w:after="0" w:line="240" w:lineRule="auto"/>
        <w:jc w:val="both"/>
        <w:rPr>
          <w:rFonts w:ascii="Arial" w:eastAsia="Calibri" w:hAnsi="Arial" w:cs="Arial"/>
          <w:sz w:val="20"/>
          <w:szCs w:val="20"/>
        </w:rPr>
      </w:pPr>
      <w:r w:rsidRPr="00747BFE">
        <w:rPr>
          <w:rFonts w:ascii="Arial" w:eastAsia="Calibri" w:hAnsi="Arial" w:cs="Arial"/>
          <w:sz w:val="20"/>
          <w:szCs w:val="20"/>
        </w:rPr>
        <w:t xml:space="preserve">Slovenija je imela do leta 2020 cilj glede energije </w:t>
      </w:r>
      <w:r w:rsidR="002078E7">
        <w:rPr>
          <w:rFonts w:ascii="Arial" w:eastAsia="Calibri" w:hAnsi="Arial" w:cs="Arial"/>
          <w:sz w:val="20"/>
          <w:szCs w:val="20"/>
        </w:rPr>
        <w:t>OVE</w:t>
      </w:r>
      <w:r w:rsidRPr="00747BFE">
        <w:rPr>
          <w:rFonts w:ascii="Arial" w:eastAsia="Calibri" w:hAnsi="Arial" w:cs="Arial"/>
          <w:sz w:val="20"/>
          <w:szCs w:val="20"/>
        </w:rPr>
        <w:t xml:space="preserve"> v bruto končni energiji (25%). Vendar zadnji podatki kažejo, da država tega cilja ne bo mogla doseči (21,15% leta 2018). Uvajanje OVE zaradi številnih izzivov, ki so posledica regulatornih in tehnoloških omejitev na nacionalni ravni, ni bilo tako uspešno, kot je bilo načrtovano. Med </w:t>
      </w:r>
      <w:r w:rsidRPr="00747BFE">
        <w:rPr>
          <w:rFonts w:ascii="Arial" w:eastAsia="Calibri" w:hAnsi="Arial" w:cs="Arial"/>
          <w:b/>
          <w:sz w:val="20"/>
          <w:szCs w:val="20"/>
        </w:rPr>
        <w:t xml:space="preserve">splošnimi izzivi na področju OVE </w:t>
      </w:r>
      <w:r w:rsidRPr="00747BFE">
        <w:rPr>
          <w:rFonts w:ascii="Arial" w:eastAsia="Calibri" w:hAnsi="Arial" w:cs="Arial"/>
          <w:sz w:val="20"/>
          <w:szCs w:val="20"/>
        </w:rPr>
        <w:t>z vidika narave »vira« energije izpostavljamo</w:t>
      </w:r>
      <w:r w:rsidR="006471B8">
        <w:rPr>
          <w:rFonts w:ascii="Arial" w:eastAsia="Calibri" w:hAnsi="Arial" w:cs="Arial"/>
          <w:sz w:val="20"/>
          <w:szCs w:val="20"/>
        </w:rPr>
        <w:t xml:space="preserve"> zlasti </w:t>
      </w:r>
    </w:p>
    <w:p w14:paraId="269B3FB1" w14:textId="103EFF8C" w:rsidR="006C14C0" w:rsidRPr="00A8327D" w:rsidRDefault="008742A0" w:rsidP="008742A0">
      <w:pPr>
        <w:pStyle w:val="Odstavekseznama"/>
        <w:numPr>
          <w:ilvl w:val="0"/>
          <w:numId w:val="3"/>
        </w:numPr>
        <w:spacing w:after="0" w:line="240" w:lineRule="auto"/>
        <w:jc w:val="both"/>
        <w:rPr>
          <w:rFonts w:ascii="Arial" w:eastAsia="Calibri" w:hAnsi="Arial" w:cs="Arial"/>
          <w:sz w:val="20"/>
          <w:szCs w:val="20"/>
        </w:rPr>
      </w:pPr>
      <w:r w:rsidRPr="008742A0">
        <w:rPr>
          <w:rFonts w:ascii="Arial" w:eastAsia="Calibri" w:hAnsi="Arial" w:cs="Arial"/>
          <w:sz w:val="20"/>
          <w:szCs w:val="20"/>
        </w:rPr>
        <w:t>pomanjkanje ambicioznosti cilja, opredeljenega v NEPN, kjer je predlagan nacionalni prispevek k cilju Unije 2030 za OVE v višini 27%, je delno povezan tudi z zahtevnostjo (posebej s področja hidroenergije in vetra)izpeljave postopkov presoje vplivov na okolje, postopkov prevlade druge javne koristi nad javno koristjo ohranjanja narave in uveljavljanja izjem na področju voda</w:t>
      </w:r>
    </w:p>
    <w:p w14:paraId="2CE72266" w14:textId="20A21AED" w:rsidR="006C14C0" w:rsidRPr="00A8327D" w:rsidRDefault="008742A0" w:rsidP="008742A0">
      <w:pPr>
        <w:pStyle w:val="Odstavekseznama"/>
        <w:numPr>
          <w:ilvl w:val="0"/>
          <w:numId w:val="3"/>
        </w:numPr>
        <w:spacing w:after="0" w:line="240" w:lineRule="auto"/>
        <w:jc w:val="both"/>
        <w:rPr>
          <w:rFonts w:ascii="Arial" w:eastAsia="Calibri" w:hAnsi="Arial" w:cs="Arial"/>
          <w:sz w:val="20"/>
          <w:szCs w:val="20"/>
        </w:rPr>
      </w:pPr>
      <w:r w:rsidRPr="008742A0">
        <w:rPr>
          <w:rFonts w:ascii="Arial" w:eastAsia="Calibri" w:hAnsi="Arial" w:cs="Arial"/>
          <w:sz w:val="20"/>
          <w:szCs w:val="20"/>
        </w:rPr>
        <w:t>Slovenijo pokrivajo približno 37% njenega ozemlja Natura 2000 območja zato je. posledično izkoriščanje OVE zahtevnejše v smislu prostorskega načrtovanja in sprejemanja v javnosti</w:t>
      </w:r>
      <w:r>
        <w:rPr>
          <w:rFonts w:ascii="Arial" w:eastAsia="Calibri" w:hAnsi="Arial" w:cs="Arial"/>
          <w:sz w:val="20"/>
          <w:szCs w:val="20"/>
        </w:rPr>
        <w:t>.</w:t>
      </w:r>
      <w:r w:rsidR="006C14C0" w:rsidRPr="00A8327D">
        <w:rPr>
          <w:rFonts w:ascii="Arial" w:eastAsia="Calibri" w:hAnsi="Arial" w:cs="Arial"/>
          <w:sz w:val="20"/>
          <w:szCs w:val="20"/>
        </w:rPr>
        <w:t xml:space="preserve"> To otežuje tudi realizacijo številnih projektov OVE, saj</w:t>
      </w:r>
      <w:r>
        <w:rPr>
          <w:rFonts w:ascii="Arial" w:eastAsia="Calibri" w:hAnsi="Arial" w:cs="Arial"/>
          <w:sz w:val="20"/>
          <w:szCs w:val="20"/>
        </w:rPr>
        <w:t xml:space="preserve"> odvrača številne investitorje.</w:t>
      </w:r>
    </w:p>
    <w:p w14:paraId="3A1F6644" w14:textId="77777777" w:rsidR="006C14C0" w:rsidRPr="00A8327D" w:rsidRDefault="006C14C0" w:rsidP="003445EF">
      <w:pPr>
        <w:pStyle w:val="Odstavekseznama"/>
        <w:numPr>
          <w:ilvl w:val="0"/>
          <w:numId w:val="3"/>
        </w:numPr>
        <w:spacing w:after="0" w:line="240" w:lineRule="auto"/>
        <w:jc w:val="both"/>
        <w:rPr>
          <w:rFonts w:ascii="Arial" w:eastAsia="Calibri" w:hAnsi="Arial" w:cs="Arial"/>
          <w:sz w:val="20"/>
          <w:szCs w:val="20"/>
        </w:rPr>
      </w:pPr>
      <w:r w:rsidRPr="00A8327D">
        <w:rPr>
          <w:rFonts w:ascii="Arial" w:eastAsia="Arial" w:hAnsi="Arial" w:cs="Arial"/>
          <w:sz w:val="20"/>
        </w:rPr>
        <w:t>V sistemih daljinskega ogrevanja je bil leta 2018 delež toplote, proizveden iz OVE 15,4%, pretežno iz lesne biomase,</w:t>
      </w:r>
      <w:r w:rsidRPr="00A8327D">
        <w:rPr>
          <w:rFonts w:ascii="Arial" w:eastAsia="Calibri" w:hAnsi="Arial" w:cs="Arial"/>
          <w:sz w:val="20"/>
        </w:rPr>
        <w:t xml:space="preserve"> in ga je potrebno povečati še z drugimi viri OVE, zato je potrebno stare sisteme nadgraditi in spodbuditi uporabo najnovejših tehnologij, ki prispevajo k zmanjševanju onesnaženja zraka. </w:t>
      </w:r>
    </w:p>
    <w:p w14:paraId="61A315EB" w14:textId="77777777" w:rsidR="00747BFE" w:rsidRPr="00747BFE" w:rsidRDefault="00747BFE" w:rsidP="00747BFE">
      <w:pPr>
        <w:spacing w:after="0" w:line="240" w:lineRule="auto"/>
        <w:jc w:val="both"/>
        <w:rPr>
          <w:rFonts w:ascii="Arial" w:eastAsia="Arial" w:hAnsi="Arial" w:cs="Arial"/>
          <w:sz w:val="20"/>
        </w:rPr>
      </w:pPr>
    </w:p>
    <w:p w14:paraId="488CC2B2" w14:textId="77777777" w:rsidR="00747BFE" w:rsidRPr="00747BFE" w:rsidRDefault="00FD2749" w:rsidP="00747BFE">
      <w:pPr>
        <w:spacing w:after="0" w:line="240" w:lineRule="auto"/>
        <w:jc w:val="both"/>
        <w:rPr>
          <w:rFonts w:ascii="Arial" w:eastAsia="Arial" w:hAnsi="Arial" w:cs="Arial"/>
          <w:sz w:val="20"/>
        </w:rPr>
      </w:pPr>
      <w:r>
        <w:rPr>
          <w:rFonts w:ascii="Arial" w:eastAsia="Arial" w:hAnsi="Arial" w:cs="Arial"/>
          <w:sz w:val="20"/>
        </w:rPr>
        <w:t xml:space="preserve">Poleg nujno potrebne tehnološke prenove sistemov in procesov na tem mestu navajamo tudi izzive, s katerimi se sooča Slovenija tako na strani ponudbe (proizvajalcev) električne energije iz OVE, kot tudi na strani povpraševanja. </w:t>
      </w:r>
      <w:r w:rsidR="00747BFE" w:rsidRPr="00747BFE">
        <w:rPr>
          <w:rFonts w:ascii="Arial" w:eastAsia="Arial" w:hAnsi="Arial" w:cs="Arial"/>
          <w:sz w:val="20"/>
        </w:rPr>
        <w:t xml:space="preserve"> </w:t>
      </w:r>
    </w:p>
    <w:p w14:paraId="5B15F6D6" w14:textId="77777777" w:rsidR="00747BFE" w:rsidRPr="00747BFE" w:rsidRDefault="00747BFE" w:rsidP="00747BFE">
      <w:pPr>
        <w:spacing w:after="0" w:line="240" w:lineRule="auto"/>
        <w:jc w:val="both"/>
        <w:rPr>
          <w:rFonts w:ascii="Arial" w:eastAsia="Arial" w:hAnsi="Arial" w:cs="Arial"/>
          <w:sz w:val="20"/>
        </w:rPr>
      </w:pPr>
    </w:p>
    <w:p w14:paraId="74AB5737" w14:textId="77777777" w:rsidR="00747BFE" w:rsidRPr="00747BFE" w:rsidRDefault="00747BFE" w:rsidP="00747BFE">
      <w:pPr>
        <w:spacing w:after="0" w:line="240" w:lineRule="auto"/>
        <w:jc w:val="both"/>
        <w:rPr>
          <w:rFonts w:ascii="Arial" w:eastAsia="Arial" w:hAnsi="Arial" w:cs="Arial"/>
          <w:b/>
          <w:sz w:val="20"/>
        </w:rPr>
      </w:pPr>
      <w:r w:rsidRPr="00747BFE">
        <w:rPr>
          <w:rFonts w:ascii="Arial" w:eastAsia="Arial" w:hAnsi="Arial" w:cs="Arial"/>
          <w:sz w:val="20"/>
        </w:rPr>
        <w:t xml:space="preserve">Na strani </w:t>
      </w:r>
      <w:r w:rsidRPr="00747BFE">
        <w:rPr>
          <w:rFonts w:ascii="Arial" w:eastAsia="Arial" w:hAnsi="Arial" w:cs="Arial"/>
          <w:b/>
          <w:sz w:val="20"/>
        </w:rPr>
        <w:t>proizvajalcev</w:t>
      </w:r>
      <w:r w:rsidRPr="00747BFE">
        <w:rPr>
          <w:rFonts w:ascii="Arial" w:eastAsia="Arial" w:hAnsi="Arial" w:cs="Arial"/>
          <w:sz w:val="20"/>
        </w:rPr>
        <w:t xml:space="preserve"> električne energije iz OVE se pojavljajo zlasti naslednji izzivi: </w:t>
      </w:r>
    </w:p>
    <w:p w14:paraId="6C3DD343" w14:textId="77777777" w:rsidR="00747BFE" w:rsidRPr="00747BFE" w:rsidRDefault="00747BFE" w:rsidP="003445EF">
      <w:pPr>
        <w:numPr>
          <w:ilvl w:val="0"/>
          <w:numId w:val="4"/>
        </w:numPr>
        <w:spacing w:after="0" w:line="240" w:lineRule="auto"/>
        <w:jc w:val="both"/>
        <w:rPr>
          <w:rFonts w:ascii="Arial" w:eastAsia="Arial" w:hAnsi="Arial" w:cs="Arial"/>
          <w:sz w:val="20"/>
          <w:lang w:eastAsia="sl-SI"/>
        </w:rPr>
      </w:pPr>
      <w:r w:rsidRPr="00747BFE">
        <w:rPr>
          <w:rFonts w:ascii="Arial" w:eastAsia="Arial" w:hAnsi="Arial" w:cs="Arial"/>
          <w:sz w:val="20"/>
          <w:lang w:eastAsia="sl-SI"/>
        </w:rPr>
        <w:t xml:space="preserve">Delež proizvodnje iz OVE beleži 33% v celotni proizvodnji energije v Sloveniji. Razpršenost proizvodnje iz OVE pomeni prisotnost številnih ponudnikov na trgu električne energije, ki ustvarjajo neustrezne konkurenčne pogoje na tem trgu in delno konflikte interesov med proizvajalci/ponudniki električne energije. </w:t>
      </w:r>
    </w:p>
    <w:p w14:paraId="1ADE9BF7" w14:textId="77777777" w:rsidR="00747BFE" w:rsidRPr="00747BFE" w:rsidRDefault="00747BFE" w:rsidP="003445EF">
      <w:pPr>
        <w:numPr>
          <w:ilvl w:val="0"/>
          <w:numId w:val="4"/>
        </w:numPr>
        <w:spacing w:after="0" w:line="240" w:lineRule="auto"/>
        <w:jc w:val="both"/>
        <w:rPr>
          <w:rFonts w:ascii="Arial" w:eastAsia="Arial" w:hAnsi="Arial" w:cs="Arial"/>
          <w:sz w:val="20"/>
          <w:lang w:eastAsia="sl-SI"/>
        </w:rPr>
      </w:pPr>
      <w:r w:rsidRPr="00747BFE">
        <w:rPr>
          <w:rFonts w:ascii="Arial" w:eastAsia="Arial" w:hAnsi="Arial" w:cs="Arial"/>
          <w:sz w:val="20"/>
          <w:lang w:eastAsia="sl-SI"/>
        </w:rPr>
        <w:t>V letu 2019 je na slovenskem trgu električne energije delovalo devet družb, ki imajo proizvodne objekte z inštalirano močjo nad 10 MW. Kljub dejstvu, da je Nuklearna elektrarna Krško, ki proizvede največji delež električne energije (jedrska goriva 37,5%) na drugem mestu glede na inštalirano moč proizvodnih enot, pa je na prvem mestu TEŠ 6, ki skupaj z drugimi proizvajalkami energije na fosilna goriva sooblikuje skupaj 28,9% delež celotne električne energije v Sloveniji. Med prvimi 9 (velikimi) družbami pa ni niti ene družbe, ki bi proizvajala električno energijo z OVE.</w:t>
      </w:r>
    </w:p>
    <w:p w14:paraId="6912187D" w14:textId="77777777" w:rsidR="00747BFE" w:rsidRPr="00747BFE" w:rsidRDefault="00747BFE" w:rsidP="003445EF">
      <w:pPr>
        <w:numPr>
          <w:ilvl w:val="0"/>
          <w:numId w:val="4"/>
        </w:numPr>
        <w:spacing w:after="0" w:line="240" w:lineRule="auto"/>
        <w:jc w:val="both"/>
        <w:rPr>
          <w:rFonts w:ascii="Arial" w:eastAsia="Arial" w:hAnsi="Arial" w:cs="Arial"/>
          <w:sz w:val="20"/>
        </w:rPr>
      </w:pPr>
      <w:r w:rsidRPr="00747BFE">
        <w:rPr>
          <w:rFonts w:ascii="Arial" w:eastAsia="Arial" w:hAnsi="Arial" w:cs="Arial"/>
          <w:sz w:val="20"/>
        </w:rPr>
        <w:t xml:space="preserve">Kljub temu, da so se izgube v distribucijskem sistemu v zadnjih letih zmanjševale, tudi na račun povečanega deleža čezmejnega trgovanja električne energije pri izvozu, uvozu in tranzitu, se Slovenija še vedno sooča z izgubami v distribucijskem sistemu. </w:t>
      </w:r>
    </w:p>
    <w:p w14:paraId="7642515E" w14:textId="77777777" w:rsidR="00747BFE" w:rsidRPr="00747BFE" w:rsidRDefault="00747BFE" w:rsidP="003445EF">
      <w:pPr>
        <w:numPr>
          <w:ilvl w:val="0"/>
          <w:numId w:val="4"/>
        </w:numPr>
        <w:spacing w:after="0" w:line="240" w:lineRule="auto"/>
        <w:jc w:val="both"/>
        <w:rPr>
          <w:rFonts w:ascii="Arial" w:eastAsia="Arial" w:hAnsi="Arial" w:cs="Arial"/>
          <w:sz w:val="20"/>
        </w:rPr>
      </w:pPr>
      <w:r w:rsidRPr="00747BFE">
        <w:rPr>
          <w:rFonts w:ascii="Arial" w:eastAsia="Arial" w:hAnsi="Arial" w:cs="Arial"/>
          <w:sz w:val="20"/>
          <w:lang w:eastAsia="sl-SI"/>
        </w:rPr>
        <w:t>Prevzem električne energije v distribucijski sistem v največjem deležu temelji na velikih, konvencionalnih proizvajalcih električne energije, medtem ko je delež ostalih proizvajalcev v prevzemu v distribucijski sistem le 7% (male HE, vetrne, sončne elektrarne, elektrarne na bioplin, na lesno biomaso, na komunalne odpadke) in se je v obdobju 2017 – 2019 znižal za 1 odstotno točko.</w:t>
      </w:r>
      <w:r w:rsidRPr="00747BFE">
        <w:rPr>
          <w:rFonts w:ascii="Arial" w:eastAsia="Calibri" w:hAnsi="Arial" w:cs="Arial"/>
          <w:sz w:val="20"/>
          <w:szCs w:val="20"/>
        </w:rPr>
        <w:t xml:space="preserve"> Delež teh malih proizvajalcev v celotni proizvodnji energije je 33%.</w:t>
      </w:r>
    </w:p>
    <w:p w14:paraId="69387ACF" w14:textId="77777777" w:rsidR="00747BFE" w:rsidRPr="00747BFE" w:rsidRDefault="00747BFE" w:rsidP="00747BFE">
      <w:pPr>
        <w:spacing w:after="0" w:line="240" w:lineRule="auto"/>
        <w:jc w:val="both"/>
        <w:rPr>
          <w:rFonts w:ascii="Arial" w:eastAsia="Arial" w:hAnsi="Arial" w:cs="Arial"/>
          <w:sz w:val="20"/>
        </w:rPr>
      </w:pPr>
    </w:p>
    <w:p w14:paraId="36CC3430" w14:textId="77777777" w:rsidR="00747BFE" w:rsidRPr="00747BFE" w:rsidRDefault="00747BFE" w:rsidP="00747BFE">
      <w:pPr>
        <w:spacing w:after="0" w:line="240" w:lineRule="auto"/>
        <w:jc w:val="both"/>
        <w:rPr>
          <w:rFonts w:ascii="Arial" w:eastAsia="Arial" w:hAnsi="Arial" w:cs="Arial"/>
          <w:sz w:val="20"/>
        </w:rPr>
      </w:pPr>
      <w:r w:rsidRPr="00747BFE">
        <w:rPr>
          <w:rFonts w:ascii="Arial" w:eastAsia="Arial" w:hAnsi="Arial" w:cs="Arial"/>
          <w:sz w:val="20"/>
        </w:rPr>
        <w:t xml:space="preserve">Na strani </w:t>
      </w:r>
      <w:r w:rsidRPr="00747BFE">
        <w:rPr>
          <w:rFonts w:ascii="Arial" w:eastAsia="Arial" w:hAnsi="Arial" w:cs="Arial"/>
          <w:b/>
          <w:sz w:val="20"/>
        </w:rPr>
        <w:t>porabnikov</w:t>
      </w:r>
      <w:r w:rsidRPr="00747BFE">
        <w:rPr>
          <w:rFonts w:ascii="Arial" w:eastAsia="Arial" w:hAnsi="Arial" w:cs="Arial"/>
          <w:sz w:val="20"/>
        </w:rPr>
        <w:t xml:space="preserve"> električne energije iz OVE se pojavljajo zlasti naslednji izzivi: </w:t>
      </w:r>
    </w:p>
    <w:p w14:paraId="52FAD8DF" w14:textId="77777777" w:rsidR="00747BFE" w:rsidRPr="00747BFE" w:rsidRDefault="00747BFE" w:rsidP="003445EF">
      <w:pPr>
        <w:numPr>
          <w:ilvl w:val="0"/>
          <w:numId w:val="5"/>
        </w:numPr>
        <w:spacing w:after="0" w:line="240" w:lineRule="auto"/>
        <w:jc w:val="both"/>
        <w:rPr>
          <w:rFonts w:ascii="Arial" w:eastAsia="Arial" w:hAnsi="Arial" w:cs="Arial"/>
          <w:sz w:val="20"/>
          <w:lang w:eastAsia="sl-SI"/>
        </w:rPr>
      </w:pPr>
      <w:r w:rsidRPr="00747BFE">
        <w:rPr>
          <w:rFonts w:ascii="Arial" w:eastAsia="Arial" w:hAnsi="Arial" w:cs="Arial"/>
          <w:sz w:val="20"/>
          <w:lang w:eastAsia="sl-SI"/>
        </w:rPr>
        <w:t xml:space="preserve">Ohranjanje tradicionalnih poslovnih modelov brez intenzivnega uvajanja naprednih tehnologij in inovacij v srednjem in dolgem obdobju lahko pomeni bistven zaostanek teh industrij in zmanjša konkurenčnost celotne industrije. Izziv je povezan tudi z investicijami v podjetjih, zlasti na mestu uvajanja energetsko učinkovitih tehnologij v poslovne procese. </w:t>
      </w:r>
    </w:p>
    <w:p w14:paraId="7C5ECF21" w14:textId="77777777" w:rsidR="00747BFE" w:rsidRPr="00747BFE" w:rsidRDefault="00747BFE" w:rsidP="003445EF">
      <w:pPr>
        <w:numPr>
          <w:ilvl w:val="0"/>
          <w:numId w:val="5"/>
        </w:numPr>
        <w:spacing w:after="0" w:line="240" w:lineRule="auto"/>
        <w:jc w:val="both"/>
        <w:rPr>
          <w:rFonts w:ascii="Arial" w:eastAsia="Arial" w:hAnsi="Arial" w:cs="Arial"/>
          <w:sz w:val="20"/>
          <w:lang w:eastAsia="sl-SI"/>
        </w:rPr>
      </w:pPr>
      <w:r w:rsidRPr="00747BFE">
        <w:rPr>
          <w:rFonts w:ascii="Arial" w:eastAsia="Arial" w:hAnsi="Arial" w:cs="Arial"/>
          <w:sz w:val="20"/>
          <w:lang w:eastAsia="sl-SI"/>
        </w:rPr>
        <w:t xml:space="preserve">Nestrukturirana in nesistematična energetska tranzicija spričo razpršene proizvodnje energije zlasti iz OVE lahko vpliva na neenakopraven položaj končnih porabnikov in zmanjšuje njihov dostop in uporabo energije, proizvedene iz alternativnih oziroma obnovljivih virov energije, s tem pa tudi ustreznost njihovega energetskega </w:t>
      </w:r>
      <w:r w:rsidR="00CC4A50">
        <w:rPr>
          <w:rFonts w:ascii="Arial" w:eastAsia="Arial" w:hAnsi="Arial" w:cs="Arial"/>
          <w:sz w:val="20"/>
          <w:lang w:eastAsia="sl-SI"/>
        </w:rPr>
        <w:t>spleta</w:t>
      </w:r>
      <w:r w:rsidRPr="00747BFE">
        <w:rPr>
          <w:rFonts w:ascii="Arial" w:eastAsia="Arial" w:hAnsi="Arial" w:cs="Arial"/>
          <w:sz w:val="20"/>
          <w:lang w:eastAsia="sl-SI"/>
        </w:rPr>
        <w:t xml:space="preserve"> in cenovne dostopnosti teh virov energije za končne uporabnike. </w:t>
      </w:r>
    </w:p>
    <w:p w14:paraId="5C3D294F" w14:textId="77777777" w:rsidR="00747BFE" w:rsidRPr="00747BFE" w:rsidRDefault="00747BFE" w:rsidP="003445EF">
      <w:pPr>
        <w:numPr>
          <w:ilvl w:val="0"/>
          <w:numId w:val="5"/>
        </w:numPr>
        <w:spacing w:after="0" w:line="240" w:lineRule="auto"/>
        <w:jc w:val="both"/>
        <w:rPr>
          <w:rFonts w:ascii="Arial" w:eastAsia="Arial" w:hAnsi="Arial" w:cs="Arial"/>
          <w:sz w:val="20"/>
          <w:lang w:eastAsia="sl-SI"/>
        </w:rPr>
      </w:pPr>
      <w:r w:rsidRPr="00747BFE">
        <w:rPr>
          <w:rFonts w:ascii="Arial" w:eastAsia="Arial" w:hAnsi="Arial" w:cs="Arial"/>
          <w:sz w:val="20"/>
          <w:lang w:eastAsia="sl-SI"/>
        </w:rPr>
        <w:t>R</w:t>
      </w:r>
      <w:r w:rsidR="00D251FE">
        <w:rPr>
          <w:rFonts w:ascii="Arial" w:eastAsia="Arial" w:hAnsi="Arial" w:cs="Arial"/>
          <w:sz w:val="20"/>
          <w:lang w:eastAsia="sl-SI"/>
        </w:rPr>
        <w:t>egulatorni izzivi in standardi, še zlasti izvajanje</w:t>
      </w:r>
      <w:r w:rsidRPr="00747BFE">
        <w:rPr>
          <w:rFonts w:ascii="Arial" w:eastAsia="Arial" w:hAnsi="Arial" w:cs="Arial"/>
          <w:sz w:val="20"/>
          <w:lang w:eastAsia="sl-SI"/>
        </w:rPr>
        <w:t xml:space="preserve"> ukrepov iz sistema upravljanja z energijo </w:t>
      </w:r>
      <w:r w:rsidR="00D251FE">
        <w:rPr>
          <w:rFonts w:ascii="Arial" w:eastAsia="Arial" w:hAnsi="Arial" w:cs="Arial"/>
          <w:sz w:val="20"/>
          <w:lang w:eastAsia="sl-SI"/>
        </w:rPr>
        <w:t>(</w:t>
      </w:r>
      <w:r w:rsidRPr="00747BFE">
        <w:rPr>
          <w:rFonts w:ascii="Arial" w:eastAsia="Arial" w:hAnsi="Arial" w:cs="Arial"/>
          <w:sz w:val="20"/>
          <w:lang w:eastAsia="sl-SI"/>
        </w:rPr>
        <w:t>standard</w:t>
      </w:r>
      <w:r w:rsidR="00D251FE">
        <w:rPr>
          <w:rFonts w:ascii="Arial" w:eastAsia="Arial" w:hAnsi="Arial" w:cs="Arial"/>
          <w:sz w:val="20"/>
          <w:lang w:eastAsia="sl-SI"/>
        </w:rPr>
        <w:t xml:space="preserve"> </w:t>
      </w:r>
      <w:r w:rsidRPr="00747BFE">
        <w:rPr>
          <w:rFonts w:ascii="Arial" w:eastAsia="Arial" w:hAnsi="Arial" w:cs="Arial"/>
          <w:sz w:val="20"/>
          <w:lang w:eastAsia="sl-SI"/>
        </w:rPr>
        <w:t>SIST EN ISO 50001</w:t>
      </w:r>
      <w:r w:rsidR="00D251FE">
        <w:rPr>
          <w:rFonts w:ascii="Arial" w:eastAsia="Arial" w:hAnsi="Arial" w:cs="Arial"/>
          <w:sz w:val="20"/>
          <w:lang w:eastAsia="sl-SI"/>
        </w:rPr>
        <w:t>)</w:t>
      </w:r>
      <w:r w:rsidRPr="00747BFE">
        <w:rPr>
          <w:rFonts w:ascii="Arial" w:eastAsia="Arial" w:hAnsi="Arial" w:cs="Arial"/>
          <w:sz w:val="20"/>
          <w:lang w:eastAsia="sl-SI"/>
        </w:rPr>
        <w:t xml:space="preserve"> ali  sistema upravljanja z okoljem </w:t>
      </w:r>
      <w:r w:rsidR="00D251FE">
        <w:rPr>
          <w:rFonts w:ascii="Arial" w:eastAsia="Arial" w:hAnsi="Arial" w:cs="Arial"/>
          <w:sz w:val="20"/>
          <w:lang w:eastAsia="sl-SI"/>
        </w:rPr>
        <w:t>(</w:t>
      </w:r>
      <w:r w:rsidRPr="00747BFE">
        <w:rPr>
          <w:rFonts w:ascii="Arial" w:eastAsia="Arial" w:hAnsi="Arial" w:cs="Arial"/>
          <w:sz w:val="20"/>
          <w:lang w:eastAsia="sl-SI"/>
        </w:rPr>
        <w:t>standard</w:t>
      </w:r>
      <w:r w:rsidR="00D251FE">
        <w:rPr>
          <w:rFonts w:ascii="Arial" w:eastAsia="Arial" w:hAnsi="Arial" w:cs="Arial"/>
          <w:sz w:val="20"/>
          <w:lang w:eastAsia="sl-SI"/>
        </w:rPr>
        <w:t xml:space="preserve"> SIST EN ISO 14001)</w:t>
      </w:r>
    </w:p>
    <w:p w14:paraId="3166B383" w14:textId="77777777" w:rsidR="005A10BA" w:rsidRPr="005A10BA" w:rsidRDefault="005A10BA" w:rsidP="005A10BA">
      <w:pPr>
        <w:spacing w:after="0" w:line="240" w:lineRule="auto"/>
        <w:jc w:val="both"/>
        <w:rPr>
          <w:rFonts w:ascii="Arial" w:eastAsia="Calibri" w:hAnsi="Arial" w:cs="Times New Roman"/>
          <w:sz w:val="20"/>
        </w:rPr>
      </w:pPr>
    </w:p>
    <w:p w14:paraId="4C016D13" w14:textId="77777777" w:rsidR="005A10BA" w:rsidRPr="005A10BA" w:rsidRDefault="005A10BA" w:rsidP="005A10BA">
      <w:pPr>
        <w:spacing w:after="0" w:line="240" w:lineRule="auto"/>
        <w:jc w:val="both"/>
        <w:rPr>
          <w:rFonts w:ascii="Arial" w:eastAsia="Arial" w:hAnsi="Arial" w:cs="Arial"/>
          <w:sz w:val="20"/>
          <w:szCs w:val="20"/>
          <w:lang w:eastAsia="sl-SI"/>
        </w:rPr>
      </w:pPr>
    </w:p>
    <w:p w14:paraId="6DC24C7D" w14:textId="77777777" w:rsidR="0007114A" w:rsidRPr="00B7410B" w:rsidRDefault="0007114A" w:rsidP="003445EF">
      <w:pPr>
        <w:pStyle w:val="Naslov1"/>
        <w:numPr>
          <w:ilvl w:val="0"/>
          <w:numId w:val="29"/>
        </w:numPr>
        <w:rPr>
          <w:rFonts w:ascii="Arial" w:eastAsia="Times New Roman" w:hAnsi="Arial" w:cs="Arial"/>
          <w:b/>
          <w:color w:val="70AD47" w:themeColor="accent6"/>
        </w:rPr>
      </w:pPr>
      <w:bookmarkStart w:id="9" w:name="_Toc102741374"/>
      <w:r w:rsidRPr="00B7410B">
        <w:rPr>
          <w:rFonts w:ascii="Arial" w:eastAsia="Times New Roman" w:hAnsi="Arial" w:cs="Arial"/>
          <w:b/>
          <w:color w:val="70AD47" w:themeColor="accent6"/>
        </w:rPr>
        <w:t>CILJI</w:t>
      </w:r>
      <w:bookmarkEnd w:id="9"/>
    </w:p>
    <w:p w14:paraId="51FD4867" w14:textId="77777777" w:rsidR="0007114A" w:rsidRDefault="0007114A" w:rsidP="00747BFE">
      <w:pPr>
        <w:keepNext/>
        <w:keepLines/>
        <w:spacing w:after="0" w:line="240" w:lineRule="auto"/>
        <w:jc w:val="both"/>
        <w:outlineLvl w:val="1"/>
        <w:rPr>
          <w:rFonts w:ascii="Arial" w:eastAsia="Times New Roman" w:hAnsi="Arial" w:cs="Arial"/>
          <w:sz w:val="20"/>
          <w:szCs w:val="20"/>
          <w:u w:val="single"/>
        </w:rPr>
      </w:pPr>
    </w:p>
    <w:p w14:paraId="7CCF6DF5" w14:textId="77777777" w:rsidR="005D1327" w:rsidRDefault="009E112A" w:rsidP="00747BFE">
      <w:pPr>
        <w:keepNext/>
        <w:keepLines/>
        <w:spacing w:after="0" w:line="240" w:lineRule="auto"/>
        <w:jc w:val="both"/>
        <w:outlineLvl w:val="1"/>
        <w:rPr>
          <w:rFonts w:ascii="Arial" w:eastAsia="Calibri" w:hAnsi="Arial" w:cs="Arial"/>
          <w:sz w:val="20"/>
        </w:rPr>
      </w:pPr>
      <w:bookmarkStart w:id="10" w:name="_Toc102741375"/>
      <w:r w:rsidRPr="00747BFE">
        <w:rPr>
          <w:rFonts w:ascii="Arial" w:eastAsia="Calibri" w:hAnsi="Arial" w:cs="Arial"/>
          <w:sz w:val="20"/>
        </w:rPr>
        <w:t xml:space="preserve">Za doseganje ambicioznih ciljev energetske in podnebne politike </w:t>
      </w:r>
      <w:r>
        <w:rPr>
          <w:rFonts w:ascii="Arial" w:eastAsia="Calibri" w:hAnsi="Arial" w:cs="Arial"/>
          <w:sz w:val="20"/>
        </w:rPr>
        <w:t xml:space="preserve">zasledujemo cilj </w:t>
      </w:r>
      <w:r w:rsidR="00393041">
        <w:rPr>
          <w:rFonts w:ascii="Arial" w:eastAsia="Calibri" w:hAnsi="Arial" w:cs="Arial"/>
          <w:sz w:val="20"/>
        </w:rPr>
        <w:t xml:space="preserve">povečanja deleža električne energije iz OVE. To je na eni strani mogoče doseči </w:t>
      </w:r>
      <w:r w:rsidR="005B6278">
        <w:rPr>
          <w:rFonts w:ascii="Arial" w:eastAsia="Calibri" w:hAnsi="Arial" w:cs="Arial"/>
          <w:sz w:val="20"/>
        </w:rPr>
        <w:t xml:space="preserve">(i) z ukrepi, ki neposredno naslavljajo klasične elemente proizvodnje in distribucije električne energije, na drugi strani pa tudi z (ii) ukrepi razvoja in uvajanja novih, naprednih tehnologij, ki lahko zagotovijo večjo in bolj učinkovito ter tržno uspešnejšo </w:t>
      </w:r>
      <w:r w:rsidR="005D1327">
        <w:rPr>
          <w:rFonts w:ascii="Arial" w:eastAsia="Calibri" w:hAnsi="Arial" w:cs="Arial"/>
          <w:sz w:val="20"/>
        </w:rPr>
        <w:t>proizvodnjo in porabo električne energije iz OVE.</w:t>
      </w:r>
      <w:bookmarkEnd w:id="10"/>
      <w:r w:rsidR="005D1327">
        <w:rPr>
          <w:rFonts w:ascii="Arial" w:eastAsia="Calibri" w:hAnsi="Arial" w:cs="Arial"/>
          <w:sz w:val="20"/>
        </w:rPr>
        <w:t xml:space="preserve"> </w:t>
      </w:r>
    </w:p>
    <w:p w14:paraId="3CBA4857" w14:textId="77777777" w:rsidR="005D1327" w:rsidRDefault="005D1327" w:rsidP="00747BFE">
      <w:pPr>
        <w:keepNext/>
        <w:keepLines/>
        <w:spacing w:after="0" w:line="240" w:lineRule="auto"/>
        <w:jc w:val="both"/>
        <w:outlineLvl w:val="1"/>
        <w:rPr>
          <w:rFonts w:ascii="Arial" w:eastAsia="Calibri" w:hAnsi="Arial" w:cs="Arial"/>
          <w:sz w:val="20"/>
        </w:rPr>
      </w:pPr>
    </w:p>
    <w:p w14:paraId="517600A7" w14:textId="77777777" w:rsidR="005D1327" w:rsidRDefault="005D1327" w:rsidP="005D1327">
      <w:pPr>
        <w:keepNext/>
        <w:keepLines/>
        <w:spacing w:after="0" w:line="240" w:lineRule="auto"/>
        <w:jc w:val="both"/>
        <w:outlineLvl w:val="1"/>
        <w:rPr>
          <w:rFonts w:ascii="Arial" w:eastAsia="Calibri" w:hAnsi="Arial" w:cs="Arial"/>
          <w:sz w:val="20"/>
        </w:rPr>
      </w:pPr>
      <w:bookmarkStart w:id="11" w:name="_Toc102741376"/>
      <w:r>
        <w:rPr>
          <w:rFonts w:ascii="Arial" w:eastAsia="Calibri" w:hAnsi="Arial" w:cs="Arial"/>
          <w:sz w:val="20"/>
        </w:rPr>
        <w:t xml:space="preserve">V prvi skupini ukrepov je mogoče doseči cilje </w:t>
      </w:r>
      <w:r w:rsidR="00393041" w:rsidRPr="005D1327">
        <w:rPr>
          <w:rFonts w:ascii="Arial" w:eastAsia="Calibri" w:hAnsi="Arial" w:cs="Arial"/>
          <w:sz w:val="20"/>
        </w:rPr>
        <w:t xml:space="preserve">s pospešenim razvojem </w:t>
      </w:r>
      <w:r w:rsidR="003D0D9C">
        <w:rPr>
          <w:rFonts w:ascii="Arial" w:eastAsia="Calibri" w:hAnsi="Arial" w:cs="Arial"/>
          <w:sz w:val="20"/>
        </w:rPr>
        <w:t xml:space="preserve">in posodobitvijo </w:t>
      </w:r>
      <w:r w:rsidR="00393041" w:rsidRPr="005D1327">
        <w:rPr>
          <w:rFonts w:ascii="Arial" w:eastAsia="Calibri" w:hAnsi="Arial" w:cs="Arial"/>
          <w:sz w:val="20"/>
        </w:rPr>
        <w:t xml:space="preserve">omrežja </w:t>
      </w:r>
      <w:r w:rsidR="009E112A" w:rsidRPr="005D1327">
        <w:rPr>
          <w:rFonts w:ascii="Arial" w:eastAsia="Calibri" w:hAnsi="Arial" w:cs="Arial"/>
          <w:sz w:val="20"/>
        </w:rPr>
        <w:t>za distribucijo električne energije</w:t>
      </w:r>
      <w:r>
        <w:rPr>
          <w:rFonts w:ascii="Arial" w:eastAsia="Calibri" w:hAnsi="Arial" w:cs="Arial"/>
          <w:sz w:val="20"/>
        </w:rPr>
        <w:t>, s tem pa omogočiti:</w:t>
      </w:r>
      <w:bookmarkEnd w:id="11"/>
      <w:r>
        <w:rPr>
          <w:rFonts w:ascii="Arial" w:eastAsia="Calibri" w:hAnsi="Arial" w:cs="Arial"/>
          <w:sz w:val="20"/>
        </w:rPr>
        <w:t xml:space="preserve"> </w:t>
      </w:r>
    </w:p>
    <w:p w14:paraId="3703F8B6" w14:textId="77777777" w:rsidR="005D1327" w:rsidRDefault="009E112A" w:rsidP="003445EF">
      <w:pPr>
        <w:pStyle w:val="Odstavekseznama"/>
        <w:keepNext/>
        <w:keepLines/>
        <w:numPr>
          <w:ilvl w:val="0"/>
          <w:numId w:val="1"/>
        </w:numPr>
        <w:spacing w:after="0" w:line="240" w:lineRule="auto"/>
        <w:jc w:val="both"/>
        <w:outlineLvl w:val="1"/>
        <w:rPr>
          <w:rFonts w:ascii="Arial" w:eastAsia="Calibri" w:hAnsi="Arial" w:cs="Arial"/>
          <w:sz w:val="20"/>
        </w:rPr>
      </w:pPr>
      <w:bookmarkStart w:id="12" w:name="_Toc102741377"/>
      <w:r w:rsidRPr="005D1327">
        <w:rPr>
          <w:rFonts w:ascii="Arial" w:eastAsia="Calibri" w:hAnsi="Arial" w:cs="Arial"/>
          <w:sz w:val="20"/>
        </w:rPr>
        <w:t xml:space="preserve">njegovo večjo </w:t>
      </w:r>
      <w:r w:rsidR="005D1327">
        <w:rPr>
          <w:rFonts w:ascii="Arial" w:eastAsia="Calibri" w:hAnsi="Arial" w:cs="Arial"/>
          <w:sz w:val="20"/>
        </w:rPr>
        <w:t xml:space="preserve">jakost, odpornost proti motnjam in </w:t>
      </w:r>
      <w:r w:rsidRPr="005D1327">
        <w:rPr>
          <w:rFonts w:ascii="Arial" w:eastAsia="Calibri" w:hAnsi="Arial" w:cs="Arial"/>
          <w:sz w:val="20"/>
        </w:rPr>
        <w:t>naprednost</w:t>
      </w:r>
      <w:r w:rsidR="005D1327">
        <w:rPr>
          <w:rFonts w:ascii="Arial" w:eastAsia="Calibri" w:hAnsi="Arial" w:cs="Arial"/>
          <w:sz w:val="20"/>
        </w:rPr>
        <w:t>,</w:t>
      </w:r>
      <w:bookmarkEnd w:id="12"/>
      <w:r w:rsidR="005D1327">
        <w:rPr>
          <w:rFonts w:ascii="Arial" w:eastAsia="Calibri" w:hAnsi="Arial" w:cs="Arial"/>
          <w:sz w:val="20"/>
        </w:rPr>
        <w:t xml:space="preserve"> </w:t>
      </w:r>
    </w:p>
    <w:p w14:paraId="2E692321" w14:textId="77777777" w:rsidR="005D1327" w:rsidRPr="005D1327" w:rsidRDefault="009E112A" w:rsidP="003445EF">
      <w:pPr>
        <w:pStyle w:val="Odstavekseznama"/>
        <w:keepNext/>
        <w:keepLines/>
        <w:numPr>
          <w:ilvl w:val="0"/>
          <w:numId w:val="1"/>
        </w:numPr>
        <w:spacing w:after="0" w:line="240" w:lineRule="auto"/>
        <w:jc w:val="both"/>
        <w:outlineLvl w:val="1"/>
        <w:rPr>
          <w:rFonts w:ascii="Arial" w:eastAsia="Times New Roman" w:hAnsi="Arial" w:cs="Arial"/>
          <w:sz w:val="20"/>
          <w:szCs w:val="20"/>
          <w:u w:val="single"/>
        </w:rPr>
      </w:pPr>
      <w:bookmarkStart w:id="13" w:name="_Toc102741378"/>
      <w:r w:rsidRPr="005D1327">
        <w:rPr>
          <w:rFonts w:ascii="Arial" w:eastAsia="Calibri" w:hAnsi="Arial" w:cs="Arial"/>
          <w:sz w:val="20"/>
        </w:rPr>
        <w:t xml:space="preserve">izkoriščanje prožnosti virov in bremen, </w:t>
      </w:r>
      <w:r w:rsidR="005D1327" w:rsidRPr="005D1327">
        <w:rPr>
          <w:rFonts w:ascii="Arial" w:eastAsia="Calibri" w:hAnsi="Arial" w:cs="Arial"/>
          <w:sz w:val="20"/>
        </w:rPr>
        <w:t>saj takšno omrežje predstavlja temelj prihodnjega prehoda v podnebno nevtralno družbo,</w:t>
      </w:r>
      <w:bookmarkEnd w:id="13"/>
      <w:r w:rsidR="005D1327" w:rsidRPr="005D1327">
        <w:rPr>
          <w:rFonts w:ascii="Arial" w:eastAsia="Calibri" w:hAnsi="Arial" w:cs="Arial"/>
          <w:sz w:val="20"/>
        </w:rPr>
        <w:t xml:space="preserve"> </w:t>
      </w:r>
    </w:p>
    <w:p w14:paraId="127567A2" w14:textId="77777777" w:rsidR="005D1327" w:rsidRPr="005D1327" w:rsidRDefault="009E112A" w:rsidP="003445EF">
      <w:pPr>
        <w:pStyle w:val="Odstavekseznama"/>
        <w:keepNext/>
        <w:keepLines/>
        <w:numPr>
          <w:ilvl w:val="0"/>
          <w:numId w:val="1"/>
        </w:numPr>
        <w:spacing w:after="0" w:line="240" w:lineRule="auto"/>
        <w:jc w:val="both"/>
        <w:outlineLvl w:val="1"/>
        <w:rPr>
          <w:rFonts w:ascii="Arial" w:eastAsia="Times New Roman" w:hAnsi="Arial" w:cs="Arial"/>
          <w:sz w:val="20"/>
          <w:szCs w:val="20"/>
          <w:u w:val="single"/>
        </w:rPr>
      </w:pPr>
      <w:bookmarkStart w:id="14" w:name="_Toc102741379"/>
      <w:r w:rsidRPr="00747BFE">
        <w:rPr>
          <w:rFonts w:ascii="Arial" w:eastAsia="Calibri" w:hAnsi="Arial" w:cs="Arial"/>
          <w:sz w:val="20"/>
        </w:rPr>
        <w:t>pospešeno priključevanje toplotnih črpalk</w:t>
      </w:r>
      <w:r w:rsidR="005D1327">
        <w:rPr>
          <w:rFonts w:ascii="Arial" w:eastAsia="Calibri" w:hAnsi="Arial" w:cs="Arial"/>
          <w:sz w:val="20"/>
        </w:rPr>
        <w:t>,</w:t>
      </w:r>
      <w:bookmarkEnd w:id="14"/>
      <w:r w:rsidR="005D1327">
        <w:rPr>
          <w:rFonts w:ascii="Arial" w:eastAsia="Calibri" w:hAnsi="Arial" w:cs="Arial"/>
          <w:sz w:val="20"/>
        </w:rPr>
        <w:t xml:space="preserve"> </w:t>
      </w:r>
    </w:p>
    <w:p w14:paraId="3D155FA2" w14:textId="77777777" w:rsidR="005D1327" w:rsidRPr="005D1327" w:rsidRDefault="009E112A" w:rsidP="003445EF">
      <w:pPr>
        <w:pStyle w:val="Odstavekseznama"/>
        <w:keepNext/>
        <w:keepLines/>
        <w:numPr>
          <w:ilvl w:val="0"/>
          <w:numId w:val="1"/>
        </w:numPr>
        <w:spacing w:after="0" w:line="240" w:lineRule="auto"/>
        <w:jc w:val="both"/>
        <w:outlineLvl w:val="1"/>
        <w:rPr>
          <w:rFonts w:ascii="Arial" w:eastAsia="Times New Roman" w:hAnsi="Arial" w:cs="Arial"/>
          <w:sz w:val="20"/>
          <w:szCs w:val="20"/>
          <w:u w:val="single"/>
        </w:rPr>
      </w:pPr>
      <w:bookmarkStart w:id="15" w:name="_Toc102741380"/>
      <w:r w:rsidRPr="00747BFE">
        <w:rPr>
          <w:rFonts w:ascii="Arial" w:eastAsia="Calibri" w:hAnsi="Arial" w:cs="Arial"/>
          <w:sz w:val="20"/>
        </w:rPr>
        <w:t xml:space="preserve">izpolnjevanje zahtev povezanih s pospešenim uvajanjem </w:t>
      </w:r>
      <w:r w:rsidR="005D1327">
        <w:rPr>
          <w:rFonts w:ascii="Arial" w:eastAsia="Calibri" w:hAnsi="Arial" w:cs="Arial"/>
          <w:sz w:val="20"/>
        </w:rPr>
        <w:t xml:space="preserve">trajnostne in </w:t>
      </w:r>
      <w:r w:rsidRPr="00747BFE">
        <w:rPr>
          <w:rFonts w:ascii="Arial" w:eastAsia="Calibri" w:hAnsi="Arial" w:cs="Arial"/>
          <w:sz w:val="20"/>
        </w:rPr>
        <w:t>e-mobilnosti ter</w:t>
      </w:r>
      <w:bookmarkEnd w:id="15"/>
    </w:p>
    <w:p w14:paraId="7802A303" w14:textId="77777777" w:rsidR="003D0D9C" w:rsidRPr="003D0D9C" w:rsidRDefault="009E112A" w:rsidP="003445EF">
      <w:pPr>
        <w:pStyle w:val="Odstavekseznama"/>
        <w:keepNext/>
        <w:keepLines/>
        <w:numPr>
          <w:ilvl w:val="0"/>
          <w:numId w:val="1"/>
        </w:numPr>
        <w:spacing w:after="0" w:line="240" w:lineRule="auto"/>
        <w:jc w:val="both"/>
        <w:outlineLvl w:val="1"/>
        <w:rPr>
          <w:rFonts w:ascii="Arial" w:eastAsia="Times New Roman" w:hAnsi="Arial" w:cs="Arial"/>
          <w:sz w:val="20"/>
          <w:szCs w:val="20"/>
          <w:u w:val="single"/>
        </w:rPr>
      </w:pPr>
      <w:bookmarkStart w:id="16" w:name="_Toc102741381"/>
      <w:r w:rsidRPr="00747BFE">
        <w:rPr>
          <w:rFonts w:ascii="Arial" w:eastAsia="Calibri" w:hAnsi="Arial" w:cs="Arial"/>
          <w:sz w:val="20"/>
        </w:rPr>
        <w:t>pospešeno integracijo naprav za proizvodnjo energije iz OVE</w:t>
      </w:r>
      <w:r w:rsidR="003D0D9C">
        <w:rPr>
          <w:rFonts w:ascii="Arial" w:eastAsia="Calibri" w:hAnsi="Arial" w:cs="Arial"/>
          <w:sz w:val="20"/>
        </w:rPr>
        <w:t>,</w:t>
      </w:r>
      <w:bookmarkEnd w:id="16"/>
      <w:r w:rsidR="003D0D9C">
        <w:rPr>
          <w:rFonts w:ascii="Arial" w:eastAsia="Calibri" w:hAnsi="Arial" w:cs="Arial"/>
          <w:sz w:val="20"/>
        </w:rPr>
        <w:t xml:space="preserve"> </w:t>
      </w:r>
    </w:p>
    <w:p w14:paraId="1834B024" w14:textId="77777777" w:rsidR="0007114A" w:rsidRPr="00747BFE" w:rsidRDefault="003D0D9C" w:rsidP="003445EF">
      <w:pPr>
        <w:pStyle w:val="Odstavekseznama"/>
        <w:keepNext/>
        <w:keepLines/>
        <w:numPr>
          <w:ilvl w:val="0"/>
          <w:numId w:val="1"/>
        </w:numPr>
        <w:spacing w:after="0" w:line="240" w:lineRule="auto"/>
        <w:jc w:val="both"/>
        <w:outlineLvl w:val="1"/>
        <w:rPr>
          <w:rFonts w:ascii="Arial" w:eastAsia="Times New Roman" w:hAnsi="Arial" w:cs="Arial"/>
          <w:sz w:val="20"/>
          <w:szCs w:val="20"/>
          <w:u w:val="single"/>
        </w:rPr>
      </w:pPr>
      <w:bookmarkStart w:id="17" w:name="_Toc102741382"/>
      <w:r>
        <w:rPr>
          <w:rFonts w:ascii="Arial" w:eastAsia="Arial" w:hAnsi="Arial" w:cs="Arial"/>
          <w:sz w:val="20"/>
        </w:rPr>
        <w:t>n</w:t>
      </w:r>
      <w:r w:rsidRPr="00747BFE">
        <w:rPr>
          <w:rFonts w:ascii="Arial" w:eastAsia="Arial" w:hAnsi="Arial" w:cs="Arial"/>
          <w:sz w:val="20"/>
        </w:rPr>
        <w:t xml:space="preserve">a področju daljinskih sistemov </w:t>
      </w:r>
      <w:r>
        <w:rPr>
          <w:rFonts w:ascii="Arial" w:eastAsia="Arial" w:hAnsi="Arial" w:cs="Arial"/>
          <w:sz w:val="20"/>
        </w:rPr>
        <w:t xml:space="preserve">pa je priložnost v </w:t>
      </w:r>
      <w:r w:rsidRPr="00747BFE">
        <w:rPr>
          <w:rFonts w:ascii="Arial" w:eastAsia="Arial" w:hAnsi="Arial" w:cs="Arial"/>
          <w:sz w:val="20"/>
        </w:rPr>
        <w:t>odpiranju daljinskih sistemov preko operaterjev trga (market operaterjev), kjer lahko vsak ponudnik toplotne energije viške ponudi v odkup sistemu daljinskega ogrevanja</w:t>
      </w:r>
      <w:r>
        <w:rPr>
          <w:rFonts w:ascii="Arial" w:eastAsia="Arial" w:hAnsi="Arial" w:cs="Arial"/>
          <w:sz w:val="20"/>
        </w:rPr>
        <w:t>.</w:t>
      </w:r>
      <w:bookmarkEnd w:id="17"/>
      <w:r>
        <w:rPr>
          <w:rFonts w:ascii="Arial" w:eastAsia="Arial" w:hAnsi="Arial" w:cs="Arial"/>
          <w:sz w:val="20"/>
        </w:rPr>
        <w:t xml:space="preserve"> </w:t>
      </w:r>
    </w:p>
    <w:p w14:paraId="385606E8" w14:textId="77777777" w:rsidR="00747BFE" w:rsidRPr="00747BFE" w:rsidRDefault="00747BFE" w:rsidP="00747BFE">
      <w:pPr>
        <w:spacing w:after="0" w:line="240" w:lineRule="auto"/>
        <w:jc w:val="both"/>
        <w:rPr>
          <w:rFonts w:ascii="Arial" w:eastAsia="Calibri" w:hAnsi="Arial" w:cs="Arial"/>
          <w:sz w:val="20"/>
          <w:szCs w:val="20"/>
        </w:rPr>
      </w:pPr>
    </w:p>
    <w:p w14:paraId="5753C41A" w14:textId="77777777" w:rsidR="00747BFE" w:rsidRPr="00747BFE" w:rsidRDefault="001D000E" w:rsidP="00747BFE">
      <w:pPr>
        <w:spacing w:after="0" w:line="240" w:lineRule="auto"/>
        <w:jc w:val="both"/>
        <w:rPr>
          <w:rFonts w:ascii="Arial" w:eastAsia="Arial" w:hAnsi="Arial" w:cs="Arial"/>
          <w:sz w:val="20"/>
        </w:rPr>
      </w:pPr>
      <w:r>
        <w:rPr>
          <w:rFonts w:ascii="Arial" w:eastAsia="Arial" w:hAnsi="Arial" w:cs="Arial"/>
          <w:sz w:val="20"/>
        </w:rPr>
        <w:t xml:space="preserve">V drugi skupini ukrepov je mogoče doseči cilje s pospešenim razvojem in uvajanjem inovativnih tehnoloških rešitev za povečanje energetske učinkovitosti v podjetjih, in sicer: </w:t>
      </w:r>
    </w:p>
    <w:p w14:paraId="439700C6" w14:textId="77777777" w:rsidR="00747BFE" w:rsidRPr="00747BFE" w:rsidRDefault="001D000E" w:rsidP="003445EF">
      <w:pPr>
        <w:numPr>
          <w:ilvl w:val="0"/>
          <w:numId w:val="2"/>
        </w:numPr>
        <w:spacing w:after="0" w:line="240" w:lineRule="auto"/>
        <w:contextualSpacing/>
        <w:jc w:val="both"/>
        <w:rPr>
          <w:rFonts w:ascii="Arial" w:eastAsia="Arial" w:hAnsi="Arial" w:cs="Arial"/>
          <w:b/>
          <w:sz w:val="20"/>
          <w:lang w:eastAsia="sl-SI"/>
        </w:rPr>
      </w:pPr>
      <w:r>
        <w:rPr>
          <w:rFonts w:ascii="Arial" w:eastAsia="Arial" w:hAnsi="Arial" w:cs="Arial"/>
          <w:sz w:val="20"/>
          <w:lang w:eastAsia="sl-SI"/>
        </w:rPr>
        <w:t>z r</w:t>
      </w:r>
      <w:r w:rsidR="00747BFE" w:rsidRPr="00747BFE">
        <w:rPr>
          <w:rFonts w:ascii="Arial" w:eastAsia="Arial" w:hAnsi="Arial" w:cs="Arial"/>
          <w:sz w:val="20"/>
          <w:lang w:eastAsia="sl-SI"/>
        </w:rPr>
        <w:t>edefinicij</w:t>
      </w:r>
      <w:r>
        <w:rPr>
          <w:rFonts w:ascii="Arial" w:eastAsia="Arial" w:hAnsi="Arial" w:cs="Arial"/>
          <w:sz w:val="20"/>
          <w:lang w:eastAsia="sl-SI"/>
        </w:rPr>
        <w:t>o</w:t>
      </w:r>
      <w:r w:rsidR="00747BFE" w:rsidRPr="00747BFE">
        <w:rPr>
          <w:rFonts w:ascii="Arial" w:eastAsia="Arial" w:hAnsi="Arial" w:cs="Arial"/>
          <w:sz w:val="20"/>
          <w:lang w:eastAsia="sl-SI"/>
        </w:rPr>
        <w:t xml:space="preserve"> </w:t>
      </w:r>
      <w:r w:rsidR="00747BFE" w:rsidRPr="00747BFE">
        <w:rPr>
          <w:rFonts w:ascii="Arial" w:eastAsia="Arial" w:hAnsi="Arial" w:cs="Arial"/>
          <w:b/>
          <w:sz w:val="20"/>
          <w:lang w:eastAsia="sl-SI"/>
        </w:rPr>
        <w:t>koncepta upravljanja</w:t>
      </w:r>
      <w:r w:rsidR="00747BFE" w:rsidRPr="00747BFE">
        <w:rPr>
          <w:rFonts w:ascii="Arial" w:eastAsia="Arial" w:hAnsi="Arial" w:cs="Arial"/>
          <w:sz w:val="20"/>
          <w:lang w:eastAsia="sl-SI"/>
        </w:rPr>
        <w:t xml:space="preserve"> (</w:t>
      </w:r>
      <w:r w:rsidR="000E6A43">
        <w:rPr>
          <w:rFonts w:ascii="Arial" w:eastAsia="Arial" w:hAnsi="Arial" w:cs="Arial"/>
          <w:sz w:val="20"/>
          <w:lang w:eastAsia="sl-SI"/>
        </w:rPr>
        <w:t>ang. »</w:t>
      </w:r>
      <w:r w:rsidR="00747BFE" w:rsidRPr="00747BFE">
        <w:rPr>
          <w:rFonts w:ascii="Arial" w:eastAsia="Arial" w:hAnsi="Arial" w:cs="Arial"/>
          <w:sz w:val="20"/>
          <w:lang w:eastAsia="sl-SI"/>
        </w:rPr>
        <w:t>governance</w:t>
      </w:r>
      <w:r w:rsidR="000E6A43">
        <w:rPr>
          <w:rFonts w:ascii="Arial" w:eastAsia="Arial" w:hAnsi="Arial" w:cs="Arial"/>
          <w:sz w:val="20"/>
          <w:lang w:eastAsia="sl-SI"/>
        </w:rPr>
        <w:t>«</w:t>
      </w:r>
      <w:r w:rsidR="00747BFE" w:rsidRPr="00747BFE">
        <w:rPr>
          <w:rFonts w:ascii="Arial" w:eastAsia="Arial" w:hAnsi="Arial" w:cs="Arial"/>
          <w:sz w:val="20"/>
          <w:lang w:eastAsia="sl-SI"/>
        </w:rPr>
        <w:t>) z namenom naslavljanja izziva razdrobljenosti proizvajalcev električne energije iz OVE, ob hkratnem vključevanju porabnikov energije in prilagajanjem njihovih tehnoloških procesov zahtevam razogljičenja</w:t>
      </w:r>
      <w:r>
        <w:rPr>
          <w:rFonts w:ascii="Arial" w:eastAsia="Arial" w:hAnsi="Arial" w:cs="Arial"/>
          <w:sz w:val="20"/>
          <w:lang w:eastAsia="sl-SI"/>
        </w:rPr>
        <w:t>,</w:t>
      </w:r>
      <w:r w:rsidR="00747BFE" w:rsidRPr="00747BFE">
        <w:rPr>
          <w:rFonts w:ascii="Arial" w:eastAsia="Arial" w:hAnsi="Arial" w:cs="Arial"/>
          <w:sz w:val="20"/>
          <w:lang w:eastAsia="sl-SI"/>
        </w:rPr>
        <w:t xml:space="preserve"> </w:t>
      </w:r>
    </w:p>
    <w:p w14:paraId="130571EA" w14:textId="7EEC9062" w:rsidR="00E44755" w:rsidRPr="00E44755" w:rsidRDefault="001D000E" w:rsidP="003445EF">
      <w:pPr>
        <w:numPr>
          <w:ilvl w:val="0"/>
          <w:numId w:val="2"/>
        </w:numPr>
        <w:spacing w:after="0" w:line="240" w:lineRule="auto"/>
        <w:contextualSpacing/>
        <w:jc w:val="both"/>
        <w:rPr>
          <w:rFonts w:ascii="Arial" w:eastAsia="Arial" w:hAnsi="Arial" w:cs="Arial"/>
          <w:b/>
          <w:sz w:val="20"/>
          <w:lang w:eastAsia="sl-SI"/>
        </w:rPr>
      </w:pPr>
      <w:r w:rsidRPr="00E44755">
        <w:rPr>
          <w:rFonts w:ascii="Arial" w:eastAsia="Arial" w:hAnsi="Arial" w:cs="Arial"/>
          <w:sz w:val="20"/>
          <w:lang w:eastAsia="sl-SI"/>
        </w:rPr>
        <w:t>z zniževanjem energetske in emisijske</w:t>
      </w:r>
      <w:r w:rsidRPr="00747BFE">
        <w:rPr>
          <w:rFonts w:ascii="Arial" w:eastAsia="Arial" w:hAnsi="Arial" w:cs="Arial"/>
          <w:sz w:val="20"/>
          <w:lang w:eastAsia="sl-SI"/>
        </w:rPr>
        <w:t xml:space="preserve"> intenzivnost</w:t>
      </w:r>
      <w:r w:rsidRPr="00E44755">
        <w:rPr>
          <w:rFonts w:ascii="Arial" w:eastAsia="Arial" w:hAnsi="Arial" w:cs="Arial"/>
          <w:sz w:val="20"/>
          <w:lang w:eastAsia="sl-SI"/>
        </w:rPr>
        <w:t>i</w:t>
      </w:r>
      <w:r w:rsidRPr="00747BFE">
        <w:rPr>
          <w:rFonts w:ascii="Arial" w:eastAsia="Arial" w:hAnsi="Arial" w:cs="Arial"/>
          <w:sz w:val="20"/>
          <w:lang w:eastAsia="sl-SI"/>
        </w:rPr>
        <w:t xml:space="preserve"> z učinkovito in razvojno naravnano </w:t>
      </w:r>
      <w:r w:rsidRPr="00747BFE">
        <w:rPr>
          <w:rFonts w:ascii="Arial" w:eastAsia="Arial" w:hAnsi="Arial" w:cs="Arial"/>
          <w:b/>
          <w:sz w:val="20"/>
          <w:lang w:eastAsia="sl-SI"/>
        </w:rPr>
        <w:t>energetsko tranzicijo</w:t>
      </w:r>
      <w:r w:rsidRPr="00E44755">
        <w:rPr>
          <w:rFonts w:ascii="Arial" w:eastAsia="Arial" w:hAnsi="Arial" w:cs="Arial"/>
          <w:b/>
          <w:sz w:val="20"/>
          <w:lang w:eastAsia="sl-SI"/>
        </w:rPr>
        <w:t>,</w:t>
      </w:r>
      <w:r w:rsidRPr="00747BFE">
        <w:rPr>
          <w:rFonts w:ascii="Arial" w:eastAsia="Arial" w:hAnsi="Arial" w:cs="Arial"/>
          <w:b/>
          <w:sz w:val="20"/>
          <w:lang w:eastAsia="sl-SI"/>
        </w:rPr>
        <w:t xml:space="preserve"> z intenzivnejšo uporabo naprednih tehnologij in uvedbo inovativnih poslovnih modelov</w:t>
      </w:r>
      <w:r w:rsidRPr="00747BFE">
        <w:rPr>
          <w:rFonts w:ascii="Arial" w:eastAsia="Arial" w:hAnsi="Arial" w:cs="Arial"/>
          <w:sz w:val="20"/>
          <w:lang w:eastAsia="sl-SI"/>
        </w:rPr>
        <w:t xml:space="preserve"> (platform za prenos energije iz različnih virov energije v realnem času in prilagodljivost potreb po električni energiji z njeno razpoložljivostjo)</w:t>
      </w:r>
      <w:r w:rsidRPr="00E44755">
        <w:rPr>
          <w:rFonts w:ascii="Arial" w:eastAsia="Arial" w:hAnsi="Arial" w:cs="Arial"/>
          <w:sz w:val="20"/>
          <w:lang w:eastAsia="sl-SI"/>
        </w:rPr>
        <w:t>, zlasti v energetsko intenzivnih industrijskih panogah</w:t>
      </w:r>
      <w:r w:rsidR="000E6A43" w:rsidRPr="00E44755">
        <w:rPr>
          <w:rFonts w:ascii="Arial" w:eastAsia="Arial" w:hAnsi="Arial" w:cs="Arial"/>
          <w:sz w:val="20"/>
          <w:lang w:eastAsia="sl-SI"/>
        </w:rPr>
        <w:t xml:space="preserve">. </w:t>
      </w:r>
      <w:r w:rsidR="00842FE6">
        <w:rPr>
          <w:rFonts w:ascii="Arial" w:eastAsia="Arial" w:hAnsi="Arial" w:cs="Arial"/>
          <w:sz w:val="20"/>
          <w:lang w:eastAsia="sl-SI"/>
        </w:rPr>
        <w:t xml:space="preserve">Rezultati tega projekta lahko pomenijo podlago za prispevek k reformi evropske zakonodaje na področju ETS </w:t>
      </w:r>
      <w:r w:rsidR="00E44755" w:rsidRPr="00747BFE">
        <w:rPr>
          <w:rFonts w:ascii="Arial" w:eastAsia="Arial" w:hAnsi="Arial" w:cs="Arial"/>
          <w:sz w:val="20"/>
          <w:lang w:eastAsia="sl-SI"/>
        </w:rPr>
        <w:t xml:space="preserve">skozi tehnološko rešitev </w:t>
      </w:r>
      <w:r w:rsidR="008742A0">
        <w:rPr>
          <w:rFonts w:ascii="Arial" w:eastAsia="Arial" w:hAnsi="Arial" w:cs="Arial"/>
          <w:sz w:val="20"/>
          <w:lang w:eastAsia="sl-SI"/>
        </w:rPr>
        <w:t>zapisov ETS z uporabo tehnologije distribuiranih zapisov</w:t>
      </w:r>
      <w:r w:rsidR="00E44755" w:rsidRPr="00747BFE">
        <w:rPr>
          <w:rFonts w:ascii="Arial" w:eastAsia="Arial" w:hAnsi="Arial" w:cs="Arial"/>
          <w:sz w:val="20"/>
          <w:lang w:eastAsia="sl-SI"/>
        </w:rPr>
        <w:t xml:space="preserve"> za podjetja, vključena v sistem izdaje ETS</w:t>
      </w:r>
      <w:r w:rsidR="00842FE6">
        <w:rPr>
          <w:rFonts w:ascii="Arial" w:eastAsia="Arial" w:hAnsi="Arial" w:cs="Arial"/>
          <w:sz w:val="20"/>
          <w:lang w:eastAsia="sl-SI"/>
        </w:rPr>
        <w:t xml:space="preserve"> in tista, ki še niso vključena v ta sistem</w:t>
      </w:r>
      <w:r w:rsidR="00E44755" w:rsidRPr="00747BFE">
        <w:rPr>
          <w:rFonts w:ascii="Arial" w:eastAsia="Arial" w:hAnsi="Arial" w:cs="Arial"/>
          <w:sz w:val="20"/>
          <w:lang w:eastAsia="sl-SI"/>
        </w:rPr>
        <w:t>,</w:t>
      </w:r>
      <w:r w:rsidR="00E44755" w:rsidRPr="00747BFE">
        <w:rPr>
          <w:rFonts w:ascii="Arial" w:eastAsia="Calibri" w:hAnsi="Arial" w:cs="Arial"/>
          <w:sz w:val="20"/>
        </w:rPr>
        <w:t xml:space="preserve"> ki bi bil prenosljiv na EU raven</w:t>
      </w:r>
      <w:r w:rsidR="00E44755" w:rsidRPr="00747BFE">
        <w:rPr>
          <w:rFonts w:ascii="Arial" w:eastAsia="Arial" w:hAnsi="Arial" w:cs="Arial"/>
          <w:sz w:val="20"/>
          <w:lang w:eastAsia="sl-SI"/>
        </w:rPr>
        <w:t>.</w:t>
      </w:r>
      <w:r w:rsidR="00E44755" w:rsidRPr="00E44755">
        <w:rPr>
          <w:rFonts w:ascii="Arial" w:eastAsia="Arial" w:hAnsi="Arial" w:cs="Arial"/>
          <w:sz w:val="20"/>
          <w:lang w:eastAsia="sl-SI"/>
        </w:rPr>
        <w:t xml:space="preserve"> </w:t>
      </w:r>
      <w:r w:rsidR="000E6A43" w:rsidRPr="00E44755">
        <w:rPr>
          <w:rFonts w:ascii="Arial" w:eastAsia="Arial" w:hAnsi="Arial" w:cs="Arial"/>
          <w:sz w:val="20"/>
          <w:lang w:eastAsia="sl-SI"/>
        </w:rPr>
        <w:t xml:space="preserve">Še posebej pomembno bo na tem mestu sodelovanje z </w:t>
      </w:r>
      <w:r w:rsidRPr="00E44755">
        <w:rPr>
          <w:rFonts w:ascii="Arial" w:eastAsia="Arial" w:hAnsi="Arial" w:cs="Arial"/>
          <w:sz w:val="20"/>
          <w:lang w:eastAsia="sl-SI"/>
        </w:rPr>
        <w:t xml:space="preserve"> </w:t>
      </w:r>
      <w:r w:rsidR="000E6A43" w:rsidRPr="00747BFE">
        <w:rPr>
          <w:rFonts w:ascii="Arial" w:eastAsia="Arial" w:hAnsi="Arial" w:cs="Arial"/>
          <w:sz w:val="20"/>
          <w:lang w:eastAsia="sl-SI"/>
        </w:rPr>
        <w:t>inovativnimi mali</w:t>
      </w:r>
      <w:r w:rsidR="00E44755" w:rsidRPr="00E44755">
        <w:rPr>
          <w:rFonts w:ascii="Arial" w:eastAsia="Arial" w:hAnsi="Arial" w:cs="Arial"/>
          <w:sz w:val="20"/>
          <w:lang w:eastAsia="sl-SI"/>
        </w:rPr>
        <w:t>mi in srednje velikimi podjetji</w:t>
      </w:r>
      <w:r w:rsidR="000E6A43" w:rsidRPr="00747BFE">
        <w:rPr>
          <w:rFonts w:ascii="Arial" w:eastAsia="Arial" w:hAnsi="Arial" w:cs="Arial"/>
          <w:sz w:val="20"/>
          <w:lang w:eastAsia="sl-SI"/>
        </w:rPr>
        <w:t>, s čimer se bo hkrati krepila</w:t>
      </w:r>
      <w:r w:rsidR="00E44755" w:rsidRPr="00E44755">
        <w:rPr>
          <w:rFonts w:ascii="Arial" w:eastAsia="Arial" w:hAnsi="Arial" w:cs="Arial"/>
          <w:sz w:val="20"/>
          <w:lang w:eastAsia="sl-SI"/>
        </w:rPr>
        <w:t xml:space="preserve"> njihova inovacijska sposobnost, </w:t>
      </w:r>
    </w:p>
    <w:p w14:paraId="52EFEA82" w14:textId="77777777" w:rsidR="00747BFE" w:rsidRPr="00747BFE" w:rsidRDefault="00E44755" w:rsidP="003445EF">
      <w:pPr>
        <w:numPr>
          <w:ilvl w:val="0"/>
          <w:numId w:val="2"/>
        </w:numPr>
        <w:spacing w:after="0" w:line="240" w:lineRule="auto"/>
        <w:contextualSpacing/>
        <w:jc w:val="both"/>
        <w:rPr>
          <w:rFonts w:ascii="Arial" w:eastAsia="Arial" w:hAnsi="Arial" w:cs="Arial"/>
          <w:b/>
          <w:sz w:val="20"/>
          <w:lang w:eastAsia="sl-SI"/>
        </w:rPr>
      </w:pPr>
      <w:r>
        <w:rPr>
          <w:rFonts w:ascii="Arial" w:eastAsia="Arial" w:hAnsi="Arial" w:cs="Arial"/>
          <w:sz w:val="20"/>
          <w:lang w:eastAsia="sl-SI"/>
        </w:rPr>
        <w:t>z i</w:t>
      </w:r>
      <w:r w:rsidR="00747BFE" w:rsidRPr="00747BFE">
        <w:rPr>
          <w:rFonts w:ascii="Arial" w:eastAsia="Arial" w:hAnsi="Arial" w:cs="Arial"/>
          <w:sz w:val="20"/>
          <w:lang w:eastAsia="sl-SI"/>
        </w:rPr>
        <w:t>ntenz</w:t>
      </w:r>
      <w:r>
        <w:rPr>
          <w:rFonts w:ascii="Arial" w:eastAsia="Arial" w:hAnsi="Arial" w:cs="Arial"/>
          <w:sz w:val="20"/>
          <w:lang w:eastAsia="sl-SI"/>
        </w:rPr>
        <w:t>ivnejšimi</w:t>
      </w:r>
      <w:r w:rsidR="00747BFE" w:rsidRPr="00747BFE">
        <w:rPr>
          <w:rFonts w:ascii="Arial" w:eastAsia="Arial" w:hAnsi="Arial" w:cs="Arial"/>
          <w:sz w:val="20"/>
          <w:lang w:eastAsia="sl-SI"/>
        </w:rPr>
        <w:t xml:space="preserve"> vlaganj</w:t>
      </w:r>
      <w:r>
        <w:rPr>
          <w:rFonts w:ascii="Arial" w:eastAsia="Arial" w:hAnsi="Arial" w:cs="Arial"/>
          <w:sz w:val="20"/>
          <w:lang w:eastAsia="sl-SI"/>
        </w:rPr>
        <w:t>i</w:t>
      </w:r>
      <w:r w:rsidR="00747BFE" w:rsidRPr="00747BFE">
        <w:rPr>
          <w:rFonts w:ascii="Arial" w:eastAsia="Arial" w:hAnsi="Arial" w:cs="Arial"/>
          <w:sz w:val="20"/>
          <w:lang w:eastAsia="sl-SI"/>
        </w:rPr>
        <w:t xml:space="preserve"> v napredne tehnologije, kot je senzorika, IoT, množični podatki, </w:t>
      </w:r>
      <w:r>
        <w:rPr>
          <w:rFonts w:ascii="Arial" w:eastAsia="Arial" w:hAnsi="Arial" w:cs="Arial"/>
          <w:sz w:val="20"/>
          <w:lang w:eastAsia="sl-SI"/>
        </w:rPr>
        <w:t xml:space="preserve">ki </w:t>
      </w:r>
      <w:r w:rsidR="00747BFE" w:rsidRPr="00747BFE">
        <w:rPr>
          <w:rFonts w:ascii="Arial" w:eastAsia="Arial" w:hAnsi="Arial" w:cs="Arial"/>
          <w:sz w:val="20"/>
          <w:lang w:eastAsia="sl-SI"/>
        </w:rPr>
        <w:t>lahko ob učinkoviti podpori drugih naprednih tehnologij (umetne inteligence, blockchain tehnologije) pripeljejo do oblikovanja učinkovitih sistemov za povečanje energetske učinkovitosti v industriji</w:t>
      </w:r>
      <w:r>
        <w:rPr>
          <w:rFonts w:ascii="Arial" w:eastAsia="Arial" w:hAnsi="Arial" w:cs="Arial"/>
          <w:sz w:val="20"/>
          <w:lang w:eastAsia="sl-SI"/>
        </w:rPr>
        <w:t>, to pa</w:t>
      </w:r>
      <w:r w:rsidR="00747BFE" w:rsidRPr="00747BFE">
        <w:rPr>
          <w:rFonts w:ascii="Arial" w:eastAsia="Arial" w:hAnsi="Arial" w:cs="Arial"/>
          <w:sz w:val="20"/>
          <w:lang w:eastAsia="sl-SI"/>
        </w:rPr>
        <w:t xml:space="preserve"> je neposredno povezano s povečanjem energetske učinkovitosti pri investicijah v podjetjih in njihovi večji konk</w:t>
      </w:r>
      <w:r>
        <w:rPr>
          <w:rFonts w:ascii="Arial" w:eastAsia="Arial" w:hAnsi="Arial" w:cs="Arial"/>
          <w:sz w:val="20"/>
          <w:lang w:eastAsia="sl-SI"/>
        </w:rPr>
        <w:t xml:space="preserve">urenčnosti v verigah vrednosti, </w:t>
      </w:r>
    </w:p>
    <w:p w14:paraId="59046886" w14:textId="77777777" w:rsidR="00747BFE" w:rsidRPr="00747BFE" w:rsidRDefault="00E44755" w:rsidP="003445EF">
      <w:pPr>
        <w:numPr>
          <w:ilvl w:val="0"/>
          <w:numId w:val="2"/>
        </w:numPr>
        <w:spacing w:after="0" w:line="240" w:lineRule="auto"/>
        <w:contextualSpacing/>
        <w:jc w:val="both"/>
        <w:rPr>
          <w:rFonts w:ascii="Arial" w:eastAsia="Arial" w:hAnsi="Arial" w:cs="Arial"/>
          <w:b/>
          <w:sz w:val="20"/>
          <w:lang w:eastAsia="sl-SI"/>
        </w:rPr>
      </w:pPr>
      <w:r>
        <w:rPr>
          <w:rFonts w:ascii="Arial" w:eastAsia="Arial" w:hAnsi="Arial" w:cs="Arial"/>
          <w:sz w:val="20"/>
          <w:lang w:eastAsia="sl-SI"/>
        </w:rPr>
        <w:t>s p</w:t>
      </w:r>
      <w:r w:rsidR="00747BFE" w:rsidRPr="00747BFE">
        <w:rPr>
          <w:rFonts w:ascii="Arial" w:eastAsia="Arial" w:hAnsi="Arial" w:cs="Arial"/>
          <w:sz w:val="20"/>
          <w:lang w:eastAsia="sl-SI"/>
        </w:rPr>
        <w:t>ovečanje</w:t>
      </w:r>
      <w:r>
        <w:rPr>
          <w:rFonts w:ascii="Arial" w:eastAsia="Arial" w:hAnsi="Arial" w:cs="Arial"/>
          <w:sz w:val="20"/>
          <w:lang w:eastAsia="sl-SI"/>
        </w:rPr>
        <w:t>m</w:t>
      </w:r>
      <w:r w:rsidR="00747BFE" w:rsidRPr="00747BFE">
        <w:rPr>
          <w:rFonts w:ascii="Arial" w:eastAsia="Arial" w:hAnsi="Arial" w:cs="Arial"/>
          <w:sz w:val="20"/>
          <w:lang w:eastAsia="sl-SI"/>
        </w:rPr>
        <w:t xml:space="preserve"> potenciala </w:t>
      </w:r>
      <w:r w:rsidR="00747BFE" w:rsidRPr="00747BFE">
        <w:rPr>
          <w:rFonts w:ascii="Arial" w:eastAsia="Arial" w:hAnsi="Arial" w:cs="Arial"/>
          <w:b/>
          <w:sz w:val="20"/>
          <w:lang w:eastAsia="sl-SI"/>
        </w:rPr>
        <w:t>energetske učinkovitosti v gradbenem sektorju</w:t>
      </w:r>
      <w:r w:rsidR="00747BFE" w:rsidRPr="00747BFE">
        <w:rPr>
          <w:rFonts w:ascii="Arial" w:eastAsia="Arial" w:hAnsi="Arial" w:cs="Arial"/>
          <w:sz w:val="20"/>
          <w:lang w:eastAsia="sl-SI"/>
        </w:rPr>
        <w:t xml:space="preserve">. Z uvajanjem koncepta krožnega gradbeništva, s katerim </w:t>
      </w:r>
      <w:r>
        <w:rPr>
          <w:rFonts w:ascii="Arial" w:eastAsia="Arial" w:hAnsi="Arial" w:cs="Arial"/>
          <w:sz w:val="20"/>
          <w:lang w:eastAsia="sl-SI"/>
        </w:rPr>
        <w:t xml:space="preserve">je mogoče dosegati </w:t>
      </w:r>
      <w:r w:rsidR="00747BFE" w:rsidRPr="00747BFE">
        <w:rPr>
          <w:rFonts w:ascii="Arial" w:eastAsia="Arial" w:hAnsi="Arial" w:cs="Arial"/>
          <w:sz w:val="20"/>
          <w:lang w:eastAsia="sl-SI"/>
        </w:rPr>
        <w:t>zmanjšanje ogljičnega odtisa v gradbenem sektorju, z uvajanjem novih načinov modeliranja (npr. BIM) pa tudi povečanje snovne učinkovitosti v gradbeništvu.</w:t>
      </w:r>
    </w:p>
    <w:p w14:paraId="192ABAB8" w14:textId="77777777" w:rsidR="00747BFE" w:rsidRPr="00747BFE" w:rsidRDefault="00E44755" w:rsidP="003445EF">
      <w:pPr>
        <w:numPr>
          <w:ilvl w:val="0"/>
          <w:numId w:val="2"/>
        </w:numPr>
        <w:spacing w:after="0" w:line="240" w:lineRule="auto"/>
        <w:contextualSpacing/>
        <w:jc w:val="both"/>
        <w:rPr>
          <w:rFonts w:ascii="Arial" w:eastAsia="Arial" w:hAnsi="Arial" w:cs="Arial"/>
          <w:b/>
          <w:sz w:val="20"/>
          <w:lang w:eastAsia="sl-SI"/>
        </w:rPr>
      </w:pPr>
      <w:r>
        <w:rPr>
          <w:rFonts w:ascii="Arial" w:eastAsia="Arial" w:hAnsi="Arial" w:cs="Arial"/>
          <w:sz w:val="20"/>
          <w:lang w:eastAsia="sl-SI"/>
        </w:rPr>
        <w:t xml:space="preserve">s spodbujanjem implementacije </w:t>
      </w:r>
      <w:r w:rsidR="00747BFE" w:rsidRPr="00747BFE">
        <w:rPr>
          <w:rFonts w:ascii="Arial" w:eastAsia="Arial" w:hAnsi="Arial" w:cs="Arial"/>
          <w:sz w:val="20"/>
          <w:lang w:eastAsia="sl-SI"/>
        </w:rPr>
        <w:t>sistema upravljanja z energijo (</w:t>
      </w:r>
      <w:r w:rsidR="00747BFE" w:rsidRPr="00747BFE">
        <w:rPr>
          <w:rFonts w:ascii="Arial" w:eastAsia="Arial" w:hAnsi="Arial" w:cs="Arial"/>
          <w:b/>
          <w:sz w:val="20"/>
          <w:lang w:eastAsia="sl-SI"/>
        </w:rPr>
        <w:t>energetski management</w:t>
      </w:r>
      <w:r w:rsidR="00747BFE" w:rsidRPr="00747BFE">
        <w:rPr>
          <w:rFonts w:ascii="Arial" w:eastAsia="Arial" w:hAnsi="Arial" w:cs="Arial"/>
          <w:sz w:val="20"/>
          <w:lang w:eastAsia="sl-SI"/>
        </w:rPr>
        <w:t>) skladno s standardom SIST EN ISO 50001 ali sistema upravljanja z okoljem skladno s standardom SIST EN ISO 14001 z izvajanjem ukrepov iz</w:t>
      </w:r>
      <w:r>
        <w:rPr>
          <w:rFonts w:ascii="Arial" w:eastAsia="Arial" w:hAnsi="Arial" w:cs="Arial"/>
          <w:sz w:val="20"/>
          <w:lang w:eastAsia="sl-SI"/>
        </w:rPr>
        <w:t xml:space="preserve"> energetskih pregledov podjetij, s čemer pa b</w:t>
      </w:r>
      <w:r w:rsidR="00747BFE" w:rsidRPr="00747BFE">
        <w:rPr>
          <w:rFonts w:ascii="Arial" w:eastAsia="Arial" w:hAnsi="Arial" w:cs="Arial"/>
          <w:sz w:val="20"/>
          <w:lang w:eastAsia="sl-SI"/>
        </w:rPr>
        <w:t xml:space="preserve">omo tudi povečali ozaveščenost o energetski učinkovitosti in razširili spremljanje kazalnikov in ciljev doseganja energetske učinkovitosti tudi na podjetja, še zlasti MSP. </w:t>
      </w:r>
    </w:p>
    <w:p w14:paraId="1749D6C0" w14:textId="77777777" w:rsidR="00747BFE" w:rsidRPr="00747BFE" w:rsidRDefault="00747BFE" w:rsidP="00747BFE">
      <w:pPr>
        <w:spacing w:after="0" w:line="240" w:lineRule="auto"/>
        <w:jc w:val="both"/>
        <w:rPr>
          <w:rFonts w:ascii="Arial" w:eastAsia="Calibri" w:hAnsi="Arial" w:cs="Arial"/>
          <w:sz w:val="20"/>
          <w:szCs w:val="20"/>
        </w:rPr>
      </w:pPr>
    </w:p>
    <w:p w14:paraId="06C0362E" w14:textId="77777777" w:rsidR="00D8104B" w:rsidRDefault="00D8104B" w:rsidP="00747BFE">
      <w:pPr>
        <w:spacing w:after="0" w:line="240" w:lineRule="auto"/>
        <w:jc w:val="both"/>
        <w:rPr>
          <w:rFonts w:ascii="Arial" w:eastAsia="Calibri" w:hAnsi="Arial" w:cs="Times New Roman"/>
          <w:sz w:val="20"/>
        </w:rPr>
      </w:pPr>
    </w:p>
    <w:p w14:paraId="16EB3F8E" w14:textId="77777777" w:rsidR="00D8104B" w:rsidRPr="00B7410B" w:rsidRDefault="00D8104B" w:rsidP="00A81C05">
      <w:pPr>
        <w:pStyle w:val="Naslov1"/>
        <w:numPr>
          <w:ilvl w:val="0"/>
          <w:numId w:val="29"/>
        </w:numPr>
        <w:jc w:val="both"/>
        <w:rPr>
          <w:rFonts w:ascii="Arial" w:eastAsia="Calibri" w:hAnsi="Arial" w:cs="Arial"/>
          <w:b/>
          <w:color w:val="70AD47" w:themeColor="accent6"/>
        </w:rPr>
      </w:pPr>
      <w:bookmarkStart w:id="18" w:name="_Toc102741383"/>
      <w:r w:rsidRPr="00B7410B">
        <w:rPr>
          <w:rFonts w:ascii="Arial" w:eastAsia="Calibri" w:hAnsi="Arial" w:cs="Arial"/>
          <w:b/>
          <w:color w:val="70AD47" w:themeColor="accent6"/>
        </w:rPr>
        <w:t>STRATEŠKA IZHODIŠČA KOT USMERITVE ZA REFORMO ENERGETSKE UČINKOVITOSTI V GOSPODARSTVU</w:t>
      </w:r>
      <w:bookmarkEnd w:id="18"/>
    </w:p>
    <w:p w14:paraId="59F1F0F1" w14:textId="77777777" w:rsidR="00D8104B" w:rsidRDefault="00D8104B" w:rsidP="00747BFE">
      <w:pPr>
        <w:spacing w:after="0" w:line="240" w:lineRule="auto"/>
        <w:jc w:val="both"/>
        <w:rPr>
          <w:rFonts w:ascii="Arial" w:eastAsia="Calibri" w:hAnsi="Arial" w:cs="Times New Roman"/>
          <w:sz w:val="20"/>
        </w:rPr>
      </w:pPr>
    </w:p>
    <w:p w14:paraId="31B53CE5" w14:textId="77777777" w:rsidR="005359C3" w:rsidRDefault="00CC4A50" w:rsidP="00747BFE">
      <w:pPr>
        <w:spacing w:after="0" w:line="240" w:lineRule="auto"/>
        <w:jc w:val="both"/>
        <w:rPr>
          <w:rFonts w:ascii="Arial" w:eastAsia="Calibri" w:hAnsi="Arial" w:cs="Times New Roman"/>
          <w:sz w:val="20"/>
        </w:rPr>
      </w:pPr>
      <w:r>
        <w:rPr>
          <w:rFonts w:ascii="Arial" w:eastAsia="Calibri" w:hAnsi="Arial" w:cs="Times New Roman"/>
          <w:sz w:val="20"/>
        </w:rPr>
        <w:t xml:space="preserve">Z realizacijo navedenih ciljev, ki hkrati </w:t>
      </w:r>
      <w:r w:rsidR="005359C3">
        <w:rPr>
          <w:rFonts w:ascii="Arial" w:eastAsia="Calibri" w:hAnsi="Arial" w:cs="Times New Roman"/>
          <w:sz w:val="20"/>
        </w:rPr>
        <w:t>dajejo osnovo za opredelitev strateških izhodišč z</w:t>
      </w:r>
      <w:r>
        <w:rPr>
          <w:rFonts w:ascii="Arial" w:eastAsia="Calibri" w:hAnsi="Arial" w:cs="Times New Roman"/>
          <w:sz w:val="20"/>
        </w:rPr>
        <w:t xml:space="preserve">a reformo na področju energetske učinkovitosti v gospodarstvu, na tem mestu izpostavljamo štiri </w:t>
      </w:r>
      <w:r w:rsidR="00D251FE">
        <w:rPr>
          <w:rFonts w:ascii="Arial" w:eastAsia="Calibri" w:hAnsi="Arial" w:cs="Times New Roman"/>
          <w:sz w:val="20"/>
        </w:rPr>
        <w:t xml:space="preserve">elemente, </w:t>
      </w:r>
      <w:r w:rsidR="005359C3">
        <w:rPr>
          <w:rFonts w:ascii="Arial" w:eastAsia="Calibri" w:hAnsi="Arial" w:cs="Times New Roman"/>
          <w:sz w:val="20"/>
        </w:rPr>
        <w:t xml:space="preserve">ki naslavljajo cilje zelenega prehoda </w:t>
      </w:r>
      <w:r w:rsidRPr="005A10BA">
        <w:rPr>
          <w:rFonts w:ascii="Arial" w:eastAsia="Calibri" w:hAnsi="Arial" w:cs="Times New Roman"/>
          <w:sz w:val="20"/>
        </w:rPr>
        <w:t>tako na strani ponudbe</w:t>
      </w:r>
      <w:r w:rsidR="005359C3">
        <w:rPr>
          <w:rFonts w:ascii="Arial" w:eastAsia="Calibri" w:hAnsi="Arial" w:cs="Times New Roman"/>
          <w:sz w:val="20"/>
        </w:rPr>
        <w:t xml:space="preserve"> električne energije iz OVE</w:t>
      </w:r>
      <w:r w:rsidRPr="005A10BA">
        <w:rPr>
          <w:rFonts w:ascii="Arial" w:eastAsia="Calibri" w:hAnsi="Arial" w:cs="Times New Roman"/>
          <w:sz w:val="20"/>
        </w:rPr>
        <w:t>, kot na</w:t>
      </w:r>
      <w:r w:rsidR="005359C3">
        <w:rPr>
          <w:rFonts w:ascii="Arial" w:eastAsia="Calibri" w:hAnsi="Arial" w:cs="Times New Roman"/>
          <w:sz w:val="20"/>
        </w:rPr>
        <w:t xml:space="preserve"> strani povpraševanja, pri čemer sta: </w:t>
      </w:r>
    </w:p>
    <w:p w14:paraId="10EDF3E3" w14:textId="77777777" w:rsidR="005359C3" w:rsidRPr="005359C3" w:rsidRDefault="005359C3" w:rsidP="003445EF">
      <w:pPr>
        <w:pStyle w:val="Odstavekseznama"/>
        <w:numPr>
          <w:ilvl w:val="0"/>
          <w:numId w:val="2"/>
        </w:numPr>
        <w:spacing w:after="0" w:line="240" w:lineRule="auto"/>
        <w:jc w:val="both"/>
        <w:rPr>
          <w:rFonts w:ascii="Arial" w:eastAsia="Calibri" w:hAnsi="Arial" w:cs="Arial"/>
          <w:sz w:val="20"/>
        </w:rPr>
      </w:pPr>
      <w:r w:rsidRPr="005359C3">
        <w:rPr>
          <w:rFonts w:ascii="Arial" w:eastAsia="Calibri" w:hAnsi="Arial" w:cs="Times New Roman"/>
          <w:sz w:val="20"/>
        </w:rPr>
        <w:t xml:space="preserve">dva elementa </w:t>
      </w:r>
      <w:r w:rsidR="00CC4A50" w:rsidRPr="005359C3">
        <w:rPr>
          <w:rFonts w:ascii="Arial" w:eastAsia="Calibri" w:hAnsi="Arial" w:cs="Times New Roman"/>
          <w:sz w:val="20"/>
        </w:rPr>
        <w:t xml:space="preserve">usmerjena v naslavljanje tržne vrzeli, in sicer </w:t>
      </w:r>
    </w:p>
    <w:p w14:paraId="13B20503" w14:textId="77777777" w:rsidR="005359C3" w:rsidRDefault="00CC4A50" w:rsidP="003445EF">
      <w:pPr>
        <w:pStyle w:val="Odstavekseznama"/>
        <w:numPr>
          <w:ilvl w:val="0"/>
          <w:numId w:val="6"/>
        </w:numPr>
        <w:spacing w:after="0" w:line="240" w:lineRule="auto"/>
        <w:jc w:val="both"/>
        <w:rPr>
          <w:rFonts w:ascii="Arial" w:eastAsia="Calibri" w:hAnsi="Arial" w:cs="Times New Roman"/>
          <w:sz w:val="20"/>
        </w:rPr>
      </w:pPr>
      <w:r w:rsidRPr="005359C3">
        <w:rPr>
          <w:rFonts w:ascii="Arial" w:eastAsia="Calibri" w:hAnsi="Arial" w:cs="Times New Roman"/>
          <w:sz w:val="20"/>
        </w:rPr>
        <w:t>skozi opredelitev mehanizma za spodbujanje proizvodnje in uporabe električne energije iz obnovljivih virov energije, kar odgovarja na izzive Slovenije, ki mora zagotoviti zanesljivo in zadostno oskrbo z energijo iz obnovljivih virov</w:t>
      </w:r>
      <w:r w:rsidR="005359C3">
        <w:rPr>
          <w:rFonts w:ascii="Arial" w:eastAsia="Calibri" w:hAnsi="Arial" w:cs="Times New Roman"/>
          <w:sz w:val="20"/>
        </w:rPr>
        <w:t xml:space="preserve">, </w:t>
      </w:r>
    </w:p>
    <w:p w14:paraId="2F770AC0" w14:textId="00E08FE0" w:rsidR="005359C3" w:rsidRPr="005359C3" w:rsidRDefault="005359C3" w:rsidP="003445EF">
      <w:pPr>
        <w:pStyle w:val="Odstavekseznama"/>
        <w:numPr>
          <w:ilvl w:val="0"/>
          <w:numId w:val="6"/>
        </w:numPr>
        <w:spacing w:after="0" w:line="240" w:lineRule="auto"/>
        <w:jc w:val="both"/>
        <w:rPr>
          <w:rFonts w:ascii="Arial" w:eastAsia="Calibri" w:hAnsi="Arial" w:cs="Arial"/>
          <w:sz w:val="20"/>
        </w:rPr>
      </w:pPr>
      <w:r>
        <w:rPr>
          <w:rFonts w:ascii="Arial" w:eastAsia="Calibri" w:hAnsi="Arial" w:cs="Times New Roman"/>
          <w:sz w:val="20"/>
        </w:rPr>
        <w:t xml:space="preserve">skozi </w:t>
      </w:r>
      <w:r w:rsidR="00CC4A50" w:rsidRPr="005359C3">
        <w:rPr>
          <w:rFonts w:ascii="Arial" w:eastAsia="Calibri" w:hAnsi="Arial" w:cs="Times New Roman"/>
          <w:sz w:val="20"/>
        </w:rPr>
        <w:t>naslavlja</w:t>
      </w:r>
      <w:r>
        <w:rPr>
          <w:rFonts w:ascii="Arial" w:eastAsia="Calibri" w:hAnsi="Arial" w:cs="Times New Roman"/>
          <w:sz w:val="20"/>
        </w:rPr>
        <w:t>nje</w:t>
      </w:r>
      <w:r w:rsidR="00F97D59">
        <w:rPr>
          <w:rFonts w:ascii="Arial" w:eastAsia="Calibri" w:hAnsi="Arial" w:cs="Times New Roman"/>
          <w:sz w:val="20"/>
        </w:rPr>
        <w:t xml:space="preserve"> tržne</w:t>
      </w:r>
      <w:r w:rsidR="00CC4A50" w:rsidRPr="005359C3">
        <w:rPr>
          <w:rFonts w:ascii="Arial" w:eastAsia="Calibri" w:hAnsi="Arial" w:cs="Times New Roman"/>
          <w:sz w:val="20"/>
        </w:rPr>
        <w:t xml:space="preserve"> vrzel</w:t>
      </w:r>
      <w:r w:rsidR="00F97D59">
        <w:rPr>
          <w:rFonts w:ascii="Arial" w:eastAsia="Calibri" w:hAnsi="Arial" w:cs="Times New Roman"/>
          <w:sz w:val="20"/>
        </w:rPr>
        <w:t>i</w:t>
      </w:r>
      <w:r w:rsidR="00CC4A50" w:rsidRPr="005359C3">
        <w:rPr>
          <w:rFonts w:ascii="Arial" w:eastAsia="Calibri" w:hAnsi="Arial" w:cs="Times New Roman"/>
          <w:sz w:val="20"/>
        </w:rPr>
        <w:t xml:space="preserve"> na področju učinkovite rabe energije v gospodarstvu, in sicer trgovanja </w:t>
      </w:r>
      <w:r w:rsidR="00A81C05">
        <w:rPr>
          <w:rFonts w:ascii="Arial" w:eastAsia="Calibri" w:hAnsi="Arial" w:cs="Times New Roman"/>
          <w:sz w:val="20"/>
        </w:rPr>
        <w:t>s pravicami do emisije</w:t>
      </w:r>
      <w:r w:rsidR="00CC4A50" w:rsidRPr="005359C3">
        <w:rPr>
          <w:rFonts w:ascii="Arial" w:eastAsia="Calibri" w:hAnsi="Arial" w:cs="Times New Roman"/>
          <w:sz w:val="20"/>
        </w:rPr>
        <w:t xml:space="preserve">, v smeri podpore </w:t>
      </w:r>
      <w:r w:rsidR="00447391">
        <w:rPr>
          <w:rFonts w:ascii="Arial" w:eastAsia="Calibri" w:hAnsi="Arial" w:cs="Times New Roman"/>
          <w:sz w:val="20"/>
        </w:rPr>
        <w:t>tehnološki rešitvi, ki bi z zapisom ETS s pomočjo tehnologije distribuiranih zapisov prispeval k povečanju točnosti podatkov o izpustih za podjetja, ki so vključena v register ETS in tista, ki še niso, s tem pa bomo ustrezno naslovili spodbujanje podjetij (vključno z MSP)</w:t>
      </w:r>
      <w:r w:rsidR="00CC4A50" w:rsidRPr="005359C3">
        <w:rPr>
          <w:rFonts w:ascii="Arial" w:eastAsia="Calibri" w:hAnsi="Arial" w:cs="Times New Roman"/>
          <w:sz w:val="20"/>
        </w:rPr>
        <w:t xml:space="preserve"> k spremljanju izpustov CO2</w:t>
      </w:r>
      <w:r w:rsidR="00447391">
        <w:rPr>
          <w:rFonts w:ascii="Arial" w:eastAsia="Calibri" w:hAnsi="Arial" w:cs="Times New Roman"/>
          <w:sz w:val="20"/>
        </w:rPr>
        <w:t xml:space="preserve">. </w:t>
      </w:r>
      <w:r w:rsidR="00CC4A50" w:rsidRPr="005359C3">
        <w:rPr>
          <w:rFonts w:ascii="Arial" w:eastAsia="Calibri" w:hAnsi="Arial" w:cs="Times New Roman"/>
          <w:sz w:val="20"/>
        </w:rPr>
        <w:t xml:space="preserve"> </w:t>
      </w:r>
    </w:p>
    <w:p w14:paraId="04E4263E" w14:textId="77777777" w:rsidR="00F97D59" w:rsidRPr="00F97D59" w:rsidRDefault="005359C3" w:rsidP="003445EF">
      <w:pPr>
        <w:pStyle w:val="Odstavekseznama"/>
        <w:numPr>
          <w:ilvl w:val="0"/>
          <w:numId w:val="2"/>
        </w:numPr>
        <w:spacing w:after="0" w:line="240" w:lineRule="auto"/>
        <w:jc w:val="both"/>
        <w:rPr>
          <w:rFonts w:ascii="Arial" w:eastAsia="Calibri" w:hAnsi="Arial" w:cs="Arial"/>
          <w:sz w:val="20"/>
        </w:rPr>
      </w:pPr>
      <w:r>
        <w:rPr>
          <w:rFonts w:ascii="Arial" w:eastAsia="Calibri" w:hAnsi="Arial" w:cs="Times New Roman"/>
          <w:sz w:val="20"/>
        </w:rPr>
        <w:t>dva elementa pa sta usmerjena v pospešeno uporabo novih in inovativnih tehnologij</w:t>
      </w:r>
      <w:r w:rsidR="00F97D59">
        <w:rPr>
          <w:rFonts w:ascii="Arial" w:eastAsia="Calibri" w:hAnsi="Arial" w:cs="Times New Roman"/>
          <w:sz w:val="20"/>
        </w:rPr>
        <w:t xml:space="preserve">, pri čemer sledimo: </w:t>
      </w:r>
    </w:p>
    <w:p w14:paraId="3F9BDEBB" w14:textId="74F4CCEE" w:rsidR="00F97D59" w:rsidRPr="00F97D59" w:rsidRDefault="00F97D59" w:rsidP="003445EF">
      <w:pPr>
        <w:pStyle w:val="Odstavekseznama"/>
        <w:numPr>
          <w:ilvl w:val="0"/>
          <w:numId w:val="7"/>
        </w:numPr>
        <w:spacing w:after="0" w:line="240" w:lineRule="auto"/>
        <w:jc w:val="both"/>
        <w:rPr>
          <w:rFonts w:ascii="Arial" w:eastAsia="Calibri" w:hAnsi="Arial" w:cs="Arial"/>
          <w:sz w:val="20"/>
        </w:rPr>
      </w:pPr>
      <w:r>
        <w:rPr>
          <w:rFonts w:ascii="Arial" w:eastAsia="Calibri" w:hAnsi="Arial" w:cs="Times New Roman"/>
          <w:sz w:val="20"/>
        </w:rPr>
        <w:t>zagotavljanju opredelitve modelov transformacije na področju snovne učinkovitosti, konkretneje v gradbeništvu, ki z vidika vpliva na okolje pomeni področje, ki zahteva posebno pozornost, saj ga lahko obravnavamo z vidika dveh dimenzij: (i) vpliva na BDP: v</w:t>
      </w:r>
      <w:r w:rsidR="00CC4A50" w:rsidRPr="005359C3">
        <w:rPr>
          <w:rFonts w:ascii="Arial" w:eastAsia="Calibri" w:hAnsi="Arial" w:cs="Times New Roman"/>
          <w:sz w:val="20"/>
        </w:rPr>
        <w:t xml:space="preserve"> Sloveniji velik delež v BDP predstavljajo investicije, še poseb</w:t>
      </w:r>
      <w:r>
        <w:rPr>
          <w:rFonts w:ascii="Arial" w:eastAsia="Calibri" w:hAnsi="Arial" w:cs="Times New Roman"/>
          <w:sz w:val="20"/>
        </w:rPr>
        <w:t xml:space="preserve">ej investicije v infrastrukturo, (ii) vpliva na okolje: </w:t>
      </w:r>
      <w:r w:rsidR="00CC4A50" w:rsidRPr="005359C3">
        <w:rPr>
          <w:rFonts w:ascii="Arial" w:eastAsia="Calibri" w:hAnsi="Arial" w:cs="Times New Roman"/>
          <w:sz w:val="20"/>
        </w:rPr>
        <w:t xml:space="preserve">gradbeni sektor eden od največjih onesnaževalcev okolja, </w:t>
      </w:r>
      <w:r>
        <w:rPr>
          <w:rFonts w:ascii="Arial" w:eastAsia="Calibri" w:hAnsi="Arial" w:cs="Times New Roman"/>
          <w:sz w:val="20"/>
        </w:rPr>
        <w:t>zato je pomembno oblikovati ukrepe, ki so neposredno povezani z razogljičenjem Slovenije in se tako navezujejo</w:t>
      </w:r>
      <w:r w:rsidR="00CC4A50" w:rsidRPr="005359C3">
        <w:rPr>
          <w:rFonts w:ascii="Arial" w:eastAsia="Calibri" w:hAnsi="Arial" w:cs="Times New Roman"/>
          <w:sz w:val="20"/>
        </w:rPr>
        <w:t xml:space="preserve"> na ukrepe </w:t>
      </w:r>
      <w:r w:rsidR="000F54DF">
        <w:rPr>
          <w:rFonts w:ascii="Arial" w:eastAsia="Calibri" w:hAnsi="Arial" w:cs="Times New Roman"/>
          <w:sz w:val="20"/>
        </w:rPr>
        <w:t>enega od programov C</w:t>
      </w:r>
      <w:r w:rsidR="00CC4A50" w:rsidRPr="005359C3">
        <w:rPr>
          <w:rFonts w:ascii="Arial" w:eastAsia="Calibri" w:hAnsi="Arial" w:cs="Times New Roman"/>
          <w:sz w:val="20"/>
        </w:rPr>
        <w:t xml:space="preserve">elovitega </w:t>
      </w:r>
      <w:r w:rsidR="000F54DF">
        <w:rPr>
          <w:rFonts w:ascii="Arial" w:eastAsia="Calibri" w:hAnsi="Arial" w:cs="Times New Roman"/>
          <w:sz w:val="20"/>
        </w:rPr>
        <w:t xml:space="preserve">strateškega </w:t>
      </w:r>
      <w:r w:rsidR="00CC4A50" w:rsidRPr="005359C3">
        <w:rPr>
          <w:rFonts w:ascii="Arial" w:eastAsia="Calibri" w:hAnsi="Arial" w:cs="Times New Roman"/>
          <w:sz w:val="20"/>
        </w:rPr>
        <w:t xml:space="preserve">projekta razogljičenja Slovenije </w:t>
      </w:r>
      <w:r w:rsidR="000F54DF">
        <w:rPr>
          <w:rFonts w:ascii="Arial" w:eastAsia="Calibri" w:hAnsi="Arial" w:cs="Times New Roman"/>
          <w:sz w:val="20"/>
        </w:rPr>
        <w:t>prek</w:t>
      </w:r>
      <w:r w:rsidR="00F06052">
        <w:rPr>
          <w:rFonts w:ascii="Arial" w:eastAsia="Calibri" w:hAnsi="Arial" w:cs="Times New Roman"/>
          <w:sz w:val="20"/>
        </w:rPr>
        <w:t>o prehoda v krožno gospodarstvo</w:t>
      </w:r>
      <w:r w:rsidR="00CC4A50" w:rsidRPr="005359C3">
        <w:rPr>
          <w:rFonts w:ascii="Arial" w:eastAsia="Calibri" w:hAnsi="Arial" w:cs="Times New Roman"/>
          <w:sz w:val="20"/>
        </w:rPr>
        <w:t xml:space="preserve">. </w:t>
      </w:r>
    </w:p>
    <w:p w14:paraId="59BC8D57" w14:textId="77777777" w:rsidR="00747BFE" w:rsidRPr="005359C3" w:rsidRDefault="00A01EFA" w:rsidP="003445EF">
      <w:pPr>
        <w:pStyle w:val="Odstavekseznama"/>
        <w:numPr>
          <w:ilvl w:val="0"/>
          <w:numId w:val="7"/>
        </w:numPr>
        <w:spacing w:after="0" w:line="240" w:lineRule="auto"/>
        <w:jc w:val="both"/>
        <w:rPr>
          <w:rFonts w:ascii="Arial" w:eastAsia="Calibri" w:hAnsi="Arial" w:cs="Arial"/>
          <w:sz w:val="20"/>
        </w:rPr>
      </w:pPr>
      <w:r>
        <w:rPr>
          <w:rFonts w:ascii="Arial" w:eastAsia="Calibri" w:hAnsi="Arial" w:cs="Times New Roman"/>
          <w:sz w:val="20"/>
        </w:rPr>
        <w:t xml:space="preserve">opredelitvi novih tehnologij in tehnoloških rešitev, </w:t>
      </w:r>
      <w:r w:rsidR="00CC4A50" w:rsidRPr="005359C3">
        <w:rPr>
          <w:rFonts w:ascii="Arial" w:eastAsia="Calibri" w:hAnsi="Arial" w:cs="Times New Roman"/>
          <w:sz w:val="20"/>
        </w:rPr>
        <w:t>ki jim je treba v prihodnje nameniti ustrezno pozornost (npr. uporaba podnebno-nevtralnega vodika, toplota in/ali procesi, uporaba biomase in biotehnologij, nadaljnja elektrifikacija toplote, nadaljnja elektrifikacija procesov - elektroliza, elektrokemija, zajemanje in uporaba ogljika (CCU – Carbon Capture and Utilisation), zajemanje in shranjevanje ogljika (CCS – Carbon Capture and Storage), hranilniki energije. Energetsko intenzivn</w:t>
      </w:r>
      <w:r>
        <w:rPr>
          <w:rFonts w:ascii="Arial" w:eastAsia="Calibri" w:hAnsi="Arial" w:cs="Times New Roman"/>
          <w:sz w:val="20"/>
        </w:rPr>
        <w:t xml:space="preserve">a industrija namreč zagotavlja </w:t>
      </w:r>
      <w:r w:rsidR="00CC4A50" w:rsidRPr="005359C3">
        <w:rPr>
          <w:rFonts w:ascii="Arial" w:eastAsia="Calibri" w:hAnsi="Arial" w:cs="Times New Roman"/>
          <w:sz w:val="20"/>
        </w:rPr>
        <w:t>ne le surovine za druge vrednostne verige gospodarstva, ampak tudi surovine za razvoj strateških tehnologij prihodnosti.</w:t>
      </w:r>
      <w:r w:rsidRPr="00A01EFA">
        <w:rPr>
          <w:rFonts w:ascii="Arial" w:eastAsia="Calibri" w:hAnsi="Arial" w:cs="Times New Roman"/>
          <w:sz w:val="20"/>
        </w:rPr>
        <w:t xml:space="preserve"> </w:t>
      </w:r>
    </w:p>
    <w:p w14:paraId="3187218A" w14:textId="77777777" w:rsidR="00747BFE" w:rsidRPr="00747BFE" w:rsidRDefault="00747BFE" w:rsidP="00747BFE">
      <w:pPr>
        <w:spacing w:after="0" w:line="240" w:lineRule="auto"/>
        <w:jc w:val="both"/>
        <w:rPr>
          <w:rFonts w:ascii="Arial" w:eastAsia="Calibri" w:hAnsi="Arial" w:cs="Arial"/>
          <w:sz w:val="20"/>
        </w:rPr>
      </w:pPr>
    </w:p>
    <w:p w14:paraId="281E8A4B" w14:textId="77777777" w:rsidR="00FB4864" w:rsidRDefault="00A9348D" w:rsidP="00A9348D">
      <w:pPr>
        <w:jc w:val="both"/>
        <w:rPr>
          <w:rFonts w:ascii="Arial" w:hAnsi="Arial" w:cs="Arial"/>
          <w:sz w:val="20"/>
          <w:szCs w:val="20"/>
        </w:rPr>
      </w:pPr>
      <w:r w:rsidRPr="00A9348D">
        <w:rPr>
          <w:rFonts w:ascii="Arial" w:hAnsi="Arial" w:cs="Arial"/>
          <w:sz w:val="20"/>
          <w:szCs w:val="20"/>
        </w:rPr>
        <w:t>Podrobnejše opise strateških izhodišč oziroma elementov za zagotavljanje večje energetske učinkovitosti v gospodarstvu navajamo v nadaljevanju</w:t>
      </w:r>
      <w:r>
        <w:rPr>
          <w:rFonts w:ascii="Arial" w:hAnsi="Arial" w:cs="Arial"/>
          <w:sz w:val="20"/>
          <w:szCs w:val="20"/>
        </w:rPr>
        <w:t xml:space="preserve">. </w:t>
      </w:r>
    </w:p>
    <w:p w14:paraId="36AC2CF3" w14:textId="77777777" w:rsidR="00A9348D" w:rsidRPr="00A9348D" w:rsidRDefault="00A9348D" w:rsidP="00A9348D">
      <w:pPr>
        <w:jc w:val="both"/>
        <w:rPr>
          <w:rFonts w:ascii="Arial" w:hAnsi="Arial" w:cs="Arial"/>
          <w:sz w:val="20"/>
          <w:szCs w:val="20"/>
        </w:rPr>
      </w:pPr>
    </w:p>
    <w:p w14:paraId="0645279E" w14:textId="23647A34" w:rsidR="00A9348D" w:rsidRPr="00B7410B" w:rsidRDefault="00A9348D" w:rsidP="00A81C05">
      <w:pPr>
        <w:pStyle w:val="Naslov2"/>
        <w:jc w:val="both"/>
        <w:rPr>
          <w:rFonts w:ascii="Arial" w:eastAsia="Calibri" w:hAnsi="Arial" w:cs="Arial"/>
          <w:b/>
          <w:color w:val="70AD47" w:themeColor="accent6"/>
        </w:rPr>
      </w:pPr>
      <w:bookmarkStart w:id="19" w:name="_Toc102741384"/>
      <w:r w:rsidRPr="00B7410B">
        <w:rPr>
          <w:rFonts w:ascii="Arial" w:hAnsi="Arial" w:cs="Arial"/>
          <w:b/>
          <w:color w:val="70AD47" w:themeColor="accent6"/>
        </w:rPr>
        <w:t xml:space="preserve">IV.1. </w:t>
      </w:r>
      <w:r w:rsidRPr="00B7410B">
        <w:rPr>
          <w:rFonts w:ascii="Arial" w:eastAsia="Calibri" w:hAnsi="Arial" w:cs="Arial"/>
          <w:b/>
          <w:color w:val="70AD47" w:themeColor="accent6"/>
        </w:rPr>
        <w:t xml:space="preserve">Krepitev </w:t>
      </w:r>
      <w:r w:rsidR="006863CD" w:rsidRPr="00B7410B">
        <w:rPr>
          <w:rFonts w:ascii="Arial" w:eastAsia="Calibri" w:hAnsi="Arial" w:cs="Arial"/>
          <w:b/>
          <w:color w:val="70AD47" w:themeColor="accent6"/>
        </w:rPr>
        <w:t xml:space="preserve">tržnega mehanizma za spodbujanje proizvodnje in uporabe OVE </w:t>
      </w:r>
      <w:r w:rsidRPr="00B7410B">
        <w:rPr>
          <w:rFonts w:ascii="Arial" w:eastAsia="Calibri" w:hAnsi="Arial" w:cs="Arial"/>
          <w:b/>
          <w:color w:val="70AD47" w:themeColor="accent6"/>
        </w:rPr>
        <w:t>kot strateškega izhodišča za naslavljanje tržnih vrzeli na področju energetske učinkovitosti v gospodarstvu</w:t>
      </w:r>
      <w:bookmarkEnd w:id="19"/>
    </w:p>
    <w:p w14:paraId="60B0D83B" w14:textId="77777777" w:rsidR="00B7410B" w:rsidRPr="00B7410B" w:rsidRDefault="00B7410B" w:rsidP="00B7410B"/>
    <w:p w14:paraId="260D9ADD" w14:textId="6F0B35FB" w:rsidR="006863CD" w:rsidRDefault="006863CD" w:rsidP="00D9225C">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Ugotovljeni izzivi na strani ponudbe, ki se kažejo v razpršenosti </w:t>
      </w:r>
      <w:r w:rsidRPr="006863CD">
        <w:rPr>
          <w:rFonts w:ascii="Arial" w:eastAsia="Calibri" w:hAnsi="Arial" w:cs="Times New Roman"/>
          <w:sz w:val="20"/>
          <w:szCs w:val="20"/>
        </w:rPr>
        <w:t xml:space="preserve">proizvodnje energije iz OVE </w:t>
      </w:r>
      <w:r>
        <w:rPr>
          <w:rFonts w:ascii="Arial" w:eastAsia="Calibri" w:hAnsi="Arial" w:cs="Times New Roman"/>
          <w:sz w:val="20"/>
          <w:szCs w:val="20"/>
        </w:rPr>
        <w:t xml:space="preserve">imajo lahko bistven vpliv tudi na stran povpraševanja, in sicer lahko vodijo v </w:t>
      </w:r>
      <w:r w:rsidRPr="006863CD">
        <w:rPr>
          <w:rFonts w:ascii="Arial" w:eastAsia="Calibri" w:hAnsi="Arial" w:cs="Times New Roman"/>
          <w:sz w:val="20"/>
          <w:szCs w:val="20"/>
        </w:rPr>
        <w:t>neenakopraven položaj končnih porabnikov in zmanjšuje</w:t>
      </w:r>
      <w:r>
        <w:rPr>
          <w:rFonts w:ascii="Arial" w:eastAsia="Calibri" w:hAnsi="Arial" w:cs="Times New Roman"/>
          <w:sz w:val="20"/>
          <w:szCs w:val="20"/>
        </w:rPr>
        <w:t>jo</w:t>
      </w:r>
      <w:r w:rsidRPr="006863CD">
        <w:rPr>
          <w:rFonts w:ascii="Arial" w:eastAsia="Calibri" w:hAnsi="Arial" w:cs="Times New Roman"/>
          <w:sz w:val="20"/>
          <w:szCs w:val="20"/>
        </w:rPr>
        <w:t xml:space="preserve"> njihov dostop</w:t>
      </w:r>
      <w:r w:rsidR="00672612">
        <w:rPr>
          <w:rFonts w:ascii="Arial" w:eastAsia="Calibri" w:hAnsi="Arial" w:cs="Times New Roman"/>
          <w:sz w:val="20"/>
          <w:szCs w:val="20"/>
        </w:rPr>
        <w:t xml:space="preserve"> do zadostnega obsega energije in njene uporabe. </w:t>
      </w:r>
      <w:r w:rsidR="001D7054">
        <w:rPr>
          <w:rFonts w:ascii="Arial" w:eastAsia="Calibri" w:hAnsi="Arial" w:cs="Times New Roman"/>
          <w:sz w:val="20"/>
          <w:szCs w:val="20"/>
        </w:rPr>
        <w:t>Na te izzive lahko odgovorimo z ukrepi, ki so lahko eksterne narave (izven podjetij, vendar v neposredni povezavi s procesi v podjetjih in njihovim dostopom do trga) in interne narave (povezane s procesi in poslovnimi modeli, s katerimi lahko dosegamo večjo energetsko učinkovitost</w:t>
      </w:r>
      <w:r w:rsidR="00091031">
        <w:rPr>
          <w:rFonts w:ascii="Arial" w:eastAsia="Calibri" w:hAnsi="Arial" w:cs="Times New Roman"/>
          <w:sz w:val="20"/>
          <w:szCs w:val="20"/>
        </w:rPr>
        <w:t>)</w:t>
      </w:r>
      <w:r w:rsidR="001D7054">
        <w:rPr>
          <w:rFonts w:ascii="Arial" w:eastAsia="Calibri" w:hAnsi="Arial" w:cs="Times New Roman"/>
          <w:sz w:val="20"/>
          <w:szCs w:val="20"/>
        </w:rPr>
        <w:t xml:space="preserve">. </w:t>
      </w:r>
      <w:r>
        <w:rPr>
          <w:rFonts w:ascii="Arial" w:eastAsia="Calibri" w:hAnsi="Arial" w:cs="Times New Roman"/>
          <w:sz w:val="20"/>
          <w:szCs w:val="20"/>
        </w:rPr>
        <w:t xml:space="preserve"> </w:t>
      </w:r>
    </w:p>
    <w:p w14:paraId="1C22C104" w14:textId="0B51E90F" w:rsidR="0020527C" w:rsidRDefault="0020527C" w:rsidP="00D9225C">
      <w:pPr>
        <w:spacing w:after="0" w:line="240" w:lineRule="auto"/>
        <w:jc w:val="both"/>
        <w:rPr>
          <w:rFonts w:ascii="Arial" w:eastAsia="Calibri" w:hAnsi="Arial" w:cs="Times New Roman"/>
          <w:sz w:val="20"/>
          <w:szCs w:val="20"/>
        </w:rPr>
      </w:pPr>
    </w:p>
    <w:p w14:paraId="6066A662" w14:textId="77DEAA0D" w:rsidR="0020527C" w:rsidRDefault="0020527C" w:rsidP="00D9225C">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Diagram 2: Procesi in poslovni modeli </w:t>
      </w:r>
      <w:r w:rsidRPr="0020527C">
        <w:rPr>
          <w:rFonts w:ascii="Arial" w:eastAsia="Calibri" w:hAnsi="Arial" w:cs="Times New Roman"/>
          <w:sz w:val="20"/>
          <w:szCs w:val="20"/>
        </w:rPr>
        <w:t>(prilagoditev za dostopnost)</w:t>
      </w:r>
      <w:r w:rsidR="00F80520">
        <w:rPr>
          <w:rFonts w:ascii="Arial" w:eastAsia="Calibri" w:hAnsi="Arial" w:cs="Times New Roman"/>
          <w:sz w:val="20"/>
          <w:szCs w:val="20"/>
        </w:rPr>
        <w:t xml:space="preserve">: </w:t>
      </w:r>
    </w:p>
    <w:p w14:paraId="342EB48D" w14:textId="14218888" w:rsidR="00F80520" w:rsidRDefault="00F80520" w:rsidP="00F80520">
      <w:pPr>
        <w:pStyle w:val="Odstavekseznama"/>
        <w:numPr>
          <w:ilvl w:val="0"/>
          <w:numId w:val="2"/>
        </w:numPr>
        <w:spacing w:after="0" w:line="240" w:lineRule="auto"/>
        <w:jc w:val="both"/>
        <w:rPr>
          <w:rFonts w:ascii="Arial" w:eastAsia="Calibri" w:hAnsi="Arial" w:cs="Times New Roman"/>
          <w:sz w:val="20"/>
          <w:szCs w:val="20"/>
        </w:rPr>
      </w:pPr>
      <w:r>
        <w:rPr>
          <w:rFonts w:ascii="Arial" w:eastAsia="Calibri" w:hAnsi="Arial" w:cs="Times New Roman"/>
          <w:sz w:val="20"/>
          <w:szCs w:val="20"/>
        </w:rPr>
        <w:t>prilagoditve na strani ponudbe (proizvajalci, distributerji)</w:t>
      </w:r>
    </w:p>
    <w:p w14:paraId="657F8FC3" w14:textId="2E3452CB" w:rsidR="00F80520" w:rsidRDefault="00F80520" w:rsidP="00F80520">
      <w:pPr>
        <w:pStyle w:val="Odstavekseznama"/>
        <w:numPr>
          <w:ilvl w:val="0"/>
          <w:numId w:val="2"/>
        </w:numPr>
        <w:spacing w:after="0" w:line="240" w:lineRule="auto"/>
        <w:jc w:val="both"/>
        <w:rPr>
          <w:rFonts w:ascii="Arial" w:eastAsia="Calibri" w:hAnsi="Arial" w:cs="Times New Roman"/>
          <w:sz w:val="20"/>
          <w:szCs w:val="20"/>
        </w:rPr>
      </w:pPr>
      <w:r>
        <w:rPr>
          <w:rFonts w:ascii="Arial" w:eastAsia="Calibri" w:hAnsi="Arial" w:cs="Times New Roman"/>
          <w:sz w:val="20"/>
          <w:szCs w:val="20"/>
        </w:rPr>
        <w:t>prilagoditve na strani povpraševanja (porabniki)</w:t>
      </w:r>
    </w:p>
    <w:p w14:paraId="285903D3" w14:textId="1CAF2EAE" w:rsidR="00F80520" w:rsidRPr="00F80520" w:rsidRDefault="00F80520" w:rsidP="00F80520">
      <w:pPr>
        <w:pStyle w:val="Odstavekseznama"/>
        <w:numPr>
          <w:ilvl w:val="0"/>
          <w:numId w:val="2"/>
        </w:numPr>
        <w:spacing w:after="0" w:line="240" w:lineRule="auto"/>
        <w:jc w:val="both"/>
        <w:rPr>
          <w:rFonts w:ascii="Arial" w:eastAsia="Calibri" w:hAnsi="Arial" w:cs="Times New Roman"/>
          <w:sz w:val="20"/>
          <w:szCs w:val="20"/>
        </w:rPr>
      </w:pPr>
      <w:r>
        <w:rPr>
          <w:rFonts w:ascii="Arial" w:eastAsia="Calibri" w:hAnsi="Arial" w:cs="Times New Roman"/>
          <w:sz w:val="20"/>
          <w:szCs w:val="20"/>
        </w:rPr>
        <w:t>Tržni mehanizem (energetska tržnica OVE)</w:t>
      </w:r>
    </w:p>
    <w:p w14:paraId="72FAC82E" w14:textId="77777777" w:rsidR="001D7054" w:rsidRDefault="001D7054" w:rsidP="00D9225C">
      <w:pPr>
        <w:spacing w:after="0" w:line="240" w:lineRule="auto"/>
        <w:jc w:val="both"/>
        <w:rPr>
          <w:rFonts w:ascii="Arial" w:eastAsia="Calibri" w:hAnsi="Arial" w:cs="Times New Roman"/>
          <w:sz w:val="20"/>
          <w:szCs w:val="20"/>
        </w:rPr>
      </w:pPr>
    </w:p>
    <w:p w14:paraId="06F69F9B" w14:textId="77777777" w:rsidR="001D7054" w:rsidRDefault="001D7054" w:rsidP="00D9225C">
      <w:pPr>
        <w:spacing w:after="0" w:line="240" w:lineRule="auto"/>
        <w:jc w:val="both"/>
        <w:rPr>
          <w:rFonts w:ascii="Arial" w:eastAsia="Calibri" w:hAnsi="Arial" w:cs="Times New Roman"/>
          <w:sz w:val="20"/>
          <w:szCs w:val="20"/>
        </w:rPr>
      </w:pPr>
    </w:p>
    <w:p w14:paraId="3E55C23E" w14:textId="77777777" w:rsidR="001763F5" w:rsidRPr="00B7410B" w:rsidRDefault="001763F5" w:rsidP="00A81C05">
      <w:pPr>
        <w:pStyle w:val="Naslov3"/>
        <w:jc w:val="both"/>
        <w:rPr>
          <w:rFonts w:ascii="Arial" w:eastAsia="Calibri" w:hAnsi="Arial" w:cs="Arial"/>
          <w:b/>
          <w:color w:val="70AD47" w:themeColor="accent6"/>
        </w:rPr>
      </w:pPr>
      <w:bookmarkStart w:id="20" w:name="_Toc102741385"/>
      <w:r w:rsidRPr="00B7410B">
        <w:rPr>
          <w:rFonts w:ascii="Arial" w:eastAsia="Calibri" w:hAnsi="Arial" w:cs="Arial"/>
          <w:b/>
          <w:color w:val="70AD47" w:themeColor="accent6"/>
        </w:rPr>
        <w:t>IV.1.1. Tržni mehanizem za povečanje dostopa na trg za ponudnike in povečanje dostopa do električne energije za uporabnike</w:t>
      </w:r>
      <w:bookmarkEnd w:id="20"/>
    </w:p>
    <w:p w14:paraId="7B09A28E" w14:textId="77777777" w:rsidR="002B5124" w:rsidRDefault="002B5124" w:rsidP="002B5124">
      <w:pPr>
        <w:spacing w:after="0" w:line="240" w:lineRule="auto"/>
        <w:jc w:val="both"/>
        <w:rPr>
          <w:rFonts w:ascii="Arial" w:eastAsia="Calibri" w:hAnsi="Arial" w:cs="Times New Roman"/>
          <w:sz w:val="20"/>
          <w:szCs w:val="20"/>
        </w:rPr>
      </w:pPr>
    </w:p>
    <w:p w14:paraId="3D80B795" w14:textId="22067BDE" w:rsidR="005704B1" w:rsidRDefault="005704B1" w:rsidP="005704B1">
      <w:pPr>
        <w:spacing w:after="0" w:line="240" w:lineRule="auto"/>
        <w:jc w:val="both"/>
        <w:rPr>
          <w:rFonts w:ascii="Arial" w:eastAsia="Calibri" w:hAnsi="Arial" w:cs="Times New Roman"/>
          <w:sz w:val="20"/>
          <w:szCs w:val="20"/>
        </w:rPr>
      </w:pPr>
      <w:r>
        <w:rPr>
          <w:rFonts w:ascii="Arial" w:eastAsia="Calibri" w:hAnsi="Arial" w:cs="Times New Roman"/>
          <w:sz w:val="20"/>
          <w:szCs w:val="20"/>
        </w:rPr>
        <w:t>Po podatkih GZS za 2019 so se razmere na trgu električne energije izboljševale, p</w:t>
      </w:r>
      <w:r w:rsidRPr="005704B1">
        <w:rPr>
          <w:rFonts w:ascii="Arial" w:eastAsia="Calibri" w:hAnsi="Arial" w:cs="Times New Roman"/>
          <w:sz w:val="20"/>
          <w:szCs w:val="20"/>
        </w:rPr>
        <w:t>rodaja se je povečala za 4,2 % na</w:t>
      </w:r>
      <w:r>
        <w:rPr>
          <w:rFonts w:ascii="Arial" w:eastAsia="Calibri" w:hAnsi="Arial" w:cs="Times New Roman"/>
          <w:sz w:val="20"/>
          <w:szCs w:val="20"/>
        </w:rPr>
        <w:t xml:space="preserve"> </w:t>
      </w:r>
      <w:r w:rsidRPr="005704B1">
        <w:rPr>
          <w:rFonts w:ascii="Arial" w:eastAsia="Calibri" w:hAnsi="Arial" w:cs="Times New Roman"/>
          <w:sz w:val="20"/>
          <w:szCs w:val="20"/>
        </w:rPr>
        <w:t xml:space="preserve">13,9 mrd EUR, </w:t>
      </w:r>
      <w:r>
        <w:rPr>
          <w:rFonts w:ascii="Arial" w:eastAsia="Calibri" w:hAnsi="Arial" w:cs="Times New Roman"/>
          <w:sz w:val="20"/>
          <w:szCs w:val="20"/>
        </w:rPr>
        <w:t xml:space="preserve">dodana </w:t>
      </w:r>
      <w:r w:rsidRPr="005704B1">
        <w:rPr>
          <w:rFonts w:ascii="Arial" w:eastAsia="Calibri" w:hAnsi="Arial" w:cs="Times New Roman"/>
          <w:sz w:val="20"/>
          <w:szCs w:val="20"/>
        </w:rPr>
        <w:t>vrednost je porasla za 1,4 % na 1,2</w:t>
      </w:r>
      <w:r>
        <w:rPr>
          <w:rFonts w:ascii="Arial" w:eastAsia="Calibri" w:hAnsi="Arial" w:cs="Times New Roman"/>
          <w:sz w:val="20"/>
          <w:szCs w:val="20"/>
        </w:rPr>
        <w:t xml:space="preserve"> </w:t>
      </w:r>
      <w:r w:rsidRPr="005704B1">
        <w:rPr>
          <w:rFonts w:ascii="Arial" w:eastAsia="Calibri" w:hAnsi="Arial" w:cs="Times New Roman"/>
          <w:sz w:val="20"/>
          <w:szCs w:val="20"/>
        </w:rPr>
        <w:t>mrd EUR. V zadnjih desetih letih je dodana vrednost</w:t>
      </w:r>
      <w:r>
        <w:rPr>
          <w:rFonts w:ascii="Arial" w:eastAsia="Calibri" w:hAnsi="Arial" w:cs="Times New Roman"/>
          <w:sz w:val="20"/>
          <w:szCs w:val="20"/>
        </w:rPr>
        <w:t xml:space="preserve"> </w:t>
      </w:r>
      <w:r w:rsidRPr="005704B1">
        <w:rPr>
          <w:rFonts w:ascii="Arial" w:eastAsia="Calibri" w:hAnsi="Arial" w:cs="Times New Roman"/>
          <w:sz w:val="20"/>
          <w:szCs w:val="20"/>
        </w:rPr>
        <w:t>v povprečju znašala nad 1,1 mrd EUR</w:t>
      </w:r>
      <w:r>
        <w:rPr>
          <w:rStyle w:val="Sprotnaopomba-sklic"/>
          <w:rFonts w:ascii="Arial" w:eastAsia="Calibri" w:hAnsi="Arial" w:cs="Times New Roman"/>
          <w:sz w:val="20"/>
          <w:szCs w:val="20"/>
        </w:rPr>
        <w:footnoteReference w:id="2"/>
      </w:r>
      <w:r>
        <w:rPr>
          <w:rFonts w:ascii="Arial" w:eastAsia="Calibri" w:hAnsi="Arial" w:cs="Times New Roman"/>
          <w:sz w:val="20"/>
          <w:szCs w:val="20"/>
        </w:rPr>
        <w:t xml:space="preserve">. Kljub temu pa proizvodnja električne energije iz obnovljivih virov energije še ne dosega ustrezne ravni dodane vrednosti, saj prav zaradi razdrobljenosti trga ustvarja vrzel, ki jo naslavlja ta reformni ukrep. </w:t>
      </w:r>
    </w:p>
    <w:p w14:paraId="6DCABC40" w14:textId="77777777" w:rsidR="005704B1" w:rsidRDefault="005704B1" w:rsidP="005704B1">
      <w:pPr>
        <w:spacing w:after="0" w:line="240" w:lineRule="auto"/>
        <w:jc w:val="both"/>
        <w:rPr>
          <w:rFonts w:ascii="Arial" w:eastAsia="Calibri" w:hAnsi="Arial" w:cs="Times New Roman"/>
          <w:sz w:val="20"/>
          <w:szCs w:val="20"/>
        </w:rPr>
      </w:pPr>
    </w:p>
    <w:p w14:paraId="3BAE2037" w14:textId="5FBF0070" w:rsidR="009D5204" w:rsidRDefault="002B5124" w:rsidP="002B5124">
      <w:pPr>
        <w:spacing w:after="0" w:line="240" w:lineRule="auto"/>
        <w:jc w:val="both"/>
        <w:rPr>
          <w:rFonts w:ascii="Arial" w:eastAsia="Calibri" w:hAnsi="Arial" w:cs="Times New Roman"/>
          <w:sz w:val="20"/>
          <w:szCs w:val="20"/>
        </w:rPr>
      </w:pPr>
      <w:r>
        <w:rPr>
          <w:rFonts w:ascii="Arial" w:eastAsia="Calibri" w:hAnsi="Arial" w:cs="Times New Roman"/>
          <w:sz w:val="20"/>
          <w:szCs w:val="20"/>
        </w:rPr>
        <w:t>Z namenom spodbujanja delovanja trga OVE, povečanja števila ponudnikov OVE in povečanja deleža proizvajalcev OVE v skupnem obsegu proizvajalcev električne energije je treba oblikovati ustrezen tržni mehanizem, ki bo</w:t>
      </w:r>
      <w:r w:rsidR="009D5204">
        <w:rPr>
          <w:rFonts w:ascii="Arial" w:eastAsia="Calibri" w:hAnsi="Arial" w:cs="Times New Roman"/>
          <w:sz w:val="20"/>
          <w:szCs w:val="20"/>
        </w:rPr>
        <w:t xml:space="preserve">: </w:t>
      </w:r>
    </w:p>
    <w:p w14:paraId="2216B6EC" w14:textId="77777777" w:rsidR="009D5204" w:rsidRPr="009D5204" w:rsidRDefault="009D5204" w:rsidP="003445EF">
      <w:pPr>
        <w:pStyle w:val="Odstavekseznama"/>
        <w:numPr>
          <w:ilvl w:val="0"/>
          <w:numId w:val="2"/>
        </w:numPr>
        <w:spacing w:after="0" w:line="240" w:lineRule="auto"/>
        <w:jc w:val="both"/>
        <w:rPr>
          <w:rFonts w:ascii="Arial" w:eastAsia="Calibri" w:hAnsi="Arial" w:cs="Times New Roman"/>
          <w:sz w:val="20"/>
          <w:szCs w:val="20"/>
        </w:rPr>
      </w:pPr>
      <w:r w:rsidRPr="009D5204">
        <w:rPr>
          <w:rFonts w:ascii="Arial" w:eastAsia="Calibri" w:hAnsi="Arial" w:cs="Times New Roman"/>
          <w:sz w:val="20"/>
          <w:szCs w:val="20"/>
        </w:rPr>
        <w:t xml:space="preserve">na eni strani </w:t>
      </w:r>
      <w:r w:rsidR="002B5124" w:rsidRPr="009D5204">
        <w:rPr>
          <w:rFonts w:ascii="Arial" w:eastAsia="Calibri" w:hAnsi="Arial" w:cs="Times New Roman"/>
          <w:sz w:val="20"/>
          <w:szCs w:val="20"/>
        </w:rPr>
        <w:t>omogočal</w:t>
      </w:r>
      <w:r w:rsidRPr="009D5204">
        <w:rPr>
          <w:rFonts w:ascii="Arial" w:eastAsia="Calibri" w:hAnsi="Arial" w:cs="Times New Roman"/>
          <w:sz w:val="20"/>
          <w:szCs w:val="20"/>
        </w:rPr>
        <w:t xml:space="preserve"> večji dostop do trga za ponudnike električne energije, na drugi strani pa boljši dostop do čistih in obnovljivih virov energije za porabnike. To </w:t>
      </w:r>
      <w:r w:rsidRPr="009D5204">
        <w:rPr>
          <w:rFonts w:ascii="Arial" w:eastAsia="Calibri" w:hAnsi="Arial" w:cs="Times New Roman"/>
          <w:sz w:val="20"/>
        </w:rPr>
        <w:t>bo vplivalo na oblikovanje ustrezne cenovne politike energije iz obnovljivih virov s hkratnim spodbujanjem investicij tradicionalnih ponudnikov električne energije v OVE, prav tako pa bo ustvarilo tudi</w:t>
      </w:r>
      <w:r>
        <w:rPr>
          <w:rFonts w:ascii="Arial" w:eastAsia="Calibri" w:hAnsi="Arial" w:cs="Times New Roman"/>
          <w:sz w:val="20"/>
        </w:rPr>
        <w:t xml:space="preserve"> podlago za reinvestiranje v OVE, </w:t>
      </w:r>
    </w:p>
    <w:p w14:paraId="5C744683" w14:textId="77777777" w:rsidR="009D5204" w:rsidRPr="009D5204" w:rsidRDefault="009D5204" w:rsidP="003445EF">
      <w:pPr>
        <w:pStyle w:val="Odstavekseznama"/>
        <w:numPr>
          <w:ilvl w:val="0"/>
          <w:numId w:val="2"/>
        </w:numPr>
        <w:spacing w:after="0" w:line="240" w:lineRule="auto"/>
        <w:jc w:val="both"/>
        <w:rPr>
          <w:rFonts w:ascii="Arial" w:eastAsia="Calibri" w:hAnsi="Arial" w:cs="Times New Roman"/>
          <w:sz w:val="20"/>
          <w:szCs w:val="20"/>
        </w:rPr>
      </w:pPr>
      <w:r>
        <w:rPr>
          <w:rFonts w:ascii="Arial" w:eastAsia="Calibri" w:hAnsi="Arial" w:cs="Times New Roman"/>
          <w:sz w:val="20"/>
        </w:rPr>
        <w:t xml:space="preserve">na drugi strani pa </w:t>
      </w:r>
      <w:r w:rsidRPr="00D9225C">
        <w:rPr>
          <w:rFonts w:ascii="Arial" w:eastAsia="Calibri" w:hAnsi="Arial" w:cs="Times New Roman"/>
          <w:sz w:val="20"/>
          <w:szCs w:val="20"/>
        </w:rPr>
        <w:t>prilagoditve sistemov in procesov na ravni</w:t>
      </w:r>
      <w:r>
        <w:rPr>
          <w:rFonts w:ascii="Arial" w:eastAsia="Calibri" w:hAnsi="Arial" w:cs="Times New Roman"/>
          <w:sz w:val="20"/>
          <w:szCs w:val="20"/>
        </w:rPr>
        <w:t xml:space="preserve"> ponudnikov in</w:t>
      </w:r>
      <w:r w:rsidRPr="00D9225C">
        <w:rPr>
          <w:rFonts w:ascii="Arial" w:eastAsia="Calibri" w:hAnsi="Arial" w:cs="Times New Roman"/>
          <w:sz w:val="20"/>
          <w:szCs w:val="20"/>
        </w:rPr>
        <w:t xml:space="preserve"> porabnikov energije. Prilagoditve bodo zahtevale oblikovanje načinov lokalnega shranjevanja energije (v podjetjih) in hkratnega generiranja energije iz obnovljivih virov, dodatno pa bo k večjemu delovanju trga prispeval tehnološko podprt proces prenosa tako ustvarjene energije v omrežje</w:t>
      </w:r>
      <w:r>
        <w:rPr>
          <w:rFonts w:ascii="Arial" w:eastAsia="Calibri" w:hAnsi="Arial" w:cs="Times New Roman"/>
          <w:sz w:val="20"/>
          <w:szCs w:val="20"/>
        </w:rPr>
        <w:t xml:space="preserve">. To bo na drugi strani spodbudilo investicije v zelene tehnološke rešitve, posledično pa doseganje višje dodane vrednosti in konkurenčnosti na trgu OVE. </w:t>
      </w:r>
    </w:p>
    <w:p w14:paraId="73C1F411" w14:textId="093E3DDA" w:rsidR="002B5124" w:rsidRDefault="009D5204" w:rsidP="002B5124">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  </w:t>
      </w:r>
      <w:r w:rsidR="002B5124">
        <w:rPr>
          <w:rFonts w:ascii="Arial" w:eastAsia="Calibri" w:hAnsi="Arial" w:cs="Times New Roman"/>
          <w:sz w:val="20"/>
          <w:szCs w:val="20"/>
        </w:rPr>
        <w:t xml:space="preserve"> </w:t>
      </w:r>
    </w:p>
    <w:p w14:paraId="6A6BEB76" w14:textId="788E5A46" w:rsidR="00F80520" w:rsidRDefault="0020527C" w:rsidP="00D9225C">
      <w:pPr>
        <w:spacing w:after="0" w:line="240" w:lineRule="auto"/>
        <w:jc w:val="both"/>
        <w:rPr>
          <w:rFonts w:ascii="Arial" w:eastAsia="Calibri" w:hAnsi="Arial" w:cs="Times New Roman"/>
          <w:sz w:val="20"/>
          <w:szCs w:val="20"/>
        </w:rPr>
      </w:pPr>
      <w:r>
        <w:rPr>
          <w:rFonts w:ascii="Arial" w:eastAsia="Calibri" w:hAnsi="Arial" w:cs="Times New Roman"/>
          <w:sz w:val="20"/>
          <w:szCs w:val="20"/>
        </w:rPr>
        <w:t>Diagram 3: Pilotni model platforme (tehnološkega orodja) v funkciji tržnice</w:t>
      </w:r>
      <w:r w:rsidR="00F80520">
        <w:rPr>
          <w:rFonts w:ascii="Arial" w:eastAsia="Calibri" w:hAnsi="Arial" w:cs="Times New Roman"/>
          <w:sz w:val="20"/>
          <w:szCs w:val="20"/>
        </w:rPr>
        <w:t xml:space="preserve"> ali </w:t>
      </w:r>
      <w:r>
        <w:rPr>
          <w:rFonts w:ascii="Arial" w:eastAsia="Calibri" w:hAnsi="Arial" w:cs="Times New Roman"/>
          <w:sz w:val="20"/>
          <w:szCs w:val="20"/>
        </w:rPr>
        <w:t>borze</w:t>
      </w:r>
      <w:r w:rsidR="00F80520">
        <w:rPr>
          <w:rFonts w:ascii="Arial" w:eastAsia="Calibri" w:hAnsi="Arial" w:cs="Times New Roman"/>
          <w:sz w:val="20"/>
          <w:szCs w:val="20"/>
        </w:rPr>
        <w:t xml:space="preserve"> (ang.. marketplace)</w:t>
      </w:r>
      <w:r>
        <w:rPr>
          <w:rFonts w:ascii="Arial" w:eastAsia="Calibri" w:hAnsi="Arial" w:cs="Times New Roman"/>
          <w:sz w:val="20"/>
          <w:szCs w:val="20"/>
        </w:rPr>
        <w:t xml:space="preserve"> – </w:t>
      </w:r>
      <w:r w:rsidR="00F80520">
        <w:rPr>
          <w:rFonts w:ascii="Arial" w:eastAsia="Calibri" w:hAnsi="Arial" w:cs="Times New Roman"/>
          <w:sz w:val="20"/>
          <w:szCs w:val="20"/>
        </w:rPr>
        <w:t xml:space="preserve">(prilagoditev za dostopnost): </w:t>
      </w:r>
    </w:p>
    <w:p w14:paraId="082A28E4" w14:textId="7E843C76" w:rsidR="00F80520" w:rsidRDefault="00F80520" w:rsidP="00D9225C">
      <w:pPr>
        <w:spacing w:after="0" w:line="240" w:lineRule="auto"/>
        <w:jc w:val="both"/>
        <w:rPr>
          <w:rFonts w:ascii="Arial" w:eastAsia="Calibri" w:hAnsi="Arial" w:cs="Times New Roman"/>
          <w:sz w:val="20"/>
          <w:szCs w:val="20"/>
        </w:rPr>
      </w:pPr>
    </w:p>
    <w:p w14:paraId="5A5AFE2A" w14:textId="77777777" w:rsidR="006F1A70" w:rsidRDefault="00F80520" w:rsidP="00D9225C">
      <w:pPr>
        <w:spacing w:after="0" w:line="240" w:lineRule="auto"/>
        <w:jc w:val="both"/>
        <w:rPr>
          <w:rFonts w:ascii="Arial" w:eastAsia="Calibri" w:hAnsi="Arial" w:cs="Times New Roman"/>
          <w:sz w:val="20"/>
          <w:szCs w:val="20"/>
        </w:rPr>
      </w:pPr>
      <w:r>
        <w:rPr>
          <w:rFonts w:ascii="Arial" w:eastAsia="Calibri" w:hAnsi="Arial" w:cs="Times New Roman"/>
          <w:sz w:val="20"/>
          <w:szCs w:val="20"/>
        </w:rPr>
        <w:t>Cilji:</w:t>
      </w:r>
      <w:r w:rsidR="006F1A70" w:rsidRPr="006F1A70">
        <w:t xml:space="preserve"> </w:t>
      </w:r>
      <w:r w:rsidR="006F1A70" w:rsidRPr="006F1A70">
        <w:rPr>
          <w:rFonts w:ascii="Arial" w:eastAsia="Calibri" w:hAnsi="Arial" w:cs="Times New Roman"/>
          <w:sz w:val="20"/>
          <w:szCs w:val="20"/>
        </w:rPr>
        <w:t xml:space="preserve">podpora procesom proizvodnje in prenosa energije iz OVE v omrežje </w:t>
      </w:r>
    </w:p>
    <w:p w14:paraId="60160C7D" w14:textId="77777777" w:rsidR="006F1A70" w:rsidRDefault="006F1A70" w:rsidP="00D9225C">
      <w:pPr>
        <w:spacing w:after="0" w:line="240" w:lineRule="auto"/>
        <w:jc w:val="both"/>
        <w:rPr>
          <w:rFonts w:ascii="Arial" w:eastAsia="Calibri" w:hAnsi="Arial" w:cs="Times New Roman"/>
          <w:sz w:val="20"/>
          <w:szCs w:val="20"/>
        </w:rPr>
      </w:pPr>
      <w:r w:rsidRPr="006F1A70">
        <w:rPr>
          <w:rFonts w:ascii="Arial" w:eastAsia="Calibri" w:hAnsi="Arial" w:cs="Times New Roman"/>
          <w:sz w:val="20"/>
          <w:szCs w:val="20"/>
        </w:rPr>
        <w:t xml:space="preserve">Koraki:  </w:t>
      </w:r>
    </w:p>
    <w:p w14:paraId="6271E408" w14:textId="349F34B2" w:rsidR="006F1A70" w:rsidRPr="006F1A70" w:rsidRDefault="006F1A70" w:rsidP="006F1A70">
      <w:pPr>
        <w:pStyle w:val="Odstavekseznama"/>
        <w:numPr>
          <w:ilvl w:val="0"/>
          <w:numId w:val="32"/>
        </w:numPr>
        <w:spacing w:after="0" w:line="240" w:lineRule="auto"/>
        <w:jc w:val="both"/>
        <w:rPr>
          <w:rFonts w:ascii="Arial" w:eastAsia="Calibri" w:hAnsi="Arial" w:cs="Times New Roman"/>
          <w:sz w:val="20"/>
          <w:szCs w:val="20"/>
        </w:rPr>
      </w:pPr>
      <w:r w:rsidRPr="006F1A70">
        <w:rPr>
          <w:rFonts w:ascii="Arial" w:eastAsia="Calibri" w:hAnsi="Arial" w:cs="Times New Roman"/>
          <w:sz w:val="20"/>
          <w:szCs w:val="20"/>
        </w:rPr>
        <w:t xml:space="preserve">opredelitev arhitekturne zasnove rešitve,  </w:t>
      </w:r>
    </w:p>
    <w:p w14:paraId="0635D33F" w14:textId="4774F0A8" w:rsidR="006F1A70" w:rsidRPr="006F1A70" w:rsidRDefault="006F1A70" w:rsidP="006F1A70">
      <w:pPr>
        <w:pStyle w:val="Odstavekseznama"/>
        <w:numPr>
          <w:ilvl w:val="0"/>
          <w:numId w:val="32"/>
        </w:numPr>
        <w:spacing w:after="0" w:line="240" w:lineRule="auto"/>
        <w:jc w:val="both"/>
        <w:rPr>
          <w:rFonts w:ascii="Arial" w:eastAsia="Calibri" w:hAnsi="Arial" w:cs="Times New Roman"/>
          <w:sz w:val="20"/>
          <w:szCs w:val="20"/>
        </w:rPr>
      </w:pPr>
      <w:r w:rsidRPr="006F1A70">
        <w:rPr>
          <w:rFonts w:ascii="Arial" w:eastAsia="Calibri" w:hAnsi="Arial" w:cs="Times New Roman"/>
          <w:sz w:val="20"/>
          <w:szCs w:val="20"/>
        </w:rPr>
        <w:t xml:space="preserve">opredelitev nabora podatkov, relevantnih za vstop v platformo, ki bodo osnova za opredelitev identifikatorjev in načina zapisa podatkov,  </w:t>
      </w:r>
    </w:p>
    <w:p w14:paraId="7F089EF0" w14:textId="79267BBB" w:rsidR="00F80520" w:rsidRPr="006F1A70" w:rsidRDefault="006F1A70" w:rsidP="006F1A70">
      <w:pPr>
        <w:pStyle w:val="Odstavekseznama"/>
        <w:numPr>
          <w:ilvl w:val="0"/>
          <w:numId w:val="32"/>
        </w:numPr>
        <w:spacing w:after="0" w:line="240" w:lineRule="auto"/>
        <w:jc w:val="both"/>
        <w:rPr>
          <w:rFonts w:ascii="Arial" w:eastAsia="Calibri" w:hAnsi="Arial" w:cs="Times New Roman"/>
          <w:sz w:val="20"/>
          <w:szCs w:val="20"/>
        </w:rPr>
      </w:pPr>
      <w:r w:rsidRPr="006F1A70">
        <w:rPr>
          <w:rFonts w:ascii="Arial" w:eastAsia="Calibri" w:hAnsi="Arial" w:cs="Times New Roman"/>
          <w:sz w:val="20"/>
          <w:szCs w:val="20"/>
        </w:rPr>
        <w:t>opredelitev načina integracije v sistem in osnovnih parametrov (standardov za integracijo), ki se bodo navezovali na podatke iz e-energetske izkaznice podjetij</w:t>
      </w:r>
    </w:p>
    <w:p w14:paraId="5791017B" w14:textId="04FA9BBE" w:rsidR="006F1A70" w:rsidRDefault="006F1A70" w:rsidP="00D9225C">
      <w:pPr>
        <w:spacing w:after="0" w:line="240" w:lineRule="auto"/>
        <w:jc w:val="both"/>
        <w:rPr>
          <w:rFonts w:ascii="Arial" w:eastAsia="Calibri" w:hAnsi="Arial" w:cs="Times New Roman"/>
          <w:sz w:val="20"/>
          <w:szCs w:val="20"/>
        </w:rPr>
      </w:pPr>
    </w:p>
    <w:p w14:paraId="3231A861" w14:textId="77777777" w:rsidR="006F1A70" w:rsidRDefault="006F1A70" w:rsidP="00D9225C">
      <w:pPr>
        <w:spacing w:after="0" w:line="240" w:lineRule="auto"/>
        <w:jc w:val="both"/>
        <w:rPr>
          <w:rFonts w:ascii="Arial" w:eastAsia="Calibri" w:hAnsi="Arial" w:cs="Times New Roman"/>
          <w:sz w:val="20"/>
          <w:szCs w:val="20"/>
        </w:rPr>
      </w:pPr>
      <w:r w:rsidRPr="006F1A70">
        <w:rPr>
          <w:rFonts w:ascii="Arial" w:eastAsia="Calibri" w:hAnsi="Arial" w:cs="Times New Roman"/>
          <w:sz w:val="20"/>
          <w:szCs w:val="20"/>
        </w:rPr>
        <w:t xml:space="preserve">Namen: </w:t>
      </w:r>
    </w:p>
    <w:p w14:paraId="73F0A075" w14:textId="3451D568" w:rsidR="006F1A70" w:rsidRPr="006F1A70" w:rsidRDefault="006F1A70" w:rsidP="006F1A70">
      <w:pPr>
        <w:pStyle w:val="Odstavekseznama"/>
        <w:numPr>
          <w:ilvl w:val="0"/>
          <w:numId w:val="33"/>
        </w:numPr>
        <w:spacing w:after="0" w:line="240" w:lineRule="auto"/>
        <w:jc w:val="both"/>
        <w:rPr>
          <w:rFonts w:ascii="Arial" w:eastAsia="Calibri" w:hAnsi="Arial" w:cs="Times New Roman"/>
          <w:sz w:val="20"/>
          <w:szCs w:val="20"/>
        </w:rPr>
      </w:pPr>
      <w:r w:rsidRPr="006F1A70">
        <w:rPr>
          <w:rFonts w:ascii="Arial" w:eastAsia="Calibri" w:hAnsi="Arial" w:cs="Times New Roman"/>
          <w:sz w:val="20"/>
          <w:szCs w:val="20"/>
        </w:rPr>
        <w:t xml:space="preserve">lažji dostop do sistema prenosa električne energije (večja motivacija dodatnih proizvajalcev za vstop v platformo in dodatnih uporabnikov za dostop do proizvedene električne energije),  </w:t>
      </w:r>
    </w:p>
    <w:p w14:paraId="1D357F8D" w14:textId="7006B732" w:rsidR="006F1A70" w:rsidRPr="006F1A70" w:rsidRDefault="006F1A70" w:rsidP="006F1A70">
      <w:pPr>
        <w:pStyle w:val="Odstavekseznama"/>
        <w:numPr>
          <w:ilvl w:val="0"/>
          <w:numId w:val="33"/>
        </w:numPr>
        <w:spacing w:after="0" w:line="240" w:lineRule="auto"/>
        <w:jc w:val="both"/>
        <w:rPr>
          <w:rFonts w:ascii="Arial" w:eastAsia="Calibri" w:hAnsi="Arial" w:cs="Times New Roman"/>
          <w:sz w:val="20"/>
          <w:szCs w:val="20"/>
        </w:rPr>
      </w:pPr>
      <w:r w:rsidRPr="006F1A70">
        <w:rPr>
          <w:rFonts w:ascii="Arial" w:eastAsia="Calibri" w:hAnsi="Arial" w:cs="Times New Roman"/>
          <w:sz w:val="20"/>
          <w:szCs w:val="20"/>
        </w:rPr>
        <w:t>razvoj inovativnih komplementarnih storitev - razvoj inovativnih tehnoloških rešitev (npr. hramba energije, razvoj baterij) in procesnih izboljšav v podjetjih - z neposredno (P2P) komunikacijo skrajšati čas dostopa do električne energije iz OVE, ustvariti prihranke (neposredne transakcije brez posrednikov) - povečanje uporabe koncepta energetskega upravljanja v podjetjih (tako na strani ponudbe, kot na strani povpraševanja oziroma porabnikov)</w:t>
      </w:r>
    </w:p>
    <w:p w14:paraId="321075AD" w14:textId="2BD0A9A3" w:rsidR="00F80520" w:rsidRDefault="00F80520" w:rsidP="00D9225C">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 </w:t>
      </w:r>
    </w:p>
    <w:p w14:paraId="7953379D" w14:textId="77777777" w:rsidR="000C46A9" w:rsidRDefault="000C46A9" w:rsidP="00D9225C">
      <w:pPr>
        <w:spacing w:after="0" w:line="240" w:lineRule="auto"/>
        <w:jc w:val="both"/>
        <w:rPr>
          <w:rFonts w:ascii="Arial" w:eastAsia="Arial" w:hAnsi="Arial" w:cs="Arial"/>
          <w:sz w:val="20"/>
          <w:szCs w:val="20"/>
          <w:lang w:eastAsia="sl-SI"/>
        </w:rPr>
      </w:pPr>
    </w:p>
    <w:p w14:paraId="088979C6" w14:textId="77777777" w:rsidR="001763F5" w:rsidRPr="00D44340" w:rsidRDefault="001763F5" w:rsidP="00A81C05">
      <w:pPr>
        <w:pStyle w:val="Naslov3"/>
        <w:jc w:val="both"/>
        <w:rPr>
          <w:rFonts w:ascii="Arial" w:eastAsia="Calibri" w:hAnsi="Arial" w:cs="Arial"/>
          <w:b/>
          <w:color w:val="70AD47" w:themeColor="accent6"/>
        </w:rPr>
      </w:pPr>
      <w:bookmarkStart w:id="21" w:name="_Toc102741386"/>
      <w:r w:rsidRPr="00D44340">
        <w:rPr>
          <w:rFonts w:ascii="Arial" w:eastAsia="Calibri" w:hAnsi="Arial" w:cs="Arial"/>
          <w:b/>
          <w:color w:val="70AD47" w:themeColor="accent6"/>
        </w:rPr>
        <w:t xml:space="preserve">IV.1.2. </w:t>
      </w:r>
      <w:r w:rsidR="002B5124" w:rsidRPr="00D44340">
        <w:rPr>
          <w:rFonts w:ascii="Arial" w:eastAsia="Calibri" w:hAnsi="Arial" w:cs="Arial"/>
          <w:b/>
          <w:color w:val="70AD47" w:themeColor="accent6"/>
        </w:rPr>
        <w:t>Podporni finančni mehanizem za reinvestiranje prihrankov zaradi doseganja večje energetske učinkovitosti v podjetjih</w:t>
      </w:r>
      <w:bookmarkEnd w:id="21"/>
    </w:p>
    <w:p w14:paraId="1D115E99" w14:textId="77777777" w:rsidR="002B5124" w:rsidRDefault="002B5124" w:rsidP="00D9225C">
      <w:pPr>
        <w:spacing w:after="0" w:line="240" w:lineRule="auto"/>
        <w:jc w:val="both"/>
        <w:rPr>
          <w:rFonts w:ascii="Arial" w:eastAsia="Calibri" w:hAnsi="Arial" w:cs="Times New Roman"/>
          <w:b/>
          <w:sz w:val="20"/>
        </w:rPr>
      </w:pPr>
    </w:p>
    <w:p w14:paraId="3E66D9DD" w14:textId="77777777" w:rsidR="009763CB" w:rsidRDefault="009763CB" w:rsidP="00D9225C">
      <w:pPr>
        <w:spacing w:after="0" w:line="240" w:lineRule="auto"/>
        <w:jc w:val="both"/>
        <w:rPr>
          <w:rFonts w:ascii="Arial" w:eastAsia="Calibri" w:hAnsi="Arial" w:cs="Times New Roman"/>
          <w:sz w:val="20"/>
        </w:rPr>
      </w:pPr>
      <w:r w:rsidRPr="009763CB">
        <w:rPr>
          <w:rFonts w:ascii="Arial" w:eastAsia="Calibri" w:hAnsi="Arial" w:cs="Times New Roman"/>
          <w:sz w:val="20"/>
        </w:rPr>
        <w:t xml:space="preserve">Z vzpostavitvijo in krepitvijo inovativnega mehanizma distribucije in trženja električne energije iz OVE se </w:t>
      </w:r>
      <w:r>
        <w:rPr>
          <w:rFonts w:ascii="Arial" w:eastAsia="Calibri" w:hAnsi="Arial" w:cs="Times New Roman"/>
          <w:sz w:val="20"/>
        </w:rPr>
        <w:t xml:space="preserve">ustvari možnost oblikovanja alternativnih virov financiranja proizvodnje </w:t>
      </w:r>
      <w:r w:rsidR="00E901E7">
        <w:rPr>
          <w:rFonts w:ascii="Arial" w:eastAsia="Calibri" w:hAnsi="Arial" w:cs="Times New Roman"/>
          <w:sz w:val="20"/>
        </w:rPr>
        <w:t xml:space="preserve">in porabe energije. Za ta namen sta kot podporni mehanizem za spodbujanje uporabe OVE identificirana vsaj dva mehanizma, in sicer: </w:t>
      </w:r>
    </w:p>
    <w:p w14:paraId="0AC0DBAA" w14:textId="77777777" w:rsidR="00E901E7" w:rsidRPr="00E901E7" w:rsidRDefault="00E901E7" w:rsidP="003445EF">
      <w:pPr>
        <w:pStyle w:val="Odstavekseznama"/>
        <w:numPr>
          <w:ilvl w:val="0"/>
          <w:numId w:val="11"/>
        </w:numPr>
        <w:spacing w:after="0" w:line="240" w:lineRule="auto"/>
        <w:jc w:val="both"/>
        <w:rPr>
          <w:rFonts w:ascii="Arial" w:eastAsia="Calibri" w:hAnsi="Arial" w:cs="Times New Roman"/>
          <w:sz w:val="20"/>
        </w:rPr>
      </w:pPr>
      <w:r>
        <w:rPr>
          <w:rFonts w:ascii="Arial" w:eastAsia="Calibri" w:hAnsi="Arial" w:cs="Times New Roman"/>
          <w:sz w:val="20"/>
          <w:szCs w:val="20"/>
        </w:rPr>
        <w:t>reinvestiranje</w:t>
      </w:r>
      <w:r w:rsidRPr="00D9225C">
        <w:rPr>
          <w:rFonts w:ascii="Arial" w:eastAsia="Calibri" w:hAnsi="Arial" w:cs="Times New Roman"/>
          <w:sz w:val="20"/>
          <w:szCs w:val="20"/>
        </w:rPr>
        <w:t xml:space="preserve"> dela dobičkov energetskih podjetij v trajnostne energetske projekte in povečanje deleža OVE ali povečanje zmogljivosti in širitev elektrodistribucijskega omrežja za integracijo OVE. Ukrep gre zato v smeri priprave podlag za obvezno reinvestiranje vsaj 15% čistega dobička poslovnega leta energetskih podjetij v večinski državni lasti za realizacijo investicijskih projektov, potrjenih na ustreznih organih upravljanja, za povečanje proizvodnje elektrike iz OVE oziroma povečanje zmogljivosti in širitve elektrodistribucijskega omrežja za integracijo OVE</w:t>
      </w:r>
      <w:r>
        <w:rPr>
          <w:rFonts w:ascii="Arial" w:eastAsia="Calibri" w:hAnsi="Arial" w:cs="Times New Roman"/>
          <w:sz w:val="20"/>
          <w:szCs w:val="20"/>
        </w:rPr>
        <w:t xml:space="preserve">, </w:t>
      </w:r>
    </w:p>
    <w:p w14:paraId="23B7BD36" w14:textId="40EB24D1" w:rsidR="00E901E7" w:rsidRPr="00E901E7" w:rsidRDefault="00E901E7" w:rsidP="003445EF">
      <w:pPr>
        <w:pStyle w:val="Odstavekseznama"/>
        <w:numPr>
          <w:ilvl w:val="0"/>
          <w:numId w:val="11"/>
        </w:numPr>
        <w:spacing w:after="0" w:line="240" w:lineRule="auto"/>
        <w:jc w:val="both"/>
        <w:rPr>
          <w:rFonts w:ascii="Arial" w:eastAsia="Calibri" w:hAnsi="Arial" w:cs="Times New Roman"/>
          <w:sz w:val="20"/>
        </w:rPr>
      </w:pPr>
      <w:r w:rsidRPr="00D9225C">
        <w:rPr>
          <w:rFonts w:ascii="Arial" w:eastAsia="Calibri" w:hAnsi="Arial" w:cs="Times New Roman"/>
          <w:sz w:val="20"/>
          <w:szCs w:val="20"/>
        </w:rPr>
        <w:t>postopno zmanjševanje vračila trošarine na energente v industriji do leta 2030 (v skladu z EU-zakonodaje) kjer bo pogoj za vračilo od leta 2022 dalje je pridobljen certifikat v skladu s standardom ISO 50.001 ali ISO 14.001 [v letu 2021] ali alternativno izvedba ukrepov identificiranih v okviru obveznih energetskih pregledov s povračilno dobo do 4 let. Podobno bo tudi oprostitev oz znižana okoljska dajatev za izpuste CO2, prav tako od leta 2022 dalje vezana na vpeljavo sistema ISO 50001 oziroma izvedbo ukrepov identificiranih v okviru energetskih pregledov (ROI 3 leta) za kar bo predvidoma potrebno novelirati Uredbo o okoljski dajatvi za onesnaževanje zraka z emisijo ogljikovega dioksida</w:t>
      </w:r>
      <w:r w:rsidR="00447391">
        <w:rPr>
          <w:rStyle w:val="Sprotnaopomba-sklic"/>
          <w:rFonts w:ascii="Arial" w:eastAsia="Calibri" w:hAnsi="Arial" w:cs="Times New Roman"/>
          <w:sz w:val="20"/>
          <w:szCs w:val="20"/>
        </w:rPr>
        <w:footnoteReference w:id="3"/>
      </w:r>
      <w:r w:rsidRPr="00D9225C">
        <w:rPr>
          <w:rFonts w:ascii="Arial" w:eastAsia="Calibri" w:hAnsi="Arial" w:cs="Times New Roman"/>
          <w:sz w:val="20"/>
          <w:szCs w:val="20"/>
        </w:rPr>
        <w:t>.</w:t>
      </w:r>
    </w:p>
    <w:p w14:paraId="5AE279C9" w14:textId="77777777" w:rsidR="00591B1D" w:rsidRPr="00D9225C" w:rsidRDefault="00591B1D" w:rsidP="00591B1D">
      <w:pPr>
        <w:spacing w:after="0" w:line="240" w:lineRule="auto"/>
        <w:jc w:val="both"/>
        <w:rPr>
          <w:rFonts w:ascii="Arial" w:eastAsia="Calibri" w:hAnsi="Arial" w:cs="Times New Roman"/>
          <w:sz w:val="20"/>
          <w:szCs w:val="20"/>
        </w:rPr>
      </w:pPr>
    </w:p>
    <w:p w14:paraId="3D670490" w14:textId="1726429A" w:rsidR="002B5124" w:rsidRDefault="00591B1D" w:rsidP="00591B1D">
      <w:pPr>
        <w:spacing w:after="0" w:line="240" w:lineRule="auto"/>
        <w:jc w:val="both"/>
        <w:rPr>
          <w:rFonts w:ascii="Arial" w:eastAsia="Calibri" w:hAnsi="Arial" w:cs="Times New Roman"/>
          <w:sz w:val="20"/>
        </w:rPr>
      </w:pPr>
      <w:r w:rsidRPr="00D9225C">
        <w:rPr>
          <w:rFonts w:ascii="Arial" w:eastAsia="Calibri" w:hAnsi="Arial" w:cs="Times New Roman"/>
          <w:sz w:val="20"/>
          <w:szCs w:val="20"/>
        </w:rPr>
        <w:t xml:space="preserve">S temi prilagoditvami pa se bo povečala tudi uporaba energetskih rešitev </w:t>
      </w:r>
      <w:r w:rsidRPr="00D9225C">
        <w:rPr>
          <w:rFonts w:ascii="Arial" w:eastAsia="Calibri" w:hAnsi="Arial" w:cs="Times New Roman"/>
          <w:sz w:val="20"/>
        </w:rPr>
        <w:t>v podjetjih in za povečanje dostopa do mehanizmov trajnostnega financiranja (v skladu z uredbo EU o taksonomiji na področju trajnostnega financiranja). Na drugi strani bo to omogočilo doseganje ciljev iz uredbe o zavezujočem zmanjšanju emisij TGP za države članice, kjer je Slovenija zavezana svoje emisije TGP v sektorjih, ki niso vključeni v sistem trgovanja z emisijami, do leta 2030 zmanjšati za vsaj 15 % glede na raven v letu 2005. Spodbujanje izvajanje ukrepov iz sistema upravljanja z energijo skladno s standardom SIST EN ISO 50001 ali  sistema upravljanja z okoljem skladno s standardom SIST EN ISO 14001 bo izvedeno s pospešitvijo izvajanja energetskih pregledov podjetij.</w:t>
      </w:r>
    </w:p>
    <w:p w14:paraId="31D5BFC6" w14:textId="52FDA655" w:rsidR="00210E47" w:rsidRDefault="00210E47" w:rsidP="00591B1D">
      <w:pPr>
        <w:spacing w:after="0" w:line="240" w:lineRule="auto"/>
        <w:jc w:val="both"/>
        <w:rPr>
          <w:rFonts w:ascii="Arial" w:eastAsia="Calibri" w:hAnsi="Arial" w:cs="Times New Roman"/>
          <w:sz w:val="20"/>
        </w:rPr>
      </w:pPr>
    </w:p>
    <w:p w14:paraId="3F64E1F3" w14:textId="54BC11B4" w:rsidR="00210E47" w:rsidRPr="00210E47" w:rsidRDefault="00210E47" w:rsidP="00210E47">
      <w:pPr>
        <w:spacing w:after="0" w:line="240" w:lineRule="auto"/>
        <w:jc w:val="both"/>
        <w:rPr>
          <w:rFonts w:ascii="Arial" w:eastAsia="Calibri" w:hAnsi="Arial" w:cs="Times New Roman"/>
          <w:sz w:val="20"/>
          <w:szCs w:val="20"/>
        </w:rPr>
      </w:pPr>
      <w:r>
        <w:rPr>
          <w:rFonts w:ascii="Arial" w:eastAsia="Calibri" w:hAnsi="Arial" w:cs="Times New Roman"/>
          <w:sz w:val="20"/>
          <w:szCs w:val="20"/>
        </w:rPr>
        <w:t>Podporni finančni mehanizem bo usklajen z obveznostmi za velike družbe</w:t>
      </w:r>
      <w:r w:rsidR="0067528B">
        <w:rPr>
          <w:rStyle w:val="Sprotnaopomba-sklic"/>
          <w:rFonts w:ascii="Arial" w:eastAsia="Calibri" w:hAnsi="Arial" w:cs="Times New Roman"/>
          <w:sz w:val="20"/>
          <w:szCs w:val="20"/>
        </w:rPr>
        <w:footnoteReference w:id="4"/>
      </w:r>
      <w:r>
        <w:rPr>
          <w:rFonts w:ascii="Arial" w:eastAsia="Calibri" w:hAnsi="Arial" w:cs="Times New Roman"/>
          <w:sz w:val="20"/>
          <w:szCs w:val="20"/>
        </w:rPr>
        <w:t xml:space="preserve">, prav tako pa bomo spodbujali k izvedbi tudi mala in srednje velika podjetja. </w:t>
      </w:r>
    </w:p>
    <w:p w14:paraId="67E2E949" w14:textId="60C1D939" w:rsidR="00210E47" w:rsidRDefault="00210E47" w:rsidP="00210E47">
      <w:pPr>
        <w:spacing w:after="0" w:line="240" w:lineRule="auto"/>
        <w:jc w:val="both"/>
        <w:rPr>
          <w:rFonts w:ascii="Arial" w:eastAsia="Calibri" w:hAnsi="Arial" w:cs="Times New Roman"/>
          <w:sz w:val="20"/>
          <w:szCs w:val="20"/>
        </w:rPr>
      </w:pPr>
    </w:p>
    <w:p w14:paraId="3426DB69" w14:textId="77777777" w:rsidR="00591B1D" w:rsidRDefault="00591B1D" w:rsidP="00D9225C">
      <w:pPr>
        <w:spacing w:after="0" w:line="240" w:lineRule="auto"/>
        <w:jc w:val="both"/>
        <w:rPr>
          <w:rFonts w:ascii="Arial" w:eastAsia="Calibri" w:hAnsi="Arial" w:cs="Times New Roman"/>
          <w:sz w:val="20"/>
          <w:szCs w:val="20"/>
        </w:rPr>
      </w:pPr>
    </w:p>
    <w:p w14:paraId="51BC0F7A" w14:textId="77777777" w:rsidR="001763F5" w:rsidRPr="00D44340" w:rsidRDefault="001763F5" w:rsidP="00A81C05">
      <w:pPr>
        <w:pStyle w:val="Naslov3"/>
        <w:jc w:val="both"/>
        <w:rPr>
          <w:rFonts w:ascii="Arial" w:eastAsia="Calibri" w:hAnsi="Arial" w:cs="Arial"/>
          <w:b/>
          <w:color w:val="70AD47" w:themeColor="accent6"/>
        </w:rPr>
      </w:pPr>
      <w:bookmarkStart w:id="22" w:name="_Toc102741387"/>
      <w:r w:rsidRPr="00D44340">
        <w:rPr>
          <w:rFonts w:ascii="Arial" w:eastAsia="Calibri" w:hAnsi="Arial" w:cs="Arial"/>
          <w:b/>
          <w:color w:val="70AD47" w:themeColor="accent6"/>
        </w:rPr>
        <w:t xml:space="preserve">IV.1.3.  </w:t>
      </w:r>
      <w:r w:rsidR="002B5124" w:rsidRPr="00D44340">
        <w:rPr>
          <w:rFonts w:ascii="Arial" w:eastAsia="Calibri" w:hAnsi="Arial" w:cs="Arial"/>
          <w:b/>
          <w:color w:val="70AD47" w:themeColor="accent6"/>
        </w:rPr>
        <w:t xml:space="preserve">Priprava </w:t>
      </w:r>
      <w:r w:rsidR="005541D9" w:rsidRPr="00D44340">
        <w:rPr>
          <w:rFonts w:ascii="Arial" w:eastAsia="Calibri" w:hAnsi="Arial" w:cs="Arial"/>
          <w:b/>
          <w:color w:val="70AD47" w:themeColor="accent6"/>
        </w:rPr>
        <w:t xml:space="preserve">strategije energetskega upravljanja </w:t>
      </w:r>
      <w:r w:rsidR="002B5124" w:rsidRPr="00D44340">
        <w:rPr>
          <w:rFonts w:ascii="Arial" w:eastAsia="Calibri" w:hAnsi="Arial" w:cs="Arial"/>
          <w:b/>
          <w:color w:val="70AD47" w:themeColor="accent6"/>
        </w:rPr>
        <w:t>v podjetju kot eno od orodij za izboljšanje energetskega upravljanja v podjetjih</w:t>
      </w:r>
      <w:bookmarkEnd w:id="22"/>
    </w:p>
    <w:p w14:paraId="36AAAE56" w14:textId="77777777" w:rsidR="002B5124" w:rsidRDefault="002B5124" w:rsidP="00D9225C">
      <w:pPr>
        <w:spacing w:after="0" w:line="240" w:lineRule="auto"/>
        <w:jc w:val="both"/>
        <w:rPr>
          <w:rFonts w:ascii="Arial" w:eastAsia="Calibri" w:hAnsi="Arial" w:cs="Times New Roman"/>
          <w:sz w:val="20"/>
          <w:szCs w:val="20"/>
        </w:rPr>
      </w:pPr>
    </w:p>
    <w:p w14:paraId="4CEEEC1D" w14:textId="77777777" w:rsidR="005541D9" w:rsidRDefault="005541D9" w:rsidP="00D9225C">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Energetska strategija je eden od osnovnih elementov energetskega upravljanja v podjetjih. V skladu s standardom ISO 50001 so opredeljeni naslednji koraki za pripravo strategije energetskega upravljanja v podjetju: </w:t>
      </w:r>
    </w:p>
    <w:p w14:paraId="04E4EA55" w14:textId="77777777" w:rsidR="005541D9" w:rsidRDefault="005541D9" w:rsidP="003445EF">
      <w:pPr>
        <w:pStyle w:val="Odstavekseznama"/>
        <w:numPr>
          <w:ilvl w:val="0"/>
          <w:numId w:val="12"/>
        </w:numPr>
        <w:spacing w:after="0" w:line="240" w:lineRule="auto"/>
        <w:jc w:val="both"/>
        <w:rPr>
          <w:rFonts w:ascii="Arial" w:eastAsia="Calibri" w:hAnsi="Arial" w:cs="Times New Roman"/>
          <w:sz w:val="20"/>
          <w:szCs w:val="20"/>
        </w:rPr>
      </w:pPr>
      <w:r>
        <w:rPr>
          <w:rFonts w:ascii="Arial" w:eastAsia="Calibri" w:hAnsi="Arial" w:cs="Times New Roman"/>
          <w:sz w:val="20"/>
          <w:szCs w:val="20"/>
        </w:rPr>
        <w:t>razvoj in opredelitev politike podjetja za bolj učinkovito rabo energije,</w:t>
      </w:r>
    </w:p>
    <w:p w14:paraId="5CFE7187" w14:textId="77777777" w:rsidR="005541D9" w:rsidRDefault="005541D9" w:rsidP="003445EF">
      <w:pPr>
        <w:pStyle w:val="Odstavekseznama"/>
        <w:numPr>
          <w:ilvl w:val="0"/>
          <w:numId w:val="12"/>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opredelitev ciljev in ciljnih vrednosti, ki so v skladu s politiko podjetja za bolj učinkovito rabo energije, </w:t>
      </w:r>
    </w:p>
    <w:p w14:paraId="28564028" w14:textId="77777777" w:rsidR="005541D9" w:rsidRDefault="005541D9" w:rsidP="003445EF">
      <w:pPr>
        <w:pStyle w:val="Odstavekseznama"/>
        <w:numPr>
          <w:ilvl w:val="0"/>
          <w:numId w:val="12"/>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uporaba podatkov za sprejem odločitev na podlagi podatkov o porabi energije, </w:t>
      </w:r>
    </w:p>
    <w:p w14:paraId="0FE7F887" w14:textId="77777777" w:rsidR="005541D9" w:rsidRDefault="005541D9" w:rsidP="003445EF">
      <w:pPr>
        <w:pStyle w:val="Odstavekseznama"/>
        <w:numPr>
          <w:ilvl w:val="0"/>
          <w:numId w:val="12"/>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merjenje rezultatov z namenom ugotavljanja, kje so področja za izboljšanje energetske učinkovitosti, </w:t>
      </w:r>
    </w:p>
    <w:p w14:paraId="51361D25" w14:textId="77777777" w:rsidR="005541D9" w:rsidRDefault="005541D9" w:rsidP="003445EF">
      <w:pPr>
        <w:pStyle w:val="Odstavekseznama"/>
        <w:numPr>
          <w:ilvl w:val="0"/>
          <w:numId w:val="12"/>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pregled učinkovitosti politik in rezultatov izboljšanja, </w:t>
      </w:r>
    </w:p>
    <w:p w14:paraId="240906EF" w14:textId="77777777" w:rsidR="005541D9" w:rsidRDefault="005541D9" w:rsidP="003445EF">
      <w:pPr>
        <w:pStyle w:val="Odstavekseznama"/>
        <w:numPr>
          <w:ilvl w:val="0"/>
          <w:numId w:val="12"/>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kontinuirane izboljšave v izvajanju praks energetskega upravljanja. </w:t>
      </w:r>
    </w:p>
    <w:p w14:paraId="095BC749" w14:textId="77777777" w:rsidR="005541D9" w:rsidRPr="005541D9" w:rsidRDefault="005541D9" w:rsidP="005541D9">
      <w:pPr>
        <w:spacing w:after="0" w:line="240" w:lineRule="auto"/>
        <w:jc w:val="both"/>
        <w:rPr>
          <w:rFonts w:ascii="Arial" w:eastAsia="Calibri" w:hAnsi="Arial" w:cs="Times New Roman"/>
          <w:sz w:val="20"/>
          <w:szCs w:val="20"/>
        </w:rPr>
      </w:pPr>
    </w:p>
    <w:p w14:paraId="36D53175" w14:textId="5D2F4AE9" w:rsidR="00BD2946" w:rsidRPr="00BD2946" w:rsidRDefault="00BD2946" w:rsidP="00BD2946">
      <w:pPr>
        <w:spacing w:after="0" w:line="240" w:lineRule="auto"/>
        <w:jc w:val="both"/>
        <w:rPr>
          <w:rFonts w:ascii="Arial" w:eastAsia="Calibri" w:hAnsi="Arial" w:cs="Times New Roman"/>
          <w:sz w:val="20"/>
          <w:szCs w:val="20"/>
        </w:rPr>
      </w:pPr>
      <w:r w:rsidRPr="00BD2946">
        <w:rPr>
          <w:rFonts w:ascii="Arial" w:eastAsia="Calibri" w:hAnsi="Arial" w:cs="Times New Roman"/>
          <w:sz w:val="20"/>
          <w:szCs w:val="20"/>
        </w:rPr>
        <w:t xml:space="preserve">Energetsko upravljanje bo </w:t>
      </w:r>
      <w:r>
        <w:rPr>
          <w:rFonts w:ascii="Arial" w:eastAsia="Calibri" w:hAnsi="Arial" w:cs="Times New Roman"/>
          <w:sz w:val="20"/>
          <w:szCs w:val="20"/>
        </w:rPr>
        <w:t xml:space="preserve">prav tako </w:t>
      </w:r>
      <w:r w:rsidRPr="00BD2946">
        <w:rPr>
          <w:rFonts w:ascii="Arial" w:eastAsia="Calibri" w:hAnsi="Arial" w:cs="Times New Roman"/>
          <w:sz w:val="20"/>
          <w:szCs w:val="20"/>
        </w:rPr>
        <w:t xml:space="preserve">usklajeno z </w:t>
      </w:r>
      <w:r>
        <w:rPr>
          <w:rFonts w:ascii="Arial" w:eastAsia="Calibri" w:hAnsi="Arial" w:cs="Times New Roman"/>
          <w:sz w:val="20"/>
          <w:szCs w:val="20"/>
        </w:rPr>
        <w:t>vsebinami energetskega pregleda</w:t>
      </w:r>
      <w:r>
        <w:rPr>
          <w:rStyle w:val="Sprotnaopomba-sklic"/>
          <w:rFonts w:ascii="Arial" w:eastAsia="Calibri" w:hAnsi="Arial" w:cs="Times New Roman"/>
          <w:sz w:val="20"/>
          <w:szCs w:val="20"/>
        </w:rPr>
        <w:footnoteReference w:id="5"/>
      </w:r>
      <w:r>
        <w:rPr>
          <w:rFonts w:ascii="Arial" w:eastAsia="Calibri" w:hAnsi="Arial" w:cs="Times New Roman"/>
          <w:sz w:val="20"/>
          <w:szCs w:val="20"/>
        </w:rPr>
        <w:t xml:space="preserve">. </w:t>
      </w:r>
    </w:p>
    <w:p w14:paraId="7665BE03" w14:textId="77777777" w:rsidR="00BD2946" w:rsidRDefault="00BD2946" w:rsidP="00D9225C">
      <w:pPr>
        <w:spacing w:after="0" w:line="240" w:lineRule="auto"/>
        <w:jc w:val="both"/>
        <w:rPr>
          <w:rFonts w:ascii="Arial" w:eastAsia="Calibri" w:hAnsi="Arial" w:cs="Times New Roman"/>
          <w:sz w:val="20"/>
          <w:szCs w:val="20"/>
        </w:rPr>
      </w:pPr>
    </w:p>
    <w:p w14:paraId="20F8E16F" w14:textId="205A8F9E" w:rsidR="005541D9" w:rsidRDefault="005541D9" w:rsidP="00D9225C">
      <w:pPr>
        <w:spacing w:after="0" w:line="240" w:lineRule="auto"/>
        <w:jc w:val="both"/>
        <w:rPr>
          <w:rFonts w:ascii="Arial" w:eastAsia="Calibri" w:hAnsi="Arial" w:cs="Times New Roman"/>
          <w:sz w:val="20"/>
        </w:rPr>
      </w:pPr>
      <w:r>
        <w:rPr>
          <w:rFonts w:ascii="Arial" w:eastAsia="Calibri" w:hAnsi="Arial" w:cs="Times New Roman"/>
          <w:sz w:val="20"/>
          <w:szCs w:val="20"/>
        </w:rPr>
        <w:t>Elementi strategije energetskega upravljanja lahko temeljijo na številnih dejavnikih. Eden od najpomembnejših dejavnikov je stroškovna učinkovitost oziroma prihranki, povezani z napravami,</w:t>
      </w:r>
      <w:r w:rsidR="007236C4">
        <w:rPr>
          <w:rFonts w:ascii="Arial" w:eastAsia="Calibri" w:hAnsi="Arial" w:cs="Times New Roman"/>
          <w:sz w:val="20"/>
          <w:szCs w:val="20"/>
        </w:rPr>
        <w:t xml:space="preserve"> s katerimi dosegamo e</w:t>
      </w:r>
      <w:r>
        <w:rPr>
          <w:rFonts w:ascii="Arial" w:eastAsia="Calibri" w:hAnsi="Arial" w:cs="Times New Roman"/>
          <w:sz w:val="20"/>
          <w:szCs w:val="20"/>
        </w:rPr>
        <w:t xml:space="preserve">nergetsko učinkovitost v podjetjih. </w:t>
      </w:r>
      <w:r w:rsidR="007236C4">
        <w:rPr>
          <w:rFonts w:ascii="Arial" w:eastAsia="Calibri" w:hAnsi="Arial" w:cs="Times New Roman"/>
          <w:sz w:val="20"/>
          <w:szCs w:val="20"/>
        </w:rPr>
        <w:t xml:space="preserve">Strategijo </w:t>
      </w:r>
      <w:r>
        <w:rPr>
          <w:rFonts w:ascii="Arial" w:eastAsia="Calibri" w:hAnsi="Arial" w:cs="Times New Roman"/>
          <w:sz w:val="20"/>
          <w:szCs w:val="20"/>
        </w:rPr>
        <w:t xml:space="preserve">energetskega upravljanja </w:t>
      </w:r>
      <w:r w:rsidR="007236C4">
        <w:rPr>
          <w:rFonts w:ascii="Arial" w:eastAsia="Calibri" w:hAnsi="Arial" w:cs="Times New Roman"/>
          <w:sz w:val="20"/>
          <w:szCs w:val="20"/>
        </w:rPr>
        <w:t xml:space="preserve">lahko obravnavamo </w:t>
      </w:r>
      <w:r>
        <w:rPr>
          <w:rFonts w:ascii="Arial" w:eastAsia="Calibri" w:hAnsi="Arial" w:cs="Times New Roman"/>
          <w:sz w:val="20"/>
          <w:szCs w:val="20"/>
        </w:rPr>
        <w:t>tako z vidika infrastrukture</w:t>
      </w:r>
      <w:r w:rsidR="009871B8">
        <w:rPr>
          <w:rFonts w:ascii="Arial" w:eastAsia="Calibri" w:hAnsi="Arial" w:cs="Times New Roman"/>
          <w:sz w:val="20"/>
          <w:szCs w:val="20"/>
        </w:rPr>
        <w:t xml:space="preserve"> in </w:t>
      </w:r>
      <w:r>
        <w:rPr>
          <w:rFonts w:ascii="Arial" w:eastAsia="Calibri" w:hAnsi="Arial" w:cs="Times New Roman"/>
          <w:sz w:val="20"/>
          <w:szCs w:val="20"/>
        </w:rPr>
        <w:t xml:space="preserve">naprav, </w:t>
      </w:r>
      <w:r w:rsidRPr="00D9225C">
        <w:rPr>
          <w:rFonts w:ascii="Arial" w:eastAsia="Calibri" w:hAnsi="Arial" w:cs="Times New Roman"/>
          <w:sz w:val="20"/>
        </w:rPr>
        <w:t>kot z vidika procesov</w:t>
      </w:r>
      <w:r w:rsidR="007236C4">
        <w:rPr>
          <w:rFonts w:ascii="Arial" w:eastAsia="Calibri" w:hAnsi="Arial" w:cs="Times New Roman"/>
          <w:sz w:val="20"/>
        </w:rPr>
        <w:t>,</w:t>
      </w:r>
      <w:r w:rsidRPr="00D9225C">
        <w:rPr>
          <w:rFonts w:ascii="Arial" w:eastAsia="Calibri" w:hAnsi="Arial" w:cs="Times New Roman"/>
          <w:sz w:val="20"/>
        </w:rPr>
        <w:t xml:space="preserve"> produktov</w:t>
      </w:r>
      <w:r w:rsidR="007236C4">
        <w:rPr>
          <w:rFonts w:ascii="Arial" w:eastAsia="Calibri" w:hAnsi="Arial" w:cs="Times New Roman"/>
          <w:sz w:val="20"/>
        </w:rPr>
        <w:t xml:space="preserve"> in podatkov</w:t>
      </w:r>
      <w:r w:rsidRPr="00D9225C">
        <w:rPr>
          <w:rFonts w:ascii="Arial" w:eastAsia="Calibri" w:hAnsi="Arial" w:cs="Times New Roman"/>
          <w:sz w:val="20"/>
        </w:rPr>
        <w:t xml:space="preserve">. </w:t>
      </w:r>
    </w:p>
    <w:p w14:paraId="2D4CEBDA" w14:textId="77777777" w:rsidR="0020527C" w:rsidRDefault="0020527C" w:rsidP="00D9225C">
      <w:pPr>
        <w:spacing w:after="0" w:line="240" w:lineRule="auto"/>
        <w:jc w:val="both"/>
        <w:rPr>
          <w:rFonts w:ascii="Arial" w:eastAsia="Calibri" w:hAnsi="Arial" w:cs="Times New Roman"/>
          <w:sz w:val="20"/>
        </w:rPr>
      </w:pPr>
    </w:p>
    <w:p w14:paraId="4D4465DB" w14:textId="1DA4816A" w:rsidR="0020527C" w:rsidRDefault="0020527C" w:rsidP="00D9225C">
      <w:pPr>
        <w:spacing w:after="0" w:line="240" w:lineRule="auto"/>
        <w:jc w:val="both"/>
        <w:rPr>
          <w:rFonts w:ascii="Arial" w:eastAsia="Calibri" w:hAnsi="Arial" w:cs="Times New Roman"/>
          <w:sz w:val="20"/>
          <w:szCs w:val="20"/>
        </w:rPr>
      </w:pPr>
      <w:r>
        <w:rPr>
          <w:rFonts w:ascii="Arial" w:eastAsia="Calibri" w:hAnsi="Arial" w:cs="Times New Roman"/>
          <w:sz w:val="20"/>
        </w:rPr>
        <w:t xml:space="preserve">Diagram 4: elementi strategije energetskega upravljanja </w:t>
      </w:r>
      <w:r w:rsidRPr="0020527C">
        <w:rPr>
          <w:rFonts w:ascii="Arial" w:eastAsia="Calibri" w:hAnsi="Arial" w:cs="Times New Roman"/>
          <w:sz w:val="20"/>
        </w:rPr>
        <w:t>(prilagoditev za dostopnost)</w:t>
      </w:r>
    </w:p>
    <w:p w14:paraId="0BFED32E" w14:textId="77777777" w:rsidR="007738C4" w:rsidRDefault="007738C4" w:rsidP="007738C4">
      <w:pPr>
        <w:spacing w:after="0" w:line="240" w:lineRule="auto"/>
        <w:jc w:val="both"/>
        <w:rPr>
          <w:rFonts w:ascii="Arial" w:eastAsia="Calibri" w:hAnsi="Arial" w:cs="Times New Roman"/>
          <w:sz w:val="20"/>
          <w:szCs w:val="20"/>
        </w:rPr>
      </w:pPr>
    </w:p>
    <w:p w14:paraId="47287D96" w14:textId="6D41AFB6" w:rsidR="007738C4" w:rsidRPr="007738C4" w:rsidRDefault="007738C4" w:rsidP="007738C4">
      <w:pPr>
        <w:spacing w:after="0" w:line="240" w:lineRule="auto"/>
        <w:jc w:val="both"/>
        <w:rPr>
          <w:rFonts w:ascii="Arial" w:eastAsia="Calibri" w:hAnsi="Arial" w:cs="Times New Roman"/>
          <w:sz w:val="20"/>
          <w:szCs w:val="20"/>
        </w:rPr>
      </w:pPr>
      <w:r w:rsidRPr="007738C4">
        <w:rPr>
          <w:rFonts w:ascii="Arial" w:eastAsia="Calibri" w:hAnsi="Arial" w:cs="Times New Roman"/>
          <w:sz w:val="20"/>
          <w:szCs w:val="20"/>
        </w:rPr>
        <w:t xml:space="preserve">Strategija energetskega upravljanja: </w:t>
      </w:r>
    </w:p>
    <w:p w14:paraId="7766B935" w14:textId="3963F265" w:rsidR="007738C4" w:rsidRPr="007738C4" w:rsidRDefault="007738C4" w:rsidP="007738C4">
      <w:pPr>
        <w:pStyle w:val="Odstavekseznama"/>
        <w:numPr>
          <w:ilvl w:val="0"/>
          <w:numId w:val="33"/>
        </w:numPr>
        <w:spacing w:after="0" w:line="240" w:lineRule="auto"/>
        <w:jc w:val="both"/>
        <w:rPr>
          <w:rFonts w:ascii="Arial" w:eastAsia="Calibri" w:hAnsi="Arial" w:cs="Times New Roman"/>
          <w:sz w:val="20"/>
          <w:szCs w:val="20"/>
        </w:rPr>
      </w:pPr>
      <w:r w:rsidRPr="007738C4">
        <w:rPr>
          <w:rFonts w:ascii="Arial" w:eastAsia="Calibri" w:hAnsi="Arial" w:cs="Times New Roman"/>
          <w:sz w:val="20"/>
          <w:szCs w:val="20"/>
        </w:rPr>
        <w:t>Merjenje obstoječe stopnje porabe naprave</w:t>
      </w:r>
    </w:p>
    <w:p w14:paraId="3ADC1EAA" w14:textId="6C0EF633" w:rsidR="007738C4" w:rsidRPr="007738C4" w:rsidRDefault="007738C4" w:rsidP="007738C4">
      <w:pPr>
        <w:pStyle w:val="Odstavekseznama"/>
        <w:numPr>
          <w:ilvl w:val="0"/>
          <w:numId w:val="33"/>
        </w:numPr>
        <w:spacing w:after="0" w:line="240" w:lineRule="auto"/>
        <w:jc w:val="both"/>
        <w:rPr>
          <w:rFonts w:ascii="Arial" w:eastAsia="Calibri" w:hAnsi="Arial" w:cs="Times New Roman"/>
          <w:sz w:val="20"/>
          <w:szCs w:val="20"/>
        </w:rPr>
      </w:pPr>
      <w:r w:rsidRPr="007738C4">
        <w:rPr>
          <w:rFonts w:ascii="Arial" w:eastAsia="Calibri" w:hAnsi="Arial" w:cs="Times New Roman"/>
          <w:sz w:val="20"/>
          <w:szCs w:val="20"/>
        </w:rPr>
        <w:t>I</w:t>
      </w:r>
      <w:r w:rsidRPr="007738C4">
        <w:rPr>
          <w:rFonts w:ascii="Arial" w:eastAsia="Calibri" w:hAnsi="Arial" w:cs="Times New Roman"/>
          <w:sz w:val="20"/>
          <w:szCs w:val="20"/>
        </w:rPr>
        <w:t>dentifikacija načinov za zmanjšanje porabe energije</w:t>
      </w:r>
    </w:p>
    <w:p w14:paraId="299135B4" w14:textId="6C17EC57" w:rsidR="007738C4" w:rsidRPr="007738C4" w:rsidRDefault="007738C4" w:rsidP="007738C4">
      <w:pPr>
        <w:pStyle w:val="Odstavekseznama"/>
        <w:numPr>
          <w:ilvl w:val="0"/>
          <w:numId w:val="33"/>
        </w:numPr>
        <w:spacing w:after="0" w:line="240" w:lineRule="auto"/>
        <w:jc w:val="both"/>
        <w:rPr>
          <w:rFonts w:ascii="Arial" w:eastAsia="Calibri" w:hAnsi="Arial" w:cs="Times New Roman"/>
          <w:sz w:val="20"/>
          <w:szCs w:val="20"/>
        </w:rPr>
      </w:pPr>
      <w:r w:rsidRPr="007738C4">
        <w:rPr>
          <w:rFonts w:ascii="Arial" w:eastAsia="Calibri" w:hAnsi="Arial" w:cs="Times New Roman"/>
          <w:sz w:val="20"/>
          <w:szCs w:val="20"/>
        </w:rPr>
        <w:t>Upoštevanje upravljanja  sredstev pri energetskem upravljanju</w:t>
      </w:r>
    </w:p>
    <w:p w14:paraId="42C5FAFB" w14:textId="11C43EF3" w:rsidR="007738C4" w:rsidRPr="007738C4" w:rsidRDefault="007738C4" w:rsidP="007738C4">
      <w:pPr>
        <w:pStyle w:val="Odstavekseznama"/>
        <w:numPr>
          <w:ilvl w:val="0"/>
          <w:numId w:val="33"/>
        </w:numPr>
        <w:spacing w:after="0" w:line="240" w:lineRule="auto"/>
        <w:jc w:val="both"/>
        <w:rPr>
          <w:rFonts w:ascii="Arial" w:eastAsia="Calibri" w:hAnsi="Arial" w:cs="Times New Roman"/>
          <w:sz w:val="20"/>
          <w:szCs w:val="20"/>
        </w:rPr>
      </w:pPr>
      <w:r w:rsidRPr="007738C4">
        <w:rPr>
          <w:rFonts w:ascii="Arial" w:eastAsia="Calibri" w:hAnsi="Arial" w:cs="Times New Roman"/>
          <w:sz w:val="20"/>
          <w:szCs w:val="20"/>
        </w:rPr>
        <w:t>implementacija načinov zmanjšanja porabe energije</w:t>
      </w:r>
    </w:p>
    <w:p w14:paraId="403A38B0" w14:textId="7F714C03" w:rsidR="007738C4" w:rsidRPr="007738C4" w:rsidRDefault="007738C4" w:rsidP="007738C4">
      <w:pPr>
        <w:pStyle w:val="Odstavekseznama"/>
        <w:numPr>
          <w:ilvl w:val="0"/>
          <w:numId w:val="33"/>
        </w:numPr>
        <w:spacing w:after="0" w:line="240" w:lineRule="auto"/>
        <w:jc w:val="both"/>
        <w:rPr>
          <w:rFonts w:ascii="Arial" w:eastAsia="Calibri" w:hAnsi="Arial" w:cs="Times New Roman"/>
          <w:sz w:val="20"/>
          <w:szCs w:val="20"/>
        </w:rPr>
      </w:pPr>
      <w:r w:rsidRPr="007738C4">
        <w:rPr>
          <w:rFonts w:ascii="Arial" w:eastAsia="Calibri" w:hAnsi="Arial" w:cs="Times New Roman"/>
          <w:sz w:val="20"/>
          <w:szCs w:val="20"/>
        </w:rPr>
        <w:t>Izobraževanje deležnikov, vključno z upravljalci naprav in odločevalci</w:t>
      </w:r>
    </w:p>
    <w:p w14:paraId="06ED35B8" w14:textId="762B8C63" w:rsidR="005541D9" w:rsidRPr="007738C4" w:rsidRDefault="007738C4" w:rsidP="007738C4">
      <w:pPr>
        <w:pStyle w:val="Odstavekseznama"/>
        <w:numPr>
          <w:ilvl w:val="0"/>
          <w:numId w:val="33"/>
        </w:numPr>
        <w:spacing w:after="0" w:line="240" w:lineRule="auto"/>
        <w:jc w:val="both"/>
        <w:rPr>
          <w:rFonts w:ascii="Arial" w:eastAsia="Calibri" w:hAnsi="Arial" w:cs="Times New Roman"/>
          <w:sz w:val="20"/>
          <w:szCs w:val="20"/>
        </w:rPr>
      </w:pPr>
      <w:r w:rsidRPr="007738C4">
        <w:rPr>
          <w:rFonts w:ascii="Arial" w:eastAsia="Calibri" w:hAnsi="Arial" w:cs="Times New Roman"/>
          <w:sz w:val="20"/>
          <w:szCs w:val="20"/>
        </w:rPr>
        <w:t>Evidentiranje dosežkov kot usmeritev za nadaljnje aktivnosti</w:t>
      </w:r>
    </w:p>
    <w:p w14:paraId="553297E1" w14:textId="0E3EB9A1" w:rsidR="005541D9" w:rsidRDefault="005541D9" w:rsidP="00D9225C">
      <w:pPr>
        <w:spacing w:after="0" w:line="240" w:lineRule="auto"/>
        <w:jc w:val="both"/>
        <w:rPr>
          <w:rFonts w:ascii="Arial" w:eastAsia="Calibri" w:hAnsi="Arial" w:cs="Times New Roman"/>
          <w:sz w:val="20"/>
          <w:szCs w:val="20"/>
        </w:rPr>
      </w:pPr>
    </w:p>
    <w:p w14:paraId="10F969E2" w14:textId="77777777" w:rsidR="00F7069A" w:rsidRDefault="00F7069A" w:rsidP="00D9225C">
      <w:pPr>
        <w:spacing w:after="0" w:line="240" w:lineRule="auto"/>
        <w:jc w:val="both"/>
        <w:rPr>
          <w:rFonts w:ascii="Arial" w:eastAsia="Calibri" w:hAnsi="Arial" w:cs="Times New Roman"/>
          <w:sz w:val="20"/>
          <w:szCs w:val="20"/>
        </w:rPr>
      </w:pPr>
    </w:p>
    <w:p w14:paraId="4B5FC018" w14:textId="77777777" w:rsidR="005541D9" w:rsidRDefault="005F21FE" w:rsidP="00D9225C">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Koristi strateškega energetskega upravljanja izhajajo iz: </w:t>
      </w:r>
    </w:p>
    <w:p w14:paraId="33592D04" w14:textId="77777777" w:rsidR="00F25D1B" w:rsidRDefault="00F25D1B" w:rsidP="003445EF">
      <w:pPr>
        <w:pStyle w:val="Odstavekseznama"/>
        <w:numPr>
          <w:ilvl w:val="0"/>
          <w:numId w:val="13"/>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zavezanosti podjetja in vodstva, da pristopi k povečanju učinkovitosti pri porabi energije, </w:t>
      </w:r>
    </w:p>
    <w:p w14:paraId="7F20B330" w14:textId="77777777" w:rsidR="00F25D1B" w:rsidRDefault="00F25D1B" w:rsidP="003445EF">
      <w:pPr>
        <w:pStyle w:val="Odstavekseznama"/>
        <w:numPr>
          <w:ilvl w:val="0"/>
          <w:numId w:val="13"/>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razumevanja podjetja in vodstva o nujnosti optimizacije porabe energije, </w:t>
      </w:r>
    </w:p>
    <w:p w14:paraId="2487363E" w14:textId="77777777" w:rsidR="00F25D1B" w:rsidRDefault="00F25D1B" w:rsidP="003445EF">
      <w:pPr>
        <w:pStyle w:val="Odstavekseznama"/>
        <w:numPr>
          <w:ilvl w:val="0"/>
          <w:numId w:val="13"/>
        </w:numPr>
        <w:spacing w:after="0" w:line="240" w:lineRule="auto"/>
        <w:jc w:val="both"/>
        <w:rPr>
          <w:rFonts w:ascii="Arial" w:eastAsia="Calibri" w:hAnsi="Arial" w:cs="Times New Roman"/>
          <w:sz w:val="20"/>
          <w:szCs w:val="20"/>
        </w:rPr>
      </w:pPr>
      <w:r>
        <w:rPr>
          <w:rFonts w:ascii="Arial" w:eastAsia="Calibri" w:hAnsi="Arial" w:cs="Times New Roman"/>
          <w:sz w:val="20"/>
          <w:szCs w:val="20"/>
        </w:rPr>
        <w:t>vključevanje energetskega upravljanja v načrtovanje, organizacijo in izvajanje poslovnih procesov,</w:t>
      </w:r>
    </w:p>
    <w:p w14:paraId="7238C176" w14:textId="77777777" w:rsidR="00F25D1B" w:rsidRPr="00F25D1B" w:rsidRDefault="00F25D1B" w:rsidP="003445EF">
      <w:pPr>
        <w:pStyle w:val="Odstavekseznama"/>
        <w:numPr>
          <w:ilvl w:val="0"/>
          <w:numId w:val="13"/>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preverjanje, spremljanje in poročanje </w:t>
      </w:r>
    </w:p>
    <w:p w14:paraId="0662BD03" w14:textId="77777777" w:rsidR="005541D9" w:rsidRDefault="005541D9" w:rsidP="00D9225C">
      <w:pPr>
        <w:spacing w:after="0" w:line="240" w:lineRule="auto"/>
        <w:jc w:val="both"/>
        <w:rPr>
          <w:rFonts w:ascii="Arial" w:eastAsia="Calibri" w:hAnsi="Arial" w:cs="Times New Roman"/>
          <w:sz w:val="20"/>
          <w:szCs w:val="20"/>
        </w:rPr>
      </w:pPr>
    </w:p>
    <w:p w14:paraId="14F9DA5C" w14:textId="03BE7A35" w:rsidR="00F7069A" w:rsidRDefault="00F7069A" w:rsidP="00F7069A">
      <w:pPr>
        <w:spacing w:after="0" w:line="240" w:lineRule="auto"/>
        <w:contextualSpacing/>
        <w:jc w:val="both"/>
        <w:rPr>
          <w:rFonts w:ascii="Arial" w:eastAsia="Calibri" w:hAnsi="Arial" w:cs="Times New Roman"/>
          <w:sz w:val="20"/>
          <w:szCs w:val="20"/>
        </w:rPr>
      </w:pPr>
      <w:r>
        <w:rPr>
          <w:rFonts w:ascii="Arial" w:eastAsia="Calibri" w:hAnsi="Arial" w:cs="Times New Roman"/>
          <w:sz w:val="20"/>
          <w:szCs w:val="20"/>
        </w:rPr>
        <w:t>Podjetja se bodo s tem, ko bodo pristopila k sistemski rešitvi uravnavanja ponudbe in povpraševanja na trgu skozi platformo oziroma tržnico za obnovljive vire energije in prilagodila svoje procese zahtevam učinkovite rabe energije, prispevala tudi k izboljšanju energetskega upravljanja v podjetjih. Poleg podpornih finančnih mehanizmov je to dodatna spodbuda za doseganje večje energetske učinkovitosti v podjetjih</w:t>
      </w:r>
      <w:r w:rsidR="009871B8">
        <w:rPr>
          <w:rFonts w:ascii="Arial" w:eastAsia="Calibri" w:hAnsi="Arial" w:cs="Times New Roman"/>
          <w:sz w:val="20"/>
          <w:szCs w:val="20"/>
        </w:rPr>
        <w:t xml:space="preserve">. </w:t>
      </w:r>
      <w:r w:rsidR="00266DC7">
        <w:rPr>
          <w:rFonts w:ascii="Arial" w:eastAsia="Calibri" w:hAnsi="Arial" w:cs="Times New Roman"/>
          <w:sz w:val="20"/>
          <w:szCs w:val="20"/>
        </w:rPr>
        <w:t xml:space="preserve">Z vidika internih koristi za podjetja so pomembne naslednje:  </w:t>
      </w:r>
    </w:p>
    <w:p w14:paraId="3D62EDBD" w14:textId="0E98E7F6" w:rsidR="0020527C" w:rsidRDefault="0020527C" w:rsidP="00F7069A">
      <w:pPr>
        <w:spacing w:after="0" w:line="240" w:lineRule="auto"/>
        <w:contextualSpacing/>
        <w:jc w:val="both"/>
        <w:rPr>
          <w:rFonts w:ascii="Arial" w:eastAsia="Calibri" w:hAnsi="Arial" w:cs="Times New Roman"/>
          <w:sz w:val="20"/>
          <w:szCs w:val="20"/>
        </w:rPr>
      </w:pPr>
    </w:p>
    <w:p w14:paraId="1B077AF2" w14:textId="4CDD2332" w:rsidR="0020527C" w:rsidRDefault="0020527C" w:rsidP="00F7069A">
      <w:pPr>
        <w:spacing w:after="0" w:line="240" w:lineRule="auto"/>
        <w:contextualSpacing/>
        <w:jc w:val="both"/>
        <w:rPr>
          <w:rFonts w:ascii="Arial" w:eastAsia="Calibri" w:hAnsi="Arial" w:cs="Times New Roman"/>
          <w:sz w:val="20"/>
          <w:szCs w:val="20"/>
        </w:rPr>
      </w:pPr>
      <w:r>
        <w:rPr>
          <w:rFonts w:ascii="Arial" w:eastAsia="Calibri" w:hAnsi="Arial" w:cs="Times New Roman"/>
          <w:sz w:val="20"/>
          <w:szCs w:val="20"/>
        </w:rPr>
        <w:t xml:space="preserve">Diagram 5: Koristi energetskega upravljanja za podjetja </w:t>
      </w:r>
      <w:r w:rsidRPr="0020527C">
        <w:rPr>
          <w:rFonts w:ascii="Arial" w:eastAsia="Calibri" w:hAnsi="Arial" w:cs="Times New Roman"/>
          <w:sz w:val="20"/>
          <w:szCs w:val="20"/>
        </w:rPr>
        <w:t>(prilagoditev za dostopnost)</w:t>
      </w:r>
    </w:p>
    <w:p w14:paraId="5A9C0111" w14:textId="77777777" w:rsidR="007738C4" w:rsidRPr="00F7069A" w:rsidRDefault="007738C4" w:rsidP="00F7069A">
      <w:pPr>
        <w:spacing w:after="0" w:line="240" w:lineRule="auto"/>
        <w:contextualSpacing/>
        <w:jc w:val="both"/>
        <w:rPr>
          <w:rFonts w:ascii="Arial" w:eastAsia="Calibri" w:hAnsi="Arial" w:cs="Times New Roman"/>
          <w:sz w:val="20"/>
          <w:szCs w:val="20"/>
        </w:rPr>
      </w:pPr>
    </w:p>
    <w:p w14:paraId="1C605AA9" w14:textId="148FDBBC" w:rsidR="007738C4" w:rsidRPr="007738C4" w:rsidRDefault="007738C4" w:rsidP="007738C4">
      <w:pPr>
        <w:pStyle w:val="Odstavekseznama"/>
        <w:numPr>
          <w:ilvl w:val="0"/>
          <w:numId w:val="33"/>
        </w:numPr>
        <w:spacing w:after="0" w:line="240" w:lineRule="auto"/>
        <w:jc w:val="both"/>
        <w:rPr>
          <w:rFonts w:ascii="Arial" w:eastAsia="Calibri" w:hAnsi="Arial" w:cs="Times New Roman"/>
          <w:sz w:val="20"/>
        </w:rPr>
      </w:pPr>
      <w:r w:rsidRPr="007738C4">
        <w:rPr>
          <w:rFonts w:ascii="Arial" w:eastAsia="Calibri" w:hAnsi="Arial" w:cs="Times New Roman"/>
          <w:sz w:val="20"/>
        </w:rPr>
        <w:t>Razvoj zaposlenih (razvoj znanj in kompetenc delovne sile) in vključevanje zaposlenih v energetsko upravljanje</w:t>
      </w:r>
    </w:p>
    <w:p w14:paraId="3782D498" w14:textId="3B6F43B9" w:rsidR="007738C4" w:rsidRPr="007738C4" w:rsidRDefault="007738C4" w:rsidP="007738C4">
      <w:pPr>
        <w:pStyle w:val="Odstavekseznama"/>
        <w:numPr>
          <w:ilvl w:val="0"/>
          <w:numId w:val="33"/>
        </w:numPr>
        <w:spacing w:after="0" w:line="240" w:lineRule="auto"/>
        <w:jc w:val="both"/>
        <w:rPr>
          <w:rFonts w:ascii="Arial" w:eastAsia="Calibri" w:hAnsi="Arial" w:cs="Times New Roman"/>
          <w:sz w:val="20"/>
        </w:rPr>
      </w:pPr>
      <w:r w:rsidRPr="007738C4">
        <w:rPr>
          <w:rFonts w:ascii="Arial" w:eastAsia="Calibri" w:hAnsi="Arial" w:cs="Times New Roman"/>
          <w:sz w:val="20"/>
        </w:rPr>
        <w:t>Znižanje operativnih stroškov</w:t>
      </w:r>
    </w:p>
    <w:p w14:paraId="3122A4D6" w14:textId="52EE797A" w:rsidR="007738C4" w:rsidRPr="007738C4" w:rsidRDefault="007738C4" w:rsidP="007738C4">
      <w:pPr>
        <w:pStyle w:val="Odstavekseznama"/>
        <w:numPr>
          <w:ilvl w:val="0"/>
          <w:numId w:val="33"/>
        </w:numPr>
        <w:spacing w:after="0" w:line="240" w:lineRule="auto"/>
        <w:jc w:val="both"/>
        <w:rPr>
          <w:rFonts w:ascii="Arial" w:eastAsia="Calibri" w:hAnsi="Arial" w:cs="Times New Roman"/>
          <w:sz w:val="20"/>
        </w:rPr>
      </w:pPr>
      <w:r w:rsidRPr="007738C4">
        <w:rPr>
          <w:rFonts w:ascii="Arial" w:eastAsia="Calibri" w:hAnsi="Arial" w:cs="Times New Roman"/>
          <w:sz w:val="20"/>
        </w:rPr>
        <w:t>Pozitivna komunikacija navzven (povečanje ugleda, zavezanost k družbeni odgovornosti, okoljski trajnosti)</w:t>
      </w:r>
    </w:p>
    <w:p w14:paraId="191A6283" w14:textId="1EE66E6F" w:rsidR="007738C4" w:rsidRPr="007738C4" w:rsidRDefault="007738C4" w:rsidP="007738C4">
      <w:pPr>
        <w:pStyle w:val="Odstavekseznama"/>
        <w:numPr>
          <w:ilvl w:val="0"/>
          <w:numId w:val="33"/>
        </w:numPr>
        <w:spacing w:after="0" w:line="240" w:lineRule="auto"/>
        <w:jc w:val="both"/>
        <w:rPr>
          <w:rFonts w:ascii="Arial" w:eastAsia="Calibri" w:hAnsi="Arial" w:cs="Times New Roman"/>
          <w:sz w:val="20"/>
        </w:rPr>
      </w:pPr>
      <w:r w:rsidRPr="007738C4">
        <w:rPr>
          <w:rFonts w:ascii="Arial" w:eastAsia="Calibri" w:hAnsi="Arial" w:cs="Times New Roman"/>
          <w:sz w:val="20"/>
        </w:rPr>
        <w:t>Načrtovanje prihrankov na dolgi rok, kontinuirane izboljšave, povečanje števila projektov z energetskimi prihranki</w:t>
      </w:r>
    </w:p>
    <w:p w14:paraId="2441FAFB" w14:textId="54ED7E0E" w:rsidR="007738C4" w:rsidRPr="007738C4" w:rsidRDefault="007738C4" w:rsidP="007738C4">
      <w:pPr>
        <w:pStyle w:val="Odstavekseznama"/>
        <w:numPr>
          <w:ilvl w:val="0"/>
          <w:numId w:val="33"/>
        </w:numPr>
        <w:spacing w:after="0" w:line="240" w:lineRule="auto"/>
        <w:jc w:val="both"/>
        <w:rPr>
          <w:rFonts w:ascii="Arial" w:eastAsia="Calibri" w:hAnsi="Arial" w:cs="Times New Roman"/>
          <w:sz w:val="20"/>
        </w:rPr>
      </w:pPr>
      <w:r w:rsidRPr="007738C4">
        <w:rPr>
          <w:rFonts w:ascii="Arial" w:eastAsia="Calibri" w:hAnsi="Arial" w:cs="Times New Roman"/>
          <w:sz w:val="20"/>
        </w:rPr>
        <w:t>Konkurenčna prednost, doseganje vodilnega položaja v industriji</w:t>
      </w:r>
    </w:p>
    <w:p w14:paraId="503AACB9" w14:textId="022C39B5" w:rsidR="00F7069A" w:rsidRPr="007738C4" w:rsidRDefault="007738C4" w:rsidP="007738C4">
      <w:pPr>
        <w:pStyle w:val="Odstavekseznama"/>
        <w:numPr>
          <w:ilvl w:val="0"/>
          <w:numId w:val="33"/>
        </w:numPr>
        <w:spacing w:after="0" w:line="240" w:lineRule="auto"/>
        <w:jc w:val="both"/>
        <w:rPr>
          <w:rFonts w:ascii="Arial" w:eastAsia="Calibri" w:hAnsi="Arial" w:cs="Times New Roman"/>
          <w:sz w:val="20"/>
        </w:rPr>
      </w:pPr>
      <w:r w:rsidRPr="007738C4">
        <w:rPr>
          <w:rFonts w:ascii="Arial" w:eastAsia="Calibri" w:hAnsi="Arial" w:cs="Times New Roman"/>
          <w:sz w:val="20"/>
        </w:rPr>
        <w:t>Pozitivni kazalniki za investicije (ROI - donos na investicijo ipd)</w:t>
      </w:r>
    </w:p>
    <w:p w14:paraId="24A7AEA2" w14:textId="77777777" w:rsidR="002026E9" w:rsidRPr="00D9225C" w:rsidRDefault="002026E9" w:rsidP="00F7069A">
      <w:pPr>
        <w:spacing w:after="0" w:line="240" w:lineRule="auto"/>
        <w:contextualSpacing/>
        <w:jc w:val="both"/>
        <w:rPr>
          <w:rFonts w:ascii="Arial" w:eastAsia="Calibri" w:hAnsi="Arial" w:cs="Times New Roman"/>
          <w:sz w:val="20"/>
        </w:rPr>
      </w:pPr>
    </w:p>
    <w:p w14:paraId="4FE34036" w14:textId="77777777" w:rsidR="00A85C99" w:rsidRDefault="00955064" w:rsidP="00F7069A">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Interne koristi merimo s kazalniki energetske uspešnosti (KPI za energijo): </w:t>
      </w:r>
    </w:p>
    <w:p w14:paraId="5C233CC5" w14:textId="77777777" w:rsidR="00955064" w:rsidRDefault="00955064" w:rsidP="003445EF">
      <w:pPr>
        <w:pStyle w:val="Odstavekseznama"/>
        <w:numPr>
          <w:ilvl w:val="0"/>
          <w:numId w:val="14"/>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poraba energije na posamezno napravo/stroj, </w:t>
      </w:r>
    </w:p>
    <w:p w14:paraId="4EDF33A6" w14:textId="77777777" w:rsidR="00955064" w:rsidRDefault="00955064" w:rsidP="003445EF">
      <w:pPr>
        <w:pStyle w:val="Odstavekseznama"/>
        <w:numPr>
          <w:ilvl w:val="0"/>
          <w:numId w:val="14"/>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poraba energije na proizvodno enoto, </w:t>
      </w:r>
    </w:p>
    <w:p w14:paraId="63CD383A" w14:textId="77777777" w:rsidR="00955064" w:rsidRDefault="00955064" w:rsidP="003445EF">
      <w:pPr>
        <w:pStyle w:val="Odstavekseznama"/>
        <w:numPr>
          <w:ilvl w:val="0"/>
          <w:numId w:val="14"/>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poraba energije na časovno enoto, </w:t>
      </w:r>
    </w:p>
    <w:p w14:paraId="52F2E981" w14:textId="77777777" w:rsidR="00955064" w:rsidRDefault="00955064" w:rsidP="003445EF">
      <w:pPr>
        <w:pStyle w:val="Odstavekseznama"/>
        <w:numPr>
          <w:ilvl w:val="0"/>
          <w:numId w:val="14"/>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poraba energije na stroškovni center, </w:t>
      </w:r>
    </w:p>
    <w:p w14:paraId="4BF4CAEF" w14:textId="77777777" w:rsidR="00955064" w:rsidRPr="00955064" w:rsidRDefault="00955064" w:rsidP="003445EF">
      <w:pPr>
        <w:pStyle w:val="Odstavekseznama"/>
        <w:numPr>
          <w:ilvl w:val="0"/>
          <w:numId w:val="14"/>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poraba energije na glavnega kupca. </w:t>
      </w:r>
    </w:p>
    <w:p w14:paraId="091A2133" w14:textId="77777777" w:rsidR="00B577E1" w:rsidRDefault="00B577E1" w:rsidP="00F7069A">
      <w:pPr>
        <w:spacing w:after="0" w:line="240" w:lineRule="auto"/>
        <w:jc w:val="both"/>
        <w:rPr>
          <w:rFonts w:ascii="Arial" w:eastAsia="Calibri" w:hAnsi="Arial" w:cs="Times New Roman"/>
          <w:sz w:val="20"/>
          <w:szCs w:val="20"/>
        </w:rPr>
      </w:pPr>
    </w:p>
    <w:p w14:paraId="4A7843FE" w14:textId="77777777" w:rsidR="00A85C99" w:rsidRDefault="00955064" w:rsidP="00F7069A">
      <w:pPr>
        <w:spacing w:after="0" w:line="240" w:lineRule="auto"/>
        <w:jc w:val="both"/>
        <w:rPr>
          <w:rFonts w:ascii="Arial" w:eastAsia="Calibri" w:hAnsi="Arial" w:cs="Times New Roman"/>
          <w:sz w:val="20"/>
          <w:szCs w:val="20"/>
        </w:rPr>
      </w:pPr>
      <w:r>
        <w:rPr>
          <w:rFonts w:ascii="Arial" w:eastAsia="Calibri" w:hAnsi="Arial" w:cs="Times New Roman"/>
          <w:sz w:val="20"/>
          <w:szCs w:val="20"/>
        </w:rPr>
        <w:t>Eksterni (zunanji) dejavniki so zlasti tisti, ki jih identificiramo v navezavi na deležnike, vire. Zanesljivost dobav in lastnosti distribucijskega sistema, regulatornih okvirov in družbe.</w:t>
      </w:r>
      <w:r w:rsidR="00916535">
        <w:rPr>
          <w:rFonts w:ascii="Arial" w:eastAsia="Calibri" w:hAnsi="Arial" w:cs="Times New Roman"/>
          <w:sz w:val="20"/>
          <w:szCs w:val="20"/>
        </w:rPr>
        <w:t xml:space="preserve"> Opredeljujemo jih skozi dva osnovna sklopa: (1) deležniki in (2) infrastruktura. </w:t>
      </w:r>
      <w:r>
        <w:rPr>
          <w:rFonts w:ascii="Arial" w:eastAsia="Calibri" w:hAnsi="Arial" w:cs="Times New Roman"/>
          <w:sz w:val="20"/>
          <w:szCs w:val="20"/>
        </w:rPr>
        <w:t xml:space="preserve"> </w:t>
      </w:r>
    </w:p>
    <w:p w14:paraId="02D55665" w14:textId="39ED51DB" w:rsidR="00955064" w:rsidRDefault="00955064" w:rsidP="00F7069A">
      <w:pPr>
        <w:spacing w:after="0" w:line="240" w:lineRule="auto"/>
        <w:jc w:val="both"/>
        <w:rPr>
          <w:rFonts w:ascii="Arial" w:eastAsia="Calibri" w:hAnsi="Arial" w:cs="Times New Roman"/>
          <w:sz w:val="20"/>
          <w:szCs w:val="20"/>
        </w:rPr>
      </w:pPr>
    </w:p>
    <w:p w14:paraId="606A1BB1" w14:textId="749F15BF" w:rsidR="0020527C" w:rsidRDefault="0020527C" w:rsidP="00F7069A">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Diagram 6: Dejavniki, ki vplivajo na energetsko učinkovitost </w:t>
      </w:r>
      <w:r w:rsidRPr="0020527C">
        <w:rPr>
          <w:rFonts w:ascii="Arial" w:eastAsia="Calibri" w:hAnsi="Arial" w:cs="Times New Roman"/>
          <w:sz w:val="20"/>
          <w:szCs w:val="20"/>
        </w:rPr>
        <w:t>(prilagoditev za dostopnost)</w:t>
      </w:r>
      <w:r w:rsidR="00066815">
        <w:rPr>
          <w:rFonts w:ascii="Arial" w:eastAsia="Calibri" w:hAnsi="Arial" w:cs="Times New Roman"/>
          <w:sz w:val="20"/>
          <w:szCs w:val="20"/>
        </w:rPr>
        <w:t xml:space="preserve">: </w:t>
      </w:r>
    </w:p>
    <w:p w14:paraId="498ADE3B" w14:textId="77777777" w:rsidR="00066815" w:rsidRDefault="00066815" w:rsidP="00066815">
      <w:pPr>
        <w:pStyle w:val="Odstavekseznama"/>
        <w:numPr>
          <w:ilvl w:val="0"/>
          <w:numId w:val="34"/>
        </w:numPr>
        <w:spacing w:after="0" w:line="240" w:lineRule="auto"/>
        <w:jc w:val="both"/>
        <w:rPr>
          <w:rFonts w:ascii="Arial" w:eastAsia="Calibri" w:hAnsi="Arial" w:cs="Times New Roman"/>
          <w:sz w:val="20"/>
          <w:szCs w:val="20"/>
        </w:rPr>
      </w:pPr>
      <w:r>
        <w:rPr>
          <w:rFonts w:ascii="Arial" w:eastAsia="Calibri" w:hAnsi="Arial" w:cs="Times New Roman"/>
          <w:sz w:val="20"/>
          <w:szCs w:val="20"/>
        </w:rPr>
        <w:t>Deležniki:</w:t>
      </w:r>
    </w:p>
    <w:p w14:paraId="4FC514CB" w14:textId="77777777" w:rsidR="00066815" w:rsidRDefault="00066815" w:rsidP="00066815">
      <w:pPr>
        <w:pStyle w:val="Odstavekseznama"/>
        <w:numPr>
          <w:ilvl w:val="0"/>
          <w:numId w:val="33"/>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Porabniki </w:t>
      </w:r>
    </w:p>
    <w:p w14:paraId="737F7B72" w14:textId="77777777" w:rsidR="00066815" w:rsidRDefault="00066815" w:rsidP="00066815">
      <w:pPr>
        <w:pStyle w:val="Odstavekseznama"/>
        <w:numPr>
          <w:ilvl w:val="0"/>
          <w:numId w:val="33"/>
        </w:numPr>
        <w:spacing w:after="0" w:line="240" w:lineRule="auto"/>
        <w:jc w:val="both"/>
        <w:rPr>
          <w:rFonts w:ascii="Arial" w:eastAsia="Calibri" w:hAnsi="Arial" w:cs="Times New Roman"/>
          <w:sz w:val="20"/>
          <w:szCs w:val="20"/>
        </w:rPr>
      </w:pPr>
      <w:r>
        <w:rPr>
          <w:rFonts w:ascii="Arial" w:eastAsia="Calibri" w:hAnsi="Arial" w:cs="Times New Roman"/>
          <w:sz w:val="20"/>
          <w:szCs w:val="20"/>
        </w:rPr>
        <w:t>Delničarji (lastniki)</w:t>
      </w:r>
    </w:p>
    <w:p w14:paraId="0EFC49F8" w14:textId="77777777" w:rsidR="00066815" w:rsidRDefault="00066815" w:rsidP="00066815">
      <w:pPr>
        <w:pStyle w:val="Odstavekseznama"/>
        <w:numPr>
          <w:ilvl w:val="0"/>
          <w:numId w:val="33"/>
        </w:numPr>
        <w:spacing w:after="0" w:line="240" w:lineRule="auto"/>
        <w:jc w:val="both"/>
        <w:rPr>
          <w:rFonts w:ascii="Arial" w:eastAsia="Calibri" w:hAnsi="Arial" w:cs="Times New Roman"/>
          <w:sz w:val="20"/>
          <w:szCs w:val="20"/>
        </w:rPr>
      </w:pPr>
      <w:r>
        <w:rPr>
          <w:rFonts w:ascii="Arial" w:eastAsia="Calibri" w:hAnsi="Arial" w:cs="Times New Roman"/>
          <w:sz w:val="20"/>
          <w:szCs w:val="20"/>
        </w:rPr>
        <w:t>Država (regulatorni okvir)</w:t>
      </w:r>
    </w:p>
    <w:p w14:paraId="16122372" w14:textId="1FA5A282" w:rsidR="00066815" w:rsidRDefault="00066815" w:rsidP="00066815">
      <w:pPr>
        <w:pStyle w:val="Odstavekseznama"/>
        <w:numPr>
          <w:ilvl w:val="0"/>
          <w:numId w:val="33"/>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Družba </w:t>
      </w:r>
    </w:p>
    <w:p w14:paraId="76B77B0F" w14:textId="1791CFF2" w:rsidR="00066815" w:rsidRDefault="00066815" w:rsidP="00066815">
      <w:pPr>
        <w:pStyle w:val="Odstavekseznama"/>
        <w:numPr>
          <w:ilvl w:val="0"/>
          <w:numId w:val="34"/>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Infrastruktura: </w:t>
      </w:r>
    </w:p>
    <w:p w14:paraId="4FE33ECF" w14:textId="6C82E857" w:rsidR="00066815" w:rsidRDefault="00066815" w:rsidP="00066815">
      <w:pPr>
        <w:pStyle w:val="Odstavekseznama"/>
        <w:numPr>
          <w:ilvl w:val="0"/>
          <w:numId w:val="33"/>
        </w:numPr>
        <w:spacing w:after="0" w:line="240" w:lineRule="auto"/>
        <w:jc w:val="both"/>
        <w:rPr>
          <w:rFonts w:ascii="Arial" w:eastAsia="Calibri" w:hAnsi="Arial" w:cs="Times New Roman"/>
          <w:sz w:val="20"/>
          <w:szCs w:val="20"/>
        </w:rPr>
      </w:pPr>
      <w:r>
        <w:rPr>
          <w:rFonts w:ascii="Arial" w:eastAsia="Calibri" w:hAnsi="Arial" w:cs="Times New Roman"/>
          <w:sz w:val="20"/>
          <w:szCs w:val="20"/>
        </w:rPr>
        <w:t>Splošna raven učinkovitosti</w:t>
      </w:r>
    </w:p>
    <w:p w14:paraId="75184DD5" w14:textId="39167B56" w:rsidR="00066815" w:rsidRDefault="00066815" w:rsidP="00066815">
      <w:pPr>
        <w:pStyle w:val="Odstavekseznama"/>
        <w:numPr>
          <w:ilvl w:val="0"/>
          <w:numId w:val="33"/>
        </w:numPr>
        <w:spacing w:after="0" w:line="240" w:lineRule="auto"/>
        <w:jc w:val="both"/>
        <w:rPr>
          <w:rFonts w:ascii="Arial" w:eastAsia="Calibri" w:hAnsi="Arial" w:cs="Times New Roman"/>
          <w:sz w:val="20"/>
          <w:szCs w:val="20"/>
        </w:rPr>
      </w:pPr>
      <w:r>
        <w:rPr>
          <w:rFonts w:ascii="Arial" w:eastAsia="Calibri" w:hAnsi="Arial" w:cs="Times New Roman"/>
          <w:sz w:val="20"/>
          <w:szCs w:val="20"/>
        </w:rPr>
        <w:t>Razpoložljivost virov (zmanjšanje negotovosti pri dobavi energije)</w:t>
      </w:r>
    </w:p>
    <w:p w14:paraId="1665D4D3" w14:textId="00A98793" w:rsidR="00066815" w:rsidRDefault="00066815" w:rsidP="00066815">
      <w:pPr>
        <w:pStyle w:val="Odstavekseznama"/>
        <w:numPr>
          <w:ilvl w:val="0"/>
          <w:numId w:val="33"/>
        </w:numPr>
        <w:spacing w:after="0" w:line="240" w:lineRule="auto"/>
        <w:jc w:val="both"/>
        <w:rPr>
          <w:rFonts w:ascii="Arial" w:eastAsia="Calibri" w:hAnsi="Arial" w:cs="Times New Roman"/>
          <w:sz w:val="20"/>
          <w:szCs w:val="20"/>
        </w:rPr>
      </w:pPr>
      <w:r>
        <w:rPr>
          <w:rFonts w:ascii="Arial" w:eastAsia="Calibri" w:hAnsi="Arial" w:cs="Times New Roman"/>
          <w:sz w:val="20"/>
          <w:szCs w:val="20"/>
        </w:rPr>
        <w:t>Odvisnost (zmanjšanje odvisnosti, cene)</w:t>
      </w:r>
    </w:p>
    <w:p w14:paraId="02C2CCED" w14:textId="0860736D" w:rsidR="00066815" w:rsidRDefault="00066815" w:rsidP="00066815">
      <w:pPr>
        <w:pStyle w:val="Odstavekseznama"/>
        <w:numPr>
          <w:ilvl w:val="0"/>
          <w:numId w:val="33"/>
        </w:numPr>
        <w:spacing w:after="0" w:line="240" w:lineRule="auto"/>
        <w:jc w:val="both"/>
        <w:rPr>
          <w:rFonts w:ascii="Arial" w:eastAsia="Calibri" w:hAnsi="Arial" w:cs="Times New Roman"/>
          <w:sz w:val="20"/>
          <w:szCs w:val="20"/>
        </w:rPr>
      </w:pPr>
      <w:r>
        <w:rPr>
          <w:rFonts w:ascii="Arial" w:eastAsia="Calibri" w:hAnsi="Arial" w:cs="Times New Roman"/>
          <w:sz w:val="20"/>
          <w:szCs w:val="20"/>
        </w:rPr>
        <w:t>Samozadostnost (povečanje uporabe OVE in ureditev trga)</w:t>
      </w:r>
    </w:p>
    <w:p w14:paraId="52A0327D" w14:textId="77777777" w:rsidR="00066815" w:rsidRPr="00066815" w:rsidRDefault="00066815" w:rsidP="00066815">
      <w:pPr>
        <w:pStyle w:val="Odstavekseznama"/>
        <w:spacing w:after="0" w:line="240" w:lineRule="auto"/>
        <w:jc w:val="both"/>
        <w:rPr>
          <w:rFonts w:ascii="Arial" w:eastAsia="Calibri" w:hAnsi="Arial" w:cs="Times New Roman"/>
          <w:sz w:val="20"/>
          <w:szCs w:val="20"/>
        </w:rPr>
      </w:pPr>
    </w:p>
    <w:p w14:paraId="4D60227A" w14:textId="332546F8" w:rsidR="00955064" w:rsidRDefault="00955064" w:rsidP="00F7069A">
      <w:pPr>
        <w:spacing w:after="0" w:line="240" w:lineRule="auto"/>
        <w:jc w:val="both"/>
        <w:rPr>
          <w:rFonts w:ascii="Arial" w:eastAsia="Calibri" w:hAnsi="Arial" w:cs="Times New Roman"/>
          <w:noProof/>
          <w:sz w:val="20"/>
          <w:szCs w:val="20"/>
          <w:lang w:eastAsia="sl-SI"/>
        </w:rPr>
      </w:pPr>
    </w:p>
    <w:p w14:paraId="382071DC" w14:textId="5D812DFD" w:rsidR="00066815" w:rsidRDefault="00066815" w:rsidP="00F7069A">
      <w:pPr>
        <w:spacing w:after="0" w:line="240" w:lineRule="auto"/>
        <w:jc w:val="both"/>
        <w:rPr>
          <w:rFonts w:ascii="Arial" w:eastAsia="Calibri" w:hAnsi="Arial" w:cs="Times New Roman"/>
          <w:noProof/>
          <w:sz w:val="20"/>
          <w:szCs w:val="20"/>
          <w:lang w:eastAsia="sl-SI"/>
        </w:rPr>
      </w:pPr>
    </w:p>
    <w:p w14:paraId="3FCE1FD2" w14:textId="77777777" w:rsidR="00066815" w:rsidRDefault="00066815" w:rsidP="00F7069A">
      <w:pPr>
        <w:spacing w:after="0" w:line="240" w:lineRule="auto"/>
        <w:jc w:val="both"/>
        <w:rPr>
          <w:rFonts w:ascii="Arial" w:eastAsia="Calibri" w:hAnsi="Arial" w:cs="Times New Roman"/>
          <w:sz w:val="20"/>
          <w:szCs w:val="20"/>
        </w:rPr>
      </w:pPr>
    </w:p>
    <w:p w14:paraId="466AA6AD" w14:textId="047B8FAB" w:rsidR="00236053" w:rsidRDefault="00236053" w:rsidP="00F7069A">
      <w:pPr>
        <w:spacing w:after="0" w:line="240" w:lineRule="auto"/>
        <w:jc w:val="both"/>
        <w:rPr>
          <w:rFonts w:ascii="Arial" w:eastAsia="Calibri" w:hAnsi="Arial" w:cs="Times New Roman"/>
          <w:color w:val="538135" w:themeColor="accent6" w:themeShade="BF"/>
          <w:sz w:val="20"/>
          <w:szCs w:val="20"/>
        </w:rPr>
      </w:pPr>
    </w:p>
    <w:p w14:paraId="134349E6" w14:textId="77777777" w:rsidR="007A59E0" w:rsidRDefault="007A59E0" w:rsidP="00F7069A">
      <w:pPr>
        <w:spacing w:after="0" w:line="240" w:lineRule="auto"/>
        <w:jc w:val="both"/>
        <w:rPr>
          <w:rFonts w:ascii="Arial" w:eastAsia="Calibri" w:hAnsi="Arial" w:cs="Times New Roman"/>
          <w:color w:val="538135" w:themeColor="accent6" w:themeShade="BF"/>
          <w:sz w:val="20"/>
          <w:szCs w:val="20"/>
        </w:rPr>
      </w:pPr>
    </w:p>
    <w:p w14:paraId="7C178E97" w14:textId="00E40399" w:rsidR="00955064" w:rsidRPr="00B7410B" w:rsidRDefault="002B3358" w:rsidP="00A81C05">
      <w:pPr>
        <w:pStyle w:val="Naslov3"/>
        <w:jc w:val="both"/>
        <w:rPr>
          <w:rFonts w:ascii="Arial" w:eastAsia="Calibri" w:hAnsi="Arial" w:cs="Arial"/>
          <w:b/>
          <w:color w:val="70AD47" w:themeColor="accent6"/>
        </w:rPr>
      </w:pPr>
      <w:bookmarkStart w:id="23" w:name="_Toc102741388"/>
      <w:r w:rsidRPr="00B7410B">
        <w:rPr>
          <w:rFonts w:ascii="Arial" w:eastAsia="Calibri" w:hAnsi="Arial" w:cs="Arial"/>
          <w:b/>
          <w:color w:val="70AD47" w:themeColor="accent6"/>
        </w:rPr>
        <w:t>IV.1.3</w:t>
      </w:r>
      <w:r w:rsidR="00B95A72" w:rsidRPr="00B7410B">
        <w:rPr>
          <w:rFonts w:ascii="Arial" w:eastAsia="Calibri" w:hAnsi="Arial" w:cs="Arial"/>
          <w:b/>
          <w:color w:val="70AD47" w:themeColor="accent6"/>
        </w:rPr>
        <w:t>.</w:t>
      </w:r>
      <w:r w:rsidRPr="00B7410B">
        <w:rPr>
          <w:rFonts w:ascii="Arial" w:eastAsia="Calibri" w:hAnsi="Arial" w:cs="Arial"/>
          <w:b/>
          <w:color w:val="70AD47" w:themeColor="accent6"/>
        </w:rPr>
        <w:t>1</w:t>
      </w:r>
      <w:r w:rsidR="00B95A72" w:rsidRPr="00B7410B">
        <w:rPr>
          <w:rFonts w:ascii="Arial" w:eastAsia="Calibri" w:hAnsi="Arial" w:cs="Arial"/>
          <w:b/>
          <w:color w:val="70AD47" w:themeColor="accent6"/>
        </w:rPr>
        <w:t xml:space="preserve">  </w:t>
      </w:r>
      <w:r w:rsidRPr="00B7410B">
        <w:rPr>
          <w:rFonts w:ascii="Arial" w:eastAsia="Calibri" w:hAnsi="Arial" w:cs="Arial"/>
          <w:b/>
          <w:color w:val="70AD47" w:themeColor="accent6"/>
        </w:rPr>
        <w:t>Podatki kot eden najpomembnejših elementov pri pripravi strategije energetskega upravljanja</w:t>
      </w:r>
      <w:bookmarkEnd w:id="23"/>
    </w:p>
    <w:p w14:paraId="2EC639C2" w14:textId="77777777" w:rsidR="004D77DF" w:rsidRDefault="004D77DF" w:rsidP="00F7069A">
      <w:pPr>
        <w:spacing w:after="0" w:line="240" w:lineRule="auto"/>
        <w:jc w:val="both"/>
        <w:rPr>
          <w:rFonts w:ascii="Arial" w:eastAsia="Calibri" w:hAnsi="Arial" w:cs="Times New Roman"/>
          <w:sz w:val="20"/>
          <w:szCs w:val="20"/>
        </w:rPr>
      </w:pPr>
    </w:p>
    <w:p w14:paraId="05A2878B" w14:textId="4DB3FA45" w:rsidR="005578D1" w:rsidRDefault="00B03BC9" w:rsidP="00F7069A">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Podatki in upravljanje s podatki je en od najpomembnejših elementov energetskega upravljanja v podjetjih. Napredne tehnološke rešitve in uporaba naprednih tehnologij, vključno z digitalnimi tehnologijami, zagotavljajo učinkovito ravnanje in upravljanje s podatki za doseganje večje energetske učinkovitosti v podjetjih, pa tudi v skupnostih, ki so neposredno povezane z njimi ter na ravni družbe. </w:t>
      </w:r>
    </w:p>
    <w:p w14:paraId="47369E96" w14:textId="77777777" w:rsidR="005578D1" w:rsidRDefault="005578D1" w:rsidP="00F7069A">
      <w:pPr>
        <w:spacing w:after="0" w:line="240" w:lineRule="auto"/>
        <w:jc w:val="both"/>
        <w:rPr>
          <w:rFonts w:ascii="Arial" w:eastAsia="Calibri" w:hAnsi="Arial" w:cs="Times New Roman"/>
          <w:sz w:val="20"/>
          <w:szCs w:val="20"/>
        </w:rPr>
      </w:pPr>
    </w:p>
    <w:p w14:paraId="4DD13915" w14:textId="4F538956" w:rsidR="007A59E0" w:rsidRPr="00BD2946" w:rsidRDefault="00B03BC9" w:rsidP="007A59E0">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Podatki, ki so relevantni za optimizacijo internih procesov energetskega upravljanja in učinkovito komunikacijo z deležniki, se prikažejo v energetski izkaznici podjetja. Pri tem so relevantni tako podatki, ki izhajajo iz upravljalskih funkcij v podjetju (zbiranje podatkov, analitika, sheme spremljanja oz. monitoringa, poročanje) in omogočajo primerljivost procesov in izboljšave na procesni ravni, kot tudi podatki, ki </w:t>
      </w:r>
      <w:r w:rsidR="005578D1">
        <w:rPr>
          <w:rFonts w:ascii="Arial" w:eastAsia="Calibri" w:hAnsi="Arial" w:cs="Times New Roman"/>
          <w:sz w:val="20"/>
          <w:szCs w:val="20"/>
        </w:rPr>
        <w:t xml:space="preserve">jih je mogoče pridobiti z uporabo naprednih (digitalnih) tehnologij. Osnovni nabor podatkov, ki jih podjetje uporabi za predstavitev energetske učinkovitosti, se opredeli v energetski izkaznici podjetja. </w:t>
      </w:r>
      <w:r w:rsidR="007A59E0" w:rsidRPr="00BD2946">
        <w:rPr>
          <w:rFonts w:ascii="Arial" w:eastAsia="Calibri" w:hAnsi="Arial" w:cs="Times New Roman"/>
          <w:sz w:val="20"/>
          <w:szCs w:val="20"/>
        </w:rPr>
        <w:t>Podatki bodo usklajeni</w:t>
      </w:r>
      <w:r w:rsidR="007A59E0">
        <w:rPr>
          <w:rFonts w:ascii="Arial" w:eastAsia="Calibri" w:hAnsi="Arial" w:cs="Times New Roman"/>
          <w:sz w:val="20"/>
          <w:szCs w:val="20"/>
        </w:rPr>
        <w:t xml:space="preserve"> tudi</w:t>
      </w:r>
      <w:r w:rsidR="007A59E0" w:rsidRPr="00BD2946">
        <w:rPr>
          <w:rFonts w:ascii="Arial" w:eastAsia="Calibri" w:hAnsi="Arial" w:cs="Times New Roman"/>
          <w:sz w:val="20"/>
          <w:szCs w:val="20"/>
        </w:rPr>
        <w:t xml:space="preserve"> s Poročilom o</w:t>
      </w:r>
      <w:r w:rsidR="007A59E0">
        <w:rPr>
          <w:rFonts w:ascii="Arial" w:eastAsia="Calibri" w:hAnsi="Arial" w:cs="Times New Roman"/>
          <w:sz w:val="20"/>
          <w:szCs w:val="20"/>
        </w:rPr>
        <w:t xml:space="preserve"> izvedenem energetskem pregledu</w:t>
      </w:r>
      <w:r w:rsidR="007A59E0">
        <w:rPr>
          <w:rStyle w:val="Sprotnaopomba-sklic"/>
          <w:rFonts w:ascii="Arial" w:eastAsia="Calibri" w:hAnsi="Arial" w:cs="Times New Roman"/>
          <w:sz w:val="20"/>
          <w:szCs w:val="20"/>
        </w:rPr>
        <w:footnoteReference w:id="6"/>
      </w:r>
      <w:r w:rsidR="007A59E0">
        <w:rPr>
          <w:rFonts w:ascii="Arial" w:eastAsia="Calibri" w:hAnsi="Arial" w:cs="Times New Roman"/>
          <w:sz w:val="20"/>
          <w:szCs w:val="20"/>
        </w:rPr>
        <w:t xml:space="preserve">. </w:t>
      </w:r>
    </w:p>
    <w:p w14:paraId="5398E46E" w14:textId="77777777" w:rsidR="002B3358" w:rsidRDefault="002B3358" w:rsidP="00F7069A">
      <w:pPr>
        <w:spacing w:after="0" w:line="240" w:lineRule="auto"/>
        <w:jc w:val="both"/>
        <w:rPr>
          <w:rFonts w:ascii="Arial" w:eastAsia="Calibri" w:hAnsi="Arial" w:cs="Times New Roman"/>
          <w:sz w:val="20"/>
          <w:szCs w:val="20"/>
        </w:rPr>
      </w:pPr>
    </w:p>
    <w:p w14:paraId="301A9F1E" w14:textId="77777777" w:rsidR="0020527C" w:rsidRDefault="003061D1" w:rsidP="00E53E63">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Glede na ravni, na katerih nastajajo podatki, lahko razlikujemo različne plasti (ang. layer) v referenčni arhitekturi tehnološke rešitve, ki omogoča generiranje, uporabo in upravljanje s podatki na navedenih plasteh. </w:t>
      </w:r>
      <w:r w:rsidR="00BC7421">
        <w:rPr>
          <w:rFonts w:ascii="Arial" w:eastAsia="Calibri" w:hAnsi="Arial" w:cs="Times New Roman"/>
          <w:sz w:val="20"/>
          <w:szCs w:val="20"/>
        </w:rPr>
        <w:t>Z vidika vira in uporabe podatkov je plast ključnih storitev (ang. application layer) najpomembnejša plast, z vidika dostopnosti do podatkov pa poda</w:t>
      </w:r>
      <w:r w:rsidR="007A59E0">
        <w:rPr>
          <w:rFonts w:ascii="Arial" w:eastAsia="Calibri" w:hAnsi="Arial" w:cs="Times New Roman"/>
          <w:sz w:val="20"/>
          <w:szCs w:val="20"/>
        </w:rPr>
        <w:t>tkovna plast (anf. data layer).</w:t>
      </w:r>
    </w:p>
    <w:p w14:paraId="28209B00" w14:textId="77777777" w:rsidR="0020527C" w:rsidRDefault="0020527C" w:rsidP="00E53E63">
      <w:pPr>
        <w:spacing w:after="0" w:line="240" w:lineRule="auto"/>
        <w:jc w:val="both"/>
        <w:rPr>
          <w:rFonts w:ascii="Arial" w:eastAsia="Calibri" w:hAnsi="Arial" w:cs="Times New Roman"/>
          <w:sz w:val="20"/>
          <w:szCs w:val="20"/>
        </w:rPr>
      </w:pPr>
    </w:p>
    <w:p w14:paraId="4F3ADFB3" w14:textId="48585787" w:rsidR="00066815" w:rsidRDefault="0020527C" w:rsidP="0020527C">
      <w:pPr>
        <w:spacing w:after="0" w:line="240" w:lineRule="auto"/>
        <w:rPr>
          <w:rFonts w:ascii="Arial" w:eastAsia="Calibri" w:hAnsi="Arial" w:cs="Times New Roman"/>
          <w:sz w:val="20"/>
          <w:szCs w:val="20"/>
        </w:rPr>
      </w:pPr>
      <w:r>
        <w:rPr>
          <w:rFonts w:ascii="Arial" w:eastAsia="Calibri" w:hAnsi="Arial" w:cs="Times New Roman"/>
          <w:sz w:val="20"/>
          <w:szCs w:val="20"/>
        </w:rPr>
        <w:t xml:space="preserve">Slika 1: Podatkovni model </w:t>
      </w:r>
      <w:r w:rsidR="00066815">
        <w:rPr>
          <w:rFonts w:ascii="Arial" w:eastAsia="Calibri" w:hAnsi="Arial" w:cs="Times New Roman"/>
          <w:sz w:val="20"/>
          <w:szCs w:val="20"/>
        </w:rPr>
        <w:t xml:space="preserve">(prilagoditev za dostopnost): </w:t>
      </w:r>
    </w:p>
    <w:p w14:paraId="0022C098" w14:textId="4BA8EFFA" w:rsidR="00066815" w:rsidRDefault="00066815" w:rsidP="00066815">
      <w:pPr>
        <w:pStyle w:val="Odstavekseznama"/>
        <w:numPr>
          <w:ilvl w:val="0"/>
          <w:numId w:val="33"/>
        </w:numPr>
        <w:spacing w:after="0" w:line="240" w:lineRule="auto"/>
        <w:rPr>
          <w:rFonts w:ascii="Arial" w:eastAsia="Calibri" w:hAnsi="Arial" w:cs="Times New Roman"/>
          <w:sz w:val="20"/>
          <w:szCs w:val="20"/>
        </w:rPr>
      </w:pPr>
      <w:r>
        <w:rPr>
          <w:rFonts w:ascii="Arial" w:eastAsia="Calibri" w:hAnsi="Arial" w:cs="Times New Roman"/>
          <w:sz w:val="20"/>
          <w:szCs w:val="20"/>
        </w:rPr>
        <w:t>Plast vizualizacije (iskalniki, spletne strani, mobilne aplikacije, drugo)</w:t>
      </w:r>
    </w:p>
    <w:p w14:paraId="2B0B2995" w14:textId="3910FA77" w:rsidR="00066815" w:rsidRDefault="00066815" w:rsidP="00066815">
      <w:pPr>
        <w:pStyle w:val="Odstavekseznama"/>
        <w:numPr>
          <w:ilvl w:val="0"/>
          <w:numId w:val="33"/>
        </w:numPr>
        <w:spacing w:after="0" w:line="240" w:lineRule="auto"/>
        <w:rPr>
          <w:rFonts w:ascii="Arial" w:eastAsia="Calibri" w:hAnsi="Arial" w:cs="Times New Roman"/>
          <w:sz w:val="20"/>
          <w:szCs w:val="20"/>
        </w:rPr>
      </w:pPr>
      <w:r>
        <w:rPr>
          <w:rFonts w:ascii="Arial" w:eastAsia="Calibri" w:hAnsi="Arial" w:cs="Times New Roman"/>
          <w:sz w:val="20"/>
          <w:szCs w:val="20"/>
        </w:rPr>
        <w:t xml:space="preserve">Plast storitev – ključne storitve: </w:t>
      </w:r>
      <w:r>
        <w:rPr>
          <w:rFonts w:ascii="Arial" w:eastAsia="Calibri" w:hAnsi="Arial" w:cs="Times New Roman"/>
          <w:sz w:val="20"/>
          <w:szCs w:val="20"/>
        </w:rPr>
        <w:t>energetski monitoring, energetsko upravljanje, uporaba in optimizacija energije, orodje za aplikacije</w:t>
      </w:r>
    </w:p>
    <w:p w14:paraId="5BECF12E" w14:textId="3D61BC9C" w:rsidR="00066815" w:rsidRDefault="00066815" w:rsidP="00066815">
      <w:pPr>
        <w:pStyle w:val="Odstavekseznama"/>
        <w:numPr>
          <w:ilvl w:val="0"/>
          <w:numId w:val="33"/>
        </w:numPr>
        <w:spacing w:after="0" w:line="240" w:lineRule="auto"/>
        <w:rPr>
          <w:rFonts w:ascii="Arial" w:eastAsia="Calibri" w:hAnsi="Arial" w:cs="Times New Roman"/>
          <w:sz w:val="20"/>
          <w:szCs w:val="20"/>
        </w:rPr>
      </w:pPr>
      <w:r>
        <w:rPr>
          <w:rFonts w:ascii="Arial" w:eastAsia="Calibri" w:hAnsi="Arial" w:cs="Times New Roman"/>
          <w:sz w:val="20"/>
          <w:szCs w:val="20"/>
        </w:rPr>
        <w:t>Podatkovna plast – pametne pogodbe, zapis protokola, podatki v realnem</w:t>
      </w:r>
      <w:r w:rsidR="005A616B">
        <w:rPr>
          <w:rFonts w:ascii="Arial" w:eastAsia="Calibri" w:hAnsi="Arial" w:cs="Times New Roman"/>
          <w:sz w:val="20"/>
          <w:szCs w:val="20"/>
        </w:rPr>
        <w:t xml:space="preserve"> času (knjižica realnega časa), podatkovna plast (hramba: interni podatki)</w:t>
      </w:r>
      <w:r>
        <w:rPr>
          <w:rFonts w:ascii="Arial" w:eastAsia="Calibri" w:hAnsi="Arial" w:cs="Times New Roman"/>
          <w:sz w:val="20"/>
          <w:szCs w:val="20"/>
        </w:rPr>
        <w:t xml:space="preserve"> </w:t>
      </w:r>
    </w:p>
    <w:p w14:paraId="01985B68" w14:textId="008E572E" w:rsidR="00066815" w:rsidRPr="00066815" w:rsidRDefault="00066815" w:rsidP="00066815">
      <w:pPr>
        <w:pStyle w:val="Odstavekseznama"/>
        <w:numPr>
          <w:ilvl w:val="0"/>
          <w:numId w:val="33"/>
        </w:numPr>
        <w:spacing w:after="0" w:line="240" w:lineRule="auto"/>
        <w:rPr>
          <w:rFonts w:ascii="Arial" w:eastAsia="Calibri" w:hAnsi="Arial" w:cs="Times New Roman"/>
          <w:sz w:val="20"/>
          <w:szCs w:val="20"/>
        </w:rPr>
      </w:pPr>
      <w:r>
        <w:rPr>
          <w:rFonts w:ascii="Arial" w:eastAsia="Calibri" w:hAnsi="Arial" w:cs="Times New Roman"/>
          <w:sz w:val="20"/>
          <w:szCs w:val="20"/>
        </w:rPr>
        <w:t>Plast vmesnika</w:t>
      </w:r>
      <w:r w:rsidR="005A616B">
        <w:rPr>
          <w:rFonts w:ascii="Arial" w:eastAsia="Calibri" w:hAnsi="Arial" w:cs="Times New Roman"/>
          <w:sz w:val="20"/>
          <w:szCs w:val="20"/>
        </w:rPr>
        <w:t xml:space="preserve">: energetske tržnice (platforme), elektrarne (transformatorji), konfiguracija, infrastruktura </w:t>
      </w:r>
    </w:p>
    <w:p w14:paraId="34E54981" w14:textId="77777777" w:rsidR="005A616B" w:rsidRDefault="005A616B" w:rsidP="0020527C">
      <w:pPr>
        <w:spacing w:after="0" w:line="240" w:lineRule="auto"/>
        <w:rPr>
          <w:noProof/>
          <w:lang w:eastAsia="sl-SI"/>
        </w:rPr>
      </w:pPr>
    </w:p>
    <w:p w14:paraId="58C5A5C8" w14:textId="7F9FEA1D" w:rsidR="007B472D" w:rsidRDefault="00BC7421" w:rsidP="0020527C">
      <w:pPr>
        <w:spacing w:after="0" w:line="240" w:lineRule="auto"/>
        <w:rPr>
          <w:rFonts w:ascii="Arial" w:eastAsia="Calibri" w:hAnsi="Arial" w:cs="Times New Roman"/>
          <w:sz w:val="20"/>
          <w:szCs w:val="20"/>
        </w:rPr>
      </w:pPr>
      <w:r>
        <w:rPr>
          <w:rFonts w:ascii="Arial" w:eastAsia="Calibri" w:hAnsi="Arial" w:cs="Times New Roman"/>
          <w:sz w:val="20"/>
          <w:szCs w:val="20"/>
        </w:rPr>
        <w:t>Osnovni podatki, ki sestavljajo energetsko izkaznico podjetja so</w:t>
      </w:r>
      <w:r w:rsidR="00A14F95">
        <w:rPr>
          <w:rFonts w:ascii="Arial" w:eastAsia="Calibri" w:hAnsi="Arial" w:cs="Times New Roman"/>
          <w:sz w:val="20"/>
          <w:szCs w:val="20"/>
        </w:rPr>
        <w:t xml:space="preserve"> </w:t>
      </w:r>
      <w:r w:rsidR="000D21AE">
        <w:rPr>
          <w:rFonts w:ascii="Arial" w:eastAsia="Calibri" w:hAnsi="Arial" w:cs="Times New Roman"/>
          <w:sz w:val="20"/>
          <w:szCs w:val="20"/>
        </w:rPr>
        <w:t>najmanj</w:t>
      </w:r>
      <w:r>
        <w:rPr>
          <w:rFonts w:ascii="Arial" w:eastAsia="Calibri" w:hAnsi="Arial" w:cs="Times New Roman"/>
          <w:sz w:val="20"/>
          <w:szCs w:val="20"/>
        </w:rPr>
        <w:t xml:space="preserve">: </w:t>
      </w:r>
    </w:p>
    <w:p w14:paraId="3175D794" w14:textId="77777777" w:rsidR="00E53E63" w:rsidRDefault="00E53E63" w:rsidP="003445EF">
      <w:pPr>
        <w:pStyle w:val="Odstavekseznama"/>
        <w:numPr>
          <w:ilvl w:val="0"/>
          <w:numId w:val="15"/>
        </w:numPr>
        <w:spacing w:after="0" w:line="240" w:lineRule="auto"/>
        <w:jc w:val="both"/>
        <w:rPr>
          <w:rFonts w:ascii="Arial" w:eastAsia="Calibri" w:hAnsi="Arial" w:cs="Times New Roman"/>
          <w:sz w:val="20"/>
          <w:szCs w:val="20"/>
        </w:rPr>
      </w:pPr>
      <w:r>
        <w:rPr>
          <w:rFonts w:ascii="Arial" w:eastAsia="Calibri" w:hAnsi="Arial" w:cs="Times New Roman"/>
          <w:sz w:val="20"/>
          <w:szCs w:val="20"/>
        </w:rPr>
        <w:t>Naziv (firma) podjetja</w:t>
      </w:r>
    </w:p>
    <w:p w14:paraId="10DC0E27" w14:textId="77777777" w:rsidR="00E53E63" w:rsidRDefault="00E53E63" w:rsidP="003445EF">
      <w:pPr>
        <w:pStyle w:val="Odstavekseznama"/>
        <w:numPr>
          <w:ilvl w:val="0"/>
          <w:numId w:val="15"/>
        </w:numPr>
        <w:spacing w:after="0" w:line="240" w:lineRule="auto"/>
        <w:jc w:val="both"/>
        <w:rPr>
          <w:rFonts w:ascii="Arial" w:eastAsia="Calibri" w:hAnsi="Arial" w:cs="Times New Roman"/>
          <w:sz w:val="20"/>
          <w:szCs w:val="20"/>
        </w:rPr>
      </w:pPr>
      <w:r>
        <w:rPr>
          <w:rFonts w:ascii="Arial" w:eastAsia="Calibri" w:hAnsi="Arial" w:cs="Times New Roman"/>
          <w:sz w:val="20"/>
          <w:szCs w:val="20"/>
        </w:rPr>
        <w:t>Matični podatki podjetja (matična, davčna številka podjetja, šifra standardne klasifikacije dejavnosti)</w:t>
      </w:r>
    </w:p>
    <w:p w14:paraId="6517A949" w14:textId="77777777" w:rsidR="00E53E63" w:rsidRDefault="00E53E63" w:rsidP="003445EF">
      <w:pPr>
        <w:pStyle w:val="Odstavekseznama"/>
        <w:numPr>
          <w:ilvl w:val="0"/>
          <w:numId w:val="15"/>
        </w:numPr>
        <w:spacing w:after="0" w:line="240" w:lineRule="auto"/>
        <w:jc w:val="both"/>
        <w:rPr>
          <w:rFonts w:ascii="Arial" w:eastAsia="Calibri" w:hAnsi="Arial" w:cs="Times New Roman"/>
          <w:sz w:val="20"/>
          <w:szCs w:val="20"/>
        </w:rPr>
      </w:pPr>
      <w:r>
        <w:rPr>
          <w:rFonts w:ascii="Arial" w:eastAsia="Calibri" w:hAnsi="Arial" w:cs="Times New Roman"/>
          <w:sz w:val="20"/>
          <w:szCs w:val="20"/>
        </w:rPr>
        <w:t>Poslovni in finančni podatki (letna poročila, bilance, finančni izkazi, ipd)</w:t>
      </w:r>
    </w:p>
    <w:p w14:paraId="57C63B6C" w14:textId="77777777" w:rsidR="00E53E63" w:rsidRDefault="00E53E63" w:rsidP="003445EF">
      <w:pPr>
        <w:pStyle w:val="Odstavekseznama"/>
        <w:numPr>
          <w:ilvl w:val="0"/>
          <w:numId w:val="15"/>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Informacija o tem, ali je ponudnik ali uporabni električne energije (oziroma jo ponuja ali pridobiva iz tržnice OVE), </w:t>
      </w:r>
    </w:p>
    <w:p w14:paraId="6AE27945" w14:textId="77777777" w:rsidR="00E53E63" w:rsidRDefault="00E53E63" w:rsidP="003445EF">
      <w:pPr>
        <w:pStyle w:val="Odstavekseznama"/>
        <w:numPr>
          <w:ilvl w:val="0"/>
          <w:numId w:val="15"/>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Delež električne energije iz obnovljivih virov energije, </w:t>
      </w:r>
    </w:p>
    <w:p w14:paraId="0D534082" w14:textId="77777777" w:rsidR="00E53E63" w:rsidRDefault="00E53E63" w:rsidP="003445EF">
      <w:pPr>
        <w:pStyle w:val="Odstavekseznama"/>
        <w:numPr>
          <w:ilvl w:val="0"/>
          <w:numId w:val="15"/>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Število naprav, priključenih na električno energijo, </w:t>
      </w:r>
    </w:p>
    <w:p w14:paraId="4DDE7931" w14:textId="77777777" w:rsidR="00E53E63" w:rsidRDefault="00E53E63" w:rsidP="003445EF">
      <w:pPr>
        <w:pStyle w:val="Odstavekseznama"/>
        <w:numPr>
          <w:ilvl w:val="0"/>
          <w:numId w:val="15"/>
        </w:numPr>
        <w:spacing w:after="0" w:line="240" w:lineRule="auto"/>
        <w:jc w:val="both"/>
        <w:rPr>
          <w:rFonts w:ascii="Arial" w:eastAsia="Calibri" w:hAnsi="Arial" w:cs="Times New Roman"/>
          <w:sz w:val="20"/>
          <w:szCs w:val="20"/>
        </w:rPr>
      </w:pPr>
      <w:r>
        <w:rPr>
          <w:rFonts w:ascii="Arial" w:eastAsia="Calibri" w:hAnsi="Arial" w:cs="Times New Roman"/>
          <w:sz w:val="20"/>
          <w:szCs w:val="20"/>
        </w:rPr>
        <w:t>Povprečna poraba glede na napravo/stroj</w:t>
      </w:r>
      <w:r w:rsidR="003C13C3">
        <w:rPr>
          <w:rFonts w:ascii="Arial" w:eastAsia="Calibri" w:hAnsi="Arial" w:cs="Times New Roman"/>
          <w:sz w:val="20"/>
          <w:szCs w:val="20"/>
        </w:rPr>
        <w:t>,</w:t>
      </w:r>
    </w:p>
    <w:p w14:paraId="6ADC2EF4" w14:textId="77777777" w:rsidR="00E53E63" w:rsidRDefault="00E53E63" w:rsidP="003445EF">
      <w:pPr>
        <w:pStyle w:val="Odstavekseznama"/>
        <w:numPr>
          <w:ilvl w:val="0"/>
          <w:numId w:val="15"/>
        </w:numPr>
        <w:spacing w:after="0" w:line="240" w:lineRule="auto"/>
        <w:jc w:val="both"/>
        <w:rPr>
          <w:rFonts w:ascii="Arial" w:eastAsia="Calibri" w:hAnsi="Arial" w:cs="Times New Roman"/>
          <w:sz w:val="20"/>
          <w:szCs w:val="20"/>
        </w:rPr>
      </w:pPr>
      <w:r>
        <w:rPr>
          <w:rFonts w:ascii="Arial" w:eastAsia="Calibri" w:hAnsi="Arial" w:cs="Times New Roman"/>
          <w:sz w:val="20"/>
          <w:szCs w:val="20"/>
        </w:rPr>
        <w:t>Povprečna poraba po posameznih proizvodih/storitvah/kupcih</w:t>
      </w:r>
      <w:r w:rsidR="003C13C3">
        <w:rPr>
          <w:rFonts w:ascii="Arial" w:eastAsia="Calibri" w:hAnsi="Arial" w:cs="Times New Roman"/>
          <w:sz w:val="20"/>
          <w:szCs w:val="20"/>
        </w:rPr>
        <w:t>,</w:t>
      </w:r>
    </w:p>
    <w:p w14:paraId="1C0244E6" w14:textId="77777777" w:rsidR="00E53E63" w:rsidRDefault="00E53E63" w:rsidP="003445EF">
      <w:pPr>
        <w:pStyle w:val="Odstavekseznama"/>
        <w:numPr>
          <w:ilvl w:val="0"/>
          <w:numId w:val="15"/>
        </w:numPr>
        <w:spacing w:after="0" w:line="240" w:lineRule="auto"/>
        <w:jc w:val="both"/>
        <w:rPr>
          <w:rFonts w:ascii="Arial" w:eastAsia="Calibri" w:hAnsi="Arial" w:cs="Times New Roman"/>
          <w:sz w:val="20"/>
          <w:szCs w:val="20"/>
        </w:rPr>
      </w:pPr>
      <w:r>
        <w:rPr>
          <w:rFonts w:ascii="Arial" w:eastAsia="Calibri" w:hAnsi="Arial" w:cs="Times New Roman"/>
          <w:sz w:val="20"/>
          <w:szCs w:val="20"/>
        </w:rPr>
        <w:t>Podatki o izvajanju energetskega upravljanja (iz strategije energetskega upravljanja v podjetjih)</w:t>
      </w:r>
      <w:r w:rsidR="003C13C3">
        <w:rPr>
          <w:rFonts w:ascii="Arial" w:eastAsia="Calibri" w:hAnsi="Arial" w:cs="Times New Roman"/>
          <w:sz w:val="20"/>
          <w:szCs w:val="20"/>
        </w:rPr>
        <w:t>,</w:t>
      </w:r>
    </w:p>
    <w:p w14:paraId="1E19E195" w14:textId="77777777" w:rsidR="00E53E63" w:rsidRDefault="00E53E63" w:rsidP="003445EF">
      <w:pPr>
        <w:pStyle w:val="Odstavekseznama"/>
        <w:numPr>
          <w:ilvl w:val="0"/>
          <w:numId w:val="15"/>
        </w:numPr>
        <w:spacing w:after="0" w:line="240" w:lineRule="auto"/>
        <w:jc w:val="both"/>
        <w:rPr>
          <w:rFonts w:ascii="Arial" w:eastAsia="Calibri" w:hAnsi="Arial" w:cs="Times New Roman"/>
          <w:sz w:val="20"/>
          <w:szCs w:val="20"/>
        </w:rPr>
      </w:pPr>
      <w:r>
        <w:rPr>
          <w:rFonts w:ascii="Arial" w:eastAsia="Calibri" w:hAnsi="Arial" w:cs="Times New Roman"/>
          <w:sz w:val="20"/>
          <w:szCs w:val="20"/>
        </w:rPr>
        <w:t>Podatki o hrambi energije</w:t>
      </w:r>
      <w:r w:rsidR="003C13C3">
        <w:rPr>
          <w:rFonts w:ascii="Arial" w:eastAsia="Calibri" w:hAnsi="Arial" w:cs="Times New Roman"/>
          <w:sz w:val="20"/>
          <w:szCs w:val="20"/>
        </w:rPr>
        <w:t>.</w:t>
      </w:r>
      <w:r>
        <w:rPr>
          <w:rFonts w:ascii="Arial" w:eastAsia="Calibri" w:hAnsi="Arial" w:cs="Times New Roman"/>
          <w:sz w:val="20"/>
          <w:szCs w:val="20"/>
        </w:rPr>
        <w:t xml:space="preserve"> </w:t>
      </w:r>
    </w:p>
    <w:p w14:paraId="61EFC32E" w14:textId="77777777" w:rsidR="00E53E63" w:rsidRDefault="00E53E63" w:rsidP="003445EF">
      <w:pPr>
        <w:pStyle w:val="Odstavekseznama"/>
        <w:numPr>
          <w:ilvl w:val="0"/>
          <w:numId w:val="15"/>
        </w:numPr>
        <w:spacing w:after="0" w:line="240" w:lineRule="auto"/>
        <w:jc w:val="both"/>
        <w:rPr>
          <w:rFonts w:ascii="Arial" w:eastAsia="Calibri" w:hAnsi="Arial" w:cs="Times New Roman"/>
          <w:sz w:val="20"/>
          <w:szCs w:val="20"/>
        </w:rPr>
      </w:pPr>
      <w:r>
        <w:rPr>
          <w:rFonts w:ascii="Arial" w:eastAsia="Calibri" w:hAnsi="Arial" w:cs="Times New Roman"/>
          <w:sz w:val="20"/>
          <w:szCs w:val="20"/>
        </w:rPr>
        <w:t>Podatki o količini ponovno uporabljene v podjetju proizvedene energije</w:t>
      </w:r>
      <w:r w:rsidR="003C13C3">
        <w:rPr>
          <w:rFonts w:ascii="Arial" w:eastAsia="Calibri" w:hAnsi="Arial" w:cs="Times New Roman"/>
          <w:sz w:val="20"/>
          <w:szCs w:val="20"/>
        </w:rPr>
        <w:t>,</w:t>
      </w:r>
    </w:p>
    <w:p w14:paraId="461FA270" w14:textId="77777777" w:rsidR="00D579C0" w:rsidRDefault="00E53E63" w:rsidP="003445EF">
      <w:pPr>
        <w:pStyle w:val="Odstavekseznama"/>
        <w:numPr>
          <w:ilvl w:val="0"/>
          <w:numId w:val="15"/>
        </w:numPr>
        <w:spacing w:after="0" w:line="240" w:lineRule="auto"/>
        <w:jc w:val="both"/>
        <w:rPr>
          <w:rFonts w:ascii="Arial" w:eastAsia="Calibri" w:hAnsi="Arial" w:cs="Times New Roman"/>
          <w:sz w:val="20"/>
          <w:szCs w:val="20"/>
        </w:rPr>
      </w:pPr>
      <w:r>
        <w:rPr>
          <w:rFonts w:ascii="Arial" w:eastAsia="Calibri" w:hAnsi="Arial" w:cs="Times New Roman"/>
          <w:sz w:val="20"/>
          <w:szCs w:val="20"/>
        </w:rPr>
        <w:t>Podatki o količini energije, ki je bila proizvedena v podjetju (iz OVE) in je bila ponujena na trgu</w:t>
      </w:r>
      <w:r w:rsidR="00D579C0">
        <w:rPr>
          <w:rFonts w:ascii="Arial" w:eastAsia="Calibri" w:hAnsi="Arial" w:cs="Times New Roman"/>
          <w:sz w:val="20"/>
          <w:szCs w:val="20"/>
        </w:rPr>
        <w:t xml:space="preserve">, </w:t>
      </w:r>
    </w:p>
    <w:p w14:paraId="46A77DA6" w14:textId="435C6E13" w:rsidR="00E53E63" w:rsidRDefault="00D579C0" w:rsidP="003445EF">
      <w:pPr>
        <w:pStyle w:val="Odstavekseznama"/>
        <w:numPr>
          <w:ilvl w:val="0"/>
          <w:numId w:val="15"/>
        </w:numPr>
        <w:spacing w:after="0" w:line="240" w:lineRule="auto"/>
        <w:jc w:val="both"/>
        <w:rPr>
          <w:rFonts w:ascii="Arial" w:eastAsia="Calibri" w:hAnsi="Arial" w:cs="Times New Roman"/>
          <w:sz w:val="20"/>
          <w:szCs w:val="20"/>
        </w:rPr>
      </w:pPr>
      <w:r>
        <w:rPr>
          <w:rFonts w:ascii="Arial" w:eastAsia="Calibri" w:hAnsi="Arial" w:cs="Times New Roman"/>
          <w:sz w:val="20"/>
          <w:szCs w:val="20"/>
        </w:rPr>
        <w:t>Podatki o »offsetingu«</w:t>
      </w:r>
      <w:r w:rsidR="00B2774C">
        <w:rPr>
          <w:rFonts w:ascii="Arial" w:eastAsia="Calibri" w:hAnsi="Arial" w:cs="Times New Roman"/>
          <w:sz w:val="20"/>
          <w:szCs w:val="20"/>
        </w:rPr>
        <w:t xml:space="preserve"> (izravnavi ogljika)</w:t>
      </w:r>
      <w:r w:rsidR="003C13C3">
        <w:rPr>
          <w:rFonts w:ascii="Arial" w:eastAsia="Calibri" w:hAnsi="Arial" w:cs="Times New Roman"/>
          <w:sz w:val="20"/>
          <w:szCs w:val="20"/>
        </w:rPr>
        <w:t xml:space="preserve"> </w:t>
      </w:r>
      <w:r w:rsidR="00E53E63">
        <w:rPr>
          <w:rFonts w:ascii="Arial" w:eastAsia="Calibri" w:hAnsi="Arial" w:cs="Times New Roman"/>
          <w:sz w:val="20"/>
          <w:szCs w:val="20"/>
        </w:rPr>
        <w:t xml:space="preserve"> </w:t>
      </w:r>
    </w:p>
    <w:p w14:paraId="4BF7AD50" w14:textId="017FAAAF" w:rsidR="005A616B" w:rsidRDefault="005A616B" w:rsidP="005A616B">
      <w:pPr>
        <w:pStyle w:val="Odstavekseznama"/>
        <w:spacing w:after="0" w:line="240" w:lineRule="auto"/>
        <w:jc w:val="both"/>
        <w:rPr>
          <w:rFonts w:ascii="Arial" w:eastAsia="Calibri" w:hAnsi="Arial" w:cs="Times New Roman"/>
          <w:sz w:val="20"/>
          <w:szCs w:val="20"/>
        </w:rPr>
      </w:pPr>
    </w:p>
    <w:p w14:paraId="19C3A922" w14:textId="09AA2181" w:rsidR="005A616B" w:rsidRDefault="005A616B" w:rsidP="005A616B">
      <w:pPr>
        <w:pStyle w:val="Odstavekseznama"/>
        <w:spacing w:after="0" w:line="240" w:lineRule="auto"/>
        <w:jc w:val="both"/>
        <w:rPr>
          <w:rFonts w:ascii="Arial" w:eastAsia="Calibri" w:hAnsi="Arial" w:cs="Times New Roman"/>
          <w:sz w:val="20"/>
          <w:szCs w:val="20"/>
        </w:rPr>
      </w:pPr>
    </w:p>
    <w:p w14:paraId="5ED4050A" w14:textId="77777777" w:rsidR="005A616B" w:rsidRDefault="005A616B" w:rsidP="005A616B">
      <w:pPr>
        <w:pStyle w:val="Odstavekseznama"/>
        <w:spacing w:after="0" w:line="240" w:lineRule="auto"/>
        <w:jc w:val="both"/>
        <w:rPr>
          <w:rFonts w:ascii="Arial" w:eastAsia="Calibri" w:hAnsi="Arial" w:cs="Times New Roman"/>
          <w:sz w:val="20"/>
          <w:szCs w:val="20"/>
        </w:rPr>
      </w:pPr>
    </w:p>
    <w:p w14:paraId="781E323A" w14:textId="77777777" w:rsidR="002B5124" w:rsidRPr="00D44340" w:rsidRDefault="002B3358" w:rsidP="00A81C05">
      <w:pPr>
        <w:pStyle w:val="Naslov3"/>
        <w:jc w:val="both"/>
        <w:rPr>
          <w:rFonts w:ascii="Arial" w:eastAsia="Calibri" w:hAnsi="Arial" w:cs="Arial"/>
          <w:b/>
          <w:color w:val="70AD47" w:themeColor="accent6"/>
        </w:rPr>
      </w:pPr>
      <w:bookmarkStart w:id="24" w:name="_Toc102741389"/>
      <w:r w:rsidRPr="00D44340">
        <w:rPr>
          <w:rFonts w:ascii="Arial" w:eastAsia="Calibri" w:hAnsi="Arial" w:cs="Arial"/>
          <w:b/>
          <w:color w:val="70AD47" w:themeColor="accent6"/>
        </w:rPr>
        <w:t>IV.1.4</w:t>
      </w:r>
      <w:r w:rsidR="002B5124" w:rsidRPr="00D44340">
        <w:rPr>
          <w:rFonts w:ascii="Arial" w:eastAsia="Calibri" w:hAnsi="Arial" w:cs="Arial"/>
          <w:b/>
          <w:color w:val="70AD47" w:themeColor="accent6"/>
        </w:rPr>
        <w:t xml:space="preserve">. Uporaba naprednih tehnologij s poudarkom na krepitvi </w:t>
      </w:r>
      <w:r w:rsidR="00CD155F" w:rsidRPr="00D44340">
        <w:rPr>
          <w:rFonts w:ascii="Arial" w:eastAsia="Calibri" w:hAnsi="Arial" w:cs="Arial"/>
          <w:b/>
          <w:color w:val="70AD47" w:themeColor="accent6"/>
        </w:rPr>
        <w:t>učinkovitosti energetskega upravljanja</w:t>
      </w:r>
      <w:r w:rsidR="002B5124" w:rsidRPr="00D44340">
        <w:rPr>
          <w:rFonts w:ascii="Arial" w:eastAsia="Calibri" w:hAnsi="Arial" w:cs="Arial"/>
          <w:b/>
          <w:color w:val="70AD47" w:themeColor="accent6"/>
        </w:rPr>
        <w:t xml:space="preserve"> poslovnih procesov</w:t>
      </w:r>
      <w:bookmarkEnd w:id="24"/>
    </w:p>
    <w:p w14:paraId="3979D547" w14:textId="77777777" w:rsidR="00350008" w:rsidRDefault="00350008" w:rsidP="00D9225C">
      <w:pPr>
        <w:spacing w:after="0" w:line="240" w:lineRule="auto"/>
        <w:jc w:val="both"/>
        <w:rPr>
          <w:rFonts w:ascii="Arial" w:eastAsia="Calibri" w:hAnsi="Arial" w:cs="Times New Roman"/>
          <w:sz w:val="20"/>
          <w:szCs w:val="20"/>
        </w:rPr>
      </w:pPr>
    </w:p>
    <w:p w14:paraId="11F7E887" w14:textId="77777777" w:rsidR="00CD155F" w:rsidRDefault="00CD155F" w:rsidP="00D9225C">
      <w:pPr>
        <w:spacing w:after="0" w:line="240" w:lineRule="auto"/>
        <w:jc w:val="both"/>
        <w:rPr>
          <w:rFonts w:ascii="Arial" w:eastAsia="Calibri" w:hAnsi="Arial" w:cs="Times New Roman"/>
          <w:sz w:val="20"/>
        </w:rPr>
      </w:pPr>
      <w:r w:rsidRPr="00CD155F">
        <w:rPr>
          <w:rFonts w:ascii="Arial" w:eastAsia="Calibri" w:hAnsi="Arial" w:cs="Times New Roman"/>
          <w:sz w:val="20"/>
        </w:rPr>
        <w:t xml:space="preserve">Uporabo naprednih (digitalnih) tehnologij </w:t>
      </w:r>
      <w:r>
        <w:rPr>
          <w:rFonts w:ascii="Arial" w:eastAsia="Calibri" w:hAnsi="Arial" w:cs="Times New Roman"/>
          <w:sz w:val="20"/>
        </w:rPr>
        <w:t xml:space="preserve">podjetje načrtuje v svoji poslovni strategiji, katere del je poleg organizacijske tudi tehnološka strategija. Pri tem je še zlasti pomembno, da v okviru tehnoloških ciljev </w:t>
      </w:r>
      <w:r w:rsidR="00D579C0">
        <w:rPr>
          <w:rFonts w:ascii="Arial" w:eastAsia="Calibri" w:hAnsi="Arial" w:cs="Times New Roman"/>
          <w:sz w:val="20"/>
        </w:rPr>
        <w:t xml:space="preserve">in pridobivanja ter integracije tehnologij, opredeli tudi tehnološko sodelovanje in upravljanje tehnologij. </w:t>
      </w:r>
      <w:r w:rsidR="004F6C7E">
        <w:rPr>
          <w:rFonts w:ascii="Arial" w:eastAsia="Calibri" w:hAnsi="Arial" w:cs="Times New Roman"/>
          <w:sz w:val="20"/>
        </w:rPr>
        <w:t>Napredne digitalne tehnologije so opredeljene v Strategiji digitalne transformacije gospodarstva (MGRT, januar 2022</w:t>
      </w:r>
      <w:r w:rsidR="004F6C7E">
        <w:rPr>
          <w:rStyle w:val="Sprotnaopomba-sklic"/>
          <w:rFonts w:ascii="Arial" w:eastAsia="Calibri" w:hAnsi="Arial" w:cs="Times New Roman"/>
          <w:sz w:val="20"/>
        </w:rPr>
        <w:footnoteReference w:id="7"/>
      </w:r>
      <w:r w:rsidR="00A630E7">
        <w:rPr>
          <w:rFonts w:ascii="Arial" w:eastAsia="Calibri" w:hAnsi="Arial" w:cs="Times New Roman"/>
          <w:sz w:val="20"/>
        </w:rPr>
        <w:t xml:space="preserve">), v splošnem pa o naprednih digitalnih tehnologijah govorimo v primeru interneta stvari ali industrijskega interneta stvari, podatkovnih infrastrukturah in storitvah, umetni inteligenci, tehnologiji distribuiranih zapisov oziroma tehnologiji veriženja blokov. </w:t>
      </w:r>
    </w:p>
    <w:p w14:paraId="6EA02D73" w14:textId="77777777" w:rsidR="00D579C0" w:rsidRDefault="00D579C0" w:rsidP="00D9225C">
      <w:pPr>
        <w:spacing w:after="0" w:line="240" w:lineRule="auto"/>
        <w:jc w:val="both"/>
        <w:rPr>
          <w:rFonts w:ascii="Arial" w:eastAsia="Calibri" w:hAnsi="Arial" w:cs="Times New Roman"/>
          <w:sz w:val="20"/>
        </w:rPr>
      </w:pPr>
    </w:p>
    <w:p w14:paraId="11FC8DA4" w14:textId="77777777" w:rsidR="00D579C0" w:rsidRDefault="00D579C0" w:rsidP="00D9225C">
      <w:pPr>
        <w:spacing w:after="0" w:line="240" w:lineRule="auto"/>
        <w:jc w:val="both"/>
        <w:rPr>
          <w:rFonts w:ascii="Arial" w:eastAsia="Calibri" w:hAnsi="Arial" w:cs="Times New Roman"/>
          <w:sz w:val="20"/>
        </w:rPr>
      </w:pPr>
      <w:r>
        <w:rPr>
          <w:rFonts w:ascii="Arial" w:eastAsia="Calibri" w:hAnsi="Arial" w:cs="Times New Roman"/>
          <w:sz w:val="20"/>
        </w:rPr>
        <w:t xml:space="preserve">Napredne digitalne tehnologije povečujejo učinkovitost tehnologij na področju energetske učinkovitosti in prispevajo k zmanjševanju ogljičnega odtisa na način, da z uporabo podatkov, ki jih dobijo v realnem času, omogočijo večjo točnost in natančnost merjenja izpustov, evidentiranje v določeni točki časa in sledljivost energetske porabe, kar pa na drugi strani omogoča razvoj ustreznih kazalnikov, ki jih podjetje lahko spremlja in izboljšuje in s tem povečuje učinkovitost energetskega upravljanja. </w:t>
      </w:r>
      <w:r w:rsidR="004F6C7E">
        <w:rPr>
          <w:rFonts w:ascii="Arial" w:eastAsia="Calibri" w:hAnsi="Arial" w:cs="Times New Roman"/>
          <w:sz w:val="20"/>
        </w:rPr>
        <w:t xml:space="preserve">Z uporabo teh podatkov v energetski izkaznici oziroma e-identiteti podjetja, pa se bo podjetje lahko tudi bolj učinkovito vključilo na trg emisij, bodisi na strani ponudbe ali pa na strani povpraševanja. </w:t>
      </w:r>
      <w:r>
        <w:rPr>
          <w:rFonts w:ascii="Arial" w:eastAsia="Calibri" w:hAnsi="Arial" w:cs="Times New Roman"/>
          <w:sz w:val="20"/>
        </w:rPr>
        <w:t xml:space="preserve"> </w:t>
      </w:r>
    </w:p>
    <w:p w14:paraId="20D27F9B" w14:textId="1E545405" w:rsidR="00FE4BE0" w:rsidRDefault="00FE4BE0" w:rsidP="00D9225C">
      <w:pPr>
        <w:spacing w:after="0" w:line="240" w:lineRule="auto"/>
        <w:jc w:val="both"/>
        <w:rPr>
          <w:rFonts w:ascii="Arial" w:eastAsia="Calibri" w:hAnsi="Arial" w:cs="Times New Roman"/>
          <w:sz w:val="20"/>
        </w:rPr>
      </w:pPr>
    </w:p>
    <w:p w14:paraId="2427FF63" w14:textId="0A155376" w:rsidR="0020527C" w:rsidRDefault="0020527C" w:rsidP="00D9225C">
      <w:pPr>
        <w:spacing w:after="0" w:line="240" w:lineRule="auto"/>
        <w:jc w:val="both"/>
        <w:rPr>
          <w:rFonts w:ascii="Arial" w:eastAsia="Calibri" w:hAnsi="Arial" w:cs="Times New Roman"/>
          <w:sz w:val="20"/>
        </w:rPr>
      </w:pPr>
      <w:r>
        <w:rPr>
          <w:rFonts w:ascii="Arial" w:eastAsia="Calibri" w:hAnsi="Arial" w:cs="Times New Roman"/>
          <w:sz w:val="20"/>
        </w:rPr>
        <w:t xml:space="preserve">Slika 2: Energetsko upravljanje </w:t>
      </w:r>
      <w:r w:rsidRPr="0020527C">
        <w:rPr>
          <w:rFonts w:ascii="Arial" w:eastAsia="Calibri" w:hAnsi="Arial" w:cs="Times New Roman"/>
          <w:sz w:val="20"/>
        </w:rPr>
        <w:t>(prilagoditev za dostopnost)</w:t>
      </w:r>
      <w:r w:rsidR="005A616B">
        <w:rPr>
          <w:rFonts w:ascii="Arial" w:eastAsia="Calibri" w:hAnsi="Arial" w:cs="Times New Roman"/>
          <w:sz w:val="20"/>
        </w:rPr>
        <w:t xml:space="preserve"> – osnovni elementi: </w:t>
      </w:r>
    </w:p>
    <w:p w14:paraId="6F2F8FDC" w14:textId="3442ACAC" w:rsidR="005A616B" w:rsidRDefault="005A616B" w:rsidP="005A616B">
      <w:pPr>
        <w:pStyle w:val="Odstavekseznama"/>
        <w:numPr>
          <w:ilvl w:val="0"/>
          <w:numId w:val="35"/>
        </w:numPr>
        <w:spacing w:after="0" w:line="240" w:lineRule="auto"/>
        <w:jc w:val="both"/>
        <w:rPr>
          <w:rFonts w:ascii="Arial" w:eastAsia="Calibri" w:hAnsi="Arial" w:cs="Times New Roman"/>
          <w:sz w:val="20"/>
        </w:rPr>
      </w:pPr>
      <w:r>
        <w:rPr>
          <w:rFonts w:ascii="Arial" w:eastAsia="Calibri" w:hAnsi="Arial" w:cs="Times New Roman"/>
          <w:sz w:val="20"/>
        </w:rPr>
        <w:t>Poslovna strategija</w:t>
      </w:r>
    </w:p>
    <w:p w14:paraId="7CE7167A" w14:textId="07F6526D" w:rsidR="005A616B" w:rsidRDefault="005A616B" w:rsidP="005A616B">
      <w:pPr>
        <w:pStyle w:val="Odstavekseznama"/>
        <w:numPr>
          <w:ilvl w:val="0"/>
          <w:numId w:val="35"/>
        </w:numPr>
        <w:spacing w:after="0" w:line="240" w:lineRule="auto"/>
        <w:jc w:val="both"/>
        <w:rPr>
          <w:rFonts w:ascii="Arial" w:eastAsia="Calibri" w:hAnsi="Arial" w:cs="Times New Roman"/>
          <w:sz w:val="20"/>
        </w:rPr>
      </w:pPr>
      <w:r>
        <w:rPr>
          <w:rFonts w:ascii="Arial" w:eastAsia="Calibri" w:hAnsi="Arial" w:cs="Times New Roman"/>
          <w:sz w:val="20"/>
        </w:rPr>
        <w:t>Tehnološka strategija (tehnološki cilji, pridobivanje tehnologije : tehnološko sodelovanje, samostojni razvoj)</w:t>
      </w:r>
    </w:p>
    <w:p w14:paraId="0FC4C717" w14:textId="24FCD2E4" w:rsidR="005A616B" w:rsidRPr="005A616B" w:rsidRDefault="005A616B" w:rsidP="005A616B">
      <w:pPr>
        <w:pStyle w:val="Odstavekseznama"/>
        <w:numPr>
          <w:ilvl w:val="0"/>
          <w:numId w:val="35"/>
        </w:numPr>
        <w:spacing w:after="0" w:line="240" w:lineRule="auto"/>
        <w:jc w:val="both"/>
        <w:rPr>
          <w:rFonts w:ascii="Arial" w:eastAsia="Calibri" w:hAnsi="Arial" w:cs="Times New Roman"/>
          <w:sz w:val="20"/>
        </w:rPr>
      </w:pPr>
      <w:r>
        <w:rPr>
          <w:rFonts w:ascii="Arial" w:eastAsia="Calibri" w:hAnsi="Arial" w:cs="Times New Roman"/>
          <w:sz w:val="20"/>
        </w:rPr>
        <w:t>Organizacijska strategija</w:t>
      </w:r>
    </w:p>
    <w:p w14:paraId="46762B89" w14:textId="74F08511" w:rsidR="00D579C0" w:rsidRDefault="00D579C0" w:rsidP="00D9225C">
      <w:pPr>
        <w:spacing w:after="0" w:line="240" w:lineRule="auto"/>
        <w:jc w:val="both"/>
        <w:rPr>
          <w:rFonts w:ascii="Arial" w:eastAsia="Calibri" w:hAnsi="Arial" w:cs="Times New Roman"/>
          <w:sz w:val="20"/>
        </w:rPr>
      </w:pPr>
    </w:p>
    <w:p w14:paraId="3E70F286" w14:textId="77777777" w:rsidR="00FE4BE0" w:rsidRDefault="00FE4BE0" w:rsidP="00E123F1">
      <w:pPr>
        <w:spacing w:after="0" w:line="240" w:lineRule="auto"/>
        <w:jc w:val="both"/>
        <w:rPr>
          <w:rFonts w:ascii="Arial" w:eastAsia="Calibri" w:hAnsi="Arial" w:cs="Times New Roman"/>
          <w:sz w:val="20"/>
        </w:rPr>
      </w:pPr>
    </w:p>
    <w:p w14:paraId="0E14CAA9" w14:textId="77777777" w:rsidR="00A630E7" w:rsidRDefault="00A630E7" w:rsidP="00E123F1">
      <w:pPr>
        <w:spacing w:after="0" w:line="240" w:lineRule="auto"/>
        <w:jc w:val="both"/>
        <w:rPr>
          <w:rFonts w:ascii="Arial" w:eastAsia="Calibri" w:hAnsi="Arial" w:cs="Times New Roman"/>
          <w:sz w:val="20"/>
        </w:rPr>
      </w:pPr>
      <w:r>
        <w:rPr>
          <w:rFonts w:ascii="Arial" w:eastAsia="Calibri" w:hAnsi="Arial" w:cs="Times New Roman"/>
          <w:sz w:val="20"/>
        </w:rPr>
        <w:t xml:space="preserve">Energetsko upravljanje </w:t>
      </w:r>
      <w:r w:rsidRPr="00A630E7">
        <w:rPr>
          <w:rFonts w:ascii="Arial" w:eastAsia="Calibri" w:hAnsi="Arial" w:cs="Times New Roman"/>
          <w:sz w:val="20"/>
        </w:rPr>
        <w:t xml:space="preserve">zajema </w:t>
      </w:r>
      <w:r>
        <w:rPr>
          <w:rFonts w:ascii="Arial" w:eastAsia="Calibri" w:hAnsi="Arial" w:cs="Times New Roman"/>
          <w:sz w:val="20"/>
        </w:rPr>
        <w:t xml:space="preserve">tako </w:t>
      </w:r>
      <w:r w:rsidRPr="00A630E7">
        <w:rPr>
          <w:rFonts w:ascii="Arial" w:eastAsia="Calibri" w:hAnsi="Arial" w:cs="Times New Roman"/>
          <w:sz w:val="20"/>
        </w:rPr>
        <w:t>sistematično zbiranje informacij</w:t>
      </w:r>
      <w:r>
        <w:rPr>
          <w:rFonts w:ascii="Arial" w:eastAsia="Calibri" w:hAnsi="Arial" w:cs="Times New Roman"/>
          <w:sz w:val="20"/>
        </w:rPr>
        <w:t xml:space="preserve"> in podatkov</w:t>
      </w:r>
      <w:r w:rsidRPr="00A630E7">
        <w:rPr>
          <w:rFonts w:ascii="Arial" w:eastAsia="Calibri" w:hAnsi="Arial" w:cs="Times New Roman"/>
          <w:sz w:val="20"/>
        </w:rPr>
        <w:t xml:space="preserve"> o rabi in stroških energije, analizo zbranih podatkov, </w:t>
      </w:r>
      <w:r>
        <w:rPr>
          <w:rFonts w:ascii="Arial" w:eastAsia="Calibri" w:hAnsi="Arial" w:cs="Times New Roman"/>
          <w:sz w:val="20"/>
        </w:rPr>
        <w:t xml:space="preserve">kot tudi </w:t>
      </w:r>
      <w:r w:rsidRPr="00A630E7">
        <w:rPr>
          <w:rFonts w:ascii="Arial" w:eastAsia="Calibri" w:hAnsi="Arial" w:cs="Times New Roman"/>
          <w:sz w:val="20"/>
        </w:rPr>
        <w:t>načrtovanje in izvedbo ukrepov učinkovite rabe energije</w:t>
      </w:r>
      <w:r>
        <w:rPr>
          <w:rFonts w:ascii="Arial" w:eastAsia="Calibri" w:hAnsi="Arial" w:cs="Times New Roman"/>
          <w:sz w:val="20"/>
        </w:rPr>
        <w:t xml:space="preserve">, kot na primer:  </w:t>
      </w:r>
    </w:p>
    <w:p w14:paraId="4EAF6FEA" w14:textId="77777777" w:rsidR="00A630E7" w:rsidRDefault="00A630E7" w:rsidP="003445EF">
      <w:pPr>
        <w:pStyle w:val="Odstavekseznama"/>
        <w:numPr>
          <w:ilvl w:val="0"/>
          <w:numId w:val="2"/>
        </w:numPr>
        <w:spacing w:after="0" w:line="240" w:lineRule="auto"/>
        <w:jc w:val="both"/>
        <w:rPr>
          <w:rFonts w:ascii="Arial" w:eastAsia="Calibri" w:hAnsi="Arial" w:cs="Times New Roman"/>
          <w:sz w:val="20"/>
        </w:rPr>
      </w:pPr>
      <w:r w:rsidRPr="00E123F1">
        <w:rPr>
          <w:rFonts w:ascii="Arial" w:eastAsia="Calibri" w:hAnsi="Arial" w:cs="Times New Roman"/>
          <w:sz w:val="20"/>
        </w:rPr>
        <w:t>stalni nadzor rabe energije in stroškov – energetski monitoring</w:t>
      </w:r>
      <w:r>
        <w:rPr>
          <w:rFonts w:ascii="Arial" w:eastAsia="Calibri" w:hAnsi="Arial" w:cs="Times New Roman"/>
          <w:sz w:val="20"/>
        </w:rPr>
        <w:t>,</w:t>
      </w:r>
    </w:p>
    <w:p w14:paraId="3B653887" w14:textId="77777777" w:rsidR="00A630E7" w:rsidRDefault="00A630E7" w:rsidP="003445EF">
      <w:pPr>
        <w:pStyle w:val="Odstavekseznama"/>
        <w:numPr>
          <w:ilvl w:val="0"/>
          <w:numId w:val="2"/>
        </w:numPr>
        <w:spacing w:after="0" w:line="240" w:lineRule="auto"/>
        <w:jc w:val="both"/>
        <w:rPr>
          <w:rFonts w:ascii="Arial" w:eastAsia="Calibri" w:hAnsi="Arial" w:cs="Times New Roman"/>
          <w:sz w:val="20"/>
        </w:rPr>
      </w:pPr>
      <w:r w:rsidRPr="00E123F1">
        <w:rPr>
          <w:rFonts w:ascii="Arial" w:eastAsia="Calibri" w:hAnsi="Arial" w:cs="Times New Roman"/>
          <w:sz w:val="20"/>
        </w:rPr>
        <w:t>izvajanje ukrepov za varčevanje z energijo</w:t>
      </w:r>
      <w:r>
        <w:rPr>
          <w:rFonts w:ascii="Arial" w:eastAsia="Calibri" w:hAnsi="Arial" w:cs="Times New Roman"/>
          <w:sz w:val="20"/>
        </w:rPr>
        <w:t xml:space="preserve">, </w:t>
      </w:r>
    </w:p>
    <w:p w14:paraId="353668B0" w14:textId="77777777" w:rsidR="00A630E7" w:rsidRDefault="00A630E7" w:rsidP="003445EF">
      <w:pPr>
        <w:pStyle w:val="Odstavekseznama"/>
        <w:numPr>
          <w:ilvl w:val="0"/>
          <w:numId w:val="2"/>
        </w:numPr>
        <w:spacing w:after="0" w:line="240" w:lineRule="auto"/>
        <w:jc w:val="both"/>
        <w:rPr>
          <w:rFonts w:ascii="Arial" w:eastAsia="Calibri" w:hAnsi="Arial" w:cs="Times New Roman"/>
          <w:sz w:val="20"/>
        </w:rPr>
      </w:pPr>
      <w:r>
        <w:rPr>
          <w:rFonts w:ascii="Arial" w:eastAsia="Calibri" w:hAnsi="Arial" w:cs="Times New Roman"/>
          <w:sz w:val="20"/>
        </w:rPr>
        <w:t xml:space="preserve">analiza in </w:t>
      </w:r>
      <w:r w:rsidRPr="00E123F1">
        <w:rPr>
          <w:rFonts w:ascii="Arial" w:eastAsia="Calibri" w:hAnsi="Arial" w:cs="Times New Roman"/>
          <w:sz w:val="20"/>
        </w:rPr>
        <w:t>načrtovanje energetskih potreb</w:t>
      </w:r>
      <w:r>
        <w:rPr>
          <w:rFonts w:ascii="Arial" w:eastAsia="Calibri" w:hAnsi="Arial" w:cs="Times New Roman"/>
          <w:sz w:val="20"/>
        </w:rPr>
        <w:t xml:space="preserve"> ter</w:t>
      </w:r>
      <w:r w:rsidRPr="00E123F1">
        <w:rPr>
          <w:rFonts w:ascii="Arial" w:eastAsia="Calibri" w:hAnsi="Arial" w:cs="Times New Roman"/>
          <w:sz w:val="20"/>
        </w:rPr>
        <w:t xml:space="preserve"> organizacijskih in tehnično-investicijskih aktivnosti</w:t>
      </w:r>
      <w:r>
        <w:rPr>
          <w:rFonts w:ascii="Arial" w:eastAsia="Calibri" w:hAnsi="Arial" w:cs="Times New Roman"/>
          <w:sz w:val="20"/>
        </w:rPr>
        <w:t>,</w:t>
      </w:r>
    </w:p>
    <w:p w14:paraId="035AF305" w14:textId="77777777" w:rsidR="00A630E7" w:rsidRDefault="00A630E7" w:rsidP="003445EF">
      <w:pPr>
        <w:pStyle w:val="Odstavekseznama"/>
        <w:numPr>
          <w:ilvl w:val="0"/>
          <w:numId w:val="2"/>
        </w:numPr>
        <w:spacing w:after="0" w:line="240" w:lineRule="auto"/>
        <w:jc w:val="both"/>
        <w:rPr>
          <w:rFonts w:ascii="Arial" w:eastAsia="Calibri" w:hAnsi="Arial" w:cs="Times New Roman"/>
          <w:sz w:val="20"/>
        </w:rPr>
      </w:pPr>
      <w:r w:rsidRPr="00E123F1">
        <w:rPr>
          <w:rFonts w:ascii="Arial" w:eastAsia="Calibri" w:hAnsi="Arial" w:cs="Times New Roman"/>
          <w:sz w:val="20"/>
        </w:rPr>
        <w:t>poročanje o energetski učinkovitosti</w:t>
      </w:r>
      <w:r>
        <w:rPr>
          <w:rFonts w:ascii="Arial" w:eastAsia="Calibri" w:hAnsi="Arial" w:cs="Times New Roman"/>
          <w:sz w:val="20"/>
        </w:rPr>
        <w:t>,</w:t>
      </w:r>
      <w:r w:rsidRPr="00E123F1">
        <w:rPr>
          <w:rFonts w:ascii="Arial" w:eastAsia="Calibri" w:hAnsi="Arial" w:cs="Times New Roman"/>
          <w:sz w:val="20"/>
        </w:rPr>
        <w:t xml:space="preserve"> </w:t>
      </w:r>
    </w:p>
    <w:p w14:paraId="5329BA71" w14:textId="77777777" w:rsidR="00A630E7" w:rsidRDefault="00A630E7" w:rsidP="003445EF">
      <w:pPr>
        <w:pStyle w:val="Odstavekseznama"/>
        <w:numPr>
          <w:ilvl w:val="0"/>
          <w:numId w:val="2"/>
        </w:numPr>
        <w:spacing w:after="0" w:line="240" w:lineRule="auto"/>
        <w:jc w:val="both"/>
        <w:rPr>
          <w:rFonts w:ascii="Arial" w:eastAsia="Calibri" w:hAnsi="Arial" w:cs="Times New Roman"/>
          <w:sz w:val="20"/>
        </w:rPr>
      </w:pPr>
      <w:r w:rsidRPr="00E123F1">
        <w:rPr>
          <w:rFonts w:ascii="Arial" w:eastAsia="Calibri" w:hAnsi="Arial" w:cs="Times New Roman"/>
          <w:sz w:val="20"/>
        </w:rPr>
        <w:t>izvajanje energetskega knjigovodstva</w:t>
      </w:r>
      <w:r>
        <w:rPr>
          <w:rFonts w:ascii="Arial" w:eastAsia="Calibri" w:hAnsi="Arial" w:cs="Times New Roman"/>
          <w:sz w:val="20"/>
        </w:rPr>
        <w:t xml:space="preserve">, </w:t>
      </w:r>
    </w:p>
    <w:p w14:paraId="02E260AA" w14:textId="77777777" w:rsidR="00A630E7" w:rsidRDefault="00A630E7" w:rsidP="003445EF">
      <w:pPr>
        <w:pStyle w:val="Odstavekseznama"/>
        <w:numPr>
          <w:ilvl w:val="0"/>
          <w:numId w:val="2"/>
        </w:numPr>
        <w:spacing w:after="0" w:line="240" w:lineRule="auto"/>
        <w:jc w:val="both"/>
        <w:rPr>
          <w:rFonts w:ascii="Arial" w:eastAsia="Calibri" w:hAnsi="Arial" w:cs="Times New Roman"/>
          <w:sz w:val="20"/>
        </w:rPr>
      </w:pPr>
      <w:r w:rsidRPr="00E123F1">
        <w:rPr>
          <w:rFonts w:ascii="Arial" w:eastAsia="Calibri" w:hAnsi="Arial" w:cs="Times New Roman"/>
          <w:sz w:val="20"/>
        </w:rPr>
        <w:t>izvajanje ozaveščevalnih aktivnosti</w:t>
      </w:r>
      <w:r>
        <w:rPr>
          <w:rFonts w:ascii="Arial" w:eastAsia="Calibri" w:hAnsi="Arial" w:cs="Times New Roman"/>
          <w:sz w:val="20"/>
        </w:rPr>
        <w:t xml:space="preserve"> ter krepitev znanja in kompetenc v podjetjih. </w:t>
      </w:r>
    </w:p>
    <w:p w14:paraId="41A3048B" w14:textId="77777777" w:rsidR="00FE4BE0" w:rsidRDefault="00FE4BE0" w:rsidP="00FE4BE0">
      <w:pPr>
        <w:spacing w:after="0" w:line="240" w:lineRule="auto"/>
        <w:jc w:val="both"/>
        <w:rPr>
          <w:rFonts w:ascii="Arial" w:eastAsia="Calibri" w:hAnsi="Arial" w:cs="Times New Roman"/>
          <w:sz w:val="20"/>
        </w:rPr>
      </w:pPr>
    </w:p>
    <w:p w14:paraId="3E057E8C" w14:textId="35194F2E" w:rsidR="00FE4BE0" w:rsidRDefault="00FE4BE0" w:rsidP="00FE4BE0">
      <w:pPr>
        <w:spacing w:after="0" w:line="240" w:lineRule="auto"/>
        <w:contextualSpacing/>
        <w:jc w:val="both"/>
        <w:rPr>
          <w:rFonts w:ascii="Arial" w:eastAsia="Calibri" w:hAnsi="Arial" w:cs="Times New Roman"/>
          <w:sz w:val="20"/>
        </w:rPr>
      </w:pPr>
      <w:r>
        <w:rPr>
          <w:rFonts w:ascii="Arial" w:eastAsia="Calibri" w:hAnsi="Arial" w:cs="Times New Roman"/>
          <w:sz w:val="20"/>
        </w:rPr>
        <w:t xml:space="preserve">Energetsko upravljanje je mogoče izboljšati z doslednim spremljanjem ključnih kazalnikov uspešnosti in energetske učinkovitosti.  Spremljanje kazalnikov za bolj učinkovito energetsko upravljanje je relevantno tako za podjetja, ki morajo poročati o okoljskih kazalnikih skladno z zakonodajo, kot tudi za podjetja, ki niso zakonsko zavezana za poročanje, ki so večinoma mala in srednje velika podjetja (MSP). </w:t>
      </w:r>
    </w:p>
    <w:p w14:paraId="73D4A64F" w14:textId="77777777" w:rsidR="00FE4BE0" w:rsidRDefault="00FE4BE0" w:rsidP="00FE4BE0">
      <w:pPr>
        <w:spacing w:after="0" w:line="240" w:lineRule="auto"/>
        <w:contextualSpacing/>
        <w:jc w:val="both"/>
        <w:rPr>
          <w:rFonts w:ascii="Arial" w:eastAsia="Calibri" w:hAnsi="Arial" w:cs="Times New Roman"/>
          <w:sz w:val="20"/>
        </w:rPr>
      </w:pPr>
    </w:p>
    <w:p w14:paraId="3FFD22A7" w14:textId="77777777" w:rsidR="00686DDD" w:rsidRDefault="00FE4BE0" w:rsidP="00FE4BE0">
      <w:pPr>
        <w:spacing w:after="0" w:line="240" w:lineRule="auto"/>
        <w:contextualSpacing/>
        <w:jc w:val="both"/>
        <w:rPr>
          <w:rFonts w:ascii="Arial" w:eastAsia="Calibri" w:hAnsi="Arial" w:cs="Times New Roman"/>
          <w:sz w:val="20"/>
        </w:rPr>
      </w:pPr>
      <w:r w:rsidRPr="00A81006">
        <w:rPr>
          <w:rFonts w:ascii="Arial" w:eastAsia="Calibri" w:hAnsi="Arial" w:cs="Times New Roman"/>
          <w:b/>
          <w:sz w:val="20"/>
        </w:rPr>
        <w:t>Namen teh smernic je čim bolj spodbuditi tudi spremljanje porabe energije in zagotavljanje ustreznega energetskega upravljanja tudi pri MSP</w:t>
      </w:r>
      <w:r>
        <w:rPr>
          <w:rFonts w:ascii="Arial" w:eastAsia="Calibri" w:hAnsi="Arial" w:cs="Times New Roman"/>
          <w:sz w:val="20"/>
        </w:rPr>
        <w:t xml:space="preserve">, saj so lahko pomemben člen na strani povpraševanja, še zlasti v primeru, ko gre za oblikovanje cen pri trgovanju z emisijami, pa tudi opredelitvi finančnih instrumentov v primeru trajnostnega financiranja. </w:t>
      </w:r>
    </w:p>
    <w:p w14:paraId="6D27478B" w14:textId="77777777" w:rsidR="00686DDD" w:rsidRDefault="00686DDD" w:rsidP="00FE4BE0">
      <w:pPr>
        <w:spacing w:after="0" w:line="240" w:lineRule="auto"/>
        <w:contextualSpacing/>
        <w:jc w:val="both"/>
        <w:rPr>
          <w:rFonts w:ascii="Arial" w:eastAsia="Calibri" w:hAnsi="Arial" w:cs="Times New Roman"/>
          <w:sz w:val="20"/>
        </w:rPr>
      </w:pPr>
    </w:p>
    <w:p w14:paraId="16F08866" w14:textId="42853199" w:rsidR="00FE4BE0" w:rsidRDefault="00686DDD" w:rsidP="00FE4BE0">
      <w:pPr>
        <w:spacing w:after="0" w:line="240" w:lineRule="auto"/>
        <w:contextualSpacing/>
        <w:jc w:val="both"/>
        <w:rPr>
          <w:rFonts w:ascii="Arial" w:eastAsia="Calibri" w:hAnsi="Arial" w:cs="Times New Roman"/>
          <w:sz w:val="20"/>
        </w:rPr>
      </w:pPr>
      <w:r>
        <w:rPr>
          <w:rFonts w:ascii="Arial" w:eastAsia="Calibri" w:hAnsi="Arial" w:cs="Times New Roman"/>
          <w:sz w:val="20"/>
        </w:rPr>
        <w:t xml:space="preserve">Podrobnejše aktivnosti so predstavljene v Akcijskem načrtu, ki je v Prilogi 1 tega dokumenta. </w:t>
      </w:r>
      <w:r w:rsidR="00FE4BE0">
        <w:rPr>
          <w:rFonts w:ascii="Arial" w:eastAsia="Calibri" w:hAnsi="Arial" w:cs="Times New Roman"/>
          <w:sz w:val="20"/>
        </w:rPr>
        <w:t xml:space="preserve"> </w:t>
      </w:r>
    </w:p>
    <w:p w14:paraId="24AD6FEC" w14:textId="49F694BA" w:rsidR="0043146D" w:rsidRPr="00D44340" w:rsidRDefault="0043146D" w:rsidP="00D44340">
      <w:pPr>
        <w:pStyle w:val="Naslov3"/>
        <w:rPr>
          <w:rFonts w:ascii="Arial" w:eastAsia="Calibri" w:hAnsi="Arial" w:cs="Arial"/>
          <w:b/>
          <w:color w:val="70AD47" w:themeColor="accent6"/>
        </w:rPr>
      </w:pPr>
      <w:bookmarkStart w:id="25" w:name="_Toc102741390"/>
      <w:r w:rsidRPr="00D44340">
        <w:rPr>
          <w:rFonts w:ascii="Arial" w:eastAsia="Calibri" w:hAnsi="Arial" w:cs="Arial"/>
          <w:b/>
          <w:color w:val="70AD47" w:themeColor="accent6"/>
        </w:rPr>
        <w:t>IV.1.5. Strateška izhodišča</w:t>
      </w:r>
      <w:r w:rsidR="00E845DF">
        <w:rPr>
          <w:rFonts w:ascii="Arial" w:eastAsia="Calibri" w:hAnsi="Arial" w:cs="Arial"/>
          <w:b/>
          <w:color w:val="70AD47" w:themeColor="accent6"/>
        </w:rPr>
        <w:t>,</w:t>
      </w:r>
      <w:r w:rsidRPr="00D44340">
        <w:rPr>
          <w:rFonts w:ascii="Arial" w:eastAsia="Calibri" w:hAnsi="Arial" w:cs="Arial"/>
          <w:b/>
          <w:color w:val="70AD47" w:themeColor="accent6"/>
        </w:rPr>
        <w:t xml:space="preserve"> cilji</w:t>
      </w:r>
      <w:bookmarkEnd w:id="25"/>
      <w:r w:rsidR="00E845DF">
        <w:rPr>
          <w:rFonts w:ascii="Arial" w:eastAsia="Calibri" w:hAnsi="Arial" w:cs="Arial"/>
          <w:b/>
          <w:color w:val="70AD47" w:themeColor="accent6"/>
        </w:rPr>
        <w:t xml:space="preserve"> in vrednost projekta</w:t>
      </w:r>
    </w:p>
    <w:p w14:paraId="2CAB736C" w14:textId="77777777" w:rsidR="0043146D" w:rsidRDefault="0043146D" w:rsidP="00FE4BE0">
      <w:pPr>
        <w:spacing w:after="0" w:line="240" w:lineRule="auto"/>
        <w:jc w:val="both"/>
        <w:rPr>
          <w:rFonts w:ascii="Arial" w:eastAsia="Calibri" w:hAnsi="Arial" w:cs="Times New Roman"/>
          <w:sz w:val="20"/>
        </w:rPr>
      </w:pPr>
    </w:p>
    <w:p w14:paraId="4877C309" w14:textId="77777777" w:rsidR="00FE4BE0" w:rsidRDefault="00DE3971" w:rsidP="00FE4BE0">
      <w:pPr>
        <w:spacing w:after="0" w:line="240" w:lineRule="auto"/>
        <w:jc w:val="both"/>
        <w:rPr>
          <w:rFonts w:ascii="Arial" w:eastAsia="Calibri" w:hAnsi="Arial" w:cs="Times New Roman"/>
          <w:sz w:val="20"/>
        </w:rPr>
      </w:pPr>
      <w:r>
        <w:rPr>
          <w:rFonts w:ascii="Arial" w:eastAsia="Calibri" w:hAnsi="Arial" w:cs="Times New Roman"/>
          <w:sz w:val="20"/>
        </w:rPr>
        <w:t>Strateška izhodišča</w:t>
      </w:r>
    </w:p>
    <w:p w14:paraId="35821114" w14:textId="77777777" w:rsidR="00B33546" w:rsidRDefault="00B33546" w:rsidP="00FE4BE0">
      <w:pPr>
        <w:spacing w:after="0" w:line="240" w:lineRule="auto"/>
        <w:jc w:val="both"/>
        <w:rPr>
          <w:rFonts w:ascii="Arial" w:eastAsia="Calibri" w:hAnsi="Arial" w:cs="Times New Roman"/>
          <w:sz w:val="20"/>
        </w:rPr>
      </w:pPr>
    </w:p>
    <w:p w14:paraId="59D5F9D1" w14:textId="77777777" w:rsidR="00B33546" w:rsidRDefault="00B33546" w:rsidP="00FE4BE0">
      <w:pPr>
        <w:spacing w:after="0" w:line="240" w:lineRule="auto"/>
        <w:jc w:val="both"/>
        <w:rPr>
          <w:rFonts w:ascii="Arial" w:eastAsia="Calibri" w:hAnsi="Arial" w:cs="Times New Roman"/>
          <w:sz w:val="20"/>
        </w:rPr>
      </w:pPr>
      <w:r>
        <w:rPr>
          <w:rFonts w:ascii="Arial" w:eastAsia="Calibri" w:hAnsi="Arial" w:cs="Times New Roman"/>
          <w:noProof/>
          <w:sz w:val="20"/>
          <w:lang w:eastAsia="sl-SI"/>
        </w:rPr>
        <mc:AlternateContent>
          <mc:Choice Requires="wps">
            <w:drawing>
              <wp:anchor distT="0" distB="0" distL="114300" distR="114300" simplePos="0" relativeHeight="251662336" behindDoc="0" locked="0" layoutInCell="1" allowOverlap="1" wp14:anchorId="2929AD4E" wp14:editId="3EEA5F5B">
                <wp:simplePos x="0" y="0"/>
                <wp:positionH relativeFrom="margin">
                  <wp:posOffset>-635</wp:posOffset>
                </wp:positionH>
                <wp:positionV relativeFrom="paragraph">
                  <wp:posOffset>24765</wp:posOffset>
                </wp:positionV>
                <wp:extent cx="5699760" cy="2179320"/>
                <wp:effectExtent l="0" t="0" r="15240" b="11430"/>
                <wp:wrapNone/>
                <wp:docPr id="1" name="Pravokotnik z odrezanima kotoma na diagonali 1"/>
                <wp:cNvGraphicFramePr/>
                <a:graphic xmlns:a="http://schemas.openxmlformats.org/drawingml/2006/main">
                  <a:graphicData uri="http://schemas.microsoft.com/office/word/2010/wordprocessingShape">
                    <wps:wsp>
                      <wps:cNvSpPr/>
                      <wps:spPr>
                        <a:xfrm>
                          <a:off x="0" y="0"/>
                          <a:ext cx="5699760" cy="2179320"/>
                        </a:xfrm>
                        <a:prstGeom prst="snip2DiagRect">
                          <a:avLst/>
                        </a:prstGeom>
                      </wps:spPr>
                      <wps:style>
                        <a:lnRef idx="2">
                          <a:schemeClr val="accent5"/>
                        </a:lnRef>
                        <a:fillRef idx="1">
                          <a:schemeClr val="lt1"/>
                        </a:fillRef>
                        <a:effectRef idx="0">
                          <a:schemeClr val="accent5"/>
                        </a:effectRef>
                        <a:fontRef idx="minor">
                          <a:schemeClr val="dk1"/>
                        </a:fontRef>
                      </wps:style>
                      <wps:txbx>
                        <w:txbxContent>
                          <w:p w14:paraId="49B5ADDA" w14:textId="77777777" w:rsidR="00A15ADE" w:rsidRPr="007019D7" w:rsidRDefault="00A15ADE" w:rsidP="003445EF">
                            <w:pPr>
                              <w:pStyle w:val="Odstavekseznama"/>
                              <w:numPr>
                                <w:ilvl w:val="0"/>
                                <w:numId w:val="17"/>
                              </w:numPr>
                              <w:jc w:val="both"/>
                              <w:rPr>
                                <w:rFonts w:ascii="Arial" w:hAnsi="Arial" w:cs="Arial"/>
                                <w:sz w:val="18"/>
                                <w:szCs w:val="18"/>
                              </w:rPr>
                            </w:pPr>
                            <w:r w:rsidRPr="007019D7">
                              <w:rPr>
                                <w:rFonts w:ascii="Arial" w:hAnsi="Arial" w:cs="Arial"/>
                                <w:sz w:val="18"/>
                                <w:szCs w:val="18"/>
                              </w:rPr>
                              <w:t>Po</w:t>
                            </w:r>
                            <w:bookmarkStart w:id="26" w:name="_GoBack"/>
                            <w:r w:rsidRPr="007019D7">
                              <w:rPr>
                                <w:rFonts w:ascii="Arial" w:hAnsi="Arial" w:cs="Arial"/>
                                <w:sz w:val="18"/>
                                <w:szCs w:val="18"/>
                              </w:rPr>
                              <w:t xml:space="preserve">dpora podjetjem na poti k doseganju večje energetske učinkovitosti s transformacijo procesov na način, da jih prilagodijo z namenom dostopa in vstopa na tržnico energije iz obnovljivih virov energije.  </w:t>
                            </w:r>
                          </w:p>
                          <w:p w14:paraId="59DB4D79" w14:textId="77777777" w:rsidR="00A15ADE" w:rsidRPr="007019D7" w:rsidRDefault="00A15ADE" w:rsidP="003445EF">
                            <w:pPr>
                              <w:pStyle w:val="Odstavekseznama"/>
                              <w:numPr>
                                <w:ilvl w:val="0"/>
                                <w:numId w:val="17"/>
                              </w:numPr>
                              <w:jc w:val="both"/>
                              <w:rPr>
                                <w:rFonts w:ascii="Arial" w:hAnsi="Arial" w:cs="Arial"/>
                                <w:sz w:val="18"/>
                                <w:szCs w:val="18"/>
                              </w:rPr>
                            </w:pPr>
                            <w:r w:rsidRPr="007019D7">
                              <w:rPr>
                                <w:rFonts w:ascii="Arial" w:hAnsi="Arial" w:cs="Arial"/>
                                <w:sz w:val="18"/>
                                <w:szCs w:val="18"/>
                              </w:rPr>
                              <w:t>Intenzivno uvajanje energetskega upravljanja v podjetjih, in sicer: (i) opredelitev funkcije energetskega managerja, (ii) upravljanje procesov za doseganje večje energetske učinkovitosti, (iii) opredelitev kazalnikov za merjenje doseganja energetske učinkovitosti in ozaveščanje zaposlenih</w:t>
                            </w:r>
                          </w:p>
                          <w:p w14:paraId="4D380D86" w14:textId="77777777" w:rsidR="00A15ADE" w:rsidRDefault="00A15ADE" w:rsidP="003445EF">
                            <w:pPr>
                              <w:pStyle w:val="Odstavekseznama"/>
                              <w:numPr>
                                <w:ilvl w:val="0"/>
                                <w:numId w:val="17"/>
                              </w:numPr>
                              <w:jc w:val="both"/>
                              <w:rPr>
                                <w:rFonts w:ascii="Arial" w:hAnsi="Arial" w:cs="Arial"/>
                                <w:sz w:val="18"/>
                                <w:szCs w:val="18"/>
                              </w:rPr>
                            </w:pPr>
                            <w:r w:rsidRPr="007019D7">
                              <w:rPr>
                                <w:rFonts w:ascii="Arial" w:hAnsi="Arial" w:cs="Arial"/>
                                <w:sz w:val="18"/>
                                <w:szCs w:val="18"/>
                              </w:rPr>
                              <w:t>Uporaba energetske izkaznice v podjetjih (minimalni nabor podatkov) z opredelitvijo: vira zajemanja podatkov, tehnologije za zapis in prenos podatkov, spremljanje izboljšav na področju energetske učinkovitosti v podjetjih</w:t>
                            </w:r>
                          </w:p>
                          <w:p w14:paraId="7A6B9D1A" w14:textId="77777777" w:rsidR="00A15ADE" w:rsidRDefault="00A15ADE" w:rsidP="003445EF">
                            <w:pPr>
                              <w:pStyle w:val="Odstavekseznama"/>
                              <w:numPr>
                                <w:ilvl w:val="0"/>
                                <w:numId w:val="17"/>
                              </w:numPr>
                              <w:jc w:val="both"/>
                              <w:rPr>
                                <w:rFonts w:ascii="Arial" w:hAnsi="Arial" w:cs="Arial"/>
                                <w:sz w:val="18"/>
                                <w:szCs w:val="18"/>
                              </w:rPr>
                            </w:pPr>
                            <w:r>
                              <w:rPr>
                                <w:rFonts w:ascii="Arial" w:hAnsi="Arial" w:cs="Arial"/>
                                <w:sz w:val="18"/>
                                <w:szCs w:val="18"/>
                              </w:rPr>
                              <w:t>Spodbujanje inovativnih rešitev razvoja in uporabe naprednih digitalnih tehnologij v sklopu testnega laboratorija (sandbox-a)</w:t>
                            </w:r>
                          </w:p>
                          <w:bookmarkEnd w:id="26"/>
                          <w:p w14:paraId="0D76DCF8" w14:textId="77777777" w:rsidR="00A15ADE" w:rsidRPr="007019D7" w:rsidRDefault="00A15ADE" w:rsidP="00117763">
                            <w:pPr>
                              <w:pStyle w:val="Odstavekseznama"/>
                              <w:jc w:val="both"/>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29AD4E" id="Pravokotnik z odrezanima kotoma na diagonali 1" o:spid="_x0000_s1027" style="position:absolute;left:0;text-align:left;margin-left:-.05pt;margin-top:1.95pt;width:448.8pt;height:171.6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699760,2179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" adj="-11796480,,5400" path="m,l5336533,r363227,363227l5699760,2179320r,l363227,2179320,,1816093,,xe" fillcolor="white [3201]" strokecolor="#4472c4 [3208]" strokeweight="1pt">
                <v:stroke joinstyle="miter"/>
                <v:formulas/>
                <v:path arrowok="t" o:connecttype="custom" o:connectlocs="0,0;5336533,0;5699760,363227;5699760,2179320;5699760,2179320;363227,2179320;0,1816093;0,0" o:connectangles="0,0,0,0,0,0,0,0" textboxrect="0,0,5699760,2179320"/>
                <v:textbox>
                  <w:txbxContent>
                    <w:p w14:paraId="49B5ADDA" w14:textId="77777777" w:rsidR="00A15ADE" w:rsidRPr="007019D7" w:rsidRDefault="00A15ADE" w:rsidP="003445EF">
                      <w:pPr>
                        <w:pStyle w:val="Odstavekseznama"/>
                        <w:numPr>
                          <w:ilvl w:val="0"/>
                          <w:numId w:val="17"/>
                        </w:numPr>
                        <w:jc w:val="both"/>
                        <w:rPr>
                          <w:rFonts w:ascii="Arial" w:hAnsi="Arial" w:cs="Arial"/>
                          <w:sz w:val="18"/>
                          <w:szCs w:val="18"/>
                        </w:rPr>
                      </w:pPr>
                      <w:r w:rsidRPr="007019D7">
                        <w:rPr>
                          <w:rFonts w:ascii="Arial" w:hAnsi="Arial" w:cs="Arial"/>
                          <w:sz w:val="18"/>
                          <w:szCs w:val="18"/>
                        </w:rPr>
                        <w:t>Po</w:t>
                      </w:r>
                      <w:bookmarkStart w:id="27" w:name="_GoBack"/>
                      <w:r w:rsidRPr="007019D7">
                        <w:rPr>
                          <w:rFonts w:ascii="Arial" w:hAnsi="Arial" w:cs="Arial"/>
                          <w:sz w:val="18"/>
                          <w:szCs w:val="18"/>
                        </w:rPr>
                        <w:t xml:space="preserve">dpora podjetjem na poti k doseganju večje energetske učinkovitosti s transformacijo procesov na način, da jih prilagodijo z namenom dostopa in vstopa na tržnico energije iz obnovljivih virov energije.  </w:t>
                      </w:r>
                    </w:p>
                    <w:p w14:paraId="59DB4D79" w14:textId="77777777" w:rsidR="00A15ADE" w:rsidRPr="007019D7" w:rsidRDefault="00A15ADE" w:rsidP="003445EF">
                      <w:pPr>
                        <w:pStyle w:val="Odstavekseznama"/>
                        <w:numPr>
                          <w:ilvl w:val="0"/>
                          <w:numId w:val="17"/>
                        </w:numPr>
                        <w:jc w:val="both"/>
                        <w:rPr>
                          <w:rFonts w:ascii="Arial" w:hAnsi="Arial" w:cs="Arial"/>
                          <w:sz w:val="18"/>
                          <w:szCs w:val="18"/>
                        </w:rPr>
                      </w:pPr>
                      <w:r w:rsidRPr="007019D7">
                        <w:rPr>
                          <w:rFonts w:ascii="Arial" w:hAnsi="Arial" w:cs="Arial"/>
                          <w:sz w:val="18"/>
                          <w:szCs w:val="18"/>
                        </w:rPr>
                        <w:t>Intenzivno uvajanje energetskega upravljanja v podjetjih, in sicer: (i) opredelitev funkcije energetskega managerja, (ii) upravljanje procesov za doseganje večje energetske učinkovitosti, (iii) opredelitev kazalnikov za merjenje doseganja energetske učinkovitosti in ozaveščanje zaposlenih</w:t>
                      </w:r>
                    </w:p>
                    <w:p w14:paraId="4D380D86" w14:textId="77777777" w:rsidR="00A15ADE" w:rsidRDefault="00A15ADE" w:rsidP="003445EF">
                      <w:pPr>
                        <w:pStyle w:val="Odstavekseznama"/>
                        <w:numPr>
                          <w:ilvl w:val="0"/>
                          <w:numId w:val="17"/>
                        </w:numPr>
                        <w:jc w:val="both"/>
                        <w:rPr>
                          <w:rFonts w:ascii="Arial" w:hAnsi="Arial" w:cs="Arial"/>
                          <w:sz w:val="18"/>
                          <w:szCs w:val="18"/>
                        </w:rPr>
                      </w:pPr>
                      <w:r w:rsidRPr="007019D7">
                        <w:rPr>
                          <w:rFonts w:ascii="Arial" w:hAnsi="Arial" w:cs="Arial"/>
                          <w:sz w:val="18"/>
                          <w:szCs w:val="18"/>
                        </w:rPr>
                        <w:t>Uporaba energetske izkaznice v podjetjih (minimalni nabor podatkov) z opredelitvijo: vira zajemanja podatkov, tehnologije za zapis in prenos podatkov, spremljanje izboljšav na področju energetske učinkovitosti v podjetjih</w:t>
                      </w:r>
                    </w:p>
                    <w:p w14:paraId="7A6B9D1A" w14:textId="77777777" w:rsidR="00A15ADE" w:rsidRDefault="00A15ADE" w:rsidP="003445EF">
                      <w:pPr>
                        <w:pStyle w:val="Odstavekseznama"/>
                        <w:numPr>
                          <w:ilvl w:val="0"/>
                          <w:numId w:val="17"/>
                        </w:numPr>
                        <w:jc w:val="both"/>
                        <w:rPr>
                          <w:rFonts w:ascii="Arial" w:hAnsi="Arial" w:cs="Arial"/>
                          <w:sz w:val="18"/>
                          <w:szCs w:val="18"/>
                        </w:rPr>
                      </w:pPr>
                      <w:r>
                        <w:rPr>
                          <w:rFonts w:ascii="Arial" w:hAnsi="Arial" w:cs="Arial"/>
                          <w:sz w:val="18"/>
                          <w:szCs w:val="18"/>
                        </w:rPr>
                        <w:t>Spodbujanje inovativnih rešitev razvoja in uporabe naprednih digitalnih tehnologij v sklopu testnega laboratorija (sandbox-a)</w:t>
                      </w:r>
                    </w:p>
                    <w:bookmarkEnd w:id="27"/>
                    <w:p w14:paraId="0D76DCF8" w14:textId="77777777" w:rsidR="00A15ADE" w:rsidRPr="007019D7" w:rsidRDefault="00A15ADE" w:rsidP="00117763">
                      <w:pPr>
                        <w:pStyle w:val="Odstavekseznama"/>
                        <w:jc w:val="both"/>
                        <w:rPr>
                          <w:rFonts w:ascii="Arial" w:hAnsi="Arial" w:cs="Arial"/>
                          <w:sz w:val="18"/>
                          <w:szCs w:val="18"/>
                        </w:rPr>
                      </w:pPr>
                    </w:p>
                  </w:txbxContent>
                </v:textbox>
                <w10:wrap anchorx="margin"/>
              </v:shape>
            </w:pict>
          </mc:Fallback>
        </mc:AlternateContent>
      </w:r>
    </w:p>
    <w:p w14:paraId="00DDA0B2" w14:textId="77777777" w:rsidR="00B33546" w:rsidRPr="00FE4BE0" w:rsidRDefault="00B33546" w:rsidP="00FE4BE0">
      <w:pPr>
        <w:spacing w:after="0" w:line="240" w:lineRule="auto"/>
        <w:jc w:val="both"/>
        <w:rPr>
          <w:rFonts w:ascii="Arial" w:eastAsia="Calibri" w:hAnsi="Arial" w:cs="Times New Roman"/>
          <w:sz w:val="20"/>
        </w:rPr>
      </w:pPr>
    </w:p>
    <w:p w14:paraId="516A7101" w14:textId="77777777" w:rsidR="00E123F1" w:rsidRDefault="00E123F1" w:rsidP="00E123F1">
      <w:pPr>
        <w:spacing w:after="0" w:line="240" w:lineRule="auto"/>
        <w:jc w:val="both"/>
        <w:rPr>
          <w:rFonts w:ascii="Arial" w:eastAsia="Calibri" w:hAnsi="Arial" w:cs="Times New Roman"/>
          <w:sz w:val="20"/>
        </w:rPr>
      </w:pPr>
    </w:p>
    <w:p w14:paraId="7B7E10DF" w14:textId="77777777" w:rsidR="00B33546" w:rsidRDefault="00B33546" w:rsidP="00E123F1">
      <w:pPr>
        <w:spacing w:after="0" w:line="240" w:lineRule="auto"/>
        <w:jc w:val="both"/>
        <w:rPr>
          <w:rFonts w:ascii="Arial" w:eastAsia="Calibri" w:hAnsi="Arial" w:cs="Times New Roman"/>
          <w:sz w:val="20"/>
        </w:rPr>
      </w:pPr>
    </w:p>
    <w:p w14:paraId="2E5A3AB1" w14:textId="77777777" w:rsidR="00B33546" w:rsidRDefault="00B33546" w:rsidP="00E123F1">
      <w:pPr>
        <w:spacing w:after="0" w:line="240" w:lineRule="auto"/>
        <w:jc w:val="both"/>
        <w:rPr>
          <w:rFonts w:ascii="Arial" w:eastAsia="Calibri" w:hAnsi="Arial" w:cs="Times New Roman"/>
          <w:sz w:val="20"/>
        </w:rPr>
      </w:pPr>
    </w:p>
    <w:p w14:paraId="568A5F8E" w14:textId="77777777" w:rsidR="00DE3971" w:rsidRDefault="00DE3971" w:rsidP="00E123F1">
      <w:pPr>
        <w:spacing w:after="0" w:line="240" w:lineRule="auto"/>
        <w:jc w:val="both"/>
        <w:rPr>
          <w:rFonts w:ascii="Arial" w:eastAsia="Calibri" w:hAnsi="Arial" w:cs="Times New Roman"/>
          <w:sz w:val="20"/>
        </w:rPr>
      </w:pPr>
    </w:p>
    <w:p w14:paraId="1580C0D3" w14:textId="77777777" w:rsidR="00DE3971" w:rsidRDefault="00DE3971" w:rsidP="00E123F1">
      <w:pPr>
        <w:spacing w:after="0" w:line="240" w:lineRule="auto"/>
        <w:jc w:val="both"/>
        <w:rPr>
          <w:rFonts w:ascii="Arial" w:eastAsia="Calibri" w:hAnsi="Arial" w:cs="Times New Roman"/>
          <w:sz w:val="20"/>
        </w:rPr>
      </w:pPr>
    </w:p>
    <w:p w14:paraId="07722A42" w14:textId="77777777" w:rsidR="00DE3971" w:rsidRDefault="00DE3971" w:rsidP="00E123F1">
      <w:pPr>
        <w:spacing w:after="0" w:line="240" w:lineRule="auto"/>
        <w:jc w:val="both"/>
        <w:rPr>
          <w:rFonts w:ascii="Arial" w:eastAsia="Calibri" w:hAnsi="Arial" w:cs="Times New Roman"/>
          <w:sz w:val="20"/>
        </w:rPr>
      </w:pPr>
    </w:p>
    <w:p w14:paraId="41CBE404" w14:textId="77777777" w:rsidR="00B33546" w:rsidRDefault="00B33546" w:rsidP="00E123F1">
      <w:pPr>
        <w:spacing w:after="0" w:line="240" w:lineRule="auto"/>
        <w:jc w:val="both"/>
        <w:rPr>
          <w:rFonts w:ascii="Arial" w:eastAsia="Calibri" w:hAnsi="Arial" w:cs="Times New Roman"/>
          <w:sz w:val="20"/>
        </w:rPr>
      </w:pPr>
    </w:p>
    <w:p w14:paraId="45F75694" w14:textId="77777777" w:rsidR="00DE3971" w:rsidRDefault="00DE3971" w:rsidP="00E123F1">
      <w:pPr>
        <w:spacing w:after="0" w:line="240" w:lineRule="auto"/>
        <w:jc w:val="both"/>
        <w:rPr>
          <w:rFonts w:ascii="Arial" w:eastAsia="Calibri" w:hAnsi="Arial" w:cs="Times New Roman"/>
          <w:sz w:val="20"/>
        </w:rPr>
      </w:pPr>
    </w:p>
    <w:p w14:paraId="3CC13F89" w14:textId="77777777" w:rsidR="00DE3971" w:rsidRDefault="00DE3971" w:rsidP="00E123F1">
      <w:pPr>
        <w:spacing w:after="0" w:line="240" w:lineRule="auto"/>
        <w:jc w:val="both"/>
        <w:rPr>
          <w:rFonts w:ascii="Arial" w:eastAsia="Calibri" w:hAnsi="Arial" w:cs="Times New Roman"/>
          <w:sz w:val="20"/>
        </w:rPr>
      </w:pPr>
    </w:p>
    <w:p w14:paraId="5CAF4774" w14:textId="77777777" w:rsidR="00DE3971" w:rsidRDefault="00DE3971" w:rsidP="00E123F1">
      <w:pPr>
        <w:spacing w:after="0" w:line="240" w:lineRule="auto"/>
        <w:jc w:val="both"/>
        <w:rPr>
          <w:rFonts w:ascii="Arial" w:eastAsia="Calibri" w:hAnsi="Arial" w:cs="Times New Roman"/>
          <w:sz w:val="20"/>
        </w:rPr>
      </w:pPr>
    </w:p>
    <w:p w14:paraId="4B55216E" w14:textId="77777777" w:rsidR="007019D7" w:rsidRDefault="007019D7" w:rsidP="00E123F1">
      <w:pPr>
        <w:spacing w:after="0" w:line="240" w:lineRule="auto"/>
        <w:jc w:val="both"/>
        <w:rPr>
          <w:rFonts w:ascii="Arial" w:eastAsia="Calibri" w:hAnsi="Arial" w:cs="Times New Roman"/>
          <w:sz w:val="20"/>
        </w:rPr>
      </w:pPr>
    </w:p>
    <w:p w14:paraId="1BF04F35" w14:textId="77777777" w:rsidR="007019D7" w:rsidRDefault="007019D7" w:rsidP="00E123F1">
      <w:pPr>
        <w:spacing w:after="0" w:line="240" w:lineRule="auto"/>
        <w:jc w:val="both"/>
        <w:rPr>
          <w:rFonts w:ascii="Arial" w:eastAsia="Calibri" w:hAnsi="Arial" w:cs="Times New Roman"/>
          <w:sz w:val="20"/>
        </w:rPr>
      </w:pPr>
    </w:p>
    <w:p w14:paraId="6D1B5A5A" w14:textId="77777777" w:rsidR="00117763" w:rsidRDefault="00117763" w:rsidP="00E123F1">
      <w:pPr>
        <w:spacing w:after="0" w:line="240" w:lineRule="auto"/>
        <w:jc w:val="both"/>
        <w:rPr>
          <w:rFonts w:ascii="Arial" w:eastAsia="Calibri" w:hAnsi="Arial" w:cs="Times New Roman"/>
          <w:sz w:val="20"/>
        </w:rPr>
      </w:pPr>
    </w:p>
    <w:p w14:paraId="4D660E14" w14:textId="77777777" w:rsidR="00117763" w:rsidRDefault="00117763" w:rsidP="00E123F1">
      <w:pPr>
        <w:spacing w:after="0" w:line="240" w:lineRule="auto"/>
        <w:jc w:val="both"/>
        <w:rPr>
          <w:rFonts w:ascii="Arial" w:eastAsia="Calibri" w:hAnsi="Arial" w:cs="Times New Roman"/>
          <w:sz w:val="20"/>
        </w:rPr>
      </w:pPr>
    </w:p>
    <w:p w14:paraId="5E3E3F71" w14:textId="77777777" w:rsidR="0020527C" w:rsidRDefault="0020527C" w:rsidP="00E123F1">
      <w:pPr>
        <w:spacing w:after="0" w:line="240" w:lineRule="auto"/>
        <w:jc w:val="both"/>
        <w:rPr>
          <w:rFonts w:ascii="Arial" w:eastAsia="Calibri" w:hAnsi="Arial" w:cs="Times New Roman"/>
          <w:sz w:val="20"/>
        </w:rPr>
      </w:pPr>
    </w:p>
    <w:p w14:paraId="5F36F7F2" w14:textId="2A6C55FD" w:rsidR="00364C58" w:rsidRDefault="0020527C" w:rsidP="00E123F1">
      <w:pPr>
        <w:spacing w:after="0" w:line="240" w:lineRule="auto"/>
        <w:jc w:val="both"/>
        <w:rPr>
          <w:rFonts w:ascii="Arial" w:eastAsia="Calibri" w:hAnsi="Arial" w:cs="Times New Roman"/>
          <w:sz w:val="20"/>
        </w:rPr>
      </w:pPr>
      <w:r>
        <w:rPr>
          <w:rFonts w:ascii="Arial" w:eastAsia="Calibri" w:hAnsi="Arial" w:cs="Times New Roman"/>
          <w:sz w:val="20"/>
        </w:rPr>
        <w:t xml:space="preserve">Diagram 6: </w:t>
      </w:r>
      <w:r w:rsidR="00364C58">
        <w:rPr>
          <w:rFonts w:ascii="Arial" w:eastAsia="Calibri" w:hAnsi="Arial" w:cs="Times New Roman"/>
          <w:sz w:val="20"/>
        </w:rPr>
        <w:t xml:space="preserve">Cilji </w:t>
      </w:r>
    </w:p>
    <w:p w14:paraId="192B9AF0" w14:textId="49A00567" w:rsidR="005A616B" w:rsidRDefault="005A616B" w:rsidP="005A616B">
      <w:pPr>
        <w:pStyle w:val="Odstavekseznama"/>
        <w:numPr>
          <w:ilvl w:val="0"/>
          <w:numId w:val="36"/>
        </w:numPr>
        <w:spacing w:after="0" w:line="240" w:lineRule="auto"/>
        <w:jc w:val="both"/>
        <w:rPr>
          <w:rFonts w:ascii="Arial" w:eastAsia="Calibri" w:hAnsi="Arial" w:cs="Times New Roman"/>
          <w:sz w:val="20"/>
        </w:rPr>
      </w:pPr>
      <w:r w:rsidRPr="005A616B">
        <w:rPr>
          <w:rFonts w:ascii="Arial" w:eastAsia="Calibri" w:hAnsi="Arial" w:cs="Times New Roman"/>
          <w:sz w:val="20"/>
        </w:rPr>
        <w:t>Do leta 2030 vsaj 50% podjetij, ki proizvajajo ali uporabljajo električno energijo iz OVE za izmenjavo vrednosti energije uporabljajo storitev energetske tržnice</w:t>
      </w:r>
    </w:p>
    <w:p w14:paraId="1AFC1E3B" w14:textId="5B180DB5" w:rsidR="005A616B" w:rsidRDefault="005A616B" w:rsidP="005A616B">
      <w:pPr>
        <w:pStyle w:val="Odstavekseznama"/>
        <w:numPr>
          <w:ilvl w:val="0"/>
          <w:numId w:val="36"/>
        </w:numPr>
        <w:spacing w:after="0" w:line="240" w:lineRule="auto"/>
        <w:jc w:val="both"/>
        <w:rPr>
          <w:rFonts w:ascii="Arial" w:eastAsia="Calibri" w:hAnsi="Arial" w:cs="Times New Roman"/>
          <w:sz w:val="20"/>
        </w:rPr>
      </w:pPr>
      <w:r w:rsidRPr="005A616B">
        <w:rPr>
          <w:rFonts w:ascii="Arial" w:eastAsia="Calibri" w:hAnsi="Arial" w:cs="Times New Roman"/>
          <w:sz w:val="20"/>
        </w:rPr>
        <w:t>Do leta 2030 vsaj 50% podjetij z uvedenim celovitim energetskim upravljanjem</w:t>
      </w:r>
    </w:p>
    <w:p w14:paraId="78CA37E0" w14:textId="77777777" w:rsidR="005A616B" w:rsidRPr="005A616B" w:rsidRDefault="005A616B" w:rsidP="005A616B">
      <w:pPr>
        <w:pStyle w:val="Odstavekseznama"/>
        <w:numPr>
          <w:ilvl w:val="0"/>
          <w:numId w:val="36"/>
        </w:numPr>
        <w:spacing w:after="0" w:line="240" w:lineRule="auto"/>
        <w:jc w:val="both"/>
        <w:rPr>
          <w:rFonts w:ascii="Arial" w:eastAsia="Calibri" w:hAnsi="Arial" w:cs="Times New Roman"/>
          <w:sz w:val="20"/>
        </w:rPr>
      </w:pPr>
      <w:r w:rsidRPr="005A616B">
        <w:rPr>
          <w:rFonts w:ascii="Arial" w:eastAsia="Calibri" w:hAnsi="Arial" w:cs="Times New Roman"/>
          <w:sz w:val="20"/>
        </w:rPr>
        <w:t>Do leta 2022 (q2 2022) vsaj 20 podjetij z energetsko izkaznico podjetja</w:t>
      </w:r>
    </w:p>
    <w:p w14:paraId="00CE9533" w14:textId="77777777" w:rsidR="005A616B" w:rsidRPr="005A616B" w:rsidRDefault="005A616B" w:rsidP="005A616B">
      <w:pPr>
        <w:pStyle w:val="Odstavekseznama"/>
        <w:numPr>
          <w:ilvl w:val="0"/>
          <w:numId w:val="36"/>
        </w:numPr>
        <w:spacing w:after="0" w:line="240" w:lineRule="auto"/>
        <w:jc w:val="both"/>
        <w:rPr>
          <w:rFonts w:ascii="Arial" w:eastAsia="Calibri" w:hAnsi="Arial" w:cs="Times New Roman"/>
          <w:sz w:val="20"/>
        </w:rPr>
      </w:pPr>
      <w:r w:rsidRPr="005A616B">
        <w:rPr>
          <w:rFonts w:ascii="Arial" w:eastAsia="Calibri" w:hAnsi="Arial" w:cs="Times New Roman"/>
          <w:sz w:val="20"/>
        </w:rPr>
        <w:t>Dol leta 2025 vsaj 10% podjetij z energetsko izkaznico podjetja in uporabnikov storitve hibridnega oblaka (HO)</w:t>
      </w:r>
    </w:p>
    <w:p w14:paraId="44D2BD62" w14:textId="103E6CB8" w:rsidR="005A616B" w:rsidRPr="005A616B" w:rsidRDefault="005A616B" w:rsidP="005A616B">
      <w:pPr>
        <w:pStyle w:val="Odstavekseznama"/>
        <w:numPr>
          <w:ilvl w:val="0"/>
          <w:numId w:val="36"/>
        </w:numPr>
        <w:spacing w:after="0" w:line="240" w:lineRule="auto"/>
        <w:jc w:val="both"/>
        <w:rPr>
          <w:rFonts w:ascii="Arial" w:eastAsia="Calibri" w:hAnsi="Arial" w:cs="Times New Roman"/>
          <w:sz w:val="20"/>
        </w:rPr>
      </w:pPr>
      <w:r w:rsidRPr="005A616B">
        <w:rPr>
          <w:rFonts w:ascii="Arial" w:eastAsia="Calibri" w:hAnsi="Arial" w:cs="Times New Roman"/>
          <w:sz w:val="20"/>
        </w:rPr>
        <w:t>Do leta 2030 vsaj 50% podjetij z energetsko izkaznico podjetij in uporabo storitve hibridnega oblaka</w:t>
      </w:r>
    </w:p>
    <w:p w14:paraId="5AD2E138" w14:textId="77777777" w:rsidR="00364C58" w:rsidRDefault="00364C58" w:rsidP="00E123F1">
      <w:pPr>
        <w:spacing w:after="0" w:line="240" w:lineRule="auto"/>
        <w:jc w:val="both"/>
        <w:rPr>
          <w:rFonts w:ascii="Arial" w:eastAsia="Calibri" w:hAnsi="Arial" w:cs="Times New Roman"/>
          <w:sz w:val="20"/>
        </w:rPr>
      </w:pPr>
    </w:p>
    <w:p w14:paraId="797AF70D" w14:textId="1BE21D82" w:rsidR="00DE3971" w:rsidRDefault="00E845DF" w:rsidP="00E123F1">
      <w:pPr>
        <w:spacing w:after="0" w:line="240" w:lineRule="auto"/>
        <w:jc w:val="both"/>
        <w:rPr>
          <w:rFonts w:ascii="Arial" w:eastAsia="Calibri" w:hAnsi="Arial" w:cs="Times New Roman"/>
          <w:sz w:val="20"/>
        </w:rPr>
      </w:pPr>
      <w:r>
        <w:rPr>
          <w:rFonts w:ascii="Arial" w:eastAsia="Calibri" w:hAnsi="Arial" w:cs="Times New Roman"/>
          <w:sz w:val="20"/>
        </w:rPr>
        <w:t>Vrednost projekta: 1.000.000,00 EUR</w:t>
      </w:r>
    </w:p>
    <w:p w14:paraId="4C92BD79" w14:textId="3E8D1DCD" w:rsidR="0020527C" w:rsidRDefault="0020527C" w:rsidP="00E123F1">
      <w:pPr>
        <w:spacing w:after="0" w:line="240" w:lineRule="auto"/>
        <w:jc w:val="both"/>
        <w:rPr>
          <w:rFonts w:ascii="Arial" w:eastAsia="Calibri" w:hAnsi="Arial" w:cs="Times New Roman"/>
          <w:sz w:val="20"/>
        </w:rPr>
      </w:pPr>
    </w:p>
    <w:p w14:paraId="46BD1159" w14:textId="44EC4BF7" w:rsidR="0020527C" w:rsidRDefault="0020527C" w:rsidP="00E123F1">
      <w:pPr>
        <w:spacing w:after="0" w:line="240" w:lineRule="auto"/>
        <w:jc w:val="both"/>
        <w:rPr>
          <w:rFonts w:ascii="Arial" w:eastAsia="Calibri" w:hAnsi="Arial" w:cs="Times New Roman"/>
          <w:sz w:val="20"/>
        </w:rPr>
      </w:pPr>
      <w:r>
        <w:rPr>
          <w:rFonts w:ascii="Arial" w:eastAsia="Calibri" w:hAnsi="Arial" w:cs="Times New Roman"/>
          <w:sz w:val="20"/>
        </w:rPr>
        <w:t>Tabela 1: Primeri ključnih kazalnikov uspešnosti</w:t>
      </w:r>
      <w:r w:rsidR="00FA2B98">
        <w:rPr>
          <w:rFonts w:ascii="Arial" w:eastAsia="Calibri" w:hAnsi="Arial" w:cs="Times New Roman"/>
          <w:sz w:val="20"/>
        </w:rPr>
        <w:t xml:space="preserve"> </w:t>
      </w:r>
      <w:r w:rsidR="00FA2B98" w:rsidRPr="00FA2B98">
        <w:rPr>
          <w:rFonts w:ascii="Arial" w:eastAsia="Calibri" w:hAnsi="Arial" w:cs="Times New Roman"/>
          <w:sz w:val="20"/>
        </w:rPr>
        <w:t>(prilagoditev za dostopnost)</w:t>
      </w:r>
    </w:p>
    <w:p w14:paraId="5497A4BA" w14:textId="77777777" w:rsidR="005A616B" w:rsidRPr="005A616B" w:rsidRDefault="005A616B" w:rsidP="005A616B">
      <w:pPr>
        <w:spacing w:after="0" w:line="240" w:lineRule="auto"/>
        <w:jc w:val="both"/>
        <w:rPr>
          <w:rFonts w:ascii="Arial" w:eastAsia="Calibri" w:hAnsi="Arial" w:cs="Times New Roman"/>
          <w:sz w:val="20"/>
        </w:rPr>
      </w:pPr>
      <w:r w:rsidRPr="005A616B">
        <w:rPr>
          <w:rFonts w:ascii="Arial" w:eastAsia="Calibri" w:hAnsi="Arial" w:cs="Times New Roman"/>
          <w:sz w:val="20"/>
        </w:rPr>
        <w:t xml:space="preserve">Primeri ključnih kazalnikov uspešnosti, ki so lahko ustrezno podporno orodje za učinkovito energetsko upravljanje v podjetjih : </w:t>
      </w:r>
    </w:p>
    <w:p w14:paraId="58975666" w14:textId="77777777" w:rsidR="005A616B" w:rsidRPr="005A616B" w:rsidRDefault="005A616B" w:rsidP="005A616B">
      <w:pPr>
        <w:spacing w:after="0" w:line="240" w:lineRule="auto"/>
        <w:jc w:val="both"/>
        <w:rPr>
          <w:rFonts w:ascii="Arial" w:eastAsia="Calibri" w:hAnsi="Arial" w:cs="Times New Roman"/>
          <w:sz w:val="20"/>
        </w:rPr>
      </w:pPr>
      <w:r w:rsidRPr="005A616B">
        <w:rPr>
          <w:rFonts w:ascii="Arial" w:eastAsia="Calibri" w:hAnsi="Arial" w:cs="Times New Roman"/>
          <w:sz w:val="20"/>
        </w:rPr>
        <w:t>-</w:t>
      </w:r>
      <w:r w:rsidRPr="005A616B">
        <w:rPr>
          <w:rFonts w:ascii="Arial" w:eastAsia="Calibri" w:hAnsi="Arial" w:cs="Times New Roman"/>
          <w:sz w:val="20"/>
        </w:rPr>
        <w:tab/>
        <w:t xml:space="preserve">indeks energetskega stroška (meri celoten strošek energije v podjetju, navadno je izražen v odstotku prihodka, sestavljajo ga spremenljivke ponudbe in povpraševanja), </w:t>
      </w:r>
    </w:p>
    <w:p w14:paraId="40DA774C" w14:textId="77777777" w:rsidR="005A616B" w:rsidRPr="005A616B" w:rsidRDefault="005A616B" w:rsidP="005A616B">
      <w:pPr>
        <w:spacing w:after="0" w:line="240" w:lineRule="auto"/>
        <w:jc w:val="both"/>
        <w:rPr>
          <w:rFonts w:ascii="Arial" w:eastAsia="Calibri" w:hAnsi="Arial" w:cs="Times New Roman"/>
          <w:sz w:val="20"/>
        </w:rPr>
      </w:pPr>
      <w:r w:rsidRPr="005A616B">
        <w:rPr>
          <w:rFonts w:ascii="Arial" w:eastAsia="Calibri" w:hAnsi="Arial" w:cs="Times New Roman"/>
          <w:sz w:val="20"/>
        </w:rPr>
        <w:t>-</w:t>
      </w:r>
      <w:r w:rsidRPr="005A616B">
        <w:rPr>
          <w:rFonts w:ascii="Arial" w:eastAsia="Calibri" w:hAnsi="Arial" w:cs="Times New Roman"/>
          <w:sz w:val="20"/>
        </w:rPr>
        <w:tab/>
        <w:t xml:space="preserve">intenzivnost porabe energije določenega prostora (meri povpraševanje po energiji: koliko energije je potrebne za določen prostor v podjetju, v določenem časovnem obdobju), </w:t>
      </w:r>
    </w:p>
    <w:p w14:paraId="181F7C33" w14:textId="77777777" w:rsidR="005A616B" w:rsidRPr="005A616B" w:rsidRDefault="005A616B" w:rsidP="005A616B">
      <w:pPr>
        <w:spacing w:after="0" w:line="240" w:lineRule="auto"/>
        <w:jc w:val="both"/>
        <w:rPr>
          <w:rFonts w:ascii="Arial" w:eastAsia="Calibri" w:hAnsi="Arial" w:cs="Times New Roman"/>
          <w:sz w:val="20"/>
        </w:rPr>
      </w:pPr>
      <w:r w:rsidRPr="005A616B">
        <w:rPr>
          <w:rFonts w:ascii="Arial" w:eastAsia="Calibri" w:hAnsi="Arial" w:cs="Times New Roman"/>
          <w:sz w:val="20"/>
        </w:rPr>
        <w:t>-</w:t>
      </w:r>
      <w:r w:rsidRPr="005A616B">
        <w:rPr>
          <w:rFonts w:ascii="Arial" w:eastAsia="Calibri" w:hAnsi="Arial" w:cs="Times New Roman"/>
          <w:sz w:val="20"/>
        </w:rPr>
        <w:tab/>
        <w:t xml:space="preserve">vir porabe energije (prav tako meri povpraševanje po energiji, vendar ne samo obseg porabe, ampak tudi kvantificira prenos energije, dostavo in izgubo v procesu), </w:t>
      </w:r>
    </w:p>
    <w:p w14:paraId="0AEC5EFD" w14:textId="77777777" w:rsidR="005A616B" w:rsidRPr="005A616B" w:rsidRDefault="005A616B" w:rsidP="005A616B">
      <w:pPr>
        <w:spacing w:after="0" w:line="240" w:lineRule="auto"/>
        <w:jc w:val="both"/>
        <w:rPr>
          <w:rFonts w:ascii="Arial" w:eastAsia="Calibri" w:hAnsi="Arial" w:cs="Times New Roman"/>
          <w:sz w:val="20"/>
        </w:rPr>
      </w:pPr>
      <w:r w:rsidRPr="005A616B">
        <w:rPr>
          <w:rFonts w:ascii="Arial" w:eastAsia="Calibri" w:hAnsi="Arial" w:cs="Times New Roman"/>
          <w:sz w:val="20"/>
        </w:rPr>
        <w:t>-</w:t>
      </w:r>
      <w:r w:rsidRPr="005A616B">
        <w:rPr>
          <w:rFonts w:ascii="Arial" w:eastAsia="Calibri" w:hAnsi="Arial" w:cs="Times New Roman"/>
          <w:sz w:val="20"/>
        </w:rPr>
        <w:tab/>
        <w:t xml:space="preserve">indeks produktivnosti (poraba energije na enoto vložka), </w:t>
      </w:r>
    </w:p>
    <w:p w14:paraId="2904B4B4" w14:textId="77777777" w:rsidR="005A616B" w:rsidRPr="005A616B" w:rsidRDefault="005A616B" w:rsidP="005A616B">
      <w:pPr>
        <w:spacing w:after="0" w:line="240" w:lineRule="auto"/>
        <w:jc w:val="both"/>
        <w:rPr>
          <w:rFonts w:ascii="Arial" w:eastAsia="Calibri" w:hAnsi="Arial" w:cs="Times New Roman"/>
          <w:sz w:val="20"/>
        </w:rPr>
      </w:pPr>
      <w:r w:rsidRPr="005A616B">
        <w:rPr>
          <w:rFonts w:ascii="Arial" w:eastAsia="Calibri" w:hAnsi="Arial" w:cs="Times New Roman"/>
          <w:sz w:val="20"/>
        </w:rPr>
        <w:t>-</w:t>
      </w:r>
      <w:r w:rsidRPr="005A616B">
        <w:rPr>
          <w:rFonts w:ascii="Arial" w:eastAsia="Calibri" w:hAnsi="Arial" w:cs="Times New Roman"/>
          <w:sz w:val="20"/>
        </w:rPr>
        <w:tab/>
        <w:t xml:space="preserve">učinkovitost sistema (meri energetsko učinkovitost mehaničnih sistemov na enoto učinka), </w:t>
      </w:r>
    </w:p>
    <w:p w14:paraId="349517FC" w14:textId="77777777" w:rsidR="005A616B" w:rsidRPr="005A616B" w:rsidRDefault="005A616B" w:rsidP="005A616B">
      <w:pPr>
        <w:spacing w:after="0" w:line="240" w:lineRule="auto"/>
        <w:jc w:val="both"/>
        <w:rPr>
          <w:rFonts w:ascii="Arial" w:eastAsia="Calibri" w:hAnsi="Arial" w:cs="Times New Roman"/>
          <w:sz w:val="20"/>
        </w:rPr>
      </w:pPr>
      <w:r w:rsidRPr="005A616B">
        <w:rPr>
          <w:rFonts w:ascii="Arial" w:eastAsia="Calibri" w:hAnsi="Arial" w:cs="Times New Roman"/>
          <w:sz w:val="20"/>
        </w:rPr>
        <w:t>-</w:t>
      </w:r>
      <w:r w:rsidRPr="005A616B">
        <w:rPr>
          <w:rFonts w:ascii="Arial" w:eastAsia="Calibri" w:hAnsi="Arial" w:cs="Times New Roman"/>
          <w:sz w:val="20"/>
        </w:rPr>
        <w:tab/>
        <w:t xml:space="preserve">faktor obremenitve (ang. Load faktor – uporabiti ga je mogoče za kvantifikacijo sprememb v vedenju na določeni lokaciji, numerično pa ga lahko opredelimo kot razmerje med povprečno porabo in najvišjo porabo), </w:t>
      </w:r>
    </w:p>
    <w:p w14:paraId="56C5FA09" w14:textId="77777777" w:rsidR="005A616B" w:rsidRPr="005A616B" w:rsidRDefault="005A616B" w:rsidP="005A616B">
      <w:pPr>
        <w:spacing w:after="0" w:line="240" w:lineRule="auto"/>
        <w:jc w:val="both"/>
        <w:rPr>
          <w:rFonts w:ascii="Arial" w:eastAsia="Calibri" w:hAnsi="Arial" w:cs="Times New Roman"/>
          <w:sz w:val="20"/>
        </w:rPr>
      </w:pPr>
      <w:r w:rsidRPr="005A616B">
        <w:rPr>
          <w:rFonts w:ascii="Arial" w:eastAsia="Calibri" w:hAnsi="Arial" w:cs="Times New Roman"/>
          <w:sz w:val="20"/>
        </w:rPr>
        <w:t>-</w:t>
      </w:r>
      <w:r w:rsidRPr="005A616B">
        <w:rPr>
          <w:rFonts w:ascii="Arial" w:eastAsia="Calibri" w:hAnsi="Arial" w:cs="Times New Roman"/>
          <w:sz w:val="20"/>
        </w:rPr>
        <w:tab/>
        <w:t>najnižja povprečna poraba (kdaj je zahteva po porabi za določen prostor najnižja)</w:t>
      </w:r>
    </w:p>
    <w:p w14:paraId="0415FCCC" w14:textId="77777777" w:rsidR="005A616B" w:rsidRPr="005A616B" w:rsidRDefault="005A616B" w:rsidP="005A616B">
      <w:pPr>
        <w:spacing w:after="0" w:line="240" w:lineRule="auto"/>
        <w:jc w:val="both"/>
        <w:rPr>
          <w:rFonts w:ascii="Arial" w:eastAsia="Calibri" w:hAnsi="Arial" w:cs="Times New Roman"/>
          <w:sz w:val="20"/>
        </w:rPr>
      </w:pPr>
      <w:r w:rsidRPr="005A616B">
        <w:rPr>
          <w:rFonts w:ascii="Arial" w:eastAsia="Calibri" w:hAnsi="Arial" w:cs="Times New Roman"/>
          <w:sz w:val="20"/>
        </w:rPr>
        <w:t xml:space="preserve">Dodatno se lahko opredelijo tudi finančni kazalniki, kot na primer : </w:t>
      </w:r>
    </w:p>
    <w:p w14:paraId="5A8FC333" w14:textId="77777777" w:rsidR="005A616B" w:rsidRPr="005A616B" w:rsidRDefault="005A616B" w:rsidP="005A616B">
      <w:pPr>
        <w:spacing w:after="0" w:line="240" w:lineRule="auto"/>
        <w:jc w:val="both"/>
        <w:rPr>
          <w:rFonts w:ascii="Arial" w:eastAsia="Calibri" w:hAnsi="Arial" w:cs="Times New Roman"/>
          <w:sz w:val="20"/>
        </w:rPr>
      </w:pPr>
      <w:r w:rsidRPr="005A616B">
        <w:rPr>
          <w:rFonts w:ascii="Arial" w:eastAsia="Calibri" w:hAnsi="Arial" w:cs="Times New Roman"/>
          <w:sz w:val="20"/>
        </w:rPr>
        <w:t>-</w:t>
      </w:r>
      <w:r w:rsidRPr="005A616B">
        <w:rPr>
          <w:rFonts w:ascii="Arial" w:eastAsia="Calibri" w:hAnsi="Arial" w:cs="Times New Roman"/>
          <w:sz w:val="20"/>
        </w:rPr>
        <w:tab/>
        <w:t xml:space="preserve">operativni denarni tok (analiza ustvarjene količine denarja), </w:t>
      </w:r>
    </w:p>
    <w:p w14:paraId="584051FE" w14:textId="77777777" w:rsidR="005A616B" w:rsidRPr="005A616B" w:rsidRDefault="005A616B" w:rsidP="005A616B">
      <w:pPr>
        <w:spacing w:after="0" w:line="240" w:lineRule="auto"/>
        <w:jc w:val="both"/>
        <w:rPr>
          <w:rFonts w:ascii="Arial" w:eastAsia="Calibri" w:hAnsi="Arial" w:cs="Times New Roman"/>
          <w:sz w:val="20"/>
        </w:rPr>
      </w:pPr>
      <w:r w:rsidRPr="005A616B">
        <w:rPr>
          <w:rFonts w:ascii="Arial" w:eastAsia="Calibri" w:hAnsi="Arial" w:cs="Times New Roman"/>
          <w:sz w:val="20"/>
        </w:rPr>
        <w:t>-</w:t>
      </w:r>
      <w:r w:rsidRPr="005A616B">
        <w:rPr>
          <w:rFonts w:ascii="Arial" w:eastAsia="Calibri" w:hAnsi="Arial" w:cs="Times New Roman"/>
          <w:sz w:val="20"/>
        </w:rPr>
        <w:tab/>
        <w:t xml:space="preserve">proizvodni stroški (primerjava stroškov iz različnih energetskih virov), </w:t>
      </w:r>
    </w:p>
    <w:p w14:paraId="382B1800" w14:textId="36966EA4" w:rsidR="005A616B" w:rsidRDefault="005A616B" w:rsidP="005A616B">
      <w:pPr>
        <w:spacing w:after="0" w:line="240" w:lineRule="auto"/>
        <w:jc w:val="both"/>
        <w:rPr>
          <w:rFonts w:ascii="Arial" w:eastAsia="Calibri" w:hAnsi="Arial" w:cs="Times New Roman"/>
          <w:sz w:val="20"/>
        </w:rPr>
      </w:pPr>
      <w:r w:rsidRPr="005A616B">
        <w:rPr>
          <w:rFonts w:ascii="Arial" w:eastAsia="Calibri" w:hAnsi="Arial" w:cs="Times New Roman"/>
          <w:sz w:val="20"/>
        </w:rPr>
        <w:t>-</w:t>
      </w:r>
      <w:r w:rsidRPr="005A616B">
        <w:rPr>
          <w:rFonts w:ascii="Arial" w:eastAsia="Calibri" w:hAnsi="Arial" w:cs="Times New Roman"/>
          <w:sz w:val="20"/>
        </w:rPr>
        <w:tab/>
        <w:t>prihodek za lastnike (kakšno vrednost ponudimo lastnikom oziroma delničarjem)</w:t>
      </w:r>
    </w:p>
    <w:p w14:paraId="7D64A647" w14:textId="77777777" w:rsidR="00DE3971" w:rsidRPr="00E123F1" w:rsidRDefault="00DE3971" w:rsidP="00E123F1">
      <w:pPr>
        <w:spacing w:after="0" w:line="240" w:lineRule="auto"/>
        <w:jc w:val="both"/>
        <w:rPr>
          <w:rFonts w:ascii="Arial" w:eastAsia="Calibri" w:hAnsi="Arial" w:cs="Times New Roman"/>
          <w:sz w:val="20"/>
        </w:rPr>
      </w:pPr>
    </w:p>
    <w:p w14:paraId="7F23472B" w14:textId="77777777" w:rsidR="005A616B" w:rsidRDefault="005A616B" w:rsidP="00A81C05">
      <w:pPr>
        <w:pStyle w:val="Naslov2"/>
        <w:jc w:val="both"/>
        <w:rPr>
          <w:rFonts w:ascii="Arial" w:hAnsi="Arial" w:cs="Arial"/>
          <w:b/>
          <w:color w:val="70AD47" w:themeColor="accent6"/>
        </w:rPr>
      </w:pPr>
      <w:bookmarkStart w:id="28" w:name="_Toc102741391"/>
    </w:p>
    <w:p w14:paraId="6AFC811F" w14:textId="77777777" w:rsidR="005A616B" w:rsidRDefault="005A616B" w:rsidP="00A81C05">
      <w:pPr>
        <w:pStyle w:val="Naslov2"/>
        <w:jc w:val="both"/>
        <w:rPr>
          <w:rFonts w:ascii="Arial" w:hAnsi="Arial" w:cs="Arial"/>
          <w:b/>
          <w:color w:val="70AD47" w:themeColor="accent6"/>
        </w:rPr>
      </w:pPr>
    </w:p>
    <w:p w14:paraId="14E05749" w14:textId="71034CA5" w:rsidR="00D9225C" w:rsidRPr="00D44340" w:rsidRDefault="000E14A2" w:rsidP="00A81C05">
      <w:pPr>
        <w:pStyle w:val="Naslov2"/>
        <w:jc w:val="both"/>
        <w:rPr>
          <w:rFonts w:ascii="Arial" w:eastAsia="Calibri" w:hAnsi="Arial" w:cs="Arial"/>
          <w:b/>
          <w:color w:val="70AD47" w:themeColor="accent6"/>
          <w:sz w:val="20"/>
          <w:szCs w:val="20"/>
        </w:rPr>
      </w:pPr>
      <w:r w:rsidRPr="00D44340">
        <w:rPr>
          <w:rFonts w:ascii="Arial" w:hAnsi="Arial" w:cs="Arial"/>
          <w:b/>
          <w:color w:val="70AD47" w:themeColor="accent6"/>
        </w:rPr>
        <w:t xml:space="preserve">IV.2. </w:t>
      </w:r>
      <w:r w:rsidRPr="00D44340">
        <w:rPr>
          <w:rFonts w:ascii="Arial" w:eastAsia="Calibri" w:hAnsi="Arial" w:cs="Arial"/>
          <w:b/>
          <w:color w:val="70AD47" w:themeColor="accent6"/>
        </w:rPr>
        <w:t>Krepitev energetske učinkovitosti z vidika oblikovanja tehnološke rešitve oziroma orodja za ustrezno obravnavo kreditnega sistema ogljičnih emisij z vidika evropskega sistema za trgovanje z emisijami (ETS – emission trading system)</w:t>
      </w:r>
      <w:bookmarkEnd w:id="28"/>
    </w:p>
    <w:p w14:paraId="7D814164" w14:textId="77777777" w:rsidR="000E14A2" w:rsidRDefault="000E14A2" w:rsidP="00091031">
      <w:pPr>
        <w:rPr>
          <w:rFonts w:ascii="Arial" w:eastAsia="Arial" w:hAnsi="Arial" w:cs="Arial"/>
          <w:sz w:val="20"/>
          <w:szCs w:val="20"/>
          <w:lang w:eastAsia="sl-SI"/>
        </w:rPr>
      </w:pPr>
    </w:p>
    <w:p w14:paraId="62B68A2B" w14:textId="0F12CAC3" w:rsidR="000E14A2" w:rsidRDefault="000E14A2" w:rsidP="00672534">
      <w:pPr>
        <w:jc w:val="both"/>
        <w:rPr>
          <w:rFonts w:ascii="Arial" w:eastAsia="Arial" w:hAnsi="Arial" w:cs="Arial"/>
          <w:sz w:val="20"/>
          <w:szCs w:val="20"/>
          <w:lang w:eastAsia="sl-SI"/>
        </w:rPr>
      </w:pPr>
      <w:r>
        <w:rPr>
          <w:rFonts w:ascii="Arial" w:eastAsia="Arial" w:hAnsi="Arial" w:cs="Arial"/>
          <w:sz w:val="20"/>
          <w:szCs w:val="20"/>
          <w:lang w:eastAsia="sl-SI"/>
        </w:rPr>
        <w:t xml:space="preserve">V drugem strateškem izhodišču obravnavamo pilotno izvedbo </w:t>
      </w:r>
      <w:r w:rsidRPr="00A01EFA">
        <w:rPr>
          <w:rFonts w:ascii="Arial" w:eastAsia="Calibri" w:hAnsi="Arial" w:cs="Times New Roman"/>
          <w:sz w:val="20"/>
          <w:szCs w:val="20"/>
        </w:rPr>
        <w:t xml:space="preserve">tehnološke rešitve oziroma orodja za </w:t>
      </w:r>
      <w:r w:rsidR="003A432F">
        <w:rPr>
          <w:rFonts w:ascii="Arial" w:eastAsia="Calibri" w:hAnsi="Arial" w:cs="Times New Roman"/>
          <w:sz w:val="20"/>
          <w:szCs w:val="20"/>
        </w:rPr>
        <w:t>zapis/</w:t>
      </w:r>
      <w:r w:rsidRPr="00A01EFA">
        <w:rPr>
          <w:rFonts w:ascii="Arial" w:eastAsia="Calibri" w:hAnsi="Arial" w:cs="Times New Roman"/>
          <w:sz w:val="20"/>
          <w:szCs w:val="20"/>
        </w:rPr>
        <w:t>register ETS za podjetja</w:t>
      </w:r>
      <w:r w:rsidR="003A432F">
        <w:rPr>
          <w:rFonts w:ascii="Arial" w:eastAsia="Calibri" w:hAnsi="Arial" w:cs="Times New Roman"/>
          <w:sz w:val="20"/>
          <w:szCs w:val="20"/>
        </w:rPr>
        <w:t xml:space="preserve"> s pomočjo uporabe tehnologije distribuiranih zapisov</w:t>
      </w:r>
      <w:r w:rsidRPr="00A01EFA">
        <w:rPr>
          <w:rFonts w:ascii="Arial" w:eastAsia="Calibri" w:hAnsi="Arial" w:cs="Times New Roman"/>
          <w:sz w:val="20"/>
          <w:szCs w:val="20"/>
        </w:rPr>
        <w:t>, vključena v sistem ETS</w:t>
      </w:r>
      <w:r w:rsidR="003A432F">
        <w:rPr>
          <w:rFonts w:ascii="Arial" w:eastAsia="Calibri" w:hAnsi="Arial" w:cs="Times New Roman"/>
          <w:sz w:val="20"/>
          <w:szCs w:val="20"/>
        </w:rPr>
        <w:t xml:space="preserve"> in tista</w:t>
      </w:r>
      <w:r w:rsidR="00842FE6">
        <w:rPr>
          <w:rFonts w:ascii="Arial" w:eastAsia="Calibri" w:hAnsi="Arial" w:cs="Times New Roman"/>
          <w:sz w:val="20"/>
          <w:szCs w:val="20"/>
        </w:rPr>
        <w:t>, ki še niso vključena v ta sistem (predvsem MSP)</w:t>
      </w:r>
      <w:r w:rsidR="00672534">
        <w:rPr>
          <w:rFonts w:ascii="Arial" w:eastAsia="Calibri" w:hAnsi="Arial" w:cs="Times New Roman"/>
          <w:sz w:val="20"/>
          <w:szCs w:val="20"/>
        </w:rPr>
        <w:t xml:space="preserve">. </w:t>
      </w:r>
    </w:p>
    <w:p w14:paraId="0FDF82BE" w14:textId="3869FBAE" w:rsidR="00672534" w:rsidRDefault="00672534" w:rsidP="00672534">
      <w:pPr>
        <w:spacing w:after="0" w:line="240" w:lineRule="auto"/>
        <w:jc w:val="both"/>
        <w:rPr>
          <w:rFonts w:ascii="Arial" w:eastAsia="Calibri" w:hAnsi="Arial" w:cs="Arial"/>
          <w:sz w:val="20"/>
          <w:szCs w:val="20"/>
        </w:rPr>
      </w:pPr>
      <w:r>
        <w:rPr>
          <w:rFonts w:ascii="Arial" w:eastAsia="Calibri" w:hAnsi="Arial" w:cs="Arial"/>
          <w:sz w:val="20"/>
          <w:szCs w:val="20"/>
        </w:rPr>
        <w:t xml:space="preserve">Namen tega strateškega izhodišča je opredelitev </w:t>
      </w:r>
      <w:r w:rsidR="00A01EFA" w:rsidRPr="00672534">
        <w:rPr>
          <w:rFonts w:ascii="Arial" w:eastAsia="Calibri" w:hAnsi="Arial" w:cs="Arial"/>
          <w:sz w:val="20"/>
          <w:szCs w:val="20"/>
        </w:rPr>
        <w:t>osnovni</w:t>
      </w:r>
      <w:r>
        <w:rPr>
          <w:rFonts w:ascii="Arial" w:eastAsia="Calibri" w:hAnsi="Arial" w:cs="Arial"/>
          <w:sz w:val="20"/>
          <w:szCs w:val="20"/>
        </w:rPr>
        <w:t>h elementov</w:t>
      </w:r>
      <w:r w:rsidR="00A01EFA" w:rsidRPr="00672534">
        <w:rPr>
          <w:rFonts w:ascii="Arial" w:eastAsia="Calibri" w:hAnsi="Arial" w:cs="Arial"/>
          <w:sz w:val="20"/>
          <w:szCs w:val="20"/>
        </w:rPr>
        <w:t xml:space="preserve"> </w:t>
      </w:r>
      <w:r>
        <w:rPr>
          <w:rFonts w:ascii="Arial" w:eastAsia="Calibri" w:hAnsi="Arial" w:cs="Arial"/>
          <w:sz w:val="20"/>
          <w:szCs w:val="20"/>
        </w:rPr>
        <w:t xml:space="preserve">modela - </w:t>
      </w:r>
      <w:r w:rsidR="00A01EFA" w:rsidRPr="00672534">
        <w:rPr>
          <w:rFonts w:ascii="Arial" w:eastAsia="Calibri" w:hAnsi="Arial" w:cs="Arial"/>
          <w:sz w:val="20"/>
          <w:szCs w:val="20"/>
        </w:rPr>
        <w:t>orodja za podporo registru, ki bo</w:t>
      </w:r>
      <w:r w:rsidR="00484EA6" w:rsidRPr="00484EA6">
        <w:rPr>
          <w:rFonts w:ascii="Arial" w:eastAsia="Calibri" w:hAnsi="Arial" w:cs="Arial"/>
          <w:sz w:val="20"/>
          <w:szCs w:val="20"/>
        </w:rPr>
        <w:t xml:space="preserve"> </w:t>
      </w:r>
      <w:r w:rsidR="00484EA6" w:rsidRPr="00672534">
        <w:rPr>
          <w:rFonts w:ascii="Arial" w:eastAsia="Calibri" w:hAnsi="Arial" w:cs="Arial"/>
          <w:sz w:val="20"/>
          <w:szCs w:val="20"/>
        </w:rPr>
        <w:t>standardiziral</w:t>
      </w:r>
      <w:r>
        <w:rPr>
          <w:rFonts w:ascii="Arial" w:eastAsia="Calibri" w:hAnsi="Arial" w:cs="Arial"/>
          <w:sz w:val="20"/>
          <w:szCs w:val="20"/>
        </w:rPr>
        <w:t xml:space="preserve">: </w:t>
      </w:r>
    </w:p>
    <w:p w14:paraId="0CA774D0" w14:textId="14551467" w:rsidR="00672534" w:rsidRDefault="00A01EFA" w:rsidP="003445EF">
      <w:pPr>
        <w:pStyle w:val="Odstavekseznama"/>
        <w:numPr>
          <w:ilvl w:val="0"/>
          <w:numId w:val="2"/>
        </w:numPr>
        <w:spacing w:after="0" w:line="240" w:lineRule="auto"/>
        <w:jc w:val="both"/>
        <w:rPr>
          <w:rFonts w:ascii="Arial" w:eastAsia="Calibri" w:hAnsi="Arial" w:cs="Arial"/>
          <w:sz w:val="20"/>
          <w:szCs w:val="20"/>
        </w:rPr>
      </w:pPr>
      <w:r w:rsidRPr="00672534">
        <w:rPr>
          <w:rFonts w:ascii="Arial" w:eastAsia="Calibri" w:hAnsi="Arial" w:cs="Arial"/>
          <w:sz w:val="20"/>
          <w:szCs w:val="20"/>
        </w:rPr>
        <w:t xml:space="preserve">nabor relevantnih podatkov, </w:t>
      </w:r>
    </w:p>
    <w:p w14:paraId="0F391579" w14:textId="77777777" w:rsidR="00672534" w:rsidRDefault="00A01EFA" w:rsidP="003445EF">
      <w:pPr>
        <w:pStyle w:val="Odstavekseznama"/>
        <w:numPr>
          <w:ilvl w:val="0"/>
          <w:numId w:val="2"/>
        </w:numPr>
        <w:spacing w:after="0" w:line="240" w:lineRule="auto"/>
        <w:jc w:val="both"/>
        <w:rPr>
          <w:rFonts w:ascii="Arial" w:eastAsia="Calibri" w:hAnsi="Arial" w:cs="Arial"/>
          <w:sz w:val="20"/>
          <w:szCs w:val="20"/>
        </w:rPr>
      </w:pPr>
      <w:r w:rsidRPr="00672534">
        <w:rPr>
          <w:rFonts w:ascii="Arial" w:eastAsia="Calibri" w:hAnsi="Arial" w:cs="Arial"/>
          <w:sz w:val="20"/>
          <w:szCs w:val="20"/>
        </w:rPr>
        <w:t xml:space="preserve">metodologijo zajemanja podatkov, </w:t>
      </w:r>
    </w:p>
    <w:p w14:paraId="1BF9887E" w14:textId="77777777" w:rsidR="00672534" w:rsidRDefault="00A01EFA" w:rsidP="003445EF">
      <w:pPr>
        <w:pStyle w:val="Odstavekseznama"/>
        <w:numPr>
          <w:ilvl w:val="0"/>
          <w:numId w:val="2"/>
        </w:numPr>
        <w:spacing w:after="0" w:line="240" w:lineRule="auto"/>
        <w:jc w:val="both"/>
        <w:rPr>
          <w:rFonts w:ascii="Arial" w:eastAsia="Calibri" w:hAnsi="Arial" w:cs="Arial"/>
          <w:sz w:val="20"/>
          <w:szCs w:val="20"/>
        </w:rPr>
      </w:pPr>
      <w:r w:rsidRPr="00672534">
        <w:rPr>
          <w:rFonts w:ascii="Arial" w:eastAsia="Calibri" w:hAnsi="Arial" w:cs="Arial"/>
          <w:sz w:val="20"/>
          <w:szCs w:val="20"/>
        </w:rPr>
        <w:t xml:space="preserve">način evidentiranja, obračunavanja, poročanja in vrednotenja. </w:t>
      </w:r>
    </w:p>
    <w:p w14:paraId="4EF612D4" w14:textId="77777777" w:rsidR="006A329C" w:rsidRDefault="006A329C" w:rsidP="006A329C">
      <w:pPr>
        <w:spacing w:after="0" w:line="240" w:lineRule="auto"/>
        <w:jc w:val="both"/>
        <w:rPr>
          <w:rFonts w:ascii="Arial" w:eastAsia="Calibri" w:hAnsi="Arial" w:cs="Arial"/>
          <w:sz w:val="20"/>
          <w:szCs w:val="20"/>
        </w:rPr>
      </w:pPr>
    </w:p>
    <w:p w14:paraId="513D2CAD" w14:textId="77777777" w:rsidR="006A329C" w:rsidRPr="00D44340" w:rsidRDefault="006A329C" w:rsidP="00D44340">
      <w:pPr>
        <w:pStyle w:val="Naslov3"/>
        <w:rPr>
          <w:rFonts w:ascii="Arial" w:eastAsia="Calibri" w:hAnsi="Arial" w:cs="Arial"/>
          <w:b/>
          <w:color w:val="70AD47" w:themeColor="accent6"/>
        </w:rPr>
      </w:pPr>
      <w:bookmarkStart w:id="29" w:name="_Toc102741392"/>
      <w:r w:rsidRPr="00D44340">
        <w:rPr>
          <w:rFonts w:ascii="Arial" w:eastAsia="Calibri" w:hAnsi="Arial" w:cs="Arial"/>
          <w:b/>
          <w:color w:val="70AD47" w:themeColor="accent6"/>
        </w:rPr>
        <w:t>IV.2.1. Ozadje</w:t>
      </w:r>
      <w:bookmarkEnd w:id="29"/>
    </w:p>
    <w:p w14:paraId="32E7C4A3" w14:textId="77777777" w:rsidR="006A329C" w:rsidRDefault="006A329C" w:rsidP="006A329C">
      <w:pPr>
        <w:spacing w:after="0" w:line="240" w:lineRule="auto"/>
        <w:jc w:val="both"/>
        <w:rPr>
          <w:rFonts w:ascii="Arial" w:eastAsia="Calibri" w:hAnsi="Arial" w:cs="Times New Roman"/>
          <w:color w:val="538135" w:themeColor="accent6" w:themeShade="BF"/>
          <w:sz w:val="20"/>
          <w:szCs w:val="20"/>
        </w:rPr>
      </w:pPr>
    </w:p>
    <w:p w14:paraId="3C98A12A" w14:textId="2946283E" w:rsidR="00484EA6" w:rsidRDefault="00484EA6" w:rsidP="006A329C">
      <w:pPr>
        <w:spacing w:after="0" w:line="240" w:lineRule="auto"/>
        <w:jc w:val="both"/>
        <w:rPr>
          <w:rFonts w:ascii="Arial" w:eastAsia="Calibri" w:hAnsi="Arial" w:cs="Times New Roman"/>
          <w:sz w:val="20"/>
          <w:szCs w:val="20"/>
        </w:rPr>
      </w:pPr>
      <w:r w:rsidRPr="00484EA6">
        <w:rPr>
          <w:rFonts w:ascii="Arial" w:eastAsia="Calibri" w:hAnsi="Arial" w:cs="Times New Roman"/>
          <w:sz w:val="20"/>
          <w:szCs w:val="20"/>
        </w:rPr>
        <w:t xml:space="preserve">Z namenom doseganja ciljev Pariškega sporazuma o zmanjšanju emisij toplogrednih plinov (TGP) in omejitvi globalnega segrevanja pod 2ºC  je Evropska unija vzpostavila sistem trgovanja z emisijami (EU ETS – EU Emission Trading System). Cilj EU ETS je zmanjšati emisije na stroškovno učinkovit način. V okviru EU ETS se trguje z  pravicami do emisije oziroma </w:t>
      </w:r>
      <w:r w:rsidR="00E36FB3">
        <w:rPr>
          <w:rFonts w:ascii="Arial" w:eastAsia="Calibri" w:hAnsi="Arial" w:cs="Times New Roman"/>
          <w:sz w:val="20"/>
          <w:szCs w:val="20"/>
        </w:rPr>
        <w:t>'</w:t>
      </w:r>
      <w:r w:rsidRPr="00484EA6">
        <w:rPr>
          <w:rFonts w:ascii="Arial" w:eastAsia="Calibri" w:hAnsi="Arial" w:cs="Times New Roman"/>
          <w:sz w:val="20"/>
          <w:szCs w:val="20"/>
        </w:rPr>
        <w:t>kuponi</w:t>
      </w:r>
      <w:r w:rsidR="00E36FB3">
        <w:rPr>
          <w:rFonts w:ascii="Arial" w:eastAsia="Calibri" w:hAnsi="Arial" w:cs="Times New Roman"/>
          <w:sz w:val="20"/>
          <w:szCs w:val="20"/>
        </w:rPr>
        <w:t>'</w:t>
      </w:r>
      <w:r w:rsidRPr="00484EA6">
        <w:rPr>
          <w:rFonts w:ascii="Arial" w:eastAsia="Calibri" w:hAnsi="Arial" w:cs="Times New Roman"/>
          <w:sz w:val="20"/>
          <w:szCs w:val="20"/>
        </w:rPr>
        <w:t>, katerih cena se določa prosto na trgu. Danes se še vedno pojavljajo izzivi v zvezi z natančnostjo in točnostjo merjenja, kar vodi v manjšo transparentnost in večjo možnost utaj pri poročanju o obsegu emisij in davčnih utaj, kar se lahko neposredno odraža na državnem proračunu</w:t>
      </w:r>
      <w:r w:rsidR="00842FE6">
        <w:rPr>
          <w:rStyle w:val="Sprotnaopomba-sklic"/>
          <w:rFonts w:ascii="Arial" w:eastAsia="Calibri" w:hAnsi="Arial" w:cs="Times New Roman"/>
          <w:sz w:val="20"/>
          <w:szCs w:val="20"/>
        </w:rPr>
        <w:footnoteReference w:id="8"/>
      </w:r>
      <w:r w:rsidRPr="00484EA6">
        <w:rPr>
          <w:rFonts w:ascii="Arial" w:eastAsia="Calibri" w:hAnsi="Arial" w:cs="Times New Roman"/>
          <w:sz w:val="20"/>
          <w:szCs w:val="20"/>
        </w:rPr>
        <w:t>.</w:t>
      </w:r>
    </w:p>
    <w:p w14:paraId="4CFF1A38" w14:textId="77777777" w:rsidR="006A329C" w:rsidRDefault="006A329C" w:rsidP="006A329C">
      <w:pPr>
        <w:spacing w:after="0" w:line="240" w:lineRule="auto"/>
        <w:jc w:val="both"/>
        <w:rPr>
          <w:rFonts w:ascii="Arial" w:eastAsia="Calibri" w:hAnsi="Arial" w:cs="Times New Roman"/>
          <w:sz w:val="20"/>
          <w:szCs w:val="20"/>
        </w:rPr>
      </w:pPr>
    </w:p>
    <w:p w14:paraId="484470B6" w14:textId="205634D6" w:rsidR="00484EA6" w:rsidRDefault="00484EA6" w:rsidP="006A329C">
      <w:pPr>
        <w:spacing w:after="0" w:line="240" w:lineRule="auto"/>
        <w:jc w:val="both"/>
        <w:rPr>
          <w:rFonts w:ascii="Arial" w:eastAsia="Calibri" w:hAnsi="Arial" w:cs="Times New Roman"/>
          <w:sz w:val="20"/>
          <w:szCs w:val="20"/>
        </w:rPr>
      </w:pPr>
      <w:r w:rsidRPr="00484EA6">
        <w:rPr>
          <w:rFonts w:ascii="Arial" w:eastAsia="Calibri" w:hAnsi="Arial" w:cs="Times New Roman"/>
          <w:sz w:val="20"/>
          <w:szCs w:val="20"/>
        </w:rPr>
        <w:t xml:space="preserve">Sektorji, ki jih pokriva EU ETS, so proizvodnja elektrike in toplote, industrijski procesi (rafinerije nafte, tovarne železa in jekla, proizvodnja cementa …) in letalstvo. Po podatkih iz leta 2015 so ti sektorji na ravni Evropske unije ustvarili 45 % vseh TGP. EU ETS z namenom zmanjšanja emisij TGP uporablja sistem kapice in trgovanja (ang. </w:t>
      </w:r>
      <w:r w:rsidRPr="004115E3">
        <w:rPr>
          <w:rFonts w:ascii="Arial" w:eastAsia="Calibri" w:hAnsi="Arial" w:cs="Times New Roman"/>
          <w:i/>
          <w:iCs/>
          <w:sz w:val="20"/>
          <w:szCs w:val="20"/>
        </w:rPr>
        <w:t>cap-and trade</w:t>
      </w:r>
      <w:r w:rsidRPr="00484EA6">
        <w:rPr>
          <w:rFonts w:ascii="Arial" w:eastAsia="Calibri" w:hAnsi="Arial" w:cs="Times New Roman"/>
          <w:sz w:val="20"/>
          <w:szCs w:val="20"/>
        </w:rPr>
        <w:t xml:space="preserve">), pri čemer kapica pomeni zgornjo mejo skupne količine emisij TGP, ki jih lahko vsako leto izpustijo subjekti, zajeti v ETS. Ta zgornja meja se skozi leta zmanjšuje, tako da se zmanjšujejo tudi skupne emisije TGP. Kapica se uveljavlja skozi skupno letno količino pravic do emisije (t.i. EUA – </w:t>
      </w:r>
      <w:r w:rsidRPr="004115E3">
        <w:rPr>
          <w:rFonts w:ascii="Arial" w:eastAsia="Calibri" w:hAnsi="Arial" w:cs="Times New Roman"/>
          <w:i/>
          <w:iCs/>
          <w:sz w:val="20"/>
          <w:szCs w:val="20"/>
        </w:rPr>
        <w:t>European Union Allowances</w:t>
      </w:r>
      <w:r w:rsidRPr="00484EA6">
        <w:rPr>
          <w:rFonts w:ascii="Arial" w:eastAsia="Calibri" w:hAnsi="Arial" w:cs="Times New Roman"/>
          <w:sz w:val="20"/>
          <w:szCs w:val="20"/>
        </w:rPr>
        <w:t xml:space="preserve">). </w:t>
      </w:r>
    </w:p>
    <w:p w14:paraId="5BA32798" w14:textId="17113C73" w:rsidR="00484EA6" w:rsidRDefault="00484EA6" w:rsidP="006A329C">
      <w:pPr>
        <w:spacing w:after="0" w:line="240" w:lineRule="auto"/>
        <w:jc w:val="both"/>
        <w:rPr>
          <w:rFonts w:ascii="Arial" w:eastAsia="Calibri" w:hAnsi="Arial" w:cs="Times New Roman"/>
          <w:sz w:val="20"/>
          <w:szCs w:val="20"/>
        </w:rPr>
      </w:pPr>
    </w:p>
    <w:p w14:paraId="0B48D75B" w14:textId="396345E9" w:rsidR="00484EA6" w:rsidRDefault="00484EA6" w:rsidP="006A329C">
      <w:pPr>
        <w:spacing w:after="0" w:line="240" w:lineRule="auto"/>
        <w:jc w:val="both"/>
        <w:rPr>
          <w:rFonts w:ascii="Arial" w:eastAsia="Calibri" w:hAnsi="Arial" w:cs="Times New Roman"/>
          <w:sz w:val="20"/>
          <w:szCs w:val="20"/>
        </w:rPr>
      </w:pPr>
      <w:r w:rsidRPr="00484EA6">
        <w:rPr>
          <w:rFonts w:ascii="Arial" w:eastAsia="Calibri" w:hAnsi="Arial" w:cs="Times New Roman"/>
          <w:sz w:val="20"/>
          <w:szCs w:val="20"/>
        </w:rPr>
        <w:t>Vsaka pravica do emisije omogoča pravico do emisije ene tone ekvivalenta ogljikovega dioksida. Podjetja lahko kupijo kupone na dražbah, ki jih organizirajo države članice EU ali pa trgujejo z njimi na borzi (na sekundarnih trgih). Na tak način se oblikuje cena emisij toplogrednih plinov, ki spodbuja podjetja k dolgoročnemu zmanjšanju emisij. Po podatkih EK iz leta 2016</w:t>
      </w:r>
      <w:r w:rsidR="00E36FB3" w:rsidRPr="00484EA6">
        <w:rPr>
          <w:rFonts w:ascii="Arial" w:eastAsia="Calibri" w:hAnsi="Arial" w:cs="Times New Roman"/>
          <w:sz w:val="20"/>
          <w:szCs w:val="20"/>
        </w:rPr>
        <w:t xml:space="preserve"> </w:t>
      </w:r>
      <w:r w:rsidRPr="00484EA6">
        <w:rPr>
          <w:rFonts w:ascii="Arial" w:eastAsia="Calibri" w:hAnsi="Arial" w:cs="Times New Roman"/>
          <w:sz w:val="20"/>
          <w:szCs w:val="20"/>
        </w:rPr>
        <w:t>so v letu 2015 dražbe  pravic do emisije državam članicam EU ustv</w:t>
      </w:r>
      <w:r w:rsidR="00475C89">
        <w:rPr>
          <w:rFonts w:ascii="Arial" w:eastAsia="Calibri" w:hAnsi="Arial" w:cs="Times New Roman"/>
          <w:sz w:val="20"/>
          <w:szCs w:val="20"/>
        </w:rPr>
        <w:t>arile 4,9 milijard EUR prihodka</w:t>
      </w:r>
      <w:r w:rsidR="00475C89">
        <w:rPr>
          <w:rStyle w:val="Sprotnaopomba-sklic"/>
          <w:rFonts w:ascii="Arial" w:eastAsia="Calibri" w:hAnsi="Arial" w:cs="Times New Roman"/>
          <w:sz w:val="20"/>
          <w:szCs w:val="20"/>
        </w:rPr>
        <w:footnoteReference w:id="9"/>
      </w:r>
      <w:r w:rsidRPr="00484EA6">
        <w:rPr>
          <w:rFonts w:ascii="Arial" w:eastAsia="Calibri" w:hAnsi="Arial" w:cs="Times New Roman"/>
          <w:sz w:val="20"/>
          <w:szCs w:val="20"/>
        </w:rPr>
        <w:t xml:space="preserve">. Od tega so države članice največ sredstev (37 %) namenile </w:t>
      </w:r>
      <w:r w:rsidR="00842FE6">
        <w:rPr>
          <w:rFonts w:ascii="Arial" w:eastAsia="Calibri" w:hAnsi="Arial" w:cs="Times New Roman"/>
          <w:sz w:val="20"/>
          <w:szCs w:val="20"/>
        </w:rPr>
        <w:t>prilagajanju podnebnim spremembam</w:t>
      </w:r>
      <w:r w:rsidRPr="00484EA6">
        <w:rPr>
          <w:rFonts w:ascii="Arial" w:eastAsia="Calibri" w:hAnsi="Arial" w:cs="Times New Roman"/>
          <w:sz w:val="20"/>
          <w:szCs w:val="20"/>
        </w:rPr>
        <w:t>, 33 % za investicije v obnovljive vire energije, 19 % za investicije v energetsko učinkovitost in 7 % za raziskave in razvoj.</w:t>
      </w:r>
    </w:p>
    <w:p w14:paraId="771D9C22" w14:textId="77777777" w:rsidR="00484EA6" w:rsidRDefault="00484EA6" w:rsidP="006A329C">
      <w:pPr>
        <w:spacing w:after="0" w:line="240" w:lineRule="auto"/>
        <w:jc w:val="both"/>
        <w:rPr>
          <w:rFonts w:ascii="Arial" w:eastAsia="Calibri" w:hAnsi="Arial" w:cs="Times New Roman"/>
          <w:sz w:val="20"/>
          <w:szCs w:val="20"/>
        </w:rPr>
      </w:pPr>
    </w:p>
    <w:p w14:paraId="4934FB71" w14:textId="458D6545" w:rsidR="00A8331D" w:rsidRDefault="00ED5C0A" w:rsidP="006A329C">
      <w:pPr>
        <w:spacing w:after="0" w:line="240" w:lineRule="auto"/>
        <w:jc w:val="both"/>
        <w:rPr>
          <w:rFonts w:ascii="Arial" w:eastAsia="Calibri" w:hAnsi="Arial" w:cs="Times New Roman"/>
          <w:sz w:val="20"/>
          <w:szCs w:val="20"/>
        </w:rPr>
      </w:pPr>
      <w:r w:rsidRPr="00ED5C0A">
        <w:rPr>
          <w:rFonts w:ascii="Arial" w:eastAsia="Calibri" w:hAnsi="Arial" w:cs="Times New Roman"/>
          <w:sz w:val="20"/>
          <w:szCs w:val="20"/>
        </w:rPr>
        <w:t>Trenutni cilj EU ETS je zmanjšanje skupnih emisij v sektorjih, ki so del tega sistema, za 43 % do leta 2030 glede na leto 2005. Ta cilj je bil do leta 2020 že dosežen in presežen. Trenutno poteka revizija EU ETS direktive (Direktiva 2003/87/EC), ki bo EU ETS razširila še na nekatere druge sektorje in zastavila ambicioznejši cilj – 61-odstotno zmanjšanje skupnih emisij TGP v sektorjih, zajetih v EU ETS, do leta 2030 glede na leto 2005. Revizija bo uvedla tudi večji linearni faktor zmanjšanja, kar pomeni, da se bo skupno število pravic do emisije na letni ravni zmanjševalo hitreje kot doslej. Poleg tega se bo postopoma ukinilo dodeljevanje brezplačnih pravic do emisije. Podjetja znotraj EU ETS bodo zato morala povečati svoje napore za dolgoročno zmanjšanje emisij TGP.</w:t>
      </w:r>
    </w:p>
    <w:p w14:paraId="33914E65" w14:textId="77777777" w:rsidR="00ED5C0A" w:rsidRDefault="00ED5C0A" w:rsidP="006A329C">
      <w:pPr>
        <w:spacing w:after="0" w:line="240" w:lineRule="auto"/>
        <w:jc w:val="both"/>
        <w:rPr>
          <w:rFonts w:ascii="Arial" w:eastAsia="Calibri" w:hAnsi="Arial" w:cs="Times New Roman"/>
          <w:sz w:val="20"/>
          <w:szCs w:val="20"/>
        </w:rPr>
      </w:pPr>
    </w:p>
    <w:p w14:paraId="08C7C8A7" w14:textId="48DEE7AF" w:rsidR="000509C1" w:rsidRDefault="00AB2EB3" w:rsidP="006A329C">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Izravnavanje ogljika (ang. </w:t>
      </w:r>
      <w:r w:rsidR="000C192A" w:rsidRPr="004115E3">
        <w:rPr>
          <w:rFonts w:ascii="Arial" w:eastAsia="Calibri" w:hAnsi="Arial" w:cs="Times New Roman"/>
          <w:i/>
          <w:iCs/>
          <w:sz w:val="20"/>
          <w:szCs w:val="20"/>
        </w:rPr>
        <w:t xml:space="preserve">carbon </w:t>
      </w:r>
      <w:r w:rsidRPr="004115E3">
        <w:rPr>
          <w:rFonts w:ascii="Arial" w:eastAsia="Calibri" w:hAnsi="Arial" w:cs="Times New Roman"/>
          <w:i/>
          <w:iCs/>
          <w:sz w:val="20"/>
          <w:szCs w:val="20"/>
        </w:rPr>
        <w:t>offseting</w:t>
      </w:r>
      <w:r w:rsidR="008C092A">
        <w:rPr>
          <w:rStyle w:val="Sprotnaopomba-sklic"/>
          <w:rFonts w:ascii="Arial" w:eastAsia="Calibri" w:hAnsi="Arial" w:cs="Times New Roman"/>
          <w:sz w:val="20"/>
          <w:szCs w:val="20"/>
        </w:rPr>
        <w:footnoteReference w:id="10"/>
      </w:r>
      <w:r>
        <w:rPr>
          <w:rFonts w:ascii="Arial" w:eastAsia="Calibri" w:hAnsi="Arial" w:cs="Times New Roman"/>
          <w:sz w:val="20"/>
          <w:szCs w:val="20"/>
        </w:rPr>
        <w:t xml:space="preserve">) se ne izvaja le na ravni držav članic, ampak tudi na ravni podjetij. Podjetja ga navadno uporabljajo za uravnoteženje emisij bodisi z investicijami v čiste in obnovljive vire energije, kot </w:t>
      </w:r>
      <w:r w:rsidR="000C192A">
        <w:rPr>
          <w:rFonts w:ascii="Arial" w:eastAsia="Calibri" w:hAnsi="Arial" w:cs="Times New Roman"/>
          <w:sz w:val="20"/>
          <w:szCs w:val="20"/>
        </w:rPr>
        <w:t>so</w:t>
      </w:r>
      <w:r>
        <w:rPr>
          <w:rFonts w:ascii="Arial" w:eastAsia="Calibri" w:hAnsi="Arial" w:cs="Times New Roman"/>
          <w:sz w:val="20"/>
          <w:szCs w:val="20"/>
        </w:rPr>
        <w:t xml:space="preserve"> veter, sonce ali pa hidroenergija, ali pa z nakupom kreditov za kompenzacijo ekvivalentov emisij</w:t>
      </w:r>
      <w:r w:rsidR="008C092A">
        <w:rPr>
          <w:rFonts w:ascii="Arial" w:eastAsia="Calibri" w:hAnsi="Arial" w:cs="Times New Roman"/>
          <w:sz w:val="20"/>
          <w:szCs w:val="20"/>
        </w:rPr>
        <w:t xml:space="preserve"> </w:t>
      </w:r>
      <w:r w:rsidR="000C192A">
        <w:rPr>
          <w:rFonts w:ascii="Arial" w:eastAsia="Calibri" w:hAnsi="Arial" w:cs="Times New Roman"/>
          <w:sz w:val="20"/>
          <w:szCs w:val="20"/>
        </w:rPr>
        <w:t>(</w:t>
      </w:r>
      <w:r w:rsidR="00842FE6">
        <w:rPr>
          <w:rFonts w:ascii="Arial" w:eastAsia="Calibri" w:hAnsi="Arial" w:cs="Times New Roman"/>
          <w:sz w:val="20"/>
          <w:szCs w:val="20"/>
        </w:rPr>
        <w:t xml:space="preserve">na primer </w:t>
      </w:r>
      <w:r w:rsidR="004115E3">
        <w:rPr>
          <w:rFonts w:ascii="Arial" w:eastAsia="Calibri" w:hAnsi="Arial" w:cs="Times New Roman"/>
          <w:sz w:val="20"/>
          <w:szCs w:val="20"/>
        </w:rPr>
        <w:t xml:space="preserve">potrjenim zmanjšanjem emisij, ang. </w:t>
      </w:r>
      <w:r w:rsidR="000C192A">
        <w:rPr>
          <w:rFonts w:ascii="Arial" w:eastAsia="Calibri" w:hAnsi="Arial" w:cs="Times New Roman"/>
          <w:sz w:val="20"/>
          <w:szCs w:val="20"/>
        </w:rPr>
        <w:t>Certified Emission Reductions – CER</w:t>
      </w:r>
      <w:r w:rsidR="004115E3">
        <w:rPr>
          <w:rFonts w:ascii="Arial" w:eastAsia="Calibri" w:hAnsi="Arial" w:cs="Times New Roman"/>
          <w:sz w:val="20"/>
          <w:szCs w:val="20"/>
        </w:rPr>
        <w:t>)</w:t>
      </w:r>
      <w:r w:rsidR="000C192A">
        <w:rPr>
          <w:rFonts w:ascii="Arial" w:eastAsia="Calibri" w:hAnsi="Arial" w:cs="Times New Roman"/>
          <w:sz w:val="20"/>
          <w:szCs w:val="20"/>
        </w:rPr>
        <w:t xml:space="preserve"> </w:t>
      </w:r>
      <w:r w:rsidR="008C092A">
        <w:rPr>
          <w:rFonts w:ascii="Arial" w:eastAsia="Calibri" w:hAnsi="Arial" w:cs="Times New Roman"/>
          <w:sz w:val="20"/>
          <w:szCs w:val="20"/>
        </w:rPr>
        <w:t>in z nakupom</w:t>
      </w:r>
      <w:r w:rsidR="00C27510">
        <w:rPr>
          <w:rFonts w:ascii="Arial" w:eastAsia="Calibri" w:hAnsi="Arial" w:cs="Times New Roman"/>
          <w:sz w:val="20"/>
          <w:szCs w:val="20"/>
        </w:rPr>
        <w:t>pravic do emisije</w:t>
      </w:r>
      <w:r>
        <w:rPr>
          <w:rFonts w:ascii="Arial" w:eastAsia="Calibri" w:hAnsi="Arial" w:cs="Times New Roman"/>
          <w:sz w:val="20"/>
          <w:szCs w:val="20"/>
        </w:rPr>
        <w:t>.</w:t>
      </w:r>
      <w:r w:rsidR="00CA38C6">
        <w:rPr>
          <w:rFonts w:ascii="Arial" w:eastAsia="Calibri" w:hAnsi="Arial" w:cs="Times New Roman"/>
          <w:sz w:val="20"/>
          <w:szCs w:val="20"/>
        </w:rPr>
        <w:t xml:space="preserve"> </w:t>
      </w:r>
      <w:r w:rsidR="00AB3364">
        <w:rPr>
          <w:rFonts w:ascii="Arial" w:eastAsia="Calibri" w:hAnsi="Arial" w:cs="Times New Roman"/>
          <w:sz w:val="20"/>
          <w:szCs w:val="20"/>
        </w:rPr>
        <w:t>Izravnavanje ogljika omogoča podjetjem in posameznikom zmanjšati emisije ogljika z nakupom t.i. ogljičnih kreditov (ang. Carbon credits), ki jih lahko pridobijo od projektov, usmerjenih v zmanjšanje ogljika (npr.</w:t>
      </w:r>
      <w:r w:rsidR="000C192A">
        <w:rPr>
          <w:rFonts w:ascii="Arial" w:eastAsia="Calibri" w:hAnsi="Arial" w:cs="Times New Roman"/>
          <w:sz w:val="20"/>
          <w:szCs w:val="20"/>
        </w:rPr>
        <w:t xml:space="preserve"> z</w:t>
      </w:r>
      <w:r w:rsidR="00AB3364">
        <w:rPr>
          <w:rFonts w:ascii="Arial" w:eastAsia="Calibri" w:hAnsi="Arial" w:cs="Times New Roman"/>
          <w:sz w:val="20"/>
          <w:szCs w:val="20"/>
        </w:rPr>
        <w:t xml:space="preserve"> investicijami v obnovljive vire energije, zajemanje in hranjenje ogljika, zmanjšanje poseka gozdov, pogozdovanje ipd). </w:t>
      </w:r>
      <w:r w:rsidR="00AB3364" w:rsidRPr="002B73E1">
        <w:rPr>
          <w:rFonts w:ascii="Arial" w:eastAsia="Calibri" w:hAnsi="Arial" w:cs="Times New Roman"/>
          <w:b/>
          <w:sz w:val="20"/>
          <w:szCs w:val="20"/>
        </w:rPr>
        <w:t>Izzivi, ki se pojavljalo pri izravnavanju ogljika</w:t>
      </w:r>
      <w:r w:rsidR="000C192A">
        <w:rPr>
          <w:rFonts w:ascii="Arial" w:eastAsia="Calibri" w:hAnsi="Arial" w:cs="Times New Roman"/>
          <w:b/>
          <w:sz w:val="20"/>
          <w:szCs w:val="20"/>
        </w:rPr>
        <w:t>,</w:t>
      </w:r>
      <w:r w:rsidR="00AB3364" w:rsidRPr="002B73E1">
        <w:rPr>
          <w:rFonts w:ascii="Arial" w:eastAsia="Calibri" w:hAnsi="Arial" w:cs="Times New Roman"/>
          <w:b/>
          <w:sz w:val="20"/>
          <w:szCs w:val="20"/>
        </w:rPr>
        <w:t xml:space="preserve"> so predvsem težave pri merjenju in potrjevanju, pomanjkanju transparentnosti na trgih izravnave ogljika, ki nadalje povzročijo izzive na področju dokazovanja resničnosti izravnav</w:t>
      </w:r>
      <w:r w:rsidR="00AB3364">
        <w:rPr>
          <w:rFonts w:ascii="Arial" w:eastAsia="Calibri" w:hAnsi="Arial" w:cs="Times New Roman"/>
          <w:sz w:val="20"/>
          <w:szCs w:val="20"/>
        </w:rPr>
        <w:t xml:space="preserve">. </w:t>
      </w:r>
    </w:p>
    <w:p w14:paraId="736963B7" w14:textId="77777777" w:rsidR="000509C1" w:rsidRDefault="000509C1" w:rsidP="006A329C">
      <w:pPr>
        <w:spacing w:after="0" w:line="240" w:lineRule="auto"/>
        <w:jc w:val="both"/>
        <w:rPr>
          <w:rFonts w:ascii="Arial" w:eastAsia="Calibri" w:hAnsi="Arial" w:cs="Times New Roman"/>
          <w:sz w:val="20"/>
          <w:szCs w:val="20"/>
        </w:rPr>
      </w:pPr>
    </w:p>
    <w:p w14:paraId="2D235466" w14:textId="6A62284A" w:rsidR="00D41F2F" w:rsidRDefault="000509C1" w:rsidP="000509C1">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Izravnavanje ogljika na ravni podjetij je lahko obvezno (in se na tak način zagotavlja skladnost z zahtevami zakonodaje) ali pa prostovoljno. Prostovoljno se lahko izvaja pri tistih podjetjih, ki v skladu z zakonom nimajo obveznosti poročanja, vendar pa si želijo prispevati k zmanjšanju emisij </w:t>
      </w:r>
      <w:r w:rsidR="008C092A">
        <w:rPr>
          <w:rFonts w:ascii="Arial" w:eastAsia="Calibri" w:hAnsi="Arial" w:cs="Times New Roman"/>
          <w:sz w:val="20"/>
          <w:szCs w:val="20"/>
        </w:rPr>
        <w:t>TGP</w:t>
      </w:r>
      <w:r>
        <w:rPr>
          <w:rFonts w:ascii="Arial" w:eastAsia="Calibri" w:hAnsi="Arial" w:cs="Times New Roman"/>
          <w:sz w:val="20"/>
          <w:szCs w:val="20"/>
        </w:rPr>
        <w:t xml:space="preserve">. Z namenom spodbuditi čim večjo angažiranost podjetij, predvsem malih in srednje velikih podjetij, ki v skladu z zakonodajo (še) ne poročajo o izpustih in je njihovo spremljanje in poročanje prostovoljno, k čim boljšemu upravljanju z energijo in s tem tudi prispevanju k učinkoviti rabi energije, se na tem mestu osredotočamo </w:t>
      </w:r>
      <w:r w:rsidR="00842FE6">
        <w:rPr>
          <w:rFonts w:ascii="Arial" w:eastAsia="Calibri" w:hAnsi="Arial" w:cs="Times New Roman"/>
          <w:sz w:val="20"/>
          <w:szCs w:val="20"/>
        </w:rPr>
        <w:t>tudi</w:t>
      </w:r>
      <w:r>
        <w:rPr>
          <w:rFonts w:ascii="Arial" w:eastAsia="Calibri" w:hAnsi="Arial" w:cs="Times New Roman"/>
          <w:sz w:val="20"/>
          <w:szCs w:val="20"/>
        </w:rPr>
        <w:t xml:space="preserve"> na ta segment podjetij, ki prostovoljno pristopa k izravnavi ogljika in o tem tudi poroča. </w:t>
      </w:r>
    </w:p>
    <w:p w14:paraId="3F699CB4" w14:textId="77777777" w:rsidR="00D41F2F" w:rsidRDefault="00D41F2F" w:rsidP="000509C1">
      <w:pPr>
        <w:spacing w:after="0" w:line="240" w:lineRule="auto"/>
        <w:jc w:val="both"/>
        <w:rPr>
          <w:rFonts w:ascii="Arial" w:eastAsia="Calibri" w:hAnsi="Arial" w:cs="Times New Roman"/>
          <w:sz w:val="20"/>
          <w:szCs w:val="20"/>
        </w:rPr>
      </w:pPr>
    </w:p>
    <w:p w14:paraId="51AD8273" w14:textId="2D54B4AC" w:rsidR="000509C1" w:rsidRDefault="000509C1" w:rsidP="000509C1">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Dodatno lahko tovrstna </w:t>
      </w:r>
      <w:r w:rsidRPr="002B73E1">
        <w:rPr>
          <w:rFonts w:ascii="Arial" w:eastAsia="Calibri" w:hAnsi="Arial" w:cs="Times New Roman"/>
          <w:b/>
          <w:sz w:val="20"/>
          <w:szCs w:val="20"/>
        </w:rPr>
        <w:t xml:space="preserve">podjetja spodbudimo k prostovoljnemu angažiranju </w:t>
      </w:r>
      <w:r w:rsidR="00D41F2F" w:rsidRPr="002B73E1">
        <w:rPr>
          <w:rFonts w:ascii="Arial" w:eastAsia="Calibri" w:hAnsi="Arial" w:cs="Times New Roman"/>
          <w:b/>
          <w:sz w:val="20"/>
          <w:szCs w:val="20"/>
        </w:rPr>
        <w:t>pri izravnavanju ogljika in poročanju z uporabo naprednih digitalnih tehnologij</w:t>
      </w:r>
      <w:r w:rsidR="009B7654">
        <w:rPr>
          <w:rStyle w:val="Sprotnaopomba-sklic"/>
          <w:rFonts w:ascii="Arial" w:eastAsia="Calibri" w:hAnsi="Arial" w:cs="Times New Roman"/>
          <w:b/>
          <w:sz w:val="20"/>
          <w:szCs w:val="20"/>
        </w:rPr>
        <w:footnoteReference w:id="11"/>
      </w:r>
      <w:r w:rsidR="00D41F2F">
        <w:rPr>
          <w:rFonts w:ascii="Arial" w:eastAsia="Calibri" w:hAnsi="Arial" w:cs="Times New Roman"/>
          <w:sz w:val="20"/>
          <w:szCs w:val="20"/>
        </w:rPr>
        <w:t xml:space="preserve">, ki prilagajanje njihovih procesov k učinkovitejši rabi energije še dodatno podpre in olajša. Z vključevanjem podjetij v prostovoljno izravnavo ogljika pa spodbudimo tudi razvoj večjega števila projektov, ki so usmerjeni v zmanjšanje ogljičnega odtisa, kar še dodatno prispeva k okoljski, ekonomski in socialni trajnosti gospodarstva in družbe v celoti.  </w:t>
      </w:r>
    </w:p>
    <w:p w14:paraId="0872668C" w14:textId="77777777" w:rsidR="000509C1" w:rsidRDefault="000509C1" w:rsidP="006A329C">
      <w:pPr>
        <w:spacing w:after="0" w:line="240" w:lineRule="auto"/>
        <w:jc w:val="both"/>
        <w:rPr>
          <w:rFonts w:ascii="Arial" w:eastAsia="Calibri" w:hAnsi="Arial" w:cs="Times New Roman"/>
          <w:sz w:val="20"/>
          <w:szCs w:val="20"/>
        </w:rPr>
      </w:pPr>
    </w:p>
    <w:p w14:paraId="27D4CA80" w14:textId="77777777" w:rsidR="000509C1" w:rsidRPr="00D44340" w:rsidRDefault="00D41F2F" w:rsidP="00A81C05">
      <w:pPr>
        <w:pStyle w:val="Naslov3"/>
        <w:jc w:val="both"/>
        <w:rPr>
          <w:rFonts w:ascii="Arial" w:eastAsia="Calibri" w:hAnsi="Arial" w:cs="Arial"/>
          <w:b/>
          <w:color w:val="70AD47" w:themeColor="accent6"/>
        </w:rPr>
      </w:pPr>
      <w:bookmarkStart w:id="30" w:name="_Toc102741393"/>
      <w:r w:rsidRPr="00D44340">
        <w:rPr>
          <w:rFonts w:ascii="Arial" w:eastAsia="Calibri" w:hAnsi="Arial" w:cs="Arial"/>
          <w:b/>
          <w:color w:val="70AD47" w:themeColor="accent6"/>
        </w:rPr>
        <w:t>IV.2.2. Napredne digitalne tehnologije kot orodje za zmanjšanje emisij toplogrednih plinov</w:t>
      </w:r>
      <w:bookmarkEnd w:id="30"/>
      <w:r w:rsidRPr="00D44340">
        <w:rPr>
          <w:rFonts w:ascii="Arial" w:eastAsia="Calibri" w:hAnsi="Arial" w:cs="Arial"/>
          <w:b/>
          <w:color w:val="70AD47" w:themeColor="accent6"/>
        </w:rPr>
        <w:t xml:space="preserve"> </w:t>
      </w:r>
    </w:p>
    <w:p w14:paraId="29694879" w14:textId="77777777" w:rsidR="00D41F2F" w:rsidRDefault="00D41F2F" w:rsidP="006A329C">
      <w:pPr>
        <w:spacing w:after="0" w:line="240" w:lineRule="auto"/>
        <w:jc w:val="both"/>
        <w:rPr>
          <w:rFonts w:ascii="Arial" w:eastAsia="Calibri" w:hAnsi="Arial" w:cs="Times New Roman"/>
          <w:sz w:val="20"/>
          <w:szCs w:val="20"/>
        </w:rPr>
      </w:pPr>
    </w:p>
    <w:p w14:paraId="470E17BC" w14:textId="05212803" w:rsidR="00AB3364" w:rsidRDefault="000509C1" w:rsidP="006A329C">
      <w:pPr>
        <w:spacing w:after="0" w:line="240" w:lineRule="auto"/>
        <w:jc w:val="both"/>
        <w:rPr>
          <w:rFonts w:ascii="Arial" w:eastAsia="Calibri" w:hAnsi="Arial" w:cs="Times New Roman"/>
          <w:sz w:val="20"/>
          <w:szCs w:val="20"/>
        </w:rPr>
      </w:pPr>
      <w:r>
        <w:rPr>
          <w:rFonts w:ascii="Arial" w:eastAsia="Calibri" w:hAnsi="Arial" w:cs="Times New Roman"/>
          <w:sz w:val="20"/>
          <w:szCs w:val="20"/>
        </w:rPr>
        <w:t>Z namenom zagotovitve ustrezne izravnave ogljika mora biti podjetje v prvi vrsti sposobno za</w:t>
      </w:r>
      <w:r w:rsidR="009B7654">
        <w:rPr>
          <w:rFonts w:ascii="Arial" w:eastAsia="Calibri" w:hAnsi="Arial" w:cs="Times New Roman"/>
          <w:sz w:val="20"/>
          <w:szCs w:val="20"/>
        </w:rPr>
        <w:t>beležiti</w:t>
      </w:r>
      <w:r>
        <w:rPr>
          <w:rFonts w:ascii="Arial" w:eastAsia="Calibri" w:hAnsi="Arial" w:cs="Times New Roman"/>
          <w:sz w:val="20"/>
          <w:szCs w:val="20"/>
        </w:rPr>
        <w:t xml:space="preserve"> točne in natančne podatke o emisijah, ki morajo biti izračunani na osnovi dejanskih meritev in ne ocenjenih vrednosti, po vsej njihovi verigi vrednosti, v p</w:t>
      </w:r>
      <w:r w:rsidR="00F13CC0">
        <w:rPr>
          <w:rFonts w:ascii="Arial" w:eastAsia="Calibri" w:hAnsi="Arial" w:cs="Times New Roman"/>
          <w:sz w:val="20"/>
          <w:szCs w:val="20"/>
        </w:rPr>
        <w:t>rocesu proizvodnje in prodaje. Z uporabo naprednih digitalnih tehnologij je mogoče pridobiti učinek na trajnost v realnem času na način, da zagotovimo avtomatični izračun skupnih emisij</w:t>
      </w:r>
      <w:r w:rsidR="005833B3">
        <w:rPr>
          <w:rFonts w:ascii="Arial" w:eastAsia="Calibri" w:hAnsi="Arial" w:cs="Times New Roman"/>
          <w:sz w:val="20"/>
          <w:szCs w:val="20"/>
        </w:rPr>
        <w:t xml:space="preserve"> ter hkrati</w:t>
      </w:r>
      <w:r w:rsidR="00F13CC0">
        <w:rPr>
          <w:rFonts w:ascii="Arial" w:eastAsia="Calibri" w:hAnsi="Arial" w:cs="Times New Roman"/>
          <w:sz w:val="20"/>
          <w:szCs w:val="20"/>
        </w:rPr>
        <w:t xml:space="preserve"> ogljične intenzivnosti posameznega delovnega procesa</w:t>
      </w:r>
      <w:r w:rsidR="00F515A0">
        <w:rPr>
          <w:rFonts w:ascii="Arial" w:eastAsia="Calibri" w:hAnsi="Arial" w:cs="Times New Roman"/>
          <w:sz w:val="20"/>
          <w:szCs w:val="20"/>
        </w:rPr>
        <w:t xml:space="preserve"> na dnevni ravni</w:t>
      </w:r>
      <w:r w:rsidR="00F13CC0">
        <w:rPr>
          <w:rFonts w:ascii="Arial" w:eastAsia="Calibri" w:hAnsi="Arial" w:cs="Times New Roman"/>
          <w:sz w:val="20"/>
          <w:szCs w:val="20"/>
        </w:rPr>
        <w:t xml:space="preserve">. </w:t>
      </w:r>
      <w:r>
        <w:rPr>
          <w:rFonts w:ascii="Arial" w:eastAsia="Calibri" w:hAnsi="Arial" w:cs="Times New Roman"/>
          <w:sz w:val="20"/>
          <w:szCs w:val="20"/>
        </w:rPr>
        <w:t xml:space="preserve">  </w:t>
      </w:r>
    </w:p>
    <w:p w14:paraId="02B14F9B" w14:textId="77777777" w:rsidR="008A642F" w:rsidRDefault="008A642F" w:rsidP="006A329C">
      <w:pPr>
        <w:spacing w:after="0" w:line="240" w:lineRule="auto"/>
        <w:jc w:val="both"/>
        <w:rPr>
          <w:rFonts w:ascii="Arial" w:eastAsia="Calibri" w:hAnsi="Arial" w:cs="Times New Roman"/>
          <w:sz w:val="20"/>
          <w:szCs w:val="20"/>
        </w:rPr>
      </w:pPr>
    </w:p>
    <w:p w14:paraId="6747ABA6" w14:textId="68337122" w:rsidR="008A642F" w:rsidRDefault="006A329C" w:rsidP="006A329C">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Napredne digitalne tehnologije </w:t>
      </w:r>
      <w:r w:rsidR="00842FE6">
        <w:rPr>
          <w:rFonts w:ascii="Arial" w:eastAsia="Calibri" w:hAnsi="Arial" w:cs="Times New Roman"/>
          <w:sz w:val="20"/>
          <w:szCs w:val="20"/>
        </w:rPr>
        <w:t>imajo lahko velik potencial</w:t>
      </w:r>
      <w:r>
        <w:rPr>
          <w:rFonts w:ascii="Arial" w:eastAsia="Calibri" w:hAnsi="Arial" w:cs="Times New Roman"/>
          <w:sz w:val="20"/>
          <w:szCs w:val="20"/>
        </w:rPr>
        <w:t xml:space="preserve"> za </w:t>
      </w:r>
      <w:r w:rsidR="00842FE6">
        <w:rPr>
          <w:rFonts w:ascii="Arial" w:eastAsia="Calibri" w:hAnsi="Arial" w:cs="Times New Roman"/>
          <w:sz w:val="20"/>
          <w:szCs w:val="20"/>
        </w:rPr>
        <w:t xml:space="preserve">izboljšanje </w:t>
      </w:r>
      <w:r>
        <w:rPr>
          <w:rFonts w:ascii="Arial" w:eastAsia="Calibri" w:hAnsi="Arial" w:cs="Times New Roman"/>
          <w:sz w:val="20"/>
          <w:szCs w:val="20"/>
        </w:rPr>
        <w:t>merje</w:t>
      </w:r>
      <w:r w:rsidR="00842FE6">
        <w:rPr>
          <w:rFonts w:ascii="Arial" w:eastAsia="Calibri" w:hAnsi="Arial" w:cs="Times New Roman"/>
          <w:sz w:val="20"/>
          <w:szCs w:val="20"/>
        </w:rPr>
        <w:t>nja, spremljanja, zagotavljanja sledljivosti in transparentnega</w:t>
      </w:r>
      <w:r>
        <w:rPr>
          <w:rFonts w:ascii="Arial" w:eastAsia="Calibri" w:hAnsi="Arial" w:cs="Times New Roman"/>
          <w:sz w:val="20"/>
          <w:szCs w:val="20"/>
        </w:rPr>
        <w:t xml:space="preserve"> poročanj</w:t>
      </w:r>
      <w:r w:rsidR="00842FE6">
        <w:rPr>
          <w:rFonts w:ascii="Arial" w:eastAsia="Calibri" w:hAnsi="Arial" w:cs="Times New Roman"/>
          <w:sz w:val="20"/>
          <w:szCs w:val="20"/>
        </w:rPr>
        <w:t>a</w:t>
      </w:r>
      <w:r w:rsidR="008A642F">
        <w:rPr>
          <w:rFonts w:ascii="Arial" w:eastAsia="Calibri" w:hAnsi="Arial" w:cs="Times New Roman"/>
          <w:sz w:val="20"/>
          <w:szCs w:val="20"/>
        </w:rPr>
        <w:t>, saj omogočajo</w:t>
      </w:r>
    </w:p>
    <w:p w14:paraId="4390DDF1" w14:textId="77777777" w:rsidR="006A329C" w:rsidRPr="008A642F" w:rsidRDefault="008A642F" w:rsidP="003445EF">
      <w:pPr>
        <w:pStyle w:val="Odstavekseznama"/>
        <w:numPr>
          <w:ilvl w:val="0"/>
          <w:numId w:val="16"/>
        </w:numPr>
        <w:spacing w:after="0" w:line="240" w:lineRule="auto"/>
        <w:jc w:val="both"/>
        <w:rPr>
          <w:rFonts w:ascii="Arial" w:eastAsia="Calibri" w:hAnsi="Arial" w:cs="Times New Roman"/>
          <w:sz w:val="20"/>
          <w:szCs w:val="20"/>
        </w:rPr>
      </w:pPr>
      <w:r w:rsidRPr="008A642F">
        <w:rPr>
          <w:rFonts w:ascii="Arial" w:eastAsia="Calibri" w:hAnsi="Arial" w:cs="Times New Roman"/>
          <w:sz w:val="20"/>
          <w:szCs w:val="20"/>
        </w:rPr>
        <w:t xml:space="preserve">decentralizirane in distribuirane rešitve (zajema podatkov na mestu, kjer nastanejo), </w:t>
      </w:r>
      <w:r w:rsidR="006A329C" w:rsidRPr="008A642F">
        <w:rPr>
          <w:rFonts w:ascii="Arial" w:eastAsia="Calibri" w:hAnsi="Arial" w:cs="Times New Roman"/>
          <w:sz w:val="20"/>
          <w:szCs w:val="20"/>
        </w:rPr>
        <w:t xml:space="preserve"> </w:t>
      </w:r>
    </w:p>
    <w:p w14:paraId="279F40D7" w14:textId="2BDDC504" w:rsidR="008A642F" w:rsidRPr="008A642F" w:rsidRDefault="008A642F" w:rsidP="003445EF">
      <w:pPr>
        <w:pStyle w:val="Odstavekseznama"/>
        <w:numPr>
          <w:ilvl w:val="0"/>
          <w:numId w:val="16"/>
        </w:numPr>
        <w:spacing w:after="0" w:line="240" w:lineRule="auto"/>
        <w:jc w:val="both"/>
        <w:rPr>
          <w:rFonts w:ascii="Arial" w:eastAsia="Calibri" w:hAnsi="Arial" w:cs="Times New Roman"/>
          <w:sz w:val="20"/>
          <w:szCs w:val="20"/>
        </w:rPr>
      </w:pPr>
      <w:r w:rsidRPr="008A642F">
        <w:rPr>
          <w:rFonts w:ascii="Arial" w:eastAsia="Calibri" w:hAnsi="Arial" w:cs="Times New Roman"/>
          <w:sz w:val="20"/>
          <w:szCs w:val="20"/>
        </w:rPr>
        <w:t>samodejno verifikacijo in avtorizacijo točnosti in natančnosti podatkov</w:t>
      </w:r>
      <w:r w:rsidR="005833B3">
        <w:rPr>
          <w:rFonts w:ascii="Arial" w:eastAsia="Calibri" w:hAnsi="Arial" w:cs="Times New Roman"/>
          <w:sz w:val="20"/>
          <w:szCs w:val="20"/>
        </w:rPr>
        <w:t>,</w:t>
      </w:r>
    </w:p>
    <w:p w14:paraId="23874D3A" w14:textId="75DBEBCA" w:rsidR="008A642F" w:rsidRPr="008A642F" w:rsidRDefault="008A642F" w:rsidP="003445EF">
      <w:pPr>
        <w:pStyle w:val="Odstavekseznama"/>
        <w:numPr>
          <w:ilvl w:val="0"/>
          <w:numId w:val="16"/>
        </w:numPr>
        <w:spacing w:after="0" w:line="240" w:lineRule="auto"/>
        <w:jc w:val="both"/>
        <w:rPr>
          <w:rFonts w:ascii="Arial" w:eastAsia="Calibri" w:hAnsi="Arial" w:cs="Times New Roman"/>
          <w:sz w:val="20"/>
          <w:szCs w:val="20"/>
        </w:rPr>
      </w:pPr>
      <w:r w:rsidRPr="008A642F">
        <w:rPr>
          <w:rFonts w:ascii="Arial" w:eastAsia="Calibri" w:hAnsi="Arial" w:cs="Times New Roman"/>
          <w:sz w:val="20"/>
          <w:szCs w:val="20"/>
        </w:rPr>
        <w:t>sledljivost in preverljivost</w:t>
      </w:r>
      <w:r w:rsidR="005833B3">
        <w:rPr>
          <w:rFonts w:ascii="Arial" w:eastAsia="Calibri" w:hAnsi="Arial" w:cs="Times New Roman"/>
          <w:sz w:val="20"/>
          <w:szCs w:val="20"/>
        </w:rPr>
        <w:t>,</w:t>
      </w:r>
      <w:r w:rsidRPr="008A642F">
        <w:rPr>
          <w:rFonts w:ascii="Arial" w:eastAsia="Calibri" w:hAnsi="Arial" w:cs="Times New Roman"/>
          <w:sz w:val="20"/>
          <w:szCs w:val="20"/>
        </w:rPr>
        <w:t xml:space="preserve"> </w:t>
      </w:r>
    </w:p>
    <w:p w14:paraId="18AA6ABC" w14:textId="77777777" w:rsidR="008A642F" w:rsidRPr="008A642F" w:rsidRDefault="008A642F" w:rsidP="003445EF">
      <w:pPr>
        <w:pStyle w:val="Odstavekseznama"/>
        <w:numPr>
          <w:ilvl w:val="0"/>
          <w:numId w:val="16"/>
        </w:numPr>
        <w:spacing w:after="0" w:line="240" w:lineRule="auto"/>
        <w:jc w:val="both"/>
        <w:rPr>
          <w:rFonts w:ascii="Arial" w:eastAsia="Calibri" w:hAnsi="Arial" w:cs="Arial"/>
          <w:sz w:val="20"/>
          <w:szCs w:val="20"/>
        </w:rPr>
      </w:pPr>
      <w:r w:rsidRPr="008A642F">
        <w:rPr>
          <w:rFonts w:ascii="Arial" w:eastAsia="Calibri" w:hAnsi="Arial" w:cs="Times New Roman"/>
          <w:sz w:val="20"/>
          <w:szCs w:val="20"/>
        </w:rPr>
        <w:t xml:space="preserve">povečanje kapacitete sistema za generiranje podatkov in njihovo uporabo tako za poročanje, kot tudi za </w:t>
      </w:r>
      <w:r w:rsidR="00177BD9">
        <w:rPr>
          <w:rFonts w:ascii="Arial" w:eastAsia="Calibri" w:hAnsi="Arial" w:cs="Times New Roman"/>
          <w:sz w:val="20"/>
          <w:szCs w:val="20"/>
        </w:rPr>
        <w:t>izvrševanje</w:t>
      </w:r>
      <w:r w:rsidRPr="008A642F">
        <w:rPr>
          <w:rFonts w:ascii="Arial" w:eastAsia="Calibri" w:hAnsi="Arial" w:cs="Times New Roman"/>
          <w:sz w:val="20"/>
          <w:szCs w:val="20"/>
        </w:rPr>
        <w:t xml:space="preserve"> obveznosti do države. </w:t>
      </w:r>
    </w:p>
    <w:p w14:paraId="5CCD7EC5" w14:textId="77777777" w:rsidR="008A642F" w:rsidRDefault="008A642F" w:rsidP="008A642F">
      <w:pPr>
        <w:spacing w:after="0" w:line="240" w:lineRule="auto"/>
        <w:jc w:val="both"/>
        <w:rPr>
          <w:rFonts w:ascii="Arial" w:eastAsia="Calibri" w:hAnsi="Arial" w:cs="Arial"/>
          <w:sz w:val="20"/>
          <w:szCs w:val="20"/>
        </w:rPr>
      </w:pPr>
    </w:p>
    <w:p w14:paraId="5285288D" w14:textId="7B0A2688" w:rsidR="00B95534" w:rsidRDefault="00F515A0" w:rsidP="008A642F">
      <w:pPr>
        <w:spacing w:after="0" w:line="240" w:lineRule="auto"/>
        <w:jc w:val="both"/>
        <w:rPr>
          <w:rFonts w:ascii="Arial" w:eastAsia="Calibri" w:hAnsi="Arial" w:cs="Arial"/>
          <w:sz w:val="20"/>
          <w:szCs w:val="20"/>
        </w:rPr>
      </w:pPr>
      <w:r>
        <w:rPr>
          <w:rFonts w:ascii="Arial" w:eastAsia="Calibri" w:hAnsi="Arial" w:cs="Arial"/>
          <w:sz w:val="20"/>
          <w:szCs w:val="20"/>
        </w:rPr>
        <w:t xml:space="preserve">Eno od tovrstnih tehnoloških rešitev ponujajo pametne pogodbe, ki so zavarovane z distribuiranim zapisom in jih je mogoče programirati na način, da dostopajo in agregirajo podatke po celotni verigi vrednosti z namenom merjenja in izračuna emisij. Ta način spremljanja rezultatov in sposobnosti potrjevanja učinka na okolje v realnem času omogoča </w:t>
      </w:r>
      <w:r w:rsidR="0027697C">
        <w:rPr>
          <w:rFonts w:ascii="Arial" w:eastAsia="Calibri" w:hAnsi="Arial" w:cs="Arial"/>
          <w:sz w:val="20"/>
          <w:szCs w:val="20"/>
        </w:rPr>
        <w:t xml:space="preserve">učinkovito izvajanje programov za izravnavanje ogljika. </w:t>
      </w:r>
    </w:p>
    <w:p w14:paraId="59719305" w14:textId="77777777" w:rsidR="00B95534" w:rsidRDefault="00B95534" w:rsidP="008A642F">
      <w:pPr>
        <w:spacing w:after="0" w:line="240" w:lineRule="auto"/>
        <w:jc w:val="both"/>
        <w:rPr>
          <w:rFonts w:ascii="Arial" w:eastAsia="Calibri" w:hAnsi="Arial" w:cs="Arial"/>
          <w:sz w:val="20"/>
          <w:szCs w:val="20"/>
        </w:rPr>
      </w:pPr>
    </w:p>
    <w:p w14:paraId="752212EF" w14:textId="49DB94F2" w:rsidR="00F515A0" w:rsidRDefault="0027697C" w:rsidP="008A642F">
      <w:pPr>
        <w:spacing w:after="0" w:line="240" w:lineRule="auto"/>
        <w:jc w:val="both"/>
        <w:rPr>
          <w:rFonts w:ascii="Arial" w:eastAsia="Calibri" w:hAnsi="Arial" w:cs="Arial"/>
          <w:sz w:val="20"/>
          <w:szCs w:val="20"/>
        </w:rPr>
      </w:pPr>
      <w:r>
        <w:rPr>
          <w:rFonts w:ascii="Arial" w:eastAsia="Calibri" w:hAnsi="Arial" w:cs="Arial"/>
          <w:sz w:val="20"/>
          <w:szCs w:val="20"/>
        </w:rPr>
        <w:t>Pametne pogodbe prav tako omogočajo vzpostavitev visoko kakovostnih izravnav ogljika skozi opredelitev izvora in unikatnost. Tehnologije distribuiranih zapisov, ki so osnova tehnologij veriženja blokov</w:t>
      </w:r>
      <w:r w:rsidR="005833B3">
        <w:rPr>
          <w:rFonts w:ascii="Arial" w:eastAsia="Calibri" w:hAnsi="Arial" w:cs="Arial"/>
          <w:sz w:val="20"/>
          <w:szCs w:val="20"/>
        </w:rPr>
        <w:t>,</w:t>
      </w:r>
      <w:r>
        <w:rPr>
          <w:rFonts w:ascii="Arial" w:eastAsia="Calibri" w:hAnsi="Arial" w:cs="Arial"/>
          <w:sz w:val="20"/>
          <w:szCs w:val="20"/>
        </w:rPr>
        <w:t xml:space="preserve"> predstavljajo sistem, ki omogoča nadzor, s tem pa zagotavlja verodostojnost in standardizacijo, ki vodi v opredelitev trajnostne metodologije za spremljanje, merjenje in upravljan</w:t>
      </w:r>
      <w:r w:rsidR="0070458D">
        <w:rPr>
          <w:rFonts w:ascii="Arial" w:eastAsia="Calibri" w:hAnsi="Arial" w:cs="Arial"/>
          <w:sz w:val="20"/>
          <w:szCs w:val="20"/>
        </w:rPr>
        <w:t xml:space="preserve">je podatkov o vplivu na okolje. </w:t>
      </w:r>
    </w:p>
    <w:p w14:paraId="07EDD22C" w14:textId="6F7B3587" w:rsidR="0020527C" w:rsidRDefault="0020527C" w:rsidP="008A642F">
      <w:pPr>
        <w:spacing w:after="0" w:line="240" w:lineRule="auto"/>
        <w:jc w:val="both"/>
        <w:rPr>
          <w:rFonts w:ascii="Arial" w:eastAsia="Calibri" w:hAnsi="Arial" w:cs="Arial"/>
          <w:sz w:val="20"/>
          <w:szCs w:val="20"/>
        </w:rPr>
      </w:pPr>
    </w:p>
    <w:p w14:paraId="64C1738D" w14:textId="3F812946" w:rsidR="0020527C" w:rsidRDefault="0020527C" w:rsidP="008A642F">
      <w:pPr>
        <w:spacing w:after="0" w:line="240" w:lineRule="auto"/>
        <w:jc w:val="both"/>
        <w:rPr>
          <w:rFonts w:ascii="Arial" w:eastAsia="Calibri" w:hAnsi="Arial" w:cs="Arial"/>
          <w:sz w:val="20"/>
          <w:szCs w:val="20"/>
        </w:rPr>
      </w:pPr>
      <w:r>
        <w:rPr>
          <w:rFonts w:ascii="Arial" w:eastAsia="Calibri" w:hAnsi="Arial" w:cs="Arial"/>
          <w:sz w:val="20"/>
          <w:szCs w:val="20"/>
        </w:rPr>
        <w:t>Slika</w:t>
      </w:r>
      <w:r w:rsidR="00FA2B98">
        <w:rPr>
          <w:rFonts w:ascii="Arial" w:eastAsia="Calibri" w:hAnsi="Arial" w:cs="Arial"/>
          <w:sz w:val="20"/>
          <w:szCs w:val="20"/>
        </w:rPr>
        <w:t xml:space="preserve"> </w:t>
      </w:r>
      <w:r>
        <w:rPr>
          <w:rFonts w:ascii="Arial" w:eastAsia="Calibri" w:hAnsi="Arial" w:cs="Arial"/>
          <w:sz w:val="20"/>
          <w:szCs w:val="20"/>
        </w:rPr>
        <w:t>2: Primer ekosistema za izravnavanje ogljika s podporo pametnih pogodb</w:t>
      </w:r>
      <w:r w:rsidR="00FA2B98">
        <w:rPr>
          <w:rFonts w:ascii="Arial" w:eastAsia="Calibri" w:hAnsi="Arial" w:cs="Arial"/>
          <w:sz w:val="20"/>
          <w:szCs w:val="20"/>
        </w:rPr>
        <w:t xml:space="preserve"> </w:t>
      </w:r>
      <w:r w:rsidR="00FA2B98" w:rsidRPr="00FA2B98">
        <w:rPr>
          <w:rFonts w:ascii="Arial" w:eastAsia="Calibri" w:hAnsi="Arial" w:cs="Arial"/>
          <w:sz w:val="20"/>
          <w:szCs w:val="20"/>
        </w:rPr>
        <w:t>(prilagoditev za dostopnost)</w:t>
      </w:r>
      <w:r w:rsidR="005A616B">
        <w:rPr>
          <w:rFonts w:ascii="Arial" w:eastAsia="Calibri" w:hAnsi="Arial" w:cs="Arial"/>
          <w:sz w:val="20"/>
          <w:szCs w:val="20"/>
        </w:rPr>
        <w:t xml:space="preserve">: </w:t>
      </w:r>
    </w:p>
    <w:p w14:paraId="5383138D" w14:textId="77777777" w:rsidR="005D1EDA" w:rsidRDefault="005D1EDA" w:rsidP="005D1EDA">
      <w:pPr>
        <w:pStyle w:val="Odstavekseznama"/>
        <w:numPr>
          <w:ilvl w:val="0"/>
          <w:numId w:val="37"/>
        </w:numPr>
        <w:spacing w:after="0" w:line="240" w:lineRule="auto"/>
        <w:jc w:val="both"/>
        <w:rPr>
          <w:rFonts w:ascii="Arial" w:eastAsia="Calibri" w:hAnsi="Arial" w:cs="Arial"/>
          <w:sz w:val="20"/>
          <w:szCs w:val="20"/>
        </w:rPr>
      </w:pPr>
      <w:r>
        <w:rPr>
          <w:rFonts w:ascii="Arial" w:eastAsia="Calibri" w:hAnsi="Arial" w:cs="Arial"/>
          <w:sz w:val="20"/>
          <w:szCs w:val="20"/>
        </w:rPr>
        <w:t>R</w:t>
      </w:r>
      <w:r w:rsidR="005A616B">
        <w:rPr>
          <w:rFonts w:ascii="Arial" w:eastAsia="Calibri" w:hAnsi="Arial" w:cs="Arial"/>
          <w:sz w:val="20"/>
          <w:szCs w:val="20"/>
        </w:rPr>
        <w:t xml:space="preserve">azmerja med subjekti: </w:t>
      </w:r>
      <w:r>
        <w:rPr>
          <w:rFonts w:ascii="Arial" w:eastAsia="Calibri" w:hAnsi="Arial" w:cs="Arial"/>
          <w:sz w:val="20"/>
          <w:szCs w:val="20"/>
        </w:rPr>
        <w:t>stranke, imetniki kreditov, ponudniki likvidnostnih sredstev, certificirani validatorji</w:t>
      </w:r>
    </w:p>
    <w:p w14:paraId="59193D64" w14:textId="283BEF6A" w:rsidR="005A616B" w:rsidRDefault="005D1EDA" w:rsidP="005D1EDA">
      <w:pPr>
        <w:pStyle w:val="Odstavekseznama"/>
        <w:numPr>
          <w:ilvl w:val="0"/>
          <w:numId w:val="37"/>
        </w:numPr>
        <w:spacing w:after="0" w:line="240" w:lineRule="auto"/>
        <w:jc w:val="both"/>
        <w:rPr>
          <w:rFonts w:ascii="Arial" w:eastAsia="Calibri" w:hAnsi="Arial" w:cs="Arial"/>
          <w:sz w:val="20"/>
          <w:szCs w:val="20"/>
        </w:rPr>
      </w:pPr>
      <w:r w:rsidRPr="005D1EDA">
        <w:rPr>
          <w:rFonts w:ascii="Arial" w:eastAsia="Calibri" w:hAnsi="Arial" w:cs="Arial"/>
          <w:sz w:val="20"/>
          <w:szCs w:val="20"/>
        </w:rPr>
        <w:t>P</w:t>
      </w:r>
      <w:r>
        <w:rPr>
          <w:rFonts w:ascii="Arial" w:eastAsia="Calibri" w:hAnsi="Arial" w:cs="Arial"/>
          <w:sz w:val="20"/>
          <w:szCs w:val="20"/>
        </w:rPr>
        <w:t>amet</w:t>
      </w:r>
      <w:r w:rsidRPr="005D1EDA">
        <w:rPr>
          <w:rFonts w:ascii="Arial" w:eastAsia="Calibri" w:hAnsi="Arial" w:cs="Arial"/>
          <w:sz w:val="20"/>
          <w:szCs w:val="20"/>
        </w:rPr>
        <w:t>ne</w:t>
      </w:r>
      <w:r>
        <w:rPr>
          <w:rFonts w:ascii="Arial" w:eastAsia="Calibri" w:hAnsi="Arial" w:cs="Arial"/>
          <w:sz w:val="20"/>
          <w:szCs w:val="20"/>
        </w:rPr>
        <w:t xml:space="preserve"> pogodbe: </w:t>
      </w:r>
    </w:p>
    <w:p w14:paraId="1E5C829D" w14:textId="331DFEDC" w:rsidR="005D1EDA" w:rsidRDefault="005D1EDA" w:rsidP="005D1EDA">
      <w:pPr>
        <w:pStyle w:val="Odstavekseznama"/>
        <w:numPr>
          <w:ilvl w:val="0"/>
          <w:numId w:val="16"/>
        </w:numPr>
        <w:spacing w:after="0" w:line="240" w:lineRule="auto"/>
        <w:jc w:val="both"/>
        <w:rPr>
          <w:rFonts w:ascii="Arial" w:eastAsia="Calibri" w:hAnsi="Arial" w:cs="Arial"/>
          <w:sz w:val="20"/>
          <w:szCs w:val="20"/>
        </w:rPr>
      </w:pPr>
      <w:r>
        <w:rPr>
          <w:rFonts w:ascii="Arial" w:eastAsia="Calibri" w:hAnsi="Arial" w:cs="Arial"/>
          <w:sz w:val="20"/>
          <w:szCs w:val="20"/>
        </w:rPr>
        <w:t>Pametna pogodba 1: Register</w:t>
      </w:r>
    </w:p>
    <w:p w14:paraId="20C712AB" w14:textId="2861F6CA" w:rsidR="005D1EDA" w:rsidRDefault="005D1EDA" w:rsidP="005D1EDA">
      <w:pPr>
        <w:pStyle w:val="Odstavekseznama"/>
        <w:numPr>
          <w:ilvl w:val="0"/>
          <w:numId w:val="16"/>
        </w:numPr>
        <w:spacing w:after="0" w:line="240" w:lineRule="auto"/>
        <w:jc w:val="both"/>
        <w:rPr>
          <w:rFonts w:ascii="Arial" w:eastAsia="Calibri" w:hAnsi="Arial" w:cs="Arial"/>
          <w:sz w:val="20"/>
          <w:szCs w:val="20"/>
        </w:rPr>
      </w:pPr>
      <w:r w:rsidRPr="005D1EDA">
        <w:rPr>
          <w:rFonts w:ascii="Arial" w:eastAsia="Calibri" w:hAnsi="Arial" w:cs="Arial"/>
          <w:sz w:val="20"/>
          <w:szCs w:val="20"/>
        </w:rPr>
        <w:t xml:space="preserve">Pametna pogodba </w:t>
      </w:r>
      <w:r>
        <w:rPr>
          <w:rFonts w:ascii="Arial" w:eastAsia="Calibri" w:hAnsi="Arial" w:cs="Arial"/>
          <w:sz w:val="20"/>
          <w:szCs w:val="20"/>
        </w:rPr>
        <w:t>2: Digitalni žeton</w:t>
      </w:r>
    </w:p>
    <w:p w14:paraId="35D16662" w14:textId="1C1F4B85" w:rsidR="005D1EDA" w:rsidRDefault="005D1EDA" w:rsidP="000C0B6F">
      <w:pPr>
        <w:pStyle w:val="Odstavekseznama"/>
        <w:numPr>
          <w:ilvl w:val="0"/>
          <w:numId w:val="16"/>
        </w:numPr>
        <w:spacing w:after="0" w:line="240" w:lineRule="auto"/>
        <w:jc w:val="both"/>
        <w:rPr>
          <w:rFonts w:ascii="Arial" w:eastAsia="Calibri" w:hAnsi="Arial" w:cs="Arial"/>
          <w:sz w:val="20"/>
          <w:szCs w:val="20"/>
        </w:rPr>
      </w:pPr>
      <w:r w:rsidRPr="005D1EDA">
        <w:rPr>
          <w:rFonts w:ascii="Arial" w:eastAsia="Calibri" w:hAnsi="Arial" w:cs="Arial"/>
          <w:sz w:val="20"/>
          <w:szCs w:val="20"/>
        </w:rPr>
        <w:t xml:space="preserve">Pametna pogodba 3: </w:t>
      </w:r>
      <w:r>
        <w:rPr>
          <w:rFonts w:ascii="Arial" w:eastAsia="Calibri" w:hAnsi="Arial" w:cs="Arial"/>
          <w:sz w:val="20"/>
          <w:szCs w:val="20"/>
        </w:rPr>
        <w:t>V</w:t>
      </w:r>
      <w:r w:rsidRPr="005D1EDA">
        <w:rPr>
          <w:rFonts w:ascii="Arial" w:eastAsia="Calibri" w:hAnsi="Arial" w:cs="Arial"/>
          <w:sz w:val="20"/>
          <w:szCs w:val="20"/>
        </w:rPr>
        <w:t>erifikacija z več podpisi</w:t>
      </w:r>
    </w:p>
    <w:p w14:paraId="0E104056" w14:textId="4A473EAC" w:rsidR="005D1EDA" w:rsidRPr="005D1EDA" w:rsidRDefault="005D1EDA" w:rsidP="000C0B6F">
      <w:pPr>
        <w:pStyle w:val="Odstavekseznama"/>
        <w:numPr>
          <w:ilvl w:val="0"/>
          <w:numId w:val="16"/>
        </w:numPr>
        <w:spacing w:after="0" w:line="240" w:lineRule="auto"/>
        <w:jc w:val="both"/>
        <w:rPr>
          <w:rFonts w:ascii="Arial" w:eastAsia="Calibri" w:hAnsi="Arial" w:cs="Arial"/>
          <w:sz w:val="20"/>
          <w:szCs w:val="20"/>
        </w:rPr>
      </w:pPr>
      <w:r w:rsidRPr="005D1EDA">
        <w:rPr>
          <w:rFonts w:ascii="Arial" w:eastAsia="Calibri" w:hAnsi="Arial" w:cs="Arial"/>
          <w:sz w:val="20"/>
          <w:szCs w:val="20"/>
        </w:rPr>
        <w:t xml:space="preserve">Pametna pogodba 4: </w:t>
      </w:r>
      <w:r>
        <w:rPr>
          <w:rFonts w:ascii="Arial" w:eastAsia="Calibri" w:hAnsi="Arial" w:cs="Arial"/>
          <w:sz w:val="20"/>
          <w:szCs w:val="20"/>
        </w:rPr>
        <w:t>Avtomatizirani trgovec</w:t>
      </w:r>
    </w:p>
    <w:p w14:paraId="48780640" w14:textId="1182B322" w:rsidR="00807973" w:rsidRDefault="00807973" w:rsidP="00A01EFA">
      <w:pPr>
        <w:spacing w:after="0" w:line="240" w:lineRule="auto"/>
        <w:jc w:val="both"/>
        <w:rPr>
          <w:rFonts w:ascii="Arial" w:eastAsia="Calibri" w:hAnsi="Arial" w:cs="Times New Roman"/>
          <w:color w:val="538135" w:themeColor="accent6" w:themeShade="BF"/>
          <w:sz w:val="20"/>
          <w:szCs w:val="20"/>
        </w:rPr>
      </w:pPr>
    </w:p>
    <w:p w14:paraId="34D48DD6" w14:textId="77777777" w:rsidR="0087587A" w:rsidRDefault="0087587A" w:rsidP="00A01EFA">
      <w:pPr>
        <w:spacing w:after="0" w:line="240" w:lineRule="auto"/>
        <w:jc w:val="both"/>
        <w:rPr>
          <w:rFonts w:ascii="Arial" w:eastAsia="Calibri" w:hAnsi="Arial" w:cs="Times New Roman"/>
          <w:sz w:val="20"/>
          <w:szCs w:val="20"/>
        </w:rPr>
      </w:pPr>
    </w:p>
    <w:p w14:paraId="3F94B019" w14:textId="486A65EA" w:rsidR="009C661B" w:rsidRDefault="00807973" w:rsidP="00A01EFA">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Primer ekosistema za izravnavanje ogljika </w:t>
      </w:r>
      <w:r w:rsidR="009C661B">
        <w:rPr>
          <w:rFonts w:ascii="Arial" w:eastAsia="Calibri" w:hAnsi="Arial" w:cs="Times New Roman"/>
          <w:sz w:val="20"/>
          <w:szCs w:val="20"/>
        </w:rPr>
        <w:t xml:space="preserve">je sestavljen iz štirih pametnih pogodb, ki zagotavljajo urejanje razmerij med tremi deležniki in ponudniki likvidnostnih sredstev. Funkcije posameznih pametnih pogodb: </w:t>
      </w:r>
    </w:p>
    <w:p w14:paraId="463489AC" w14:textId="77777777" w:rsidR="009C661B" w:rsidRDefault="009C661B" w:rsidP="003445EF">
      <w:pPr>
        <w:pStyle w:val="Odstavekseznama"/>
        <w:numPr>
          <w:ilvl w:val="0"/>
          <w:numId w:val="16"/>
        </w:numPr>
        <w:spacing w:after="0" w:line="240" w:lineRule="auto"/>
        <w:jc w:val="both"/>
        <w:rPr>
          <w:rFonts w:ascii="Arial" w:eastAsia="Calibri" w:hAnsi="Arial" w:cs="Times New Roman"/>
          <w:sz w:val="20"/>
          <w:szCs w:val="20"/>
        </w:rPr>
      </w:pPr>
      <w:r>
        <w:rPr>
          <w:rFonts w:ascii="Arial" w:eastAsia="Calibri" w:hAnsi="Arial" w:cs="Times New Roman"/>
          <w:sz w:val="20"/>
          <w:szCs w:val="20"/>
        </w:rPr>
        <w:t>Pametna pogodba 1: sistem registrov za zapis osnovnih informacij o naslednjih deležnikih: (1) potrjevalcih (certificiranih validatorjih), ki potrjujejo »kredite« ogljika imetnikov teh kreditov. V kolikor se oblikujejo tudi nezamenljivi žetoni, potrjevalci validirajo tudi te žetone, (2) imetnike »kreditov«, ki so npr. operaterji vetrnic, sončnih elektrarn) in (3) stranke: podjetja ali posamezniki</w:t>
      </w:r>
      <w:r w:rsidR="00126987">
        <w:rPr>
          <w:rFonts w:ascii="Arial" w:eastAsia="Calibri" w:hAnsi="Arial" w:cs="Times New Roman"/>
          <w:sz w:val="20"/>
          <w:szCs w:val="20"/>
        </w:rPr>
        <w:t xml:space="preserve"> (prejemniki kreditov)</w:t>
      </w:r>
      <w:r>
        <w:rPr>
          <w:rFonts w:ascii="Arial" w:eastAsia="Calibri" w:hAnsi="Arial" w:cs="Times New Roman"/>
          <w:sz w:val="20"/>
          <w:szCs w:val="20"/>
        </w:rPr>
        <w:t>, ki so zainteresirani za izmenjavo ogljika z nakupom ogljičnih kreditov (kuponov)</w:t>
      </w:r>
      <w:r w:rsidR="00E61DF5">
        <w:rPr>
          <w:rFonts w:ascii="Arial" w:eastAsia="Calibri" w:hAnsi="Arial" w:cs="Times New Roman"/>
          <w:sz w:val="20"/>
          <w:szCs w:val="20"/>
        </w:rPr>
        <w:t xml:space="preserve">, kot npr. </w:t>
      </w:r>
      <w:r w:rsidR="00126987">
        <w:rPr>
          <w:rFonts w:ascii="Arial" w:eastAsia="Calibri" w:hAnsi="Arial" w:cs="Times New Roman"/>
          <w:sz w:val="20"/>
          <w:szCs w:val="20"/>
        </w:rPr>
        <w:t xml:space="preserve">industrije </w:t>
      </w:r>
      <w:r w:rsidR="00126987" w:rsidRPr="00126987">
        <w:rPr>
          <w:rFonts w:ascii="Arial" w:eastAsia="Calibri" w:hAnsi="Arial" w:cs="Times New Roman"/>
          <w:sz w:val="20"/>
          <w:szCs w:val="20"/>
        </w:rPr>
        <w:t>proizvodnj</w:t>
      </w:r>
      <w:r w:rsidR="00126987">
        <w:rPr>
          <w:rFonts w:ascii="Arial" w:eastAsia="Calibri" w:hAnsi="Arial" w:cs="Times New Roman"/>
          <w:sz w:val="20"/>
          <w:szCs w:val="20"/>
        </w:rPr>
        <w:t>e</w:t>
      </w:r>
      <w:r w:rsidR="00126987" w:rsidRPr="00126987">
        <w:rPr>
          <w:rFonts w:ascii="Arial" w:eastAsia="Calibri" w:hAnsi="Arial" w:cs="Times New Roman"/>
          <w:sz w:val="20"/>
          <w:szCs w:val="20"/>
        </w:rPr>
        <w:t xml:space="preserve"> elektrike in toplote, industrijski procesi (rafinerije </w:t>
      </w:r>
      <w:r w:rsidR="00126987">
        <w:rPr>
          <w:rFonts w:ascii="Arial" w:eastAsia="Calibri" w:hAnsi="Arial" w:cs="Times New Roman"/>
          <w:sz w:val="20"/>
          <w:szCs w:val="20"/>
        </w:rPr>
        <w:t>nafte, tovarne železa in jekla) ipd.</w:t>
      </w:r>
    </w:p>
    <w:p w14:paraId="6892561C" w14:textId="77777777" w:rsidR="009C661B" w:rsidRDefault="009C661B" w:rsidP="003445EF">
      <w:pPr>
        <w:pStyle w:val="Odstavekseznama"/>
        <w:numPr>
          <w:ilvl w:val="0"/>
          <w:numId w:val="16"/>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Pametna pogodba 2: je namenjena izvedbi digitalnega žetona (ogljični žeton, ki se programira na osnovi ogljičnih kreditov v zaporedju različnih funkcij). </w:t>
      </w:r>
    </w:p>
    <w:p w14:paraId="50FE6D14" w14:textId="5E2D56A1" w:rsidR="009C661B" w:rsidRDefault="009C661B" w:rsidP="003445EF">
      <w:pPr>
        <w:pStyle w:val="Odstavekseznama"/>
        <w:numPr>
          <w:ilvl w:val="0"/>
          <w:numId w:val="16"/>
        </w:numPr>
        <w:spacing w:after="0" w:line="240" w:lineRule="auto"/>
        <w:jc w:val="both"/>
        <w:rPr>
          <w:rFonts w:ascii="Arial" w:eastAsia="Calibri" w:hAnsi="Arial" w:cs="Times New Roman"/>
          <w:sz w:val="20"/>
          <w:szCs w:val="20"/>
        </w:rPr>
      </w:pPr>
      <w:r>
        <w:rPr>
          <w:rFonts w:ascii="Arial" w:eastAsia="Calibri" w:hAnsi="Arial" w:cs="Times New Roman"/>
          <w:sz w:val="20"/>
          <w:szCs w:val="20"/>
        </w:rPr>
        <w:t>Pametna pogodba 3: omogoča verifikacijo z več podpisi (npr. vsaj 70</w:t>
      </w:r>
      <w:r w:rsidR="005833B3">
        <w:rPr>
          <w:rFonts w:ascii="Arial" w:eastAsia="Calibri" w:hAnsi="Arial" w:cs="Times New Roman"/>
          <w:sz w:val="20"/>
          <w:szCs w:val="20"/>
        </w:rPr>
        <w:t xml:space="preserve"> </w:t>
      </w:r>
      <w:r>
        <w:rPr>
          <w:rFonts w:ascii="Arial" w:eastAsia="Calibri" w:hAnsi="Arial" w:cs="Times New Roman"/>
          <w:sz w:val="20"/>
          <w:szCs w:val="20"/>
        </w:rPr>
        <w:t xml:space="preserve">% je avtomatično izvršljivih podpisov) za potrditev izvedbe digitalnega žetona. </w:t>
      </w:r>
    </w:p>
    <w:p w14:paraId="4BAB6A3D" w14:textId="77777777" w:rsidR="009C661B" w:rsidRPr="009C661B" w:rsidRDefault="009C661B" w:rsidP="003445EF">
      <w:pPr>
        <w:pStyle w:val="Odstavekseznama"/>
        <w:numPr>
          <w:ilvl w:val="0"/>
          <w:numId w:val="16"/>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Pametna pogodba 4: </w:t>
      </w:r>
      <w:r w:rsidR="001A71FF">
        <w:rPr>
          <w:rFonts w:ascii="Arial" w:eastAsia="Calibri" w:hAnsi="Arial" w:cs="Times New Roman"/>
          <w:sz w:val="20"/>
          <w:szCs w:val="20"/>
        </w:rPr>
        <w:t xml:space="preserve">predstavlja avtomatiziranega trgovca, ki omogoča avtomatizirano trgovanje z žetoni z uporabo digitalnega denarja. </w:t>
      </w:r>
    </w:p>
    <w:p w14:paraId="0A177510" w14:textId="77777777" w:rsidR="009C661B" w:rsidRDefault="009C661B" w:rsidP="00A01EFA">
      <w:pPr>
        <w:spacing w:after="0" w:line="240" w:lineRule="auto"/>
        <w:jc w:val="both"/>
        <w:rPr>
          <w:rFonts w:ascii="Arial" w:eastAsia="Calibri" w:hAnsi="Arial" w:cs="Times New Roman"/>
          <w:sz w:val="20"/>
          <w:szCs w:val="20"/>
        </w:rPr>
      </w:pPr>
    </w:p>
    <w:p w14:paraId="40F2A48E" w14:textId="77777777" w:rsidR="00807973" w:rsidRPr="00807973" w:rsidRDefault="00807973" w:rsidP="00A01EFA">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V obravnavanem modelu se osredotočamo na </w:t>
      </w:r>
      <w:r w:rsidR="001A71FF">
        <w:rPr>
          <w:rFonts w:ascii="Arial" w:eastAsia="Calibri" w:hAnsi="Arial" w:cs="Times New Roman"/>
          <w:sz w:val="20"/>
          <w:szCs w:val="20"/>
        </w:rPr>
        <w:t xml:space="preserve">opredelitev registra emisij, s katerim naslavljamo predvsem tretjo skupino v okviru t.i. Pametne pogodbe 1, z uporabo tehnologije distribuiranih zapisov, ki bo omogočila zbiranje podatkov pri viru, spremljanje in sledenje podatkov v okviru posameznega podjetja, kar pa je osnova za nadaljnjo nadgradnjo ekosistema v smeri vzpostavitve transparentnega sistema spremljanja in poročanja o emisijah toplogrednih plinov.  </w:t>
      </w:r>
    </w:p>
    <w:p w14:paraId="379FA8D6" w14:textId="77777777" w:rsidR="00807973" w:rsidRDefault="00807973" w:rsidP="00A01EFA">
      <w:pPr>
        <w:spacing w:after="0" w:line="240" w:lineRule="auto"/>
        <w:jc w:val="both"/>
        <w:rPr>
          <w:rFonts w:ascii="Arial" w:eastAsia="Calibri" w:hAnsi="Arial" w:cs="Times New Roman"/>
          <w:color w:val="538135" w:themeColor="accent6" w:themeShade="BF"/>
          <w:sz w:val="20"/>
          <w:szCs w:val="20"/>
        </w:rPr>
      </w:pPr>
    </w:p>
    <w:p w14:paraId="031CFE00" w14:textId="77777777" w:rsidR="00A01EFA" w:rsidRPr="00D44340" w:rsidRDefault="00672534" w:rsidP="00D44340">
      <w:pPr>
        <w:pStyle w:val="Naslov3"/>
        <w:rPr>
          <w:rFonts w:ascii="Arial" w:eastAsia="Calibri" w:hAnsi="Arial" w:cs="Arial"/>
          <w:b/>
          <w:color w:val="70AD47" w:themeColor="accent6"/>
        </w:rPr>
      </w:pPr>
      <w:bookmarkStart w:id="31" w:name="_Toc102741394"/>
      <w:r w:rsidRPr="00D44340">
        <w:rPr>
          <w:rFonts w:ascii="Arial" w:eastAsia="Calibri" w:hAnsi="Arial" w:cs="Arial"/>
          <w:b/>
          <w:color w:val="70AD47" w:themeColor="accent6"/>
        </w:rPr>
        <w:t>IV.</w:t>
      </w:r>
      <w:r w:rsidR="006A329C" w:rsidRPr="00D44340">
        <w:rPr>
          <w:rFonts w:ascii="Arial" w:eastAsia="Calibri" w:hAnsi="Arial" w:cs="Arial"/>
          <w:b/>
          <w:color w:val="70AD47" w:themeColor="accent6"/>
        </w:rPr>
        <w:t>2</w:t>
      </w:r>
      <w:r w:rsidRPr="00D44340">
        <w:rPr>
          <w:rFonts w:ascii="Arial" w:eastAsia="Calibri" w:hAnsi="Arial" w:cs="Arial"/>
          <w:b/>
          <w:color w:val="70AD47" w:themeColor="accent6"/>
        </w:rPr>
        <w:t>.</w:t>
      </w:r>
      <w:r w:rsidR="00B95534" w:rsidRPr="00D44340">
        <w:rPr>
          <w:rFonts w:ascii="Arial" w:eastAsia="Calibri" w:hAnsi="Arial" w:cs="Arial"/>
          <w:b/>
          <w:color w:val="70AD47" w:themeColor="accent6"/>
        </w:rPr>
        <w:t>3</w:t>
      </w:r>
      <w:r w:rsidRPr="00D44340">
        <w:rPr>
          <w:rFonts w:ascii="Arial" w:eastAsia="Calibri" w:hAnsi="Arial" w:cs="Arial"/>
          <w:b/>
          <w:color w:val="70AD47" w:themeColor="accent6"/>
        </w:rPr>
        <w:t xml:space="preserve">. Opredelitev modela – orodja za podporo registru kuponov za </w:t>
      </w:r>
      <w:r w:rsidR="00714E2D" w:rsidRPr="00D44340">
        <w:rPr>
          <w:rFonts w:ascii="Arial" w:eastAsia="Calibri" w:hAnsi="Arial" w:cs="Arial"/>
          <w:b/>
          <w:color w:val="70AD47" w:themeColor="accent6"/>
        </w:rPr>
        <w:t>trgovanje z emisijami</w:t>
      </w:r>
      <w:bookmarkEnd w:id="31"/>
    </w:p>
    <w:p w14:paraId="0A48FAD4" w14:textId="77777777" w:rsidR="00672534" w:rsidRDefault="00672534" w:rsidP="00A01EFA">
      <w:pPr>
        <w:spacing w:after="0" w:line="240" w:lineRule="auto"/>
        <w:jc w:val="both"/>
        <w:rPr>
          <w:rFonts w:ascii="Arial" w:eastAsia="Calibri" w:hAnsi="Arial" w:cs="Arial"/>
          <w:sz w:val="20"/>
          <w:szCs w:val="20"/>
        </w:rPr>
      </w:pPr>
    </w:p>
    <w:p w14:paraId="2CCB4CAB" w14:textId="77777777" w:rsidR="00714E2D" w:rsidRDefault="00714E2D" w:rsidP="00A01EFA">
      <w:pPr>
        <w:spacing w:after="0" w:line="240" w:lineRule="auto"/>
        <w:jc w:val="both"/>
        <w:rPr>
          <w:rFonts w:ascii="Arial" w:eastAsia="Calibri" w:hAnsi="Arial" w:cs="Arial"/>
          <w:sz w:val="20"/>
          <w:szCs w:val="20"/>
        </w:rPr>
      </w:pPr>
      <w:r>
        <w:rPr>
          <w:rFonts w:ascii="Arial" w:eastAsia="Calibri" w:hAnsi="Arial" w:cs="Arial"/>
          <w:sz w:val="20"/>
          <w:szCs w:val="20"/>
        </w:rPr>
        <w:t xml:space="preserve">Namen modela: </w:t>
      </w:r>
    </w:p>
    <w:p w14:paraId="0E4908B1" w14:textId="77777777" w:rsidR="00714E2D" w:rsidRDefault="00714E2D" w:rsidP="00A01EFA">
      <w:pPr>
        <w:spacing w:after="0" w:line="240" w:lineRule="auto"/>
        <w:jc w:val="both"/>
        <w:rPr>
          <w:rFonts w:ascii="Arial" w:eastAsia="Calibri" w:hAnsi="Arial" w:cs="Arial"/>
          <w:sz w:val="20"/>
          <w:szCs w:val="20"/>
        </w:rPr>
      </w:pPr>
    </w:p>
    <w:p w14:paraId="22DF2AF5" w14:textId="00D5CCB1" w:rsidR="00A01EFA" w:rsidRPr="00A01EFA" w:rsidRDefault="009B7654" w:rsidP="00A01EFA">
      <w:pPr>
        <w:spacing w:after="0" w:line="240" w:lineRule="auto"/>
        <w:jc w:val="both"/>
        <w:rPr>
          <w:rFonts w:ascii="Arial" w:eastAsia="Calibri" w:hAnsi="Arial" w:cs="Arial"/>
          <w:sz w:val="20"/>
          <w:szCs w:val="20"/>
        </w:rPr>
      </w:pPr>
      <w:r w:rsidRPr="009B7654">
        <w:rPr>
          <w:rFonts w:ascii="Arial" w:eastAsia="Calibri" w:hAnsi="Arial" w:cs="Arial"/>
          <w:sz w:val="20"/>
          <w:szCs w:val="20"/>
        </w:rPr>
        <w:t>Model bo omogočal sledenje pravic do emisije</w:t>
      </w:r>
      <w:r w:rsidR="00842FE6">
        <w:rPr>
          <w:rFonts w:ascii="Arial" w:eastAsia="Calibri" w:hAnsi="Arial" w:cs="Arial"/>
          <w:sz w:val="20"/>
          <w:szCs w:val="20"/>
        </w:rPr>
        <w:t xml:space="preserve"> za podjetja, ki so že v ETS sistemu</w:t>
      </w:r>
      <w:r w:rsidR="004115E3">
        <w:rPr>
          <w:rFonts w:ascii="Arial" w:eastAsia="Calibri" w:hAnsi="Arial" w:cs="Arial"/>
          <w:sz w:val="20"/>
          <w:szCs w:val="20"/>
        </w:rPr>
        <w:t xml:space="preserve"> (npr. EUA)</w:t>
      </w:r>
      <w:r w:rsidR="00842FE6">
        <w:rPr>
          <w:rFonts w:ascii="Arial" w:eastAsia="Calibri" w:hAnsi="Arial" w:cs="Arial"/>
          <w:sz w:val="20"/>
          <w:szCs w:val="20"/>
        </w:rPr>
        <w:t>,</w:t>
      </w:r>
      <w:r w:rsidRPr="009B7654">
        <w:rPr>
          <w:rFonts w:ascii="Arial" w:eastAsia="Calibri" w:hAnsi="Arial" w:cs="Arial"/>
          <w:sz w:val="20"/>
          <w:szCs w:val="20"/>
        </w:rPr>
        <w:t xml:space="preserve"> in njihovim transakcijam,</w:t>
      </w:r>
      <w:r w:rsidR="00A01EFA" w:rsidRPr="00A01EFA">
        <w:rPr>
          <w:rFonts w:ascii="Arial" w:eastAsia="Calibri" w:hAnsi="Arial" w:cs="Arial"/>
          <w:sz w:val="20"/>
          <w:szCs w:val="20"/>
        </w:rPr>
        <w:t xml:space="preserve"> kar vključuje: informacijo o imetniku računa, poslovnem izkazu na tem računu, transferje med računi, povezave z različnimi pravnimi redi oziroma jurisdikcijami, ipd. ETS </w:t>
      </w:r>
      <w:r>
        <w:rPr>
          <w:rFonts w:ascii="Arial" w:eastAsia="Calibri" w:hAnsi="Arial" w:cs="Arial"/>
          <w:sz w:val="20"/>
          <w:szCs w:val="20"/>
        </w:rPr>
        <w:t>r</w:t>
      </w:r>
      <w:r w:rsidR="00A01EFA" w:rsidRPr="00A01EFA">
        <w:rPr>
          <w:rFonts w:ascii="Arial" w:eastAsia="Calibri" w:hAnsi="Arial" w:cs="Arial"/>
          <w:sz w:val="20"/>
          <w:szCs w:val="20"/>
        </w:rPr>
        <w:t>egistri imajo funkcijo nosilcev zapisov in obračunov, ki ohranjajo integriteto sistema, zagotavljajo fiksno emisijsko kapico in omogočajo, da je le predhodno določeno število pravic lahko predmet trgovanja na trgu. Imeti morajo razumljive, točne, transparentne in posodobljene informacije o pravicah, ki so predmet trgovanja. Z namenom boljšega obvladovanja kompleksnosti sodobnih trgov se razv</w:t>
      </w:r>
      <w:r w:rsidR="00842FE6">
        <w:rPr>
          <w:rFonts w:ascii="Arial" w:eastAsia="Calibri" w:hAnsi="Arial" w:cs="Arial"/>
          <w:sz w:val="20"/>
          <w:szCs w:val="20"/>
        </w:rPr>
        <w:t xml:space="preserve">ijajo tudi tehnološke rešitve. Za podjetja, ki v tem sistemu še niso, pa bo pilotni projekt pokazal možnost tehnološke rešitve. </w:t>
      </w:r>
    </w:p>
    <w:p w14:paraId="667FC11F" w14:textId="77777777" w:rsidR="00A01EFA" w:rsidRPr="00A01EFA" w:rsidRDefault="00A01EFA" w:rsidP="00A01EFA">
      <w:pPr>
        <w:spacing w:after="0" w:line="240" w:lineRule="auto"/>
        <w:jc w:val="both"/>
        <w:rPr>
          <w:rFonts w:ascii="Arial" w:eastAsia="Calibri" w:hAnsi="Arial" w:cs="Arial"/>
          <w:sz w:val="20"/>
          <w:szCs w:val="20"/>
        </w:rPr>
      </w:pPr>
    </w:p>
    <w:p w14:paraId="4E20A8BA" w14:textId="4DEC13BB" w:rsidR="00A01EFA" w:rsidRPr="00A01EFA" w:rsidRDefault="00A01EFA" w:rsidP="00A01EFA">
      <w:pPr>
        <w:spacing w:after="0" w:line="240" w:lineRule="auto"/>
        <w:jc w:val="both"/>
        <w:rPr>
          <w:rFonts w:ascii="Arial" w:eastAsia="Calibri" w:hAnsi="Arial" w:cs="Arial"/>
          <w:sz w:val="20"/>
          <w:szCs w:val="20"/>
        </w:rPr>
      </w:pPr>
      <w:r w:rsidRPr="00A01EFA">
        <w:rPr>
          <w:rFonts w:ascii="Arial" w:eastAsia="Calibri" w:hAnsi="Arial" w:cs="Arial"/>
          <w:sz w:val="20"/>
          <w:szCs w:val="20"/>
        </w:rPr>
        <w:t>Cilji</w:t>
      </w:r>
      <w:r w:rsidR="00714E2D">
        <w:rPr>
          <w:rFonts w:ascii="Arial" w:eastAsia="Calibri" w:hAnsi="Arial" w:cs="Arial"/>
          <w:sz w:val="20"/>
          <w:szCs w:val="20"/>
        </w:rPr>
        <w:t>, ki jih želimo doseči</w:t>
      </w:r>
      <w:r w:rsidR="004115E3">
        <w:rPr>
          <w:rFonts w:ascii="Arial" w:eastAsia="Calibri" w:hAnsi="Arial" w:cs="Arial"/>
          <w:sz w:val="20"/>
          <w:szCs w:val="20"/>
        </w:rPr>
        <w:t xml:space="preserve"> z uporabo naprednih digitalnih tehnologij</w:t>
      </w:r>
      <w:r w:rsidRPr="00A01EFA">
        <w:rPr>
          <w:rFonts w:ascii="Arial" w:eastAsia="Calibri" w:hAnsi="Arial" w:cs="Arial"/>
          <w:sz w:val="20"/>
          <w:szCs w:val="20"/>
        </w:rPr>
        <w:t xml:space="preserve">:  </w:t>
      </w:r>
    </w:p>
    <w:p w14:paraId="55F5BD4A" w14:textId="1487BEEF" w:rsidR="00A01EFA" w:rsidRPr="00A01EFA" w:rsidRDefault="00A01EFA" w:rsidP="003445EF">
      <w:pPr>
        <w:numPr>
          <w:ilvl w:val="0"/>
          <w:numId w:val="8"/>
        </w:numPr>
        <w:spacing w:after="0" w:line="240" w:lineRule="auto"/>
        <w:contextualSpacing/>
        <w:jc w:val="both"/>
        <w:rPr>
          <w:rFonts w:ascii="Arial" w:eastAsia="Calibri" w:hAnsi="Arial" w:cs="Arial"/>
          <w:sz w:val="20"/>
          <w:szCs w:val="20"/>
        </w:rPr>
      </w:pPr>
      <w:r w:rsidRPr="00A01EFA">
        <w:rPr>
          <w:rFonts w:ascii="Arial" w:eastAsia="Calibri" w:hAnsi="Arial" w:cs="Arial"/>
          <w:sz w:val="20"/>
          <w:szCs w:val="20"/>
        </w:rPr>
        <w:t>Povečanje energetske učinkovitosti v gospodarstvu, saj spodbuja podjetja da na poti k energetski učinkovitosti zmanjšujejo količino CO</w:t>
      </w:r>
      <w:r w:rsidRPr="005833B3">
        <w:rPr>
          <w:rFonts w:ascii="Arial" w:eastAsia="Calibri" w:hAnsi="Arial" w:cs="Arial"/>
          <w:sz w:val="20"/>
          <w:szCs w:val="20"/>
          <w:vertAlign w:val="subscript"/>
        </w:rPr>
        <w:t>2</w:t>
      </w:r>
      <w:r w:rsidRPr="00A01EFA">
        <w:rPr>
          <w:rFonts w:ascii="Arial" w:eastAsia="Calibri" w:hAnsi="Arial" w:cs="Arial"/>
          <w:sz w:val="20"/>
          <w:szCs w:val="20"/>
        </w:rPr>
        <w:t xml:space="preserve">, kar pomeni zmanjšanje potrebe po nakupih </w:t>
      </w:r>
      <w:r w:rsidR="009B7654">
        <w:rPr>
          <w:rFonts w:ascii="Arial" w:eastAsia="Calibri" w:hAnsi="Arial" w:cs="Arial"/>
          <w:sz w:val="20"/>
          <w:szCs w:val="20"/>
        </w:rPr>
        <w:t>pravic do emisije</w:t>
      </w:r>
      <w:r w:rsidR="009B7654" w:rsidRPr="00A01EFA">
        <w:rPr>
          <w:rFonts w:ascii="Arial" w:eastAsia="Calibri" w:hAnsi="Arial" w:cs="Arial"/>
          <w:sz w:val="20"/>
          <w:szCs w:val="20"/>
        </w:rPr>
        <w:t xml:space="preserve"> </w:t>
      </w:r>
      <w:r w:rsidRPr="00A01EFA">
        <w:rPr>
          <w:rFonts w:ascii="Arial" w:eastAsia="Calibri" w:hAnsi="Arial" w:cs="Arial"/>
          <w:sz w:val="20"/>
          <w:szCs w:val="20"/>
        </w:rPr>
        <w:t xml:space="preserve">(v kolikor so podjetja v sistemu ETS), kar pomeni, da jih kupijo manj, v primeru da razpolagajo z viški </w:t>
      </w:r>
      <w:r w:rsidR="009B7654">
        <w:rPr>
          <w:rFonts w:ascii="Arial" w:eastAsia="Calibri" w:hAnsi="Arial" w:cs="Arial"/>
          <w:sz w:val="20"/>
          <w:szCs w:val="20"/>
        </w:rPr>
        <w:t>pravic do emisije</w:t>
      </w:r>
      <w:r w:rsidRPr="00A01EFA">
        <w:rPr>
          <w:rFonts w:ascii="Arial" w:eastAsia="Calibri" w:hAnsi="Arial" w:cs="Arial"/>
          <w:sz w:val="20"/>
          <w:szCs w:val="20"/>
        </w:rPr>
        <w:t xml:space="preserve">, pa jih lahko tudi prodajo. Dodatno bo reforma </w:t>
      </w:r>
      <w:r w:rsidR="005833B3">
        <w:rPr>
          <w:rFonts w:ascii="Arial" w:eastAsia="Calibri" w:hAnsi="Arial" w:cs="Arial"/>
          <w:sz w:val="20"/>
          <w:szCs w:val="20"/>
        </w:rPr>
        <w:t xml:space="preserve">spodbudila </w:t>
      </w:r>
      <w:r w:rsidRPr="00A01EFA">
        <w:rPr>
          <w:rFonts w:ascii="Arial" w:eastAsia="Calibri" w:hAnsi="Arial" w:cs="Arial"/>
          <w:sz w:val="20"/>
          <w:szCs w:val="20"/>
        </w:rPr>
        <w:t>tudi podjetja, ki niso v sistemu ETS, k zmanjšanju količine CO</w:t>
      </w:r>
      <w:r w:rsidRPr="005833B3">
        <w:rPr>
          <w:rFonts w:ascii="Arial" w:eastAsia="Calibri" w:hAnsi="Arial" w:cs="Arial"/>
          <w:sz w:val="20"/>
          <w:szCs w:val="20"/>
          <w:vertAlign w:val="subscript"/>
        </w:rPr>
        <w:t>2</w:t>
      </w:r>
      <w:r w:rsidRPr="00A01EFA">
        <w:rPr>
          <w:rFonts w:ascii="Arial" w:eastAsia="Calibri" w:hAnsi="Arial" w:cs="Arial"/>
          <w:sz w:val="20"/>
          <w:szCs w:val="20"/>
        </w:rPr>
        <w:t xml:space="preserve">. </w:t>
      </w:r>
    </w:p>
    <w:p w14:paraId="4F6B91EE" w14:textId="51B172FE" w:rsidR="00A01EFA" w:rsidRPr="00A01EFA" w:rsidRDefault="00A01EFA" w:rsidP="003445EF">
      <w:pPr>
        <w:numPr>
          <w:ilvl w:val="0"/>
          <w:numId w:val="8"/>
        </w:numPr>
        <w:spacing w:after="0" w:line="240" w:lineRule="auto"/>
        <w:contextualSpacing/>
        <w:jc w:val="both"/>
        <w:rPr>
          <w:rFonts w:ascii="Arial" w:eastAsia="Calibri" w:hAnsi="Arial" w:cs="Arial"/>
          <w:sz w:val="20"/>
          <w:szCs w:val="20"/>
        </w:rPr>
      </w:pPr>
      <w:r w:rsidRPr="00A01EFA">
        <w:rPr>
          <w:rFonts w:ascii="Arial" w:eastAsia="Calibri" w:hAnsi="Arial" w:cs="Arial"/>
          <w:sz w:val="20"/>
          <w:szCs w:val="20"/>
        </w:rPr>
        <w:t xml:space="preserve">Transparentnost in nespremenljivost ETS informacij, vključno s kapicami, </w:t>
      </w:r>
      <w:r w:rsidR="009B7654">
        <w:rPr>
          <w:rFonts w:ascii="Arial" w:eastAsia="Calibri" w:hAnsi="Arial" w:cs="Arial"/>
          <w:sz w:val="20"/>
          <w:szCs w:val="20"/>
        </w:rPr>
        <w:t>dražbami, emisijskimi</w:t>
      </w:r>
      <w:r w:rsidRPr="00A01EFA">
        <w:rPr>
          <w:rFonts w:ascii="Arial" w:eastAsia="Calibri" w:hAnsi="Arial" w:cs="Arial"/>
          <w:sz w:val="20"/>
          <w:szCs w:val="20"/>
        </w:rPr>
        <w:t xml:space="preserve"> pravicami, izposojo in financiranjem, poravnavami in povezavami ter rezervo za tržno stabilnost. </w:t>
      </w:r>
    </w:p>
    <w:p w14:paraId="6CCA2D54" w14:textId="73054838" w:rsidR="00A01EFA" w:rsidRPr="00A01EFA" w:rsidRDefault="00A01EFA" w:rsidP="003445EF">
      <w:pPr>
        <w:numPr>
          <w:ilvl w:val="0"/>
          <w:numId w:val="8"/>
        </w:numPr>
        <w:spacing w:after="0" w:line="240" w:lineRule="auto"/>
        <w:contextualSpacing/>
        <w:jc w:val="both"/>
        <w:rPr>
          <w:rFonts w:ascii="Arial" w:eastAsia="Calibri" w:hAnsi="Arial" w:cs="Arial"/>
          <w:sz w:val="20"/>
          <w:szCs w:val="20"/>
        </w:rPr>
      </w:pPr>
      <w:r w:rsidRPr="00A01EFA">
        <w:rPr>
          <w:rFonts w:ascii="Arial" w:eastAsia="Calibri" w:hAnsi="Arial" w:cs="Arial"/>
          <w:sz w:val="20"/>
          <w:szCs w:val="20"/>
        </w:rPr>
        <w:t>Avtonomni mehanizmi za določanje največjega obsega, izdaje in uničenja EUA, združevanje izkazov EUA z informacijami iz naslova spremljanja, poročanja in potrjevanja z namenom jasnega prikaza (ne)skladnosti.</w:t>
      </w:r>
    </w:p>
    <w:p w14:paraId="2339CF80" w14:textId="2CB07B8A" w:rsidR="00A01EFA" w:rsidRPr="00A01EFA" w:rsidRDefault="00A01EFA" w:rsidP="003445EF">
      <w:pPr>
        <w:numPr>
          <w:ilvl w:val="0"/>
          <w:numId w:val="8"/>
        </w:numPr>
        <w:spacing w:after="0" w:line="240" w:lineRule="auto"/>
        <w:contextualSpacing/>
        <w:jc w:val="both"/>
        <w:rPr>
          <w:rFonts w:ascii="Arial" w:eastAsia="Calibri" w:hAnsi="Arial" w:cs="Arial"/>
          <w:sz w:val="20"/>
          <w:szCs w:val="20"/>
        </w:rPr>
      </w:pPr>
      <w:r w:rsidRPr="00A01EFA">
        <w:rPr>
          <w:rFonts w:ascii="Arial" w:eastAsia="Calibri" w:hAnsi="Arial" w:cs="Arial"/>
          <w:sz w:val="20"/>
          <w:szCs w:val="20"/>
        </w:rPr>
        <w:t xml:space="preserve">Preprečevanje dvojne porabe in drugih goljufij, npr. goljufij v zvezi z davki. </w:t>
      </w:r>
    </w:p>
    <w:p w14:paraId="7BDA2F33" w14:textId="77777777" w:rsidR="00A01EFA" w:rsidRPr="00A01EFA" w:rsidRDefault="00A01EFA" w:rsidP="003445EF">
      <w:pPr>
        <w:numPr>
          <w:ilvl w:val="0"/>
          <w:numId w:val="8"/>
        </w:numPr>
        <w:spacing w:after="0" w:line="240" w:lineRule="auto"/>
        <w:contextualSpacing/>
        <w:jc w:val="both"/>
        <w:rPr>
          <w:rFonts w:ascii="Arial" w:eastAsia="Calibri" w:hAnsi="Arial" w:cs="Arial"/>
          <w:sz w:val="20"/>
          <w:szCs w:val="20"/>
        </w:rPr>
      </w:pPr>
      <w:r w:rsidRPr="00A01EFA">
        <w:rPr>
          <w:rFonts w:ascii="Arial" w:eastAsia="Calibri" w:hAnsi="Arial" w:cs="Arial"/>
          <w:sz w:val="20"/>
          <w:szCs w:val="20"/>
        </w:rPr>
        <w:t>Izboljšanje kapitalske učinkovitosti in spodbujanje uporabe »spečega« kapitala.</w:t>
      </w:r>
    </w:p>
    <w:p w14:paraId="7C519F3A" w14:textId="78723EFE" w:rsidR="00A01EFA" w:rsidRPr="00A01EFA" w:rsidRDefault="00A01EFA" w:rsidP="003445EF">
      <w:pPr>
        <w:numPr>
          <w:ilvl w:val="0"/>
          <w:numId w:val="8"/>
        </w:numPr>
        <w:spacing w:after="0" w:line="240" w:lineRule="auto"/>
        <w:contextualSpacing/>
        <w:jc w:val="both"/>
        <w:rPr>
          <w:rFonts w:ascii="Arial" w:eastAsia="Calibri" w:hAnsi="Arial" w:cs="Arial"/>
          <w:sz w:val="20"/>
          <w:szCs w:val="20"/>
        </w:rPr>
      </w:pPr>
      <w:r w:rsidRPr="00A01EFA">
        <w:rPr>
          <w:rFonts w:ascii="Arial" w:eastAsia="Calibri" w:hAnsi="Arial" w:cs="Arial"/>
          <w:sz w:val="20"/>
          <w:szCs w:val="20"/>
        </w:rPr>
        <w:t>Povečanje privlačnosti za nov kapital, ki izhaja iz sinergij z drugimi sistemi (npr. informacija o ETS</w:t>
      </w:r>
      <w:r w:rsidR="00E32672">
        <w:rPr>
          <w:rFonts w:ascii="Arial" w:eastAsia="Calibri" w:hAnsi="Arial" w:cs="Arial"/>
          <w:sz w:val="20"/>
          <w:szCs w:val="20"/>
        </w:rPr>
        <w:t xml:space="preserve"> in </w:t>
      </w:r>
      <w:r w:rsidR="00C27510">
        <w:rPr>
          <w:rFonts w:ascii="Arial" w:eastAsia="Calibri" w:hAnsi="Arial" w:cs="Arial"/>
          <w:sz w:val="20"/>
          <w:szCs w:val="20"/>
        </w:rPr>
        <w:t>pravicah do emisije</w:t>
      </w:r>
      <w:r w:rsidRPr="00A01EFA">
        <w:rPr>
          <w:rFonts w:ascii="Arial" w:eastAsia="Calibri" w:hAnsi="Arial" w:cs="Arial"/>
          <w:sz w:val="20"/>
          <w:szCs w:val="20"/>
        </w:rPr>
        <w:t xml:space="preserve"> se uporabi za obveznice, povezane s trajnostjo, zelene obveznice ipd. za spodbujanje investicij). </w:t>
      </w:r>
    </w:p>
    <w:p w14:paraId="62565CE5" w14:textId="77777777" w:rsidR="00A01EFA" w:rsidRPr="00A01EFA" w:rsidRDefault="00A01EFA" w:rsidP="003445EF">
      <w:pPr>
        <w:numPr>
          <w:ilvl w:val="0"/>
          <w:numId w:val="8"/>
        </w:numPr>
        <w:spacing w:after="0" w:line="240" w:lineRule="auto"/>
        <w:contextualSpacing/>
        <w:jc w:val="both"/>
        <w:rPr>
          <w:rFonts w:ascii="Arial" w:eastAsia="Calibri" w:hAnsi="Arial" w:cs="Arial"/>
          <w:sz w:val="20"/>
          <w:szCs w:val="20"/>
        </w:rPr>
      </w:pPr>
      <w:r w:rsidRPr="00A01EFA">
        <w:rPr>
          <w:rFonts w:ascii="Arial" w:eastAsia="Calibri" w:hAnsi="Arial" w:cs="Arial"/>
          <w:sz w:val="20"/>
          <w:szCs w:val="20"/>
        </w:rPr>
        <w:t xml:space="preserve">Večja transparentnost v zvezi s skladnostjo, večje zaupanje investitorjev in regulatorjev. </w:t>
      </w:r>
    </w:p>
    <w:p w14:paraId="26369B87" w14:textId="77777777" w:rsidR="00A01EFA" w:rsidRDefault="00A01EFA" w:rsidP="003445EF">
      <w:pPr>
        <w:numPr>
          <w:ilvl w:val="0"/>
          <w:numId w:val="8"/>
        </w:numPr>
        <w:spacing w:after="0" w:line="240" w:lineRule="auto"/>
        <w:contextualSpacing/>
        <w:jc w:val="both"/>
        <w:rPr>
          <w:rFonts w:ascii="Arial" w:eastAsia="Calibri" w:hAnsi="Arial" w:cs="Arial"/>
          <w:sz w:val="20"/>
          <w:szCs w:val="20"/>
        </w:rPr>
      </w:pPr>
      <w:r w:rsidRPr="00A01EFA">
        <w:rPr>
          <w:rFonts w:ascii="Arial" w:eastAsia="Calibri" w:hAnsi="Arial" w:cs="Arial"/>
          <w:sz w:val="20"/>
          <w:szCs w:val="20"/>
        </w:rPr>
        <w:t xml:space="preserve">Pozitivni ekonomski, socialni in okoljski učinek. </w:t>
      </w:r>
    </w:p>
    <w:p w14:paraId="17F957D2" w14:textId="77777777" w:rsidR="006863CD" w:rsidRDefault="006863CD" w:rsidP="006863CD">
      <w:pPr>
        <w:spacing w:after="0" w:line="240" w:lineRule="auto"/>
        <w:contextualSpacing/>
        <w:jc w:val="both"/>
        <w:rPr>
          <w:rFonts w:ascii="Arial" w:eastAsia="Calibri" w:hAnsi="Arial" w:cs="Arial"/>
          <w:sz w:val="20"/>
          <w:szCs w:val="20"/>
        </w:rPr>
      </w:pPr>
    </w:p>
    <w:p w14:paraId="53AADB98" w14:textId="77777777" w:rsidR="00714E2D" w:rsidRDefault="00714E2D" w:rsidP="006863CD">
      <w:pPr>
        <w:spacing w:after="0" w:line="240" w:lineRule="auto"/>
        <w:contextualSpacing/>
        <w:jc w:val="both"/>
        <w:rPr>
          <w:rFonts w:ascii="Arial" w:eastAsia="Calibri" w:hAnsi="Arial" w:cs="Arial"/>
          <w:sz w:val="20"/>
          <w:szCs w:val="20"/>
        </w:rPr>
      </w:pPr>
      <w:r>
        <w:rPr>
          <w:rFonts w:ascii="Arial" w:eastAsia="Calibri" w:hAnsi="Arial" w:cs="Arial"/>
          <w:sz w:val="20"/>
          <w:szCs w:val="20"/>
        </w:rPr>
        <w:t xml:space="preserve">Uporaba tehnologije: </w:t>
      </w:r>
    </w:p>
    <w:p w14:paraId="5CB73AEC" w14:textId="77777777" w:rsidR="00714E2D" w:rsidRDefault="00714E2D" w:rsidP="006863CD">
      <w:pPr>
        <w:spacing w:after="0" w:line="240" w:lineRule="auto"/>
        <w:contextualSpacing/>
        <w:jc w:val="both"/>
        <w:rPr>
          <w:rFonts w:ascii="Arial" w:eastAsia="Calibri" w:hAnsi="Arial" w:cs="Arial"/>
          <w:sz w:val="20"/>
          <w:szCs w:val="20"/>
        </w:rPr>
      </w:pPr>
    </w:p>
    <w:p w14:paraId="7C5C4E5E" w14:textId="77777777" w:rsidR="00714E2D" w:rsidRDefault="00714E2D" w:rsidP="006863CD">
      <w:pPr>
        <w:spacing w:after="0" w:line="240" w:lineRule="auto"/>
        <w:contextualSpacing/>
        <w:jc w:val="both"/>
        <w:rPr>
          <w:rFonts w:ascii="Arial" w:eastAsia="Calibri" w:hAnsi="Arial" w:cs="Arial"/>
          <w:sz w:val="20"/>
          <w:szCs w:val="20"/>
        </w:rPr>
      </w:pPr>
      <w:r>
        <w:rPr>
          <w:rFonts w:ascii="Arial" w:eastAsia="Calibri" w:hAnsi="Arial" w:cs="Arial"/>
          <w:sz w:val="20"/>
          <w:szCs w:val="20"/>
        </w:rPr>
        <w:t xml:space="preserve">Za vzpostavitev tega modela so relevantne najmanj naslednje napredne digitalne tehnologije: </w:t>
      </w:r>
    </w:p>
    <w:p w14:paraId="7C3755CB" w14:textId="2E513A30" w:rsidR="00714E2D" w:rsidRDefault="005833B3" w:rsidP="003445EF">
      <w:pPr>
        <w:pStyle w:val="Odstavekseznama"/>
        <w:numPr>
          <w:ilvl w:val="0"/>
          <w:numId w:val="8"/>
        </w:numPr>
        <w:spacing w:after="0" w:line="240" w:lineRule="auto"/>
        <w:jc w:val="both"/>
        <w:rPr>
          <w:rFonts w:ascii="Arial" w:eastAsia="Calibri" w:hAnsi="Arial" w:cs="Arial"/>
          <w:sz w:val="20"/>
          <w:szCs w:val="20"/>
        </w:rPr>
      </w:pPr>
      <w:r>
        <w:rPr>
          <w:rFonts w:ascii="Arial" w:eastAsia="Calibri" w:hAnsi="Arial" w:cs="Arial"/>
          <w:sz w:val="20"/>
          <w:szCs w:val="20"/>
        </w:rPr>
        <w:t>i</w:t>
      </w:r>
      <w:r w:rsidR="00714E2D">
        <w:rPr>
          <w:rFonts w:ascii="Arial" w:eastAsia="Calibri" w:hAnsi="Arial" w:cs="Arial"/>
          <w:sz w:val="20"/>
          <w:szCs w:val="20"/>
        </w:rPr>
        <w:t>nternet stvari (IoT),</w:t>
      </w:r>
    </w:p>
    <w:p w14:paraId="71E35171" w14:textId="0327862C" w:rsidR="00714E2D" w:rsidRDefault="005833B3" w:rsidP="003445EF">
      <w:pPr>
        <w:pStyle w:val="Odstavekseznama"/>
        <w:numPr>
          <w:ilvl w:val="0"/>
          <w:numId w:val="8"/>
        </w:numPr>
        <w:spacing w:after="0" w:line="240" w:lineRule="auto"/>
        <w:jc w:val="both"/>
        <w:rPr>
          <w:rFonts w:ascii="Arial" w:eastAsia="Calibri" w:hAnsi="Arial" w:cs="Arial"/>
          <w:sz w:val="20"/>
          <w:szCs w:val="20"/>
        </w:rPr>
      </w:pPr>
      <w:r>
        <w:rPr>
          <w:rFonts w:ascii="Arial" w:eastAsia="Calibri" w:hAnsi="Arial" w:cs="Arial"/>
          <w:sz w:val="20"/>
          <w:szCs w:val="20"/>
        </w:rPr>
        <w:t>p</w:t>
      </w:r>
      <w:r w:rsidR="00714E2D">
        <w:rPr>
          <w:rFonts w:ascii="Arial" w:eastAsia="Calibri" w:hAnsi="Arial" w:cs="Arial"/>
          <w:sz w:val="20"/>
          <w:szCs w:val="20"/>
        </w:rPr>
        <w:t xml:space="preserve">odatki, podatkovne infrastrukture in storitve, </w:t>
      </w:r>
    </w:p>
    <w:p w14:paraId="38B85044" w14:textId="700AF79C" w:rsidR="00714E2D" w:rsidRDefault="005833B3" w:rsidP="003445EF">
      <w:pPr>
        <w:pStyle w:val="Odstavekseznama"/>
        <w:numPr>
          <w:ilvl w:val="0"/>
          <w:numId w:val="8"/>
        </w:numPr>
        <w:spacing w:after="0" w:line="240" w:lineRule="auto"/>
        <w:jc w:val="both"/>
        <w:rPr>
          <w:rFonts w:ascii="Arial" w:eastAsia="Calibri" w:hAnsi="Arial" w:cs="Arial"/>
          <w:sz w:val="20"/>
          <w:szCs w:val="20"/>
        </w:rPr>
      </w:pPr>
      <w:r>
        <w:rPr>
          <w:rFonts w:ascii="Arial" w:eastAsia="Calibri" w:hAnsi="Arial" w:cs="Arial"/>
          <w:sz w:val="20"/>
          <w:szCs w:val="20"/>
        </w:rPr>
        <w:t>t</w:t>
      </w:r>
      <w:r w:rsidR="00714E2D">
        <w:rPr>
          <w:rFonts w:ascii="Arial" w:eastAsia="Calibri" w:hAnsi="Arial" w:cs="Arial"/>
          <w:sz w:val="20"/>
          <w:szCs w:val="20"/>
        </w:rPr>
        <w:t xml:space="preserve">ehnologija distribuiranih zapisov, ki je temelj za rešitve tehnologije veriženja blokov, </w:t>
      </w:r>
    </w:p>
    <w:p w14:paraId="11EC100E" w14:textId="339FBFF5" w:rsidR="00714E2D" w:rsidRPr="00714E2D" w:rsidRDefault="005833B3" w:rsidP="003445EF">
      <w:pPr>
        <w:pStyle w:val="Odstavekseznama"/>
        <w:numPr>
          <w:ilvl w:val="0"/>
          <w:numId w:val="8"/>
        </w:numPr>
        <w:spacing w:after="0" w:line="240" w:lineRule="auto"/>
        <w:jc w:val="both"/>
        <w:rPr>
          <w:rFonts w:ascii="Arial" w:eastAsia="Calibri" w:hAnsi="Arial" w:cs="Arial"/>
          <w:sz w:val="20"/>
          <w:szCs w:val="20"/>
        </w:rPr>
      </w:pPr>
      <w:r>
        <w:rPr>
          <w:rFonts w:ascii="Arial" w:eastAsia="Calibri" w:hAnsi="Arial" w:cs="Arial"/>
          <w:sz w:val="20"/>
          <w:szCs w:val="20"/>
        </w:rPr>
        <w:t>u</w:t>
      </w:r>
      <w:r w:rsidR="00714E2D">
        <w:rPr>
          <w:rFonts w:ascii="Arial" w:eastAsia="Calibri" w:hAnsi="Arial" w:cs="Arial"/>
          <w:sz w:val="20"/>
          <w:szCs w:val="20"/>
        </w:rPr>
        <w:t xml:space="preserve">metna inteligenca. </w:t>
      </w:r>
    </w:p>
    <w:p w14:paraId="2830AA46" w14:textId="77777777" w:rsidR="00714E2D" w:rsidRDefault="00714E2D" w:rsidP="006863CD">
      <w:pPr>
        <w:spacing w:after="0" w:line="240" w:lineRule="auto"/>
        <w:contextualSpacing/>
        <w:jc w:val="both"/>
        <w:rPr>
          <w:rFonts w:ascii="Arial" w:eastAsia="Calibri" w:hAnsi="Arial" w:cs="Arial"/>
          <w:sz w:val="20"/>
          <w:szCs w:val="20"/>
        </w:rPr>
      </w:pPr>
    </w:p>
    <w:p w14:paraId="6E011A51" w14:textId="3BE4683C" w:rsidR="006863CD" w:rsidRDefault="00714E2D" w:rsidP="00714E2D">
      <w:pPr>
        <w:spacing w:after="0" w:line="240" w:lineRule="auto"/>
        <w:contextualSpacing/>
        <w:jc w:val="both"/>
        <w:rPr>
          <w:rFonts w:ascii="Arial" w:eastAsia="Calibri" w:hAnsi="Arial" w:cs="Arial"/>
          <w:sz w:val="20"/>
          <w:szCs w:val="20"/>
        </w:rPr>
      </w:pPr>
      <w:r>
        <w:rPr>
          <w:rFonts w:ascii="Arial" w:eastAsia="Calibri" w:hAnsi="Arial" w:cs="Arial"/>
          <w:sz w:val="20"/>
          <w:szCs w:val="20"/>
        </w:rPr>
        <w:t>Z vidika izzivov, s katerimi se soočamo danes pri merjenju, zapisovanju, sledenju in trgovanju z emisijami, največ funkcionalnosti, ki lahko odgovorijo na te izzive, prinaša prav tehnologija veriženja blokov oziroma t</w:t>
      </w:r>
      <w:r w:rsidR="006863CD" w:rsidRPr="006863CD">
        <w:rPr>
          <w:rFonts w:ascii="Arial" w:eastAsia="Calibri" w:hAnsi="Arial" w:cs="Arial"/>
          <w:sz w:val="20"/>
          <w:szCs w:val="20"/>
        </w:rPr>
        <w:t>ehnologija distribuiranih zapisov</w:t>
      </w:r>
      <w:r>
        <w:rPr>
          <w:rFonts w:ascii="Arial" w:eastAsia="Calibri" w:hAnsi="Arial" w:cs="Arial"/>
          <w:sz w:val="20"/>
          <w:szCs w:val="20"/>
        </w:rPr>
        <w:t>. Ta tehnologija</w:t>
      </w:r>
      <w:r w:rsidR="006863CD" w:rsidRPr="006863CD">
        <w:rPr>
          <w:rFonts w:ascii="Arial" w:eastAsia="Calibri" w:hAnsi="Arial" w:cs="Arial"/>
          <w:sz w:val="20"/>
          <w:szCs w:val="20"/>
        </w:rPr>
        <w:t xml:space="preserve"> omogoča digitalni mehanizem zapisovanja in sledenja ločenih toko</w:t>
      </w:r>
      <w:r w:rsidR="00680E26">
        <w:rPr>
          <w:rFonts w:ascii="Arial" w:eastAsia="Calibri" w:hAnsi="Arial" w:cs="Arial"/>
          <w:sz w:val="20"/>
          <w:szCs w:val="20"/>
        </w:rPr>
        <w:t xml:space="preserve">v informacij, ki so povezani z </w:t>
      </w:r>
      <w:r w:rsidR="006863CD" w:rsidRPr="006863CD">
        <w:rPr>
          <w:rFonts w:ascii="Arial" w:eastAsia="Calibri" w:hAnsi="Arial" w:cs="Arial"/>
          <w:sz w:val="20"/>
          <w:szCs w:val="20"/>
        </w:rPr>
        <w:t xml:space="preserve"> EUA , tudi ko se prenašajo v različnih pravnih sistemih oziroma jurisdikcijah. Ob upoštevanju teh lastnosti je lahko tehnologija distribuiranih zapisov zelo ustrezna za razvoj novega evropskega registra  kuponov, tako na nacionalni, kot tudi na nadnacionalni ravni oziroma na ravni EU.</w:t>
      </w:r>
    </w:p>
    <w:p w14:paraId="3B5B7BEE" w14:textId="77777777" w:rsidR="00680E26" w:rsidRDefault="00680E26" w:rsidP="006863CD">
      <w:pPr>
        <w:spacing w:after="0" w:line="240" w:lineRule="auto"/>
        <w:jc w:val="both"/>
        <w:rPr>
          <w:rFonts w:ascii="Arial" w:eastAsia="Calibri" w:hAnsi="Arial" w:cs="Arial"/>
          <w:sz w:val="20"/>
          <w:szCs w:val="20"/>
        </w:rPr>
      </w:pPr>
    </w:p>
    <w:p w14:paraId="3FAE1F85" w14:textId="33E97EFA" w:rsidR="006863CD" w:rsidRDefault="00FA2B98" w:rsidP="006863CD">
      <w:pPr>
        <w:spacing w:after="0" w:line="240" w:lineRule="auto"/>
        <w:jc w:val="both"/>
        <w:rPr>
          <w:rFonts w:ascii="Arial" w:eastAsia="Calibri" w:hAnsi="Arial" w:cs="Arial"/>
          <w:sz w:val="20"/>
          <w:szCs w:val="20"/>
        </w:rPr>
      </w:pPr>
      <w:r>
        <w:rPr>
          <w:rFonts w:ascii="Arial" w:eastAsia="Calibri" w:hAnsi="Arial" w:cs="Arial"/>
          <w:sz w:val="20"/>
          <w:szCs w:val="20"/>
        </w:rPr>
        <w:t>Slika 3</w:t>
      </w:r>
      <w:r w:rsidR="006863CD" w:rsidRPr="006863CD">
        <w:rPr>
          <w:rFonts w:ascii="Arial" w:eastAsia="Calibri" w:hAnsi="Arial" w:cs="Arial"/>
          <w:sz w:val="20"/>
          <w:szCs w:val="20"/>
        </w:rPr>
        <w:t>: ETS Register v tipičnem okolju</w:t>
      </w:r>
      <w:r w:rsidR="006863CD" w:rsidRPr="006863CD">
        <w:rPr>
          <w:rFonts w:ascii="Tahoma" w:eastAsia="Calibri" w:hAnsi="Tahoma" w:cs="Tahoma"/>
          <w:sz w:val="24"/>
          <w:szCs w:val="24"/>
        </w:rPr>
        <w:t xml:space="preserve"> </w:t>
      </w:r>
      <w:r w:rsidR="008718C2">
        <w:rPr>
          <w:rFonts w:ascii="Arial" w:eastAsia="Calibri" w:hAnsi="Arial" w:cs="Arial"/>
          <w:sz w:val="20"/>
          <w:szCs w:val="20"/>
        </w:rPr>
        <w:t xml:space="preserve">(prilagoditev za dostopnost): </w:t>
      </w:r>
    </w:p>
    <w:p w14:paraId="1FB90DF8" w14:textId="29F1A37E" w:rsidR="008718C2" w:rsidRPr="008718C2" w:rsidRDefault="008718C2" w:rsidP="008718C2">
      <w:pPr>
        <w:pStyle w:val="Odstavekseznama"/>
        <w:numPr>
          <w:ilvl w:val="0"/>
          <w:numId w:val="38"/>
        </w:numPr>
        <w:spacing w:after="0" w:line="240" w:lineRule="auto"/>
        <w:jc w:val="both"/>
        <w:rPr>
          <w:rFonts w:ascii="Arial" w:eastAsia="Calibri" w:hAnsi="Arial" w:cs="Arial"/>
          <w:sz w:val="20"/>
          <w:szCs w:val="20"/>
        </w:rPr>
      </w:pPr>
      <w:r w:rsidRPr="008718C2">
        <w:rPr>
          <w:rFonts w:ascii="Arial" w:eastAsia="Calibri" w:hAnsi="Arial" w:cs="Arial"/>
          <w:sz w:val="20"/>
          <w:szCs w:val="20"/>
        </w:rPr>
        <w:t>viri podatkov (nacionalne statistike, podjetja, sredstva, podatki, projekti)</w:t>
      </w:r>
    </w:p>
    <w:p w14:paraId="3619E50D" w14:textId="7A694D16" w:rsidR="008718C2" w:rsidRPr="008718C2" w:rsidRDefault="008718C2" w:rsidP="008718C2">
      <w:pPr>
        <w:pStyle w:val="Odstavekseznama"/>
        <w:numPr>
          <w:ilvl w:val="0"/>
          <w:numId w:val="38"/>
        </w:numPr>
        <w:spacing w:after="0" w:line="240" w:lineRule="auto"/>
        <w:jc w:val="both"/>
        <w:rPr>
          <w:rFonts w:ascii="Arial" w:eastAsia="Calibri" w:hAnsi="Arial" w:cs="Arial"/>
          <w:sz w:val="20"/>
          <w:szCs w:val="20"/>
        </w:rPr>
      </w:pPr>
      <w:r w:rsidRPr="008718C2">
        <w:rPr>
          <w:rFonts w:ascii="Arial" w:eastAsia="Calibri" w:hAnsi="Arial" w:cs="Arial"/>
          <w:sz w:val="20"/>
          <w:szCs w:val="20"/>
        </w:rPr>
        <w:t>podatkovne baze (zaloge toplogrednih plinov, sistem upravljanja s podatki, register transakcij)</w:t>
      </w:r>
    </w:p>
    <w:p w14:paraId="34BF438C" w14:textId="412411C6" w:rsidR="008718C2" w:rsidRPr="008718C2" w:rsidRDefault="008718C2" w:rsidP="008718C2">
      <w:pPr>
        <w:pStyle w:val="Odstavekseznama"/>
        <w:numPr>
          <w:ilvl w:val="0"/>
          <w:numId w:val="38"/>
        </w:numPr>
        <w:spacing w:after="0" w:line="240" w:lineRule="auto"/>
        <w:jc w:val="both"/>
        <w:rPr>
          <w:rFonts w:ascii="Arial" w:eastAsia="Calibri" w:hAnsi="Arial" w:cs="Arial"/>
          <w:sz w:val="20"/>
          <w:szCs w:val="20"/>
        </w:rPr>
      </w:pPr>
      <w:r w:rsidRPr="008718C2">
        <w:rPr>
          <w:rFonts w:ascii="Arial" w:eastAsia="Calibri" w:hAnsi="Arial" w:cs="Arial"/>
          <w:sz w:val="20"/>
          <w:szCs w:val="20"/>
        </w:rPr>
        <w:t>uporaba podatkov (poročanje mednarodnim, nacionalnim/regionalnim  organizacijam, skladnost s politikami)</w:t>
      </w:r>
    </w:p>
    <w:p w14:paraId="00507A33" w14:textId="77777777" w:rsidR="006863CD" w:rsidRPr="006863CD" w:rsidRDefault="006863CD" w:rsidP="006863CD">
      <w:pPr>
        <w:spacing w:after="0" w:line="240" w:lineRule="auto"/>
        <w:rPr>
          <w:rFonts w:ascii="Arial" w:eastAsia="Calibri" w:hAnsi="Arial" w:cs="Arial"/>
          <w:b/>
          <w:sz w:val="20"/>
          <w:szCs w:val="20"/>
        </w:rPr>
      </w:pPr>
    </w:p>
    <w:p w14:paraId="2A6CAE93" w14:textId="77777777" w:rsidR="006863CD" w:rsidRPr="006863CD" w:rsidRDefault="006863CD" w:rsidP="006863CD">
      <w:pPr>
        <w:spacing w:after="0" w:line="240" w:lineRule="auto"/>
        <w:rPr>
          <w:rFonts w:ascii="Arial" w:eastAsia="Calibri" w:hAnsi="Arial" w:cs="Arial"/>
          <w:sz w:val="20"/>
          <w:szCs w:val="20"/>
        </w:rPr>
      </w:pPr>
      <w:r w:rsidRPr="006863CD">
        <w:rPr>
          <w:rFonts w:ascii="Arial" w:eastAsia="Calibri" w:hAnsi="Arial" w:cs="Arial"/>
          <w:b/>
          <w:sz w:val="20"/>
          <w:szCs w:val="20"/>
        </w:rPr>
        <w:t>ETS registri in DLT (tehnologija distribuiranih zapisov)</w:t>
      </w:r>
      <w:r w:rsidRPr="006863CD">
        <w:rPr>
          <w:rFonts w:ascii="Arial" w:eastAsia="Calibri" w:hAnsi="Arial" w:cs="Arial"/>
          <w:b/>
          <w:sz w:val="20"/>
          <w:szCs w:val="20"/>
        </w:rPr>
        <w:br/>
      </w:r>
    </w:p>
    <w:p w14:paraId="26721226" w14:textId="77777777" w:rsidR="006863CD" w:rsidRPr="006863CD" w:rsidRDefault="006863CD" w:rsidP="006863CD">
      <w:pPr>
        <w:spacing w:after="0" w:line="240" w:lineRule="auto"/>
        <w:jc w:val="both"/>
        <w:rPr>
          <w:rFonts w:ascii="Arial" w:eastAsia="Calibri" w:hAnsi="Arial" w:cs="Arial"/>
          <w:sz w:val="20"/>
          <w:szCs w:val="20"/>
        </w:rPr>
      </w:pPr>
      <w:r w:rsidRPr="006863CD">
        <w:rPr>
          <w:rFonts w:ascii="Arial" w:eastAsia="Calibri" w:hAnsi="Arial" w:cs="Arial"/>
          <w:sz w:val="20"/>
          <w:szCs w:val="20"/>
        </w:rPr>
        <w:t xml:space="preserve">Znotraj nacionalnega pravnega sistema ali nadnacionalnih regulatornih sistemov lahko obstaja več registrov ali več centraliziranih zapisov (posledica pravnih omejitev, omejitev zaradi zaupnosti, institucionalnih ovir in drugih dejavnikov). </w:t>
      </w:r>
    </w:p>
    <w:p w14:paraId="012F0E61" w14:textId="77777777" w:rsidR="006863CD" w:rsidRPr="006863CD" w:rsidRDefault="006863CD" w:rsidP="006863CD">
      <w:pPr>
        <w:spacing w:after="0" w:line="240" w:lineRule="auto"/>
        <w:jc w:val="both"/>
        <w:rPr>
          <w:rFonts w:ascii="Arial" w:eastAsia="Calibri" w:hAnsi="Arial" w:cs="Arial"/>
          <w:sz w:val="20"/>
          <w:szCs w:val="20"/>
        </w:rPr>
      </w:pPr>
    </w:p>
    <w:p w14:paraId="05475929" w14:textId="447F8EDA" w:rsidR="006863CD" w:rsidRPr="006863CD" w:rsidRDefault="006863CD" w:rsidP="006863CD">
      <w:pPr>
        <w:spacing w:after="0" w:line="240" w:lineRule="auto"/>
        <w:jc w:val="both"/>
        <w:rPr>
          <w:rFonts w:ascii="Arial" w:eastAsia="Calibri" w:hAnsi="Arial" w:cs="Arial"/>
          <w:sz w:val="20"/>
          <w:szCs w:val="20"/>
        </w:rPr>
      </w:pPr>
      <w:r w:rsidRPr="006863CD">
        <w:rPr>
          <w:rFonts w:ascii="Arial" w:eastAsia="Calibri" w:hAnsi="Arial" w:cs="Arial"/>
          <w:sz w:val="20"/>
          <w:szCs w:val="20"/>
        </w:rPr>
        <w:t xml:space="preserve">Skozi paradigmo uporabe tehnologije distribuiranih zapisov lahko novi in obstoječi trgi (trgi dobrin, okoljski in </w:t>
      </w:r>
      <w:r w:rsidR="00B74921">
        <w:rPr>
          <w:rFonts w:ascii="Arial" w:eastAsia="Calibri" w:hAnsi="Arial" w:cs="Arial"/>
          <w:sz w:val="20"/>
          <w:szCs w:val="20"/>
        </w:rPr>
        <w:t>podnebni</w:t>
      </w:r>
      <w:r w:rsidRPr="006863CD">
        <w:rPr>
          <w:rFonts w:ascii="Arial" w:eastAsia="Calibri" w:hAnsi="Arial" w:cs="Arial"/>
          <w:sz w:val="20"/>
          <w:szCs w:val="20"/>
        </w:rPr>
        <w:t xml:space="preserve"> trgi) integrirajo univerzalni zapis ali pa se vzpostavijo ob upoštevanju univerzalnega zapisa in trgujejo z določenimi lastnostmi. Dogodki, ki jih je mogoče fizično meriti in ki so predstavljeni v podatkih iz produkcije ali poslovanja, se lahko certificirajo po novih standardih in agregirajo v nova, splošno sprejeta sredstva. </w:t>
      </w:r>
    </w:p>
    <w:p w14:paraId="1D343D09" w14:textId="77777777" w:rsidR="006863CD" w:rsidRPr="006863CD" w:rsidRDefault="006863CD" w:rsidP="006863CD">
      <w:pPr>
        <w:spacing w:after="0" w:line="240" w:lineRule="auto"/>
        <w:jc w:val="both"/>
        <w:rPr>
          <w:rFonts w:ascii="Arial" w:eastAsia="Calibri" w:hAnsi="Arial" w:cs="Arial"/>
          <w:sz w:val="20"/>
          <w:szCs w:val="20"/>
        </w:rPr>
      </w:pPr>
    </w:p>
    <w:p w14:paraId="781637A6" w14:textId="77777777" w:rsidR="006863CD" w:rsidRPr="006863CD" w:rsidRDefault="006863CD" w:rsidP="006863CD">
      <w:pPr>
        <w:spacing w:after="0" w:line="240" w:lineRule="auto"/>
        <w:jc w:val="both"/>
        <w:rPr>
          <w:rFonts w:ascii="Arial" w:eastAsia="Calibri" w:hAnsi="Arial" w:cs="Arial"/>
          <w:sz w:val="20"/>
          <w:szCs w:val="20"/>
        </w:rPr>
      </w:pPr>
      <w:r w:rsidRPr="006863CD">
        <w:rPr>
          <w:rFonts w:ascii="Arial" w:eastAsia="Calibri" w:hAnsi="Arial" w:cs="Arial"/>
          <w:sz w:val="20"/>
          <w:szCs w:val="20"/>
        </w:rPr>
        <w:t xml:space="preserve">Pristop je odvisen od: </w:t>
      </w:r>
    </w:p>
    <w:p w14:paraId="0761D0C2" w14:textId="77777777" w:rsidR="006863CD" w:rsidRPr="006863CD" w:rsidRDefault="006863CD" w:rsidP="003445EF">
      <w:pPr>
        <w:numPr>
          <w:ilvl w:val="0"/>
          <w:numId w:val="9"/>
        </w:numPr>
        <w:spacing w:after="0" w:line="240" w:lineRule="auto"/>
        <w:contextualSpacing/>
        <w:jc w:val="both"/>
        <w:rPr>
          <w:rFonts w:ascii="Arial" w:eastAsia="Calibri" w:hAnsi="Arial" w:cs="Arial"/>
          <w:sz w:val="20"/>
          <w:szCs w:val="20"/>
        </w:rPr>
      </w:pPr>
      <w:r w:rsidRPr="006863CD">
        <w:rPr>
          <w:rFonts w:ascii="Arial" w:eastAsia="Calibri" w:hAnsi="Arial" w:cs="Arial"/>
          <w:sz w:val="20"/>
          <w:szCs w:val="20"/>
        </w:rPr>
        <w:t xml:space="preserve">tega, kako se integrirajo podatki iz produkcije (podprti z ustrezno tehnologijo, kot npr. IoT), </w:t>
      </w:r>
    </w:p>
    <w:p w14:paraId="4E925E7E" w14:textId="77777777" w:rsidR="006863CD" w:rsidRPr="006863CD" w:rsidRDefault="006863CD" w:rsidP="003445EF">
      <w:pPr>
        <w:numPr>
          <w:ilvl w:val="0"/>
          <w:numId w:val="9"/>
        </w:numPr>
        <w:spacing w:after="0" w:line="240" w:lineRule="auto"/>
        <w:contextualSpacing/>
        <w:jc w:val="both"/>
        <w:rPr>
          <w:rFonts w:ascii="Arial" w:eastAsia="Calibri" w:hAnsi="Arial" w:cs="Arial"/>
          <w:sz w:val="20"/>
          <w:szCs w:val="20"/>
        </w:rPr>
      </w:pPr>
      <w:r w:rsidRPr="006863CD">
        <w:rPr>
          <w:rFonts w:ascii="Arial" w:eastAsia="Calibri" w:hAnsi="Arial" w:cs="Arial"/>
          <w:sz w:val="20"/>
          <w:szCs w:val="20"/>
        </w:rPr>
        <w:t xml:space="preserve">naslednje generacije upravljanja, ki podpira digitalne pristope k spremljanju, poročanju in potrjevanju (MRV – Monitoring, Reporting, Verification), </w:t>
      </w:r>
    </w:p>
    <w:p w14:paraId="603FF491" w14:textId="77777777" w:rsidR="006863CD" w:rsidRPr="006863CD" w:rsidRDefault="006863CD" w:rsidP="003445EF">
      <w:pPr>
        <w:numPr>
          <w:ilvl w:val="0"/>
          <w:numId w:val="9"/>
        </w:numPr>
        <w:spacing w:after="0" w:line="240" w:lineRule="auto"/>
        <w:contextualSpacing/>
        <w:jc w:val="both"/>
        <w:rPr>
          <w:rFonts w:ascii="Arial" w:eastAsia="Calibri" w:hAnsi="Arial" w:cs="Arial"/>
          <w:sz w:val="20"/>
          <w:szCs w:val="20"/>
        </w:rPr>
      </w:pPr>
      <w:r w:rsidRPr="006863CD">
        <w:rPr>
          <w:rFonts w:ascii="Arial" w:eastAsia="Calibri" w:hAnsi="Arial" w:cs="Arial"/>
          <w:sz w:val="20"/>
          <w:szCs w:val="20"/>
        </w:rPr>
        <w:t xml:space="preserve">večjega obsega podatkov, ki podpirajo procese MRV (analitika velepodatkov ali množičnih podatkov) in </w:t>
      </w:r>
    </w:p>
    <w:p w14:paraId="109654FE" w14:textId="77777777" w:rsidR="006863CD" w:rsidRPr="006863CD" w:rsidRDefault="006863CD" w:rsidP="003445EF">
      <w:pPr>
        <w:numPr>
          <w:ilvl w:val="0"/>
          <w:numId w:val="9"/>
        </w:numPr>
        <w:spacing w:after="0" w:line="240" w:lineRule="auto"/>
        <w:contextualSpacing/>
        <w:jc w:val="both"/>
        <w:rPr>
          <w:rFonts w:ascii="Arial" w:eastAsia="Calibri" w:hAnsi="Arial" w:cs="Arial"/>
          <w:sz w:val="20"/>
          <w:szCs w:val="20"/>
        </w:rPr>
      </w:pPr>
      <w:r w:rsidRPr="006863CD">
        <w:rPr>
          <w:rFonts w:ascii="Arial" w:eastAsia="Calibri" w:hAnsi="Arial" w:cs="Arial"/>
          <w:sz w:val="20"/>
          <w:szCs w:val="20"/>
        </w:rPr>
        <w:t xml:space="preserve">od širše uporabe funkcionalnosti tehnologije distribuiranih zapisov v kontekstu dinamičnega trga v (ali blizu) realnem času. </w:t>
      </w:r>
    </w:p>
    <w:p w14:paraId="7247407A" w14:textId="77777777" w:rsidR="006863CD" w:rsidRPr="006863CD" w:rsidRDefault="006863CD" w:rsidP="006863CD">
      <w:pPr>
        <w:spacing w:after="0" w:line="240" w:lineRule="auto"/>
        <w:jc w:val="both"/>
        <w:rPr>
          <w:rFonts w:ascii="Arial" w:eastAsia="Calibri" w:hAnsi="Arial" w:cs="Arial"/>
          <w:sz w:val="20"/>
          <w:szCs w:val="20"/>
        </w:rPr>
      </w:pPr>
    </w:p>
    <w:p w14:paraId="32818EF8" w14:textId="77777777" w:rsidR="006863CD" w:rsidRPr="006863CD" w:rsidRDefault="006863CD" w:rsidP="006863CD">
      <w:pPr>
        <w:spacing w:after="0" w:line="240" w:lineRule="auto"/>
        <w:jc w:val="both"/>
        <w:rPr>
          <w:rFonts w:ascii="Arial" w:eastAsia="Calibri" w:hAnsi="Arial" w:cs="Arial"/>
          <w:sz w:val="20"/>
          <w:szCs w:val="20"/>
        </w:rPr>
      </w:pPr>
      <w:r w:rsidRPr="006863CD">
        <w:rPr>
          <w:rFonts w:ascii="Arial" w:eastAsia="Calibri" w:hAnsi="Arial" w:cs="Arial"/>
          <w:sz w:val="20"/>
          <w:szCs w:val="20"/>
        </w:rPr>
        <w:t xml:space="preserve">ETS register se lahko pilotno realizira skozi: </w:t>
      </w:r>
    </w:p>
    <w:p w14:paraId="2F56834E" w14:textId="52C104C9" w:rsidR="006863CD" w:rsidRPr="006863CD" w:rsidRDefault="00807B25" w:rsidP="003445EF">
      <w:pPr>
        <w:numPr>
          <w:ilvl w:val="0"/>
          <w:numId w:val="10"/>
        </w:numPr>
        <w:spacing w:after="0" w:line="240" w:lineRule="auto"/>
        <w:contextualSpacing/>
        <w:jc w:val="both"/>
        <w:rPr>
          <w:rFonts w:ascii="Arial" w:eastAsia="Calibri" w:hAnsi="Arial" w:cs="Arial"/>
          <w:sz w:val="20"/>
          <w:szCs w:val="20"/>
        </w:rPr>
      </w:pPr>
      <w:r>
        <w:rPr>
          <w:rFonts w:ascii="Arial" w:eastAsia="Calibri" w:hAnsi="Arial" w:cs="Arial"/>
          <w:sz w:val="20"/>
          <w:szCs w:val="20"/>
        </w:rPr>
        <w:t>o</w:t>
      </w:r>
      <w:r w:rsidR="006863CD" w:rsidRPr="006863CD">
        <w:rPr>
          <w:rFonts w:ascii="Arial" w:eastAsia="Calibri" w:hAnsi="Arial" w:cs="Arial"/>
          <w:sz w:val="20"/>
          <w:szCs w:val="20"/>
        </w:rPr>
        <w:t>blikovanje tehnološke rešitve za podporo slovenskemu ETS registru na tehnologiji distribuiranih zapisov</w:t>
      </w:r>
      <w:r>
        <w:rPr>
          <w:rFonts w:ascii="Arial" w:eastAsia="Calibri" w:hAnsi="Arial" w:cs="Arial"/>
          <w:sz w:val="20"/>
          <w:szCs w:val="20"/>
        </w:rPr>
        <w:t>,</w:t>
      </w:r>
    </w:p>
    <w:p w14:paraId="24F81E8E" w14:textId="51E16391" w:rsidR="006863CD" w:rsidRPr="006863CD" w:rsidRDefault="00807B25" w:rsidP="003445EF">
      <w:pPr>
        <w:numPr>
          <w:ilvl w:val="0"/>
          <w:numId w:val="10"/>
        </w:numPr>
        <w:spacing w:after="0" w:line="240" w:lineRule="auto"/>
        <w:contextualSpacing/>
        <w:jc w:val="both"/>
        <w:rPr>
          <w:rFonts w:ascii="Arial" w:eastAsia="Calibri" w:hAnsi="Arial" w:cs="Arial"/>
          <w:sz w:val="20"/>
          <w:szCs w:val="20"/>
        </w:rPr>
      </w:pPr>
      <w:r>
        <w:rPr>
          <w:rFonts w:ascii="Arial" w:eastAsia="Calibri" w:hAnsi="Arial" w:cs="Arial"/>
          <w:sz w:val="20"/>
          <w:szCs w:val="20"/>
        </w:rPr>
        <w:t>s</w:t>
      </w:r>
      <w:r w:rsidR="006863CD" w:rsidRPr="006863CD">
        <w:rPr>
          <w:rFonts w:ascii="Arial" w:eastAsia="Calibri" w:hAnsi="Arial" w:cs="Arial"/>
          <w:sz w:val="20"/>
          <w:szCs w:val="20"/>
        </w:rPr>
        <w:t>premljanje, poročanje in potrjevanje (MRV) na tehnologiji distribuiranih zapisov</w:t>
      </w:r>
      <w:r>
        <w:rPr>
          <w:rFonts w:ascii="Arial" w:eastAsia="Calibri" w:hAnsi="Arial" w:cs="Arial"/>
          <w:sz w:val="20"/>
          <w:szCs w:val="20"/>
        </w:rPr>
        <w:t>,</w:t>
      </w:r>
      <w:r w:rsidR="006863CD" w:rsidRPr="006863CD">
        <w:rPr>
          <w:rFonts w:ascii="Arial" w:eastAsia="Calibri" w:hAnsi="Arial" w:cs="Arial"/>
          <w:sz w:val="20"/>
          <w:szCs w:val="20"/>
        </w:rPr>
        <w:t xml:space="preserve">  </w:t>
      </w:r>
    </w:p>
    <w:p w14:paraId="5DB8F18B" w14:textId="7CFD62C0" w:rsidR="006863CD" w:rsidRPr="006863CD" w:rsidRDefault="00807B25" w:rsidP="003445EF">
      <w:pPr>
        <w:numPr>
          <w:ilvl w:val="0"/>
          <w:numId w:val="10"/>
        </w:numPr>
        <w:spacing w:after="0" w:line="240" w:lineRule="auto"/>
        <w:contextualSpacing/>
        <w:jc w:val="both"/>
        <w:rPr>
          <w:rFonts w:ascii="Arial" w:eastAsia="Calibri" w:hAnsi="Arial" w:cs="Arial"/>
          <w:sz w:val="20"/>
          <w:szCs w:val="20"/>
        </w:rPr>
      </w:pPr>
      <w:r>
        <w:rPr>
          <w:rFonts w:ascii="Arial" w:eastAsia="Calibri" w:hAnsi="Arial" w:cs="Arial"/>
          <w:sz w:val="20"/>
          <w:szCs w:val="20"/>
        </w:rPr>
        <w:t>i</w:t>
      </w:r>
      <w:r w:rsidR="006863CD" w:rsidRPr="006863CD">
        <w:rPr>
          <w:rFonts w:ascii="Arial" w:eastAsia="Calibri" w:hAnsi="Arial" w:cs="Arial"/>
          <w:sz w:val="20"/>
          <w:szCs w:val="20"/>
        </w:rPr>
        <w:t>ntegracij</w:t>
      </w:r>
      <w:r w:rsidR="00B74921">
        <w:rPr>
          <w:rFonts w:ascii="Arial" w:eastAsia="Calibri" w:hAnsi="Arial" w:cs="Arial"/>
          <w:sz w:val="20"/>
          <w:szCs w:val="20"/>
        </w:rPr>
        <w:t>o</w:t>
      </w:r>
      <w:r w:rsidR="006863CD" w:rsidRPr="006863CD">
        <w:rPr>
          <w:rFonts w:ascii="Arial" w:eastAsia="Calibri" w:hAnsi="Arial" w:cs="Arial"/>
          <w:sz w:val="20"/>
          <w:szCs w:val="20"/>
        </w:rPr>
        <w:t xml:space="preserve"> z zunanjimi sistemi</w:t>
      </w:r>
      <w:r>
        <w:rPr>
          <w:rFonts w:ascii="Arial" w:eastAsia="Calibri" w:hAnsi="Arial" w:cs="Arial"/>
          <w:sz w:val="20"/>
          <w:szCs w:val="20"/>
        </w:rPr>
        <w:t>,</w:t>
      </w:r>
    </w:p>
    <w:p w14:paraId="1B175809" w14:textId="138B3673" w:rsidR="006863CD" w:rsidRPr="006863CD" w:rsidRDefault="00807B25" w:rsidP="003445EF">
      <w:pPr>
        <w:numPr>
          <w:ilvl w:val="0"/>
          <w:numId w:val="10"/>
        </w:numPr>
        <w:spacing w:after="0" w:line="240" w:lineRule="auto"/>
        <w:contextualSpacing/>
        <w:jc w:val="both"/>
        <w:rPr>
          <w:rFonts w:ascii="Arial" w:eastAsia="Calibri" w:hAnsi="Arial" w:cs="Arial"/>
          <w:sz w:val="20"/>
          <w:szCs w:val="20"/>
        </w:rPr>
      </w:pPr>
      <w:r>
        <w:rPr>
          <w:rFonts w:ascii="Arial" w:eastAsia="Calibri" w:hAnsi="Arial" w:cs="Arial"/>
          <w:sz w:val="20"/>
          <w:szCs w:val="20"/>
        </w:rPr>
        <w:t>p</w:t>
      </w:r>
      <w:r w:rsidR="006863CD" w:rsidRPr="006863CD">
        <w:rPr>
          <w:rFonts w:ascii="Arial" w:eastAsia="Calibri" w:hAnsi="Arial" w:cs="Arial"/>
          <w:sz w:val="20"/>
          <w:szCs w:val="20"/>
        </w:rPr>
        <w:t>ilotni model tehnološke rešitve s čezmejno interoperabilno funkcionalnostjo za evropsko raven</w:t>
      </w:r>
      <w:r>
        <w:rPr>
          <w:rFonts w:ascii="Arial" w:eastAsia="Calibri" w:hAnsi="Arial" w:cs="Arial"/>
          <w:sz w:val="20"/>
          <w:szCs w:val="20"/>
        </w:rPr>
        <w:t>.</w:t>
      </w:r>
    </w:p>
    <w:p w14:paraId="69991261" w14:textId="77777777" w:rsidR="006863CD" w:rsidRPr="006863CD" w:rsidRDefault="006863CD" w:rsidP="006863CD">
      <w:pPr>
        <w:spacing w:after="0" w:line="240" w:lineRule="auto"/>
        <w:jc w:val="both"/>
        <w:rPr>
          <w:rFonts w:ascii="Arial" w:eastAsia="Arial" w:hAnsi="Arial" w:cs="Arial"/>
          <w:sz w:val="20"/>
          <w:szCs w:val="20"/>
          <w:lang w:eastAsia="sl-SI"/>
        </w:rPr>
      </w:pPr>
    </w:p>
    <w:p w14:paraId="30630D86" w14:textId="453DAC16" w:rsidR="00B95534" w:rsidRDefault="00E61DF5" w:rsidP="006863CD">
      <w:pPr>
        <w:spacing w:after="0" w:line="240" w:lineRule="auto"/>
        <w:jc w:val="both"/>
        <w:rPr>
          <w:rFonts w:ascii="Arial" w:eastAsia="Calibri" w:hAnsi="Arial" w:cs="Arial"/>
          <w:sz w:val="20"/>
          <w:szCs w:val="20"/>
        </w:rPr>
      </w:pPr>
      <w:r>
        <w:rPr>
          <w:rFonts w:ascii="Arial" w:eastAsia="Arial" w:hAnsi="Arial" w:cs="Arial"/>
          <w:sz w:val="20"/>
          <w:szCs w:val="20"/>
          <w:lang w:eastAsia="sl-SI"/>
        </w:rPr>
        <w:t>T</w:t>
      </w:r>
      <w:r w:rsidR="006863CD" w:rsidRPr="006863CD">
        <w:rPr>
          <w:rFonts w:ascii="Arial" w:eastAsia="Arial" w:hAnsi="Arial" w:cs="Arial"/>
          <w:sz w:val="20"/>
          <w:szCs w:val="20"/>
          <w:lang w:eastAsia="sl-SI"/>
        </w:rPr>
        <w:t xml:space="preserve">ehnološka rešitev </w:t>
      </w:r>
      <w:r>
        <w:rPr>
          <w:rFonts w:ascii="Arial" w:eastAsia="Arial" w:hAnsi="Arial" w:cs="Arial"/>
          <w:sz w:val="20"/>
          <w:szCs w:val="20"/>
          <w:lang w:eastAsia="sl-SI"/>
        </w:rPr>
        <w:t xml:space="preserve">je namenjena </w:t>
      </w:r>
      <w:r w:rsidR="006863CD" w:rsidRPr="006863CD">
        <w:rPr>
          <w:rFonts w:ascii="Arial" w:eastAsia="Arial" w:hAnsi="Arial" w:cs="Arial"/>
          <w:sz w:val="20"/>
          <w:szCs w:val="20"/>
          <w:lang w:eastAsia="sl-SI"/>
        </w:rPr>
        <w:t>vzpostavitv</w:t>
      </w:r>
      <w:r>
        <w:rPr>
          <w:rFonts w:ascii="Arial" w:eastAsia="Arial" w:hAnsi="Arial" w:cs="Arial"/>
          <w:sz w:val="20"/>
          <w:szCs w:val="20"/>
          <w:lang w:eastAsia="sl-SI"/>
        </w:rPr>
        <w:t>i</w:t>
      </w:r>
      <w:r w:rsidR="006863CD" w:rsidRPr="006863CD">
        <w:rPr>
          <w:rFonts w:ascii="Arial" w:eastAsia="Arial" w:hAnsi="Arial" w:cs="Arial"/>
          <w:sz w:val="20"/>
          <w:szCs w:val="20"/>
          <w:lang w:eastAsia="sl-SI"/>
        </w:rPr>
        <w:t xml:space="preserve"> orodja za register ETS za podjetja, ki so vključena v sistem ETS, </w:t>
      </w:r>
      <w:r>
        <w:rPr>
          <w:rFonts w:ascii="Arial" w:eastAsia="Arial" w:hAnsi="Arial" w:cs="Arial"/>
          <w:sz w:val="20"/>
          <w:szCs w:val="20"/>
          <w:lang w:eastAsia="sl-SI"/>
        </w:rPr>
        <w:t xml:space="preserve">na način, da se bo oblikovala </w:t>
      </w:r>
      <w:r w:rsidR="006863CD" w:rsidRPr="006863CD">
        <w:rPr>
          <w:rFonts w:ascii="Arial" w:eastAsia="Arial" w:hAnsi="Arial" w:cs="Arial"/>
          <w:sz w:val="20"/>
          <w:szCs w:val="20"/>
          <w:lang w:eastAsia="sl-SI"/>
        </w:rPr>
        <w:t>arhitekturn</w:t>
      </w:r>
      <w:r>
        <w:rPr>
          <w:rFonts w:ascii="Arial" w:eastAsia="Arial" w:hAnsi="Arial" w:cs="Arial"/>
          <w:sz w:val="20"/>
          <w:szCs w:val="20"/>
          <w:lang w:eastAsia="sl-SI"/>
        </w:rPr>
        <w:t>a</w:t>
      </w:r>
      <w:r w:rsidR="006863CD" w:rsidRPr="006863CD">
        <w:rPr>
          <w:rFonts w:ascii="Arial" w:eastAsia="Arial" w:hAnsi="Arial" w:cs="Arial"/>
          <w:sz w:val="20"/>
          <w:szCs w:val="20"/>
          <w:lang w:eastAsia="sl-SI"/>
        </w:rPr>
        <w:t xml:space="preserve"> rešitev</w:t>
      </w:r>
      <w:r w:rsidR="00B74921">
        <w:rPr>
          <w:rFonts w:ascii="Arial" w:eastAsia="Arial" w:hAnsi="Arial" w:cs="Arial"/>
          <w:sz w:val="20"/>
          <w:szCs w:val="20"/>
          <w:lang w:eastAsia="sl-SI"/>
        </w:rPr>
        <w:t>,</w:t>
      </w:r>
      <w:r w:rsidR="006863CD" w:rsidRPr="006863CD">
        <w:rPr>
          <w:rFonts w:ascii="Arial" w:eastAsia="Arial" w:hAnsi="Arial" w:cs="Arial"/>
          <w:sz w:val="20"/>
          <w:szCs w:val="20"/>
          <w:lang w:eastAsia="sl-SI"/>
        </w:rPr>
        <w:t xml:space="preserve"> in implementacij</w:t>
      </w:r>
      <w:r w:rsidR="00B74921">
        <w:rPr>
          <w:rFonts w:ascii="Arial" w:eastAsia="Arial" w:hAnsi="Arial" w:cs="Arial"/>
          <w:sz w:val="20"/>
          <w:szCs w:val="20"/>
          <w:lang w:eastAsia="sl-SI"/>
        </w:rPr>
        <w:t>i</w:t>
      </w:r>
      <w:r w:rsidR="006863CD" w:rsidRPr="006863CD">
        <w:rPr>
          <w:rFonts w:ascii="Arial" w:eastAsia="Arial" w:hAnsi="Arial" w:cs="Arial"/>
          <w:sz w:val="20"/>
          <w:szCs w:val="20"/>
          <w:lang w:eastAsia="sl-SI"/>
        </w:rPr>
        <w:t xml:space="preserve"> predlaganega standardiziranega zajema podatkov na osnovi izdelane metodologije. Pilotno bo na tem mestu uporabljena t</w:t>
      </w:r>
      <w:r w:rsidR="006863CD" w:rsidRPr="006863CD">
        <w:rPr>
          <w:rFonts w:ascii="Arial" w:eastAsia="Calibri" w:hAnsi="Arial" w:cs="Arial"/>
          <w:sz w:val="20"/>
          <w:szCs w:val="20"/>
        </w:rPr>
        <w:t>ehnologija distribuiranih zapisov</w:t>
      </w:r>
      <w:r w:rsidR="00807B25">
        <w:rPr>
          <w:rFonts w:ascii="Arial" w:eastAsia="Calibri" w:hAnsi="Arial" w:cs="Arial"/>
          <w:sz w:val="20"/>
          <w:szCs w:val="20"/>
        </w:rPr>
        <w:t>, ki</w:t>
      </w:r>
      <w:r w:rsidR="006863CD" w:rsidRPr="006863CD">
        <w:rPr>
          <w:rFonts w:ascii="Arial" w:eastAsia="Calibri" w:hAnsi="Arial" w:cs="Arial"/>
          <w:sz w:val="20"/>
          <w:szCs w:val="20"/>
        </w:rPr>
        <w:t xml:space="preserve"> omogoča digitalni mehanizem zapisovanja in sledenja ločenih tokov informacij, ki so povezani z EUA. </w:t>
      </w:r>
      <w:r w:rsidR="00842FE6" w:rsidRPr="00842FE6">
        <w:rPr>
          <w:rFonts w:ascii="Arial" w:eastAsia="Calibri" w:hAnsi="Arial" w:cs="Arial"/>
          <w:sz w:val="20"/>
          <w:szCs w:val="20"/>
        </w:rPr>
        <w:t>Za podjetja, ki v tem sistemu še niso, pa bo pilotni projekt pokazal možnost tehnološke rešitve.</w:t>
      </w:r>
    </w:p>
    <w:p w14:paraId="630A91F0" w14:textId="77777777" w:rsidR="00B95534" w:rsidRDefault="00B95534" w:rsidP="006863CD">
      <w:pPr>
        <w:spacing w:after="0" w:line="240" w:lineRule="auto"/>
        <w:jc w:val="both"/>
        <w:rPr>
          <w:rFonts w:ascii="Arial" w:eastAsia="Calibri" w:hAnsi="Arial" w:cs="Arial"/>
          <w:sz w:val="20"/>
          <w:szCs w:val="20"/>
        </w:rPr>
      </w:pPr>
    </w:p>
    <w:p w14:paraId="278D903C" w14:textId="6886BCDC" w:rsidR="006863CD" w:rsidRPr="006863CD" w:rsidRDefault="006863CD" w:rsidP="006863CD">
      <w:pPr>
        <w:spacing w:after="0" w:line="240" w:lineRule="auto"/>
        <w:jc w:val="both"/>
        <w:rPr>
          <w:rFonts w:ascii="Arial" w:eastAsia="Calibri" w:hAnsi="Arial" w:cs="Arial"/>
          <w:sz w:val="20"/>
          <w:szCs w:val="20"/>
        </w:rPr>
      </w:pPr>
      <w:r w:rsidRPr="006863CD">
        <w:rPr>
          <w:rFonts w:ascii="Arial" w:eastAsia="Calibri" w:hAnsi="Arial" w:cs="Arial"/>
          <w:sz w:val="20"/>
          <w:szCs w:val="20"/>
        </w:rPr>
        <w:t xml:space="preserve">Z interoperabilnostjo platforme – registra bomo naslovili tudi čezmejni vpliv v primeru prenosa informacij v primerih, ko se prenašajo v različnih pravnih sistemih oziroma jurisdikcijah. Ob upoštevanju teh lastnosti je lahko tehnologija distribuiranih zapisov zelo ustrezna za razvoj novega evropskega registra kuponov. K vstopu v register bomo nagovorili strokovno javnost in predstavnike politik, posebna pozornost pa bo namenjena podjetjem, ki so </w:t>
      </w:r>
      <w:r w:rsidR="00B74921">
        <w:rPr>
          <w:rFonts w:ascii="Arial" w:eastAsia="Calibri" w:hAnsi="Arial" w:cs="Arial"/>
          <w:sz w:val="20"/>
          <w:szCs w:val="20"/>
        </w:rPr>
        <w:t>kupci</w:t>
      </w:r>
      <w:r w:rsidR="00B74921" w:rsidRPr="006863CD">
        <w:rPr>
          <w:rFonts w:ascii="Arial" w:eastAsia="Calibri" w:hAnsi="Arial" w:cs="Arial"/>
          <w:sz w:val="20"/>
          <w:szCs w:val="20"/>
        </w:rPr>
        <w:t xml:space="preserve"> </w:t>
      </w:r>
      <w:r w:rsidR="0088537B">
        <w:rPr>
          <w:rFonts w:ascii="Arial" w:eastAsia="Calibri" w:hAnsi="Arial" w:cs="Arial"/>
          <w:sz w:val="20"/>
          <w:szCs w:val="20"/>
        </w:rPr>
        <w:t>pravic do emisije</w:t>
      </w:r>
      <w:r w:rsidRPr="006863CD">
        <w:rPr>
          <w:rFonts w:ascii="Arial" w:eastAsia="Calibri" w:hAnsi="Arial" w:cs="Arial"/>
          <w:sz w:val="20"/>
          <w:szCs w:val="20"/>
        </w:rPr>
        <w:t>, saj jih bomo na tak način na eni strani še dodatno spodbudili k zmanjšanju izpustov CO</w:t>
      </w:r>
      <w:r w:rsidRPr="004115E3">
        <w:rPr>
          <w:rFonts w:ascii="Arial" w:eastAsia="Calibri" w:hAnsi="Arial" w:cs="Arial"/>
          <w:sz w:val="20"/>
          <w:szCs w:val="20"/>
          <w:vertAlign w:val="subscript"/>
        </w:rPr>
        <w:t>2</w:t>
      </w:r>
      <w:r w:rsidRPr="006863CD">
        <w:rPr>
          <w:rFonts w:ascii="Arial" w:eastAsia="Calibri" w:hAnsi="Arial" w:cs="Arial"/>
          <w:sz w:val="20"/>
          <w:szCs w:val="20"/>
        </w:rPr>
        <w:t xml:space="preserve">, na drugi strani pa omogočili zmanjšanje potrebe po nakupih </w:t>
      </w:r>
      <w:r w:rsidR="00B74921">
        <w:rPr>
          <w:rFonts w:ascii="Arial" w:eastAsia="Calibri" w:hAnsi="Arial" w:cs="Arial"/>
          <w:sz w:val="20"/>
          <w:szCs w:val="20"/>
        </w:rPr>
        <w:t>EUA</w:t>
      </w:r>
      <w:r w:rsidRPr="006863CD">
        <w:rPr>
          <w:rFonts w:ascii="Arial" w:eastAsia="Calibri" w:hAnsi="Arial" w:cs="Arial"/>
          <w:sz w:val="20"/>
          <w:szCs w:val="20"/>
        </w:rPr>
        <w:t xml:space="preserve">. </w:t>
      </w:r>
    </w:p>
    <w:p w14:paraId="7CE324C9" w14:textId="7765906F" w:rsidR="006863CD" w:rsidRDefault="006863CD" w:rsidP="006863CD">
      <w:pPr>
        <w:spacing w:after="0" w:line="240" w:lineRule="auto"/>
        <w:contextualSpacing/>
        <w:jc w:val="both"/>
        <w:rPr>
          <w:rFonts w:ascii="Arial" w:eastAsia="Calibri" w:hAnsi="Arial" w:cs="Arial"/>
          <w:sz w:val="20"/>
          <w:szCs w:val="20"/>
        </w:rPr>
      </w:pPr>
    </w:p>
    <w:p w14:paraId="0E62EE8F" w14:textId="66273446" w:rsidR="0096460F" w:rsidRDefault="0096460F" w:rsidP="006863CD">
      <w:pPr>
        <w:spacing w:after="0" w:line="240" w:lineRule="auto"/>
        <w:contextualSpacing/>
        <w:jc w:val="both"/>
        <w:rPr>
          <w:rFonts w:ascii="Arial" w:eastAsia="Calibri" w:hAnsi="Arial" w:cs="Arial"/>
          <w:sz w:val="20"/>
          <w:szCs w:val="20"/>
        </w:rPr>
      </w:pPr>
    </w:p>
    <w:p w14:paraId="090D4DB4" w14:textId="46B5C903" w:rsidR="0096460F" w:rsidRDefault="0096460F" w:rsidP="006863CD">
      <w:pPr>
        <w:spacing w:after="0" w:line="240" w:lineRule="auto"/>
        <w:contextualSpacing/>
        <w:jc w:val="both"/>
        <w:rPr>
          <w:rFonts w:ascii="Arial" w:eastAsia="Calibri" w:hAnsi="Arial" w:cs="Arial"/>
          <w:sz w:val="20"/>
          <w:szCs w:val="20"/>
        </w:rPr>
      </w:pPr>
    </w:p>
    <w:p w14:paraId="46ED5394" w14:textId="52A9B577" w:rsidR="0096460F" w:rsidRDefault="0096460F" w:rsidP="006863CD">
      <w:pPr>
        <w:spacing w:after="0" w:line="240" w:lineRule="auto"/>
        <w:contextualSpacing/>
        <w:jc w:val="both"/>
        <w:rPr>
          <w:rFonts w:ascii="Arial" w:eastAsia="Calibri" w:hAnsi="Arial" w:cs="Arial"/>
          <w:sz w:val="20"/>
          <w:szCs w:val="20"/>
        </w:rPr>
      </w:pPr>
    </w:p>
    <w:p w14:paraId="53A37A55" w14:textId="13E74354" w:rsidR="0096460F" w:rsidRDefault="0096460F" w:rsidP="006863CD">
      <w:pPr>
        <w:spacing w:after="0" w:line="240" w:lineRule="auto"/>
        <w:contextualSpacing/>
        <w:jc w:val="both"/>
        <w:rPr>
          <w:rFonts w:ascii="Arial" w:eastAsia="Calibri" w:hAnsi="Arial" w:cs="Arial"/>
          <w:sz w:val="20"/>
          <w:szCs w:val="20"/>
        </w:rPr>
      </w:pPr>
    </w:p>
    <w:p w14:paraId="2A0EA33E" w14:textId="56511387" w:rsidR="0096460F" w:rsidRDefault="0096460F" w:rsidP="006863CD">
      <w:pPr>
        <w:spacing w:after="0" w:line="240" w:lineRule="auto"/>
        <w:contextualSpacing/>
        <w:jc w:val="both"/>
        <w:rPr>
          <w:rFonts w:ascii="Arial" w:eastAsia="Calibri" w:hAnsi="Arial" w:cs="Arial"/>
          <w:sz w:val="20"/>
          <w:szCs w:val="20"/>
        </w:rPr>
      </w:pPr>
    </w:p>
    <w:p w14:paraId="7F66F715" w14:textId="3348DF24" w:rsidR="0096460F" w:rsidRDefault="0096460F" w:rsidP="006863CD">
      <w:pPr>
        <w:spacing w:after="0" w:line="240" w:lineRule="auto"/>
        <w:contextualSpacing/>
        <w:jc w:val="both"/>
        <w:rPr>
          <w:rFonts w:ascii="Arial" w:eastAsia="Calibri" w:hAnsi="Arial" w:cs="Arial"/>
          <w:sz w:val="20"/>
          <w:szCs w:val="20"/>
        </w:rPr>
      </w:pPr>
    </w:p>
    <w:p w14:paraId="0DA53B1A" w14:textId="77777777" w:rsidR="0096460F" w:rsidRDefault="0096460F" w:rsidP="006863CD">
      <w:pPr>
        <w:spacing w:after="0" w:line="240" w:lineRule="auto"/>
        <w:contextualSpacing/>
        <w:jc w:val="both"/>
        <w:rPr>
          <w:rFonts w:ascii="Arial" w:eastAsia="Calibri" w:hAnsi="Arial" w:cs="Arial"/>
          <w:sz w:val="20"/>
          <w:szCs w:val="20"/>
        </w:rPr>
      </w:pPr>
    </w:p>
    <w:p w14:paraId="31072ECD" w14:textId="64864606" w:rsidR="004802E5" w:rsidRPr="00D44340" w:rsidRDefault="004802E5" w:rsidP="00D44340">
      <w:pPr>
        <w:pStyle w:val="Naslov3"/>
        <w:rPr>
          <w:rFonts w:ascii="Arial" w:eastAsia="Calibri" w:hAnsi="Arial" w:cs="Arial"/>
          <w:b/>
          <w:color w:val="70AD47" w:themeColor="accent6"/>
        </w:rPr>
      </w:pPr>
      <w:bookmarkStart w:id="32" w:name="_Toc102741395"/>
      <w:r w:rsidRPr="00D44340">
        <w:rPr>
          <w:rFonts w:ascii="Arial" w:eastAsia="Calibri" w:hAnsi="Arial" w:cs="Arial"/>
          <w:b/>
          <w:color w:val="70AD47" w:themeColor="accent6"/>
        </w:rPr>
        <w:t>IV.2.4. Strateška izhodišča</w:t>
      </w:r>
      <w:r w:rsidR="00E845DF">
        <w:rPr>
          <w:rFonts w:ascii="Arial" w:eastAsia="Calibri" w:hAnsi="Arial" w:cs="Arial"/>
          <w:b/>
          <w:color w:val="70AD47" w:themeColor="accent6"/>
        </w:rPr>
        <w:t>,</w:t>
      </w:r>
      <w:r w:rsidRPr="00D44340">
        <w:rPr>
          <w:rFonts w:ascii="Arial" w:eastAsia="Calibri" w:hAnsi="Arial" w:cs="Arial"/>
          <w:b/>
          <w:color w:val="70AD47" w:themeColor="accent6"/>
        </w:rPr>
        <w:t xml:space="preserve"> cilji</w:t>
      </w:r>
      <w:bookmarkEnd w:id="32"/>
      <w:r w:rsidR="00E845DF">
        <w:rPr>
          <w:rFonts w:ascii="Arial" w:eastAsia="Calibri" w:hAnsi="Arial" w:cs="Arial"/>
          <w:b/>
          <w:color w:val="70AD47" w:themeColor="accent6"/>
        </w:rPr>
        <w:t xml:space="preserve"> in vrednost projekta</w:t>
      </w:r>
    </w:p>
    <w:p w14:paraId="7B9B4B01" w14:textId="77777777" w:rsidR="004802E5" w:rsidRDefault="004802E5" w:rsidP="006863CD">
      <w:pPr>
        <w:spacing w:after="0" w:line="240" w:lineRule="auto"/>
        <w:contextualSpacing/>
        <w:jc w:val="both"/>
        <w:rPr>
          <w:rFonts w:ascii="Arial" w:eastAsia="Calibri" w:hAnsi="Arial" w:cs="Arial"/>
          <w:sz w:val="20"/>
          <w:szCs w:val="20"/>
        </w:rPr>
      </w:pPr>
    </w:p>
    <w:p w14:paraId="0F997215" w14:textId="77777777" w:rsidR="004802E5" w:rsidRDefault="004802E5" w:rsidP="006863CD">
      <w:pPr>
        <w:spacing w:after="0" w:line="240" w:lineRule="auto"/>
        <w:contextualSpacing/>
        <w:jc w:val="both"/>
        <w:rPr>
          <w:rFonts w:ascii="Arial" w:eastAsia="Calibri" w:hAnsi="Arial" w:cs="Arial"/>
          <w:sz w:val="20"/>
          <w:szCs w:val="20"/>
        </w:rPr>
      </w:pPr>
      <w:r>
        <w:rPr>
          <w:rFonts w:ascii="Arial" w:eastAsia="Calibri" w:hAnsi="Arial" w:cs="Arial"/>
          <w:sz w:val="20"/>
          <w:szCs w:val="20"/>
        </w:rPr>
        <w:t>Strateška izhodišča</w:t>
      </w:r>
    </w:p>
    <w:p w14:paraId="0CBA47E7" w14:textId="77777777" w:rsidR="004802E5" w:rsidRDefault="004802E5" w:rsidP="006863CD">
      <w:pPr>
        <w:spacing w:after="0" w:line="240" w:lineRule="auto"/>
        <w:contextualSpacing/>
        <w:jc w:val="both"/>
        <w:rPr>
          <w:rFonts w:ascii="Arial" w:eastAsia="Calibri" w:hAnsi="Arial" w:cs="Arial"/>
          <w:sz w:val="20"/>
          <w:szCs w:val="20"/>
        </w:rPr>
      </w:pPr>
    </w:p>
    <w:p w14:paraId="61652C34" w14:textId="77777777" w:rsidR="004802E5" w:rsidRDefault="004802E5" w:rsidP="006863CD">
      <w:pPr>
        <w:spacing w:after="0" w:line="240" w:lineRule="auto"/>
        <w:contextualSpacing/>
        <w:jc w:val="both"/>
        <w:rPr>
          <w:rFonts w:ascii="Arial" w:eastAsia="Calibri" w:hAnsi="Arial" w:cs="Arial"/>
          <w:sz w:val="20"/>
          <w:szCs w:val="20"/>
        </w:rPr>
      </w:pPr>
      <w:r>
        <w:rPr>
          <w:rFonts w:ascii="Arial" w:eastAsia="Calibri" w:hAnsi="Arial" w:cs="Times New Roman"/>
          <w:noProof/>
          <w:sz w:val="20"/>
          <w:lang w:eastAsia="sl-SI"/>
        </w:rPr>
        <mc:AlternateContent>
          <mc:Choice Requires="wps">
            <w:drawing>
              <wp:anchor distT="0" distB="0" distL="114300" distR="114300" simplePos="0" relativeHeight="251664384" behindDoc="0" locked="0" layoutInCell="1" allowOverlap="1" wp14:anchorId="2F25C005" wp14:editId="56445409">
                <wp:simplePos x="0" y="0"/>
                <wp:positionH relativeFrom="margin">
                  <wp:posOffset>-635</wp:posOffset>
                </wp:positionH>
                <wp:positionV relativeFrom="paragraph">
                  <wp:posOffset>45720</wp:posOffset>
                </wp:positionV>
                <wp:extent cx="5699760" cy="2164080"/>
                <wp:effectExtent l="0" t="0" r="15240" b="26670"/>
                <wp:wrapNone/>
                <wp:docPr id="13" name="Pravokotnik z odrezanima kotoma na diagonali 13"/>
                <wp:cNvGraphicFramePr/>
                <a:graphic xmlns:a="http://schemas.openxmlformats.org/drawingml/2006/main">
                  <a:graphicData uri="http://schemas.microsoft.com/office/word/2010/wordprocessingShape">
                    <wps:wsp>
                      <wps:cNvSpPr/>
                      <wps:spPr>
                        <a:xfrm>
                          <a:off x="0" y="0"/>
                          <a:ext cx="5699760" cy="2164080"/>
                        </a:xfrm>
                        <a:prstGeom prst="snip2DiagRect">
                          <a:avLst/>
                        </a:prstGeom>
                        <a:solidFill>
                          <a:sysClr val="window" lastClr="FFFFFF"/>
                        </a:solidFill>
                        <a:ln w="12700" cap="flat" cmpd="sng" algn="ctr">
                          <a:solidFill>
                            <a:srgbClr val="4472C4"/>
                          </a:solidFill>
                          <a:prstDash val="solid"/>
                          <a:miter lim="800000"/>
                        </a:ln>
                        <a:effectLst/>
                      </wps:spPr>
                      <wps:txbx>
                        <w:txbxContent>
                          <w:p w14:paraId="5959BCE2" w14:textId="77777777" w:rsidR="00A15ADE" w:rsidRPr="00126987" w:rsidRDefault="00A15ADE" w:rsidP="003445EF">
                            <w:pPr>
                              <w:pStyle w:val="Odstavekseznama"/>
                              <w:numPr>
                                <w:ilvl w:val="0"/>
                                <w:numId w:val="18"/>
                              </w:numPr>
                              <w:jc w:val="both"/>
                              <w:rPr>
                                <w:rFonts w:ascii="Arial" w:hAnsi="Arial" w:cs="Arial"/>
                                <w:sz w:val="18"/>
                                <w:szCs w:val="18"/>
                              </w:rPr>
                            </w:pPr>
                            <w:r w:rsidRPr="00126987">
                              <w:rPr>
                                <w:rFonts w:ascii="Arial" w:hAnsi="Arial" w:cs="Arial"/>
                                <w:sz w:val="18"/>
                                <w:szCs w:val="18"/>
                              </w:rPr>
                              <w:t xml:space="preserve">Spodbujanje podjetij k implementaciji korakov za avtomatizirano zbiranje podatkov pri viru, spremljanje in sledenje podatkov v okviru posameznega podjetja v okviru registra ETS z namenom zmanjšanja izpustov CO2.    </w:t>
                            </w:r>
                          </w:p>
                          <w:p w14:paraId="62B00EE1" w14:textId="77777777" w:rsidR="00A15ADE" w:rsidRPr="00126987" w:rsidRDefault="00A15ADE" w:rsidP="003445EF">
                            <w:pPr>
                              <w:pStyle w:val="Odstavekseznama"/>
                              <w:numPr>
                                <w:ilvl w:val="0"/>
                                <w:numId w:val="18"/>
                              </w:numPr>
                              <w:jc w:val="both"/>
                              <w:rPr>
                                <w:rFonts w:ascii="Arial" w:hAnsi="Arial" w:cs="Arial"/>
                                <w:sz w:val="18"/>
                                <w:szCs w:val="18"/>
                              </w:rPr>
                            </w:pPr>
                            <w:r w:rsidRPr="00126987">
                              <w:rPr>
                                <w:rFonts w:ascii="Arial" w:hAnsi="Arial" w:cs="Arial"/>
                                <w:sz w:val="18"/>
                                <w:szCs w:val="18"/>
                              </w:rPr>
                              <w:t xml:space="preserve">Spodbujanje podjetij k prostovoljnemu angažiranju pri izravnavanju ogljika in poročanju z uporabo naprednih digitalnih tehnologij, pri čemer naslavljamo tako t.i. »imetnike kreditov«, kot tudi »prejemnike kreditov«, na drugi strani pa spodbujanje tistih podjetij, ki so zakonsko zavezani k poročanju, k uvajanju avtomatiziranega merjenja, zapisovanja in sledenja izpustov.   </w:t>
                            </w:r>
                          </w:p>
                          <w:p w14:paraId="1737B358" w14:textId="5E4E2055" w:rsidR="00A15ADE" w:rsidRDefault="00A15ADE" w:rsidP="003445EF">
                            <w:pPr>
                              <w:pStyle w:val="Odstavekseznama"/>
                              <w:numPr>
                                <w:ilvl w:val="0"/>
                                <w:numId w:val="18"/>
                              </w:numPr>
                              <w:jc w:val="both"/>
                              <w:rPr>
                                <w:rFonts w:ascii="Arial" w:hAnsi="Arial" w:cs="Arial"/>
                                <w:sz w:val="18"/>
                                <w:szCs w:val="18"/>
                              </w:rPr>
                            </w:pPr>
                            <w:r w:rsidRPr="00126987">
                              <w:rPr>
                                <w:rFonts w:ascii="Arial" w:hAnsi="Arial" w:cs="Arial"/>
                                <w:sz w:val="18"/>
                                <w:szCs w:val="18"/>
                              </w:rPr>
                              <w:t>Pospešitev uporabe koncepta trajnostnega financiranja in hkrati povečanje privlačnosti za nov kapital, ki izhaja iz sinergij z drugimi sistemi (npr. informacija o ETS se uporabi za obveznice, povezane s trajnostjo, zelene obveznice ipd. za spodbujanje investicij)</w:t>
                            </w:r>
                            <w:r>
                              <w:rPr>
                                <w:rFonts w:ascii="Arial" w:hAnsi="Arial" w:cs="Arial"/>
                                <w:sz w:val="18"/>
                                <w:szCs w:val="18"/>
                              </w:rPr>
                              <w:t>.</w:t>
                            </w:r>
                          </w:p>
                          <w:p w14:paraId="4EE7F622" w14:textId="763B4207" w:rsidR="00A15ADE" w:rsidRPr="00117763" w:rsidRDefault="00A15ADE" w:rsidP="003445EF">
                            <w:pPr>
                              <w:pStyle w:val="Odstavekseznama"/>
                              <w:numPr>
                                <w:ilvl w:val="0"/>
                                <w:numId w:val="18"/>
                              </w:numPr>
                              <w:rPr>
                                <w:rFonts w:ascii="Arial" w:hAnsi="Arial" w:cs="Arial"/>
                                <w:sz w:val="18"/>
                                <w:szCs w:val="18"/>
                              </w:rPr>
                            </w:pPr>
                            <w:r w:rsidRPr="00117763">
                              <w:rPr>
                                <w:rFonts w:ascii="Arial" w:hAnsi="Arial" w:cs="Arial"/>
                                <w:sz w:val="18"/>
                                <w:szCs w:val="18"/>
                              </w:rPr>
                              <w:t>Spodbujanje inovativnih rešitev razvoja in uporabe naprednih digitalnih tehnologij v sklopu testnega laboratorija (sandbox-a)</w:t>
                            </w:r>
                            <w:r>
                              <w:rPr>
                                <w:rFonts w:ascii="Arial" w:hAnsi="Arial" w:cs="Arial"/>
                                <w:sz w:val="18"/>
                                <w:szCs w:val="18"/>
                              </w:rPr>
                              <w:t>.</w:t>
                            </w:r>
                          </w:p>
                          <w:p w14:paraId="33DA54EA" w14:textId="77777777" w:rsidR="00A15ADE" w:rsidRPr="00126987" w:rsidRDefault="00A15ADE" w:rsidP="003445EF">
                            <w:pPr>
                              <w:pStyle w:val="Odstavekseznama"/>
                              <w:numPr>
                                <w:ilvl w:val="0"/>
                                <w:numId w:val="18"/>
                              </w:numPr>
                              <w:jc w:val="both"/>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25C005" id="Pravokotnik z odrezanima kotoma na diagonali 13" o:spid="_x0000_s1028" style="position:absolute;left:0;text-align:left;margin-left:-.05pt;margin-top:3.6pt;width:448.8pt;height:170.4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699760,2164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" adj="-11796480,,5400" path="m,l5339073,r360687,360687l5699760,2164080r,l360687,2164080,,1803393,,xe" fillcolor="window" strokecolor="#4472c4" strokeweight="1pt">
                <v:stroke joinstyle="miter"/>
                <v:formulas/>
                <v:path arrowok="t" o:connecttype="custom" o:connectlocs="0,0;5339073,0;5699760,360687;5699760,2164080;5699760,2164080;360687,2164080;0,1803393;0,0" o:connectangles="0,0,0,0,0,0,0,0" textboxrect="0,0,5699760,2164080"/>
                <v:textbox>
                  <w:txbxContent>
                    <w:p w14:paraId="5959BCE2" w14:textId="77777777" w:rsidR="00A15ADE" w:rsidRPr="00126987" w:rsidRDefault="00A15ADE" w:rsidP="003445EF">
                      <w:pPr>
                        <w:pStyle w:val="Odstavekseznama"/>
                        <w:numPr>
                          <w:ilvl w:val="0"/>
                          <w:numId w:val="18"/>
                        </w:numPr>
                        <w:jc w:val="both"/>
                        <w:rPr>
                          <w:rFonts w:ascii="Arial" w:hAnsi="Arial" w:cs="Arial"/>
                          <w:sz w:val="18"/>
                          <w:szCs w:val="18"/>
                        </w:rPr>
                      </w:pPr>
                      <w:r w:rsidRPr="00126987">
                        <w:rPr>
                          <w:rFonts w:ascii="Arial" w:hAnsi="Arial" w:cs="Arial"/>
                          <w:sz w:val="18"/>
                          <w:szCs w:val="18"/>
                        </w:rPr>
                        <w:t xml:space="preserve">Spodbujanje podjetij k implementaciji korakov za avtomatizirano zbiranje podatkov pri viru, spremljanje in sledenje podatkov v okviru posameznega podjetja v okviru registra ETS z namenom zmanjšanja izpustov CO2.    </w:t>
                      </w:r>
                    </w:p>
                    <w:p w14:paraId="62B00EE1" w14:textId="77777777" w:rsidR="00A15ADE" w:rsidRPr="00126987" w:rsidRDefault="00A15ADE" w:rsidP="003445EF">
                      <w:pPr>
                        <w:pStyle w:val="Odstavekseznama"/>
                        <w:numPr>
                          <w:ilvl w:val="0"/>
                          <w:numId w:val="18"/>
                        </w:numPr>
                        <w:jc w:val="both"/>
                        <w:rPr>
                          <w:rFonts w:ascii="Arial" w:hAnsi="Arial" w:cs="Arial"/>
                          <w:sz w:val="18"/>
                          <w:szCs w:val="18"/>
                        </w:rPr>
                      </w:pPr>
                      <w:r w:rsidRPr="00126987">
                        <w:rPr>
                          <w:rFonts w:ascii="Arial" w:hAnsi="Arial" w:cs="Arial"/>
                          <w:sz w:val="18"/>
                          <w:szCs w:val="18"/>
                        </w:rPr>
                        <w:t xml:space="preserve">Spodbujanje podjetij k prostovoljnemu angažiranju pri izravnavanju ogljika in poročanju z uporabo naprednih digitalnih tehnologij, pri čemer naslavljamo tako t.i. »imetnike kreditov«, kot tudi »prejemnike kreditov«, na drugi strani pa spodbujanje tistih podjetij, ki so zakonsko zavezani k poročanju, k uvajanju avtomatiziranega merjenja, zapisovanja in sledenja izpustov.   </w:t>
                      </w:r>
                    </w:p>
                    <w:p w14:paraId="1737B358" w14:textId="5E4E2055" w:rsidR="00A15ADE" w:rsidRDefault="00A15ADE" w:rsidP="003445EF">
                      <w:pPr>
                        <w:pStyle w:val="Odstavekseznama"/>
                        <w:numPr>
                          <w:ilvl w:val="0"/>
                          <w:numId w:val="18"/>
                        </w:numPr>
                        <w:jc w:val="both"/>
                        <w:rPr>
                          <w:rFonts w:ascii="Arial" w:hAnsi="Arial" w:cs="Arial"/>
                          <w:sz w:val="18"/>
                          <w:szCs w:val="18"/>
                        </w:rPr>
                      </w:pPr>
                      <w:r w:rsidRPr="00126987">
                        <w:rPr>
                          <w:rFonts w:ascii="Arial" w:hAnsi="Arial" w:cs="Arial"/>
                          <w:sz w:val="18"/>
                          <w:szCs w:val="18"/>
                        </w:rPr>
                        <w:t>Pospešitev uporabe koncepta trajnostnega financiranja in hkrati povečanje privlačnosti za nov kapital, ki izhaja iz sinergij z drugimi sistemi (npr. informacija o ETS se uporabi za obveznice, povezane s trajnostjo, zelene obveznice ipd. za spodbujanje investicij)</w:t>
                      </w:r>
                      <w:r>
                        <w:rPr>
                          <w:rFonts w:ascii="Arial" w:hAnsi="Arial" w:cs="Arial"/>
                          <w:sz w:val="18"/>
                          <w:szCs w:val="18"/>
                        </w:rPr>
                        <w:t>.</w:t>
                      </w:r>
                    </w:p>
                    <w:p w14:paraId="4EE7F622" w14:textId="763B4207" w:rsidR="00A15ADE" w:rsidRPr="00117763" w:rsidRDefault="00A15ADE" w:rsidP="003445EF">
                      <w:pPr>
                        <w:pStyle w:val="Odstavekseznama"/>
                        <w:numPr>
                          <w:ilvl w:val="0"/>
                          <w:numId w:val="18"/>
                        </w:numPr>
                        <w:rPr>
                          <w:rFonts w:ascii="Arial" w:hAnsi="Arial" w:cs="Arial"/>
                          <w:sz w:val="18"/>
                          <w:szCs w:val="18"/>
                        </w:rPr>
                      </w:pPr>
                      <w:r w:rsidRPr="00117763">
                        <w:rPr>
                          <w:rFonts w:ascii="Arial" w:hAnsi="Arial" w:cs="Arial"/>
                          <w:sz w:val="18"/>
                          <w:szCs w:val="18"/>
                        </w:rPr>
                        <w:t>Spodbujanje inovativnih rešitev razvoja in uporabe naprednih digitalnih tehnologij v sklopu testnega laboratorija (sandbox-a)</w:t>
                      </w:r>
                      <w:r>
                        <w:rPr>
                          <w:rFonts w:ascii="Arial" w:hAnsi="Arial" w:cs="Arial"/>
                          <w:sz w:val="18"/>
                          <w:szCs w:val="18"/>
                        </w:rPr>
                        <w:t>.</w:t>
                      </w:r>
                    </w:p>
                    <w:p w14:paraId="33DA54EA" w14:textId="77777777" w:rsidR="00A15ADE" w:rsidRPr="00126987" w:rsidRDefault="00A15ADE" w:rsidP="003445EF">
                      <w:pPr>
                        <w:pStyle w:val="Odstavekseznama"/>
                        <w:numPr>
                          <w:ilvl w:val="0"/>
                          <w:numId w:val="18"/>
                        </w:numPr>
                        <w:jc w:val="both"/>
                        <w:rPr>
                          <w:rFonts w:ascii="Arial" w:hAnsi="Arial" w:cs="Arial"/>
                          <w:sz w:val="18"/>
                          <w:szCs w:val="18"/>
                        </w:rPr>
                      </w:pPr>
                    </w:p>
                  </w:txbxContent>
                </v:textbox>
                <w10:wrap anchorx="margin"/>
              </v:shape>
            </w:pict>
          </mc:Fallback>
        </mc:AlternateContent>
      </w:r>
    </w:p>
    <w:p w14:paraId="015DA514" w14:textId="77777777" w:rsidR="004802E5" w:rsidRDefault="004802E5" w:rsidP="006863CD">
      <w:pPr>
        <w:spacing w:after="0" w:line="240" w:lineRule="auto"/>
        <w:contextualSpacing/>
        <w:jc w:val="both"/>
        <w:rPr>
          <w:rFonts w:ascii="Arial" w:eastAsia="Calibri" w:hAnsi="Arial" w:cs="Arial"/>
          <w:sz w:val="20"/>
          <w:szCs w:val="20"/>
        </w:rPr>
      </w:pPr>
    </w:p>
    <w:p w14:paraId="0092B01C" w14:textId="77777777" w:rsidR="004802E5" w:rsidRDefault="004802E5" w:rsidP="006863CD">
      <w:pPr>
        <w:spacing w:after="0" w:line="240" w:lineRule="auto"/>
        <w:contextualSpacing/>
        <w:jc w:val="both"/>
        <w:rPr>
          <w:rFonts w:ascii="Arial" w:eastAsia="Calibri" w:hAnsi="Arial" w:cs="Arial"/>
          <w:sz w:val="20"/>
          <w:szCs w:val="20"/>
        </w:rPr>
      </w:pPr>
    </w:p>
    <w:p w14:paraId="167ACC5C" w14:textId="77777777" w:rsidR="004802E5" w:rsidRDefault="004802E5" w:rsidP="006863CD">
      <w:pPr>
        <w:spacing w:after="0" w:line="240" w:lineRule="auto"/>
        <w:contextualSpacing/>
        <w:jc w:val="both"/>
        <w:rPr>
          <w:rFonts w:ascii="Arial" w:eastAsia="Calibri" w:hAnsi="Arial" w:cs="Arial"/>
          <w:sz w:val="20"/>
          <w:szCs w:val="20"/>
        </w:rPr>
      </w:pPr>
    </w:p>
    <w:p w14:paraId="7FFEAE82" w14:textId="77777777" w:rsidR="004802E5" w:rsidRDefault="004802E5" w:rsidP="006863CD">
      <w:pPr>
        <w:spacing w:after="0" w:line="240" w:lineRule="auto"/>
        <w:contextualSpacing/>
        <w:jc w:val="both"/>
        <w:rPr>
          <w:rFonts w:ascii="Arial" w:eastAsia="Calibri" w:hAnsi="Arial" w:cs="Arial"/>
          <w:sz w:val="20"/>
          <w:szCs w:val="20"/>
        </w:rPr>
      </w:pPr>
    </w:p>
    <w:p w14:paraId="6879B4E9" w14:textId="77777777" w:rsidR="004802E5" w:rsidRDefault="004802E5" w:rsidP="006863CD">
      <w:pPr>
        <w:spacing w:after="0" w:line="240" w:lineRule="auto"/>
        <w:contextualSpacing/>
        <w:jc w:val="both"/>
        <w:rPr>
          <w:rFonts w:ascii="Arial" w:eastAsia="Calibri" w:hAnsi="Arial" w:cs="Arial"/>
          <w:sz w:val="20"/>
          <w:szCs w:val="20"/>
        </w:rPr>
      </w:pPr>
    </w:p>
    <w:p w14:paraId="201E44A9" w14:textId="77777777" w:rsidR="004802E5" w:rsidRDefault="004802E5" w:rsidP="006863CD">
      <w:pPr>
        <w:spacing w:after="0" w:line="240" w:lineRule="auto"/>
        <w:contextualSpacing/>
        <w:jc w:val="both"/>
        <w:rPr>
          <w:rFonts w:ascii="Arial" w:eastAsia="Calibri" w:hAnsi="Arial" w:cs="Arial"/>
          <w:sz w:val="20"/>
          <w:szCs w:val="20"/>
        </w:rPr>
      </w:pPr>
    </w:p>
    <w:p w14:paraId="443CBE18" w14:textId="77777777" w:rsidR="004802E5" w:rsidRDefault="004802E5" w:rsidP="006863CD">
      <w:pPr>
        <w:spacing w:after="0" w:line="240" w:lineRule="auto"/>
        <w:contextualSpacing/>
        <w:jc w:val="both"/>
        <w:rPr>
          <w:rFonts w:ascii="Arial" w:eastAsia="Calibri" w:hAnsi="Arial" w:cs="Arial"/>
          <w:sz w:val="20"/>
          <w:szCs w:val="20"/>
        </w:rPr>
      </w:pPr>
    </w:p>
    <w:p w14:paraId="6955691F" w14:textId="77777777" w:rsidR="004802E5" w:rsidRDefault="004802E5" w:rsidP="006863CD">
      <w:pPr>
        <w:spacing w:after="0" w:line="240" w:lineRule="auto"/>
        <w:contextualSpacing/>
        <w:jc w:val="both"/>
        <w:rPr>
          <w:rFonts w:ascii="Arial" w:eastAsia="Calibri" w:hAnsi="Arial" w:cs="Arial"/>
          <w:sz w:val="20"/>
          <w:szCs w:val="20"/>
        </w:rPr>
      </w:pPr>
    </w:p>
    <w:p w14:paraId="0CAEB244" w14:textId="77777777" w:rsidR="004802E5" w:rsidRDefault="004802E5" w:rsidP="006863CD">
      <w:pPr>
        <w:spacing w:after="0" w:line="240" w:lineRule="auto"/>
        <w:contextualSpacing/>
        <w:jc w:val="both"/>
        <w:rPr>
          <w:rFonts w:ascii="Arial" w:eastAsia="Calibri" w:hAnsi="Arial" w:cs="Arial"/>
          <w:sz w:val="20"/>
          <w:szCs w:val="20"/>
        </w:rPr>
      </w:pPr>
    </w:p>
    <w:p w14:paraId="24F992AD" w14:textId="77777777" w:rsidR="004802E5" w:rsidRDefault="004802E5" w:rsidP="006863CD">
      <w:pPr>
        <w:spacing w:after="0" w:line="240" w:lineRule="auto"/>
        <w:contextualSpacing/>
        <w:jc w:val="both"/>
        <w:rPr>
          <w:rFonts w:ascii="Arial" w:eastAsia="Calibri" w:hAnsi="Arial" w:cs="Arial"/>
          <w:sz w:val="20"/>
          <w:szCs w:val="20"/>
        </w:rPr>
      </w:pPr>
    </w:p>
    <w:p w14:paraId="157CC4A0" w14:textId="77777777" w:rsidR="004802E5" w:rsidRDefault="004802E5" w:rsidP="006863CD">
      <w:pPr>
        <w:spacing w:after="0" w:line="240" w:lineRule="auto"/>
        <w:contextualSpacing/>
        <w:jc w:val="both"/>
        <w:rPr>
          <w:rFonts w:ascii="Arial" w:eastAsia="Calibri" w:hAnsi="Arial" w:cs="Arial"/>
          <w:sz w:val="20"/>
          <w:szCs w:val="20"/>
        </w:rPr>
      </w:pPr>
    </w:p>
    <w:p w14:paraId="6E8FF66E" w14:textId="77777777" w:rsidR="004802E5" w:rsidRDefault="004802E5" w:rsidP="006863CD">
      <w:pPr>
        <w:spacing w:after="0" w:line="240" w:lineRule="auto"/>
        <w:contextualSpacing/>
        <w:jc w:val="both"/>
        <w:rPr>
          <w:rFonts w:ascii="Arial" w:eastAsia="Calibri" w:hAnsi="Arial" w:cs="Arial"/>
          <w:sz w:val="20"/>
          <w:szCs w:val="20"/>
        </w:rPr>
      </w:pPr>
    </w:p>
    <w:p w14:paraId="23EDBEAB" w14:textId="77777777" w:rsidR="004802E5" w:rsidRDefault="004802E5" w:rsidP="006863CD">
      <w:pPr>
        <w:spacing w:after="0" w:line="240" w:lineRule="auto"/>
        <w:contextualSpacing/>
        <w:jc w:val="both"/>
        <w:rPr>
          <w:rFonts w:ascii="Arial" w:eastAsia="Calibri" w:hAnsi="Arial" w:cs="Arial"/>
          <w:sz w:val="20"/>
          <w:szCs w:val="20"/>
        </w:rPr>
      </w:pPr>
    </w:p>
    <w:p w14:paraId="72B85E64" w14:textId="77777777" w:rsidR="00126987" w:rsidRDefault="00126987" w:rsidP="006863CD">
      <w:pPr>
        <w:spacing w:after="0" w:line="240" w:lineRule="auto"/>
        <w:contextualSpacing/>
        <w:jc w:val="both"/>
        <w:rPr>
          <w:rFonts w:ascii="Arial" w:eastAsia="Calibri" w:hAnsi="Arial" w:cs="Arial"/>
          <w:sz w:val="20"/>
          <w:szCs w:val="20"/>
        </w:rPr>
      </w:pPr>
    </w:p>
    <w:p w14:paraId="260A0BFB" w14:textId="77777777" w:rsidR="00126987" w:rsidRDefault="00126987" w:rsidP="006863CD">
      <w:pPr>
        <w:spacing w:after="0" w:line="240" w:lineRule="auto"/>
        <w:contextualSpacing/>
        <w:jc w:val="both"/>
        <w:rPr>
          <w:rFonts w:ascii="Arial" w:eastAsia="Calibri" w:hAnsi="Arial" w:cs="Arial"/>
          <w:sz w:val="20"/>
          <w:szCs w:val="20"/>
        </w:rPr>
      </w:pPr>
    </w:p>
    <w:p w14:paraId="6A7A5427" w14:textId="3BC27C7F" w:rsidR="004802E5" w:rsidRDefault="00FA2B98" w:rsidP="006863CD">
      <w:pPr>
        <w:spacing w:after="0" w:line="240" w:lineRule="auto"/>
        <w:contextualSpacing/>
        <w:jc w:val="both"/>
        <w:rPr>
          <w:rFonts w:ascii="Arial" w:eastAsia="Calibri" w:hAnsi="Arial" w:cs="Arial"/>
          <w:sz w:val="20"/>
          <w:szCs w:val="20"/>
        </w:rPr>
      </w:pPr>
      <w:r>
        <w:rPr>
          <w:rFonts w:ascii="Arial" w:eastAsia="Calibri" w:hAnsi="Arial" w:cs="Arial"/>
          <w:sz w:val="20"/>
          <w:szCs w:val="20"/>
        </w:rPr>
        <w:t xml:space="preserve">Diagram 7: </w:t>
      </w:r>
      <w:r w:rsidR="004802E5">
        <w:rPr>
          <w:rFonts w:ascii="Arial" w:eastAsia="Calibri" w:hAnsi="Arial" w:cs="Arial"/>
          <w:sz w:val="20"/>
          <w:szCs w:val="20"/>
        </w:rPr>
        <w:t>Cilji</w:t>
      </w:r>
      <w:r>
        <w:rPr>
          <w:rFonts w:ascii="Arial" w:eastAsia="Calibri" w:hAnsi="Arial" w:cs="Arial"/>
          <w:sz w:val="20"/>
          <w:szCs w:val="20"/>
        </w:rPr>
        <w:t xml:space="preserve"> </w:t>
      </w:r>
      <w:r w:rsidRPr="00FA2B98">
        <w:rPr>
          <w:rFonts w:ascii="Arial" w:eastAsia="Calibri" w:hAnsi="Arial" w:cs="Arial"/>
          <w:sz w:val="20"/>
          <w:szCs w:val="20"/>
        </w:rPr>
        <w:t>(prilagoditev za dostopnost)</w:t>
      </w:r>
      <w:r w:rsidR="0096460F">
        <w:rPr>
          <w:rFonts w:ascii="Arial" w:eastAsia="Calibri" w:hAnsi="Arial" w:cs="Arial"/>
          <w:sz w:val="20"/>
          <w:szCs w:val="20"/>
        </w:rPr>
        <w:t xml:space="preserve">: </w:t>
      </w:r>
    </w:p>
    <w:p w14:paraId="2F2EEE6D" w14:textId="2D11AB22" w:rsidR="0096460F" w:rsidRDefault="0096460F" w:rsidP="0096460F">
      <w:pPr>
        <w:pStyle w:val="Odstavekseznama"/>
        <w:numPr>
          <w:ilvl w:val="0"/>
          <w:numId w:val="39"/>
        </w:numPr>
        <w:spacing w:after="0" w:line="240" w:lineRule="auto"/>
        <w:jc w:val="both"/>
        <w:rPr>
          <w:rFonts w:ascii="Arial" w:eastAsia="Calibri" w:hAnsi="Arial" w:cs="Arial"/>
          <w:sz w:val="20"/>
          <w:szCs w:val="20"/>
        </w:rPr>
      </w:pPr>
      <w:r w:rsidRPr="0096460F">
        <w:rPr>
          <w:rFonts w:ascii="Arial" w:eastAsia="Calibri" w:hAnsi="Arial" w:cs="Arial"/>
          <w:sz w:val="20"/>
          <w:szCs w:val="20"/>
        </w:rPr>
        <w:t>Do leta 2030 vsaj 50 % podjetij, ki prostovoljno sodelujejo pri izravnavanju ogljika, od tega vsaj 50 % proizvajalcev energije iz OVE in vsaj 30 % klasičnih industrij</w:t>
      </w:r>
    </w:p>
    <w:p w14:paraId="19DEF791" w14:textId="0C72F511" w:rsidR="0096460F" w:rsidRDefault="0096460F" w:rsidP="0096460F">
      <w:pPr>
        <w:pStyle w:val="Odstavekseznama"/>
        <w:numPr>
          <w:ilvl w:val="0"/>
          <w:numId w:val="39"/>
        </w:numPr>
        <w:spacing w:after="0" w:line="240" w:lineRule="auto"/>
        <w:jc w:val="both"/>
        <w:rPr>
          <w:rFonts w:ascii="Arial" w:eastAsia="Calibri" w:hAnsi="Arial" w:cs="Arial"/>
          <w:sz w:val="20"/>
          <w:szCs w:val="20"/>
        </w:rPr>
      </w:pPr>
      <w:r w:rsidRPr="0096460F">
        <w:rPr>
          <w:rFonts w:ascii="Arial" w:eastAsia="Calibri" w:hAnsi="Arial" w:cs="Arial"/>
          <w:sz w:val="20"/>
          <w:szCs w:val="20"/>
        </w:rPr>
        <w:t>Do leta 2030 vsaj 5 razvitih finančnih instrumentov trajnostnega financiranja</w:t>
      </w:r>
    </w:p>
    <w:p w14:paraId="0F38BB7F" w14:textId="77777777" w:rsidR="0096460F" w:rsidRPr="0096460F" w:rsidRDefault="0096460F" w:rsidP="0096460F">
      <w:pPr>
        <w:pStyle w:val="Odstavekseznama"/>
        <w:numPr>
          <w:ilvl w:val="0"/>
          <w:numId w:val="39"/>
        </w:numPr>
        <w:spacing w:after="0" w:line="240" w:lineRule="auto"/>
        <w:jc w:val="both"/>
        <w:rPr>
          <w:rFonts w:ascii="Arial" w:eastAsia="Calibri" w:hAnsi="Arial" w:cs="Arial"/>
          <w:sz w:val="20"/>
          <w:szCs w:val="20"/>
        </w:rPr>
      </w:pPr>
      <w:r w:rsidRPr="0096460F">
        <w:rPr>
          <w:rFonts w:ascii="Arial" w:eastAsia="Calibri" w:hAnsi="Arial" w:cs="Arial"/>
          <w:sz w:val="20"/>
          <w:szCs w:val="20"/>
        </w:rPr>
        <w:t xml:space="preserve">Do leta 2022 (q4 2024) povečan obseg implementacije priporočil iz energetskih pregledov za najmanj 10 % </w:t>
      </w:r>
    </w:p>
    <w:p w14:paraId="313035DD" w14:textId="5B19F3BD" w:rsidR="0096460F" w:rsidRPr="0096460F" w:rsidRDefault="0096460F" w:rsidP="0096460F">
      <w:pPr>
        <w:pStyle w:val="Odstavekseznama"/>
        <w:numPr>
          <w:ilvl w:val="0"/>
          <w:numId w:val="39"/>
        </w:numPr>
        <w:spacing w:after="0" w:line="240" w:lineRule="auto"/>
        <w:jc w:val="both"/>
        <w:rPr>
          <w:rFonts w:ascii="Arial" w:eastAsia="Calibri" w:hAnsi="Arial" w:cs="Arial"/>
          <w:sz w:val="20"/>
          <w:szCs w:val="20"/>
        </w:rPr>
      </w:pPr>
      <w:r w:rsidRPr="0096460F">
        <w:rPr>
          <w:rFonts w:ascii="Arial" w:eastAsia="Calibri" w:hAnsi="Arial" w:cs="Arial"/>
          <w:sz w:val="20"/>
          <w:szCs w:val="20"/>
        </w:rPr>
        <w:t>Do leta 2025 vsaj 50 % podjetij vkl</w:t>
      </w:r>
      <w:r>
        <w:rPr>
          <w:rFonts w:ascii="Arial" w:eastAsia="Calibri" w:hAnsi="Arial" w:cs="Arial"/>
          <w:sz w:val="20"/>
          <w:szCs w:val="20"/>
        </w:rPr>
        <w:t>j</w:t>
      </w:r>
      <w:r w:rsidRPr="0096460F">
        <w:rPr>
          <w:rFonts w:ascii="Arial" w:eastAsia="Calibri" w:hAnsi="Arial" w:cs="Arial"/>
          <w:sz w:val="20"/>
          <w:szCs w:val="20"/>
        </w:rPr>
        <w:t>učenih v platformo - register ETS z energetsko izkaznico podjetij in uporabo storitve hibridnega oblaka</w:t>
      </w:r>
    </w:p>
    <w:p w14:paraId="71FB504E" w14:textId="77777777" w:rsidR="004802E5" w:rsidRDefault="004802E5" w:rsidP="006863CD">
      <w:pPr>
        <w:spacing w:after="0" w:line="240" w:lineRule="auto"/>
        <w:contextualSpacing/>
        <w:jc w:val="both"/>
        <w:rPr>
          <w:rFonts w:ascii="Arial" w:eastAsia="Calibri" w:hAnsi="Arial" w:cs="Arial"/>
          <w:sz w:val="20"/>
          <w:szCs w:val="20"/>
        </w:rPr>
      </w:pPr>
    </w:p>
    <w:p w14:paraId="3733E8BD" w14:textId="55FCF894" w:rsidR="004802E5" w:rsidRDefault="00E845DF" w:rsidP="006863CD">
      <w:pPr>
        <w:spacing w:after="0" w:line="240" w:lineRule="auto"/>
        <w:contextualSpacing/>
        <w:jc w:val="both"/>
        <w:rPr>
          <w:rFonts w:ascii="Arial" w:eastAsia="Calibri" w:hAnsi="Arial" w:cs="Arial"/>
          <w:sz w:val="20"/>
          <w:szCs w:val="20"/>
        </w:rPr>
      </w:pPr>
      <w:r>
        <w:rPr>
          <w:rFonts w:ascii="Arial" w:eastAsia="Calibri" w:hAnsi="Arial" w:cs="Arial"/>
          <w:sz w:val="20"/>
          <w:szCs w:val="20"/>
        </w:rPr>
        <w:t>Vrednost projekta: 1.000.000,00 EUR</w:t>
      </w:r>
    </w:p>
    <w:p w14:paraId="5D74794B" w14:textId="377FD5CB" w:rsidR="00A5475E" w:rsidRDefault="00A5475E" w:rsidP="006863CD">
      <w:pPr>
        <w:spacing w:after="0" w:line="240" w:lineRule="auto"/>
        <w:contextualSpacing/>
        <w:jc w:val="both"/>
        <w:rPr>
          <w:rFonts w:ascii="Arial" w:eastAsia="Calibri" w:hAnsi="Arial" w:cs="Arial"/>
          <w:sz w:val="20"/>
          <w:szCs w:val="20"/>
        </w:rPr>
      </w:pPr>
    </w:p>
    <w:p w14:paraId="5A9E7894" w14:textId="79F94787" w:rsidR="00236053" w:rsidRPr="007F0B8A" w:rsidRDefault="00236053" w:rsidP="007F0B8A">
      <w:pPr>
        <w:spacing w:after="0" w:line="240" w:lineRule="auto"/>
        <w:contextualSpacing/>
        <w:jc w:val="both"/>
        <w:rPr>
          <w:rFonts w:ascii="Arial" w:eastAsia="Calibri" w:hAnsi="Arial" w:cs="Arial"/>
          <w:sz w:val="20"/>
          <w:szCs w:val="20"/>
        </w:rPr>
      </w:pPr>
    </w:p>
    <w:p w14:paraId="6B3A07AB" w14:textId="2EEAE308" w:rsidR="00236053" w:rsidRDefault="00236053" w:rsidP="006863CD">
      <w:pPr>
        <w:spacing w:after="0" w:line="240" w:lineRule="auto"/>
        <w:contextualSpacing/>
        <w:jc w:val="both"/>
        <w:rPr>
          <w:rFonts w:ascii="Arial" w:eastAsia="Calibri" w:hAnsi="Arial" w:cs="Arial"/>
          <w:sz w:val="20"/>
          <w:szCs w:val="20"/>
        </w:rPr>
      </w:pPr>
    </w:p>
    <w:p w14:paraId="0414833A" w14:textId="06F43A66" w:rsidR="00236053" w:rsidRDefault="00236053" w:rsidP="006863CD">
      <w:pPr>
        <w:spacing w:after="0" w:line="240" w:lineRule="auto"/>
        <w:contextualSpacing/>
        <w:jc w:val="both"/>
        <w:rPr>
          <w:rFonts w:ascii="Arial" w:eastAsia="Calibri" w:hAnsi="Arial" w:cs="Arial"/>
          <w:sz w:val="20"/>
          <w:szCs w:val="20"/>
        </w:rPr>
      </w:pPr>
    </w:p>
    <w:p w14:paraId="627102C4" w14:textId="70409311" w:rsidR="00236053" w:rsidRDefault="00236053" w:rsidP="006863CD">
      <w:pPr>
        <w:spacing w:after="0" w:line="240" w:lineRule="auto"/>
        <w:contextualSpacing/>
        <w:jc w:val="both"/>
        <w:rPr>
          <w:rFonts w:ascii="Arial" w:eastAsia="Calibri" w:hAnsi="Arial" w:cs="Arial"/>
          <w:sz w:val="20"/>
          <w:szCs w:val="20"/>
        </w:rPr>
      </w:pPr>
    </w:p>
    <w:p w14:paraId="7856F95F" w14:textId="50E8C19B" w:rsidR="00236053" w:rsidRDefault="00236053" w:rsidP="006863CD">
      <w:pPr>
        <w:spacing w:after="0" w:line="240" w:lineRule="auto"/>
        <w:contextualSpacing/>
        <w:jc w:val="both"/>
        <w:rPr>
          <w:rFonts w:ascii="Arial" w:eastAsia="Calibri" w:hAnsi="Arial" w:cs="Arial"/>
          <w:sz w:val="20"/>
          <w:szCs w:val="20"/>
        </w:rPr>
      </w:pPr>
    </w:p>
    <w:p w14:paraId="0C5833B3" w14:textId="3497F1CC" w:rsidR="00236053" w:rsidRDefault="00236053" w:rsidP="006863CD">
      <w:pPr>
        <w:spacing w:after="0" w:line="240" w:lineRule="auto"/>
        <w:contextualSpacing/>
        <w:jc w:val="both"/>
        <w:rPr>
          <w:rFonts w:ascii="Arial" w:eastAsia="Calibri" w:hAnsi="Arial" w:cs="Arial"/>
          <w:sz w:val="20"/>
          <w:szCs w:val="20"/>
        </w:rPr>
      </w:pPr>
    </w:p>
    <w:p w14:paraId="4423F367" w14:textId="640A0E5A" w:rsidR="00236053" w:rsidRDefault="00236053" w:rsidP="006863CD">
      <w:pPr>
        <w:spacing w:after="0" w:line="240" w:lineRule="auto"/>
        <w:contextualSpacing/>
        <w:jc w:val="both"/>
        <w:rPr>
          <w:rFonts w:ascii="Arial" w:eastAsia="Calibri" w:hAnsi="Arial" w:cs="Arial"/>
          <w:sz w:val="20"/>
          <w:szCs w:val="20"/>
        </w:rPr>
      </w:pPr>
    </w:p>
    <w:p w14:paraId="70D5706E" w14:textId="553CD650" w:rsidR="00236053" w:rsidRDefault="00236053" w:rsidP="006863CD">
      <w:pPr>
        <w:spacing w:after="0" w:line="240" w:lineRule="auto"/>
        <w:contextualSpacing/>
        <w:jc w:val="both"/>
        <w:rPr>
          <w:rFonts w:ascii="Arial" w:eastAsia="Calibri" w:hAnsi="Arial" w:cs="Arial"/>
          <w:sz w:val="20"/>
          <w:szCs w:val="20"/>
        </w:rPr>
      </w:pPr>
    </w:p>
    <w:p w14:paraId="19F69EB8" w14:textId="1F97B3B2" w:rsidR="00236053" w:rsidRDefault="00236053" w:rsidP="006863CD">
      <w:pPr>
        <w:spacing w:after="0" w:line="240" w:lineRule="auto"/>
        <w:contextualSpacing/>
        <w:jc w:val="both"/>
        <w:rPr>
          <w:rFonts w:ascii="Arial" w:eastAsia="Calibri" w:hAnsi="Arial" w:cs="Arial"/>
          <w:sz w:val="20"/>
          <w:szCs w:val="20"/>
        </w:rPr>
      </w:pPr>
    </w:p>
    <w:p w14:paraId="19D57827" w14:textId="32F5038E" w:rsidR="00236053" w:rsidRDefault="00236053" w:rsidP="006863CD">
      <w:pPr>
        <w:spacing w:after="0" w:line="240" w:lineRule="auto"/>
        <w:contextualSpacing/>
        <w:jc w:val="both"/>
        <w:rPr>
          <w:rFonts w:ascii="Arial" w:eastAsia="Calibri" w:hAnsi="Arial" w:cs="Arial"/>
          <w:sz w:val="20"/>
          <w:szCs w:val="20"/>
        </w:rPr>
      </w:pPr>
    </w:p>
    <w:p w14:paraId="7C963520" w14:textId="43473E8B" w:rsidR="00236053" w:rsidRDefault="00236053" w:rsidP="006863CD">
      <w:pPr>
        <w:spacing w:after="0" w:line="240" w:lineRule="auto"/>
        <w:contextualSpacing/>
        <w:jc w:val="both"/>
        <w:rPr>
          <w:rFonts w:ascii="Arial" w:eastAsia="Calibri" w:hAnsi="Arial" w:cs="Arial"/>
          <w:sz w:val="20"/>
          <w:szCs w:val="20"/>
        </w:rPr>
      </w:pPr>
    </w:p>
    <w:p w14:paraId="1F373A55" w14:textId="435BB000" w:rsidR="00236053" w:rsidRDefault="00236053" w:rsidP="006863CD">
      <w:pPr>
        <w:spacing w:after="0" w:line="240" w:lineRule="auto"/>
        <w:contextualSpacing/>
        <w:jc w:val="both"/>
        <w:rPr>
          <w:rFonts w:ascii="Arial" w:eastAsia="Calibri" w:hAnsi="Arial" w:cs="Arial"/>
          <w:sz w:val="20"/>
          <w:szCs w:val="20"/>
        </w:rPr>
      </w:pPr>
    </w:p>
    <w:p w14:paraId="2F7BBE14" w14:textId="645095BF" w:rsidR="00236053" w:rsidRDefault="00236053" w:rsidP="006863CD">
      <w:pPr>
        <w:spacing w:after="0" w:line="240" w:lineRule="auto"/>
        <w:contextualSpacing/>
        <w:jc w:val="both"/>
        <w:rPr>
          <w:rFonts w:ascii="Arial" w:eastAsia="Calibri" w:hAnsi="Arial" w:cs="Arial"/>
          <w:sz w:val="20"/>
          <w:szCs w:val="20"/>
        </w:rPr>
      </w:pPr>
    </w:p>
    <w:p w14:paraId="028DB55B" w14:textId="642DED44" w:rsidR="00236053" w:rsidRDefault="00236053" w:rsidP="006863CD">
      <w:pPr>
        <w:spacing w:after="0" w:line="240" w:lineRule="auto"/>
        <w:contextualSpacing/>
        <w:jc w:val="both"/>
        <w:rPr>
          <w:rFonts w:ascii="Arial" w:eastAsia="Calibri" w:hAnsi="Arial" w:cs="Arial"/>
          <w:sz w:val="20"/>
          <w:szCs w:val="20"/>
        </w:rPr>
      </w:pPr>
    </w:p>
    <w:p w14:paraId="50F43513" w14:textId="08BA2FEA" w:rsidR="00236053" w:rsidRDefault="00236053" w:rsidP="006863CD">
      <w:pPr>
        <w:spacing w:after="0" w:line="240" w:lineRule="auto"/>
        <w:contextualSpacing/>
        <w:jc w:val="both"/>
        <w:rPr>
          <w:rFonts w:ascii="Arial" w:eastAsia="Calibri" w:hAnsi="Arial" w:cs="Arial"/>
          <w:sz w:val="20"/>
          <w:szCs w:val="20"/>
        </w:rPr>
      </w:pPr>
    </w:p>
    <w:p w14:paraId="69CCDD8D" w14:textId="756E8200" w:rsidR="00236053" w:rsidRDefault="00236053" w:rsidP="006863CD">
      <w:pPr>
        <w:spacing w:after="0" w:line="240" w:lineRule="auto"/>
        <w:contextualSpacing/>
        <w:jc w:val="both"/>
        <w:rPr>
          <w:rFonts w:ascii="Arial" w:eastAsia="Calibri" w:hAnsi="Arial" w:cs="Arial"/>
          <w:sz w:val="20"/>
          <w:szCs w:val="20"/>
        </w:rPr>
      </w:pPr>
    </w:p>
    <w:p w14:paraId="2B7E4046" w14:textId="7C77B31D" w:rsidR="00236053" w:rsidRDefault="00236053" w:rsidP="006863CD">
      <w:pPr>
        <w:spacing w:after="0" w:line="240" w:lineRule="auto"/>
        <w:contextualSpacing/>
        <w:jc w:val="both"/>
        <w:rPr>
          <w:rFonts w:ascii="Arial" w:eastAsia="Calibri" w:hAnsi="Arial" w:cs="Arial"/>
          <w:sz w:val="20"/>
          <w:szCs w:val="20"/>
        </w:rPr>
      </w:pPr>
    </w:p>
    <w:p w14:paraId="171F66EF" w14:textId="0ED6B822" w:rsidR="00236053" w:rsidRDefault="00236053" w:rsidP="006863CD">
      <w:pPr>
        <w:spacing w:after="0" w:line="240" w:lineRule="auto"/>
        <w:contextualSpacing/>
        <w:jc w:val="both"/>
        <w:rPr>
          <w:rFonts w:ascii="Arial" w:eastAsia="Calibri" w:hAnsi="Arial" w:cs="Arial"/>
          <w:sz w:val="20"/>
          <w:szCs w:val="20"/>
        </w:rPr>
      </w:pPr>
    </w:p>
    <w:p w14:paraId="5E62B848" w14:textId="1222A9BB" w:rsidR="00236053" w:rsidRDefault="00236053" w:rsidP="006863CD">
      <w:pPr>
        <w:spacing w:after="0" w:line="240" w:lineRule="auto"/>
        <w:contextualSpacing/>
        <w:jc w:val="both"/>
        <w:rPr>
          <w:rFonts w:ascii="Arial" w:eastAsia="Calibri" w:hAnsi="Arial" w:cs="Arial"/>
          <w:sz w:val="20"/>
          <w:szCs w:val="20"/>
        </w:rPr>
      </w:pPr>
    </w:p>
    <w:p w14:paraId="56D6321D" w14:textId="5F16F2B4" w:rsidR="00236053" w:rsidRDefault="00236053" w:rsidP="006863CD">
      <w:pPr>
        <w:spacing w:after="0" w:line="240" w:lineRule="auto"/>
        <w:contextualSpacing/>
        <w:jc w:val="both"/>
        <w:rPr>
          <w:rFonts w:ascii="Arial" w:eastAsia="Calibri" w:hAnsi="Arial" w:cs="Arial"/>
          <w:sz w:val="20"/>
          <w:szCs w:val="20"/>
        </w:rPr>
      </w:pPr>
    </w:p>
    <w:p w14:paraId="0E69D30A" w14:textId="73BD30D3" w:rsidR="00236053" w:rsidRDefault="00236053" w:rsidP="006863CD">
      <w:pPr>
        <w:spacing w:after="0" w:line="240" w:lineRule="auto"/>
        <w:contextualSpacing/>
        <w:jc w:val="both"/>
        <w:rPr>
          <w:rFonts w:ascii="Arial" w:eastAsia="Calibri" w:hAnsi="Arial" w:cs="Arial"/>
          <w:sz w:val="20"/>
          <w:szCs w:val="20"/>
        </w:rPr>
      </w:pPr>
    </w:p>
    <w:p w14:paraId="3C0715D3" w14:textId="5C596B15" w:rsidR="00236053" w:rsidRDefault="00236053" w:rsidP="006863CD">
      <w:pPr>
        <w:spacing w:after="0" w:line="240" w:lineRule="auto"/>
        <w:contextualSpacing/>
        <w:jc w:val="both"/>
        <w:rPr>
          <w:rFonts w:ascii="Arial" w:eastAsia="Calibri" w:hAnsi="Arial" w:cs="Arial"/>
          <w:sz w:val="20"/>
          <w:szCs w:val="20"/>
        </w:rPr>
      </w:pPr>
    </w:p>
    <w:p w14:paraId="6D6DFC23" w14:textId="7995EAF0" w:rsidR="00236053" w:rsidRDefault="00236053" w:rsidP="006863CD">
      <w:pPr>
        <w:spacing w:after="0" w:line="240" w:lineRule="auto"/>
        <w:contextualSpacing/>
        <w:jc w:val="both"/>
        <w:rPr>
          <w:rFonts w:ascii="Arial" w:eastAsia="Calibri" w:hAnsi="Arial" w:cs="Arial"/>
          <w:sz w:val="20"/>
          <w:szCs w:val="20"/>
        </w:rPr>
      </w:pPr>
    </w:p>
    <w:p w14:paraId="0762E71C" w14:textId="2AD02C90" w:rsidR="00236053" w:rsidRDefault="00236053" w:rsidP="006863CD">
      <w:pPr>
        <w:spacing w:after="0" w:line="240" w:lineRule="auto"/>
        <w:contextualSpacing/>
        <w:jc w:val="both"/>
        <w:rPr>
          <w:rFonts w:ascii="Arial" w:eastAsia="Calibri" w:hAnsi="Arial" w:cs="Arial"/>
          <w:sz w:val="20"/>
          <w:szCs w:val="20"/>
        </w:rPr>
      </w:pPr>
    </w:p>
    <w:p w14:paraId="0F4A60B7" w14:textId="7A6B11E2" w:rsidR="00236053" w:rsidRDefault="00236053" w:rsidP="006863CD">
      <w:pPr>
        <w:spacing w:after="0" w:line="240" w:lineRule="auto"/>
        <w:contextualSpacing/>
        <w:jc w:val="both"/>
        <w:rPr>
          <w:rFonts w:ascii="Arial" w:eastAsia="Calibri" w:hAnsi="Arial" w:cs="Arial"/>
          <w:sz w:val="20"/>
          <w:szCs w:val="20"/>
        </w:rPr>
      </w:pPr>
    </w:p>
    <w:p w14:paraId="7899FA24" w14:textId="33B63DC3" w:rsidR="00236053" w:rsidRDefault="00236053" w:rsidP="006863CD">
      <w:pPr>
        <w:spacing w:after="0" w:line="240" w:lineRule="auto"/>
        <w:contextualSpacing/>
        <w:jc w:val="both"/>
        <w:rPr>
          <w:rFonts w:ascii="Arial" w:eastAsia="Calibri" w:hAnsi="Arial" w:cs="Arial"/>
          <w:sz w:val="20"/>
          <w:szCs w:val="20"/>
        </w:rPr>
      </w:pPr>
    </w:p>
    <w:p w14:paraId="716C2A85" w14:textId="548D0E94" w:rsidR="00236053" w:rsidRDefault="00236053" w:rsidP="006863CD">
      <w:pPr>
        <w:spacing w:after="0" w:line="240" w:lineRule="auto"/>
        <w:contextualSpacing/>
        <w:jc w:val="both"/>
        <w:rPr>
          <w:rFonts w:ascii="Arial" w:eastAsia="Calibri" w:hAnsi="Arial" w:cs="Arial"/>
          <w:sz w:val="20"/>
          <w:szCs w:val="20"/>
        </w:rPr>
      </w:pPr>
    </w:p>
    <w:p w14:paraId="42752E8A" w14:textId="5B9B289C" w:rsidR="0008263B" w:rsidRDefault="0008263B" w:rsidP="006863CD">
      <w:pPr>
        <w:spacing w:after="0" w:line="240" w:lineRule="auto"/>
        <w:contextualSpacing/>
        <w:jc w:val="both"/>
        <w:rPr>
          <w:rFonts w:ascii="Arial" w:eastAsia="Calibri" w:hAnsi="Arial" w:cs="Arial"/>
          <w:sz w:val="20"/>
          <w:szCs w:val="20"/>
        </w:rPr>
      </w:pPr>
    </w:p>
    <w:p w14:paraId="6A71D671" w14:textId="3582A786" w:rsidR="0008263B" w:rsidRDefault="0008263B" w:rsidP="006863CD">
      <w:pPr>
        <w:spacing w:after="0" w:line="240" w:lineRule="auto"/>
        <w:contextualSpacing/>
        <w:jc w:val="both"/>
        <w:rPr>
          <w:rFonts w:ascii="Arial" w:eastAsia="Calibri" w:hAnsi="Arial" w:cs="Arial"/>
          <w:sz w:val="20"/>
          <w:szCs w:val="20"/>
        </w:rPr>
      </w:pPr>
    </w:p>
    <w:p w14:paraId="7061A0B6" w14:textId="33413818" w:rsidR="0008263B" w:rsidRDefault="0008263B" w:rsidP="006863CD">
      <w:pPr>
        <w:spacing w:after="0" w:line="240" w:lineRule="auto"/>
        <w:contextualSpacing/>
        <w:jc w:val="both"/>
        <w:rPr>
          <w:rFonts w:ascii="Arial" w:eastAsia="Calibri" w:hAnsi="Arial" w:cs="Arial"/>
          <w:sz w:val="20"/>
          <w:szCs w:val="20"/>
        </w:rPr>
      </w:pPr>
    </w:p>
    <w:p w14:paraId="6811AF82" w14:textId="77777777" w:rsidR="0008263B" w:rsidRDefault="0008263B" w:rsidP="006863CD">
      <w:pPr>
        <w:spacing w:after="0" w:line="240" w:lineRule="auto"/>
        <w:contextualSpacing/>
        <w:jc w:val="both"/>
        <w:rPr>
          <w:rFonts w:ascii="Arial" w:eastAsia="Calibri" w:hAnsi="Arial" w:cs="Arial"/>
          <w:sz w:val="20"/>
          <w:szCs w:val="20"/>
        </w:rPr>
      </w:pPr>
    </w:p>
    <w:p w14:paraId="46593BB3" w14:textId="142E2CCC" w:rsidR="00236053" w:rsidRDefault="00236053" w:rsidP="006863CD">
      <w:pPr>
        <w:spacing w:after="0" w:line="240" w:lineRule="auto"/>
        <w:contextualSpacing/>
        <w:jc w:val="both"/>
        <w:rPr>
          <w:rFonts w:ascii="Arial" w:eastAsia="Calibri" w:hAnsi="Arial" w:cs="Arial"/>
          <w:sz w:val="20"/>
          <w:szCs w:val="20"/>
        </w:rPr>
      </w:pPr>
    </w:p>
    <w:p w14:paraId="4A794961" w14:textId="1130F376" w:rsidR="00236053" w:rsidRDefault="00236053" w:rsidP="006863CD">
      <w:pPr>
        <w:spacing w:after="0" w:line="240" w:lineRule="auto"/>
        <w:contextualSpacing/>
        <w:jc w:val="both"/>
        <w:rPr>
          <w:rFonts w:ascii="Arial" w:eastAsia="Calibri" w:hAnsi="Arial" w:cs="Arial"/>
          <w:sz w:val="20"/>
          <w:szCs w:val="20"/>
        </w:rPr>
      </w:pPr>
    </w:p>
    <w:p w14:paraId="1DF8A0F4" w14:textId="4C821C01" w:rsidR="00236053" w:rsidRDefault="00236053" w:rsidP="006863CD">
      <w:pPr>
        <w:spacing w:after="0" w:line="240" w:lineRule="auto"/>
        <w:contextualSpacing/>
        <w:jc w:val="both"/>
        <w:rPr>
          <w:rFonts w:ascii="Arial" w:eastAsia="Calibri" w:hAnsi="Arial" w:cs="Arial"/>
          <w:sz w:val="20"/>
          <w:szCs w:val="20"/>
        </w:rPr>
      </w:pPr>
    </w:p>
    <w:p w14:paraId="36792C21" w14:textId="3EF1CE64" w:rsidR="00236053" w:rsidRDefault="00236053" w:rsidP="006863CD">
      <w:pPr>
        <w:spacing w:after="0" w:line="240" w:lineRule="auto"/>
        <w:contextualSpacing/>
        <w:jc w:val="both"/>
        <w:rPr>
          <w:rFonts w:ascii="Arial" w:eastAsia="Calibri" w:hAnsi="Arial" w:cs="Arial"/>
          <w:sz w:val="20"/>
          <w:szCs w:val="20"/>
        </w:rPr>
      </w:pPr>
    </w:p>
    <w:p w14:paraId="5D8798E9" w14:textId="4920DBA4" w:rsidR="00236053" w:rsidRDefault="00236053" w:rsidP="006863CD">
      <w:pPr>
        <w:spacing w:after="0" w:line="240" w:lineRule="auto"/>
        <w:contextualSpacing/>
        <w:jc w:val="both"/>
        <w:rPr>
          <w:rFonts w:ascii="Arial" w:eastAsia="Calibri" w:hAnsi="Arial" w:cs="Arial"/>
          <w:sz w:val="20"/>
          <w:szCs w:val="20"/>
        </w:rPr>
      </w:pPr>
    </w:p>
    <w:p w14:paraId="0C97081C" w14:textId="07334BD0" w:rsidR="00236053" w:rsidRDefault="00236053" w:rsidP="006863CD">
      <w:pPr>
        <w:spacing w:after="0" w:line="240" w:lineRule="auto"/>
        <w:contextualSpacing/>
        <w:jc w:val="both"/>
        <w:rPr>
          <w:rFonts w:ascii="Arial" w:eastAsia="Calibri" w:hAnsi="Arial" w:cs="Arial"/>
          <w:sz w:val="20"/>
          <w:szCs w:val="20"/>
        </w:rPr>
      </w:pPr>
    </w:p>
    <w:p w14:paraId="55F01918" w14:textId="68597ADA" w:rsidR="00236053" w:rsidRDefault="00236053" w:rsidP="006863CD">
      <w:pPr>
        <w:spacing w:after="0" w:line="240" w:lineRule="auto"/>
        <w:contextualSpacing/>
        <w:jc w:val="both"/>
        <w:rPr>
          <w:rFonts w:ascii="Arial" w:eastAsia="Calibri" w:hAnsi="Arial" w:cs="Arial"/>
          <w:sz w:val="20"/>
          <w:szCs w:val="20"/>
        </w:rPr>
      </w:pPr>
    </w:p>
    <w:p w14:paraId="4BCAFBAD" w14:textId="0FD2F187" w:rsidR="00236053" w:rsidRDefault="00236053" w:rsidP="006863CD">
      <w:pPr>
        <w:spacing w:after="0" w:line="240" w:lineRule="auto"/>
        <w:contextualSpacing/>
        <w:jc w:val="both"/>
        <w:rPr>
          <w:rFonts w:ascii="Arial" w:eastAsia="Calibri" w:hAnsi="Arial" w:cs="Arial"/>
          <w:sz w:val="20"/>
          <w:szCs w:val="20"/>
        </w:rPr>
      </w:pPr>
    </w:p>
    <w:p w14:paraId="2A886F62" w14:textId="77777777" w:rsidR="00236053" w:rsidRDefault="00236053" w:rsidP="006863CD">
      <w:pPr>
        <w:spacing w:after="0" w:line="240" w:lineRule="auto"/>
        <w:contextualSpacing/>
        <w:jc w:val="both"/>
        <w:rPr>
          <w:rFonts w:ascii="Arial" w:eastAsia="Calibri" w:hAnsi="Arial" w:cs="Arial"/>
          <w:sz w:val="20"/>
          <w:szCs w:val="20"/>
        </w:rPr>
      </w:pPr>
    </w:p>
    <w:p w14:paraId="304A8998" w14:textId="77777777" w:rsidR="00A01EFA" w:rsidRPr="00D44340" w:rsidRDefault="001A71FF" w:rsidP="00D44340">
      <w:pPr>
        <w:pStyle w:val="Naslov2"/>
        <w:rPr>
          <w:rFonts w:ascii="Arial" w:eastAsia="Calibri" w:hAnsi="Arial" w:cs="Arial"/>
          <w:b/>
          <w:color w:val="70AD47" w:themeColor="accent6"/>
        </w:rPr>
      </w:pPr>
      <w:bookmarkStart w:id="33" w:name="_Toc102741396"/>
      <w:r w:rsidRPr="00D44340">
        <w:rPr>
          <w:rFonts w:ascii="Arial" w:hAnsi="Arial" w:cs="Arial"/>
          <w:b/>
          <w:color w:val="70AD47" w:themeColor="accent6"/>
        </w:rPr>
        <w:t>IV.</w:t>
      </w:r>
      <w:r w:rsidR="00A5475E" w:rsidRPr="00D44340">
        <w:rPr>
          <w:rFonts w:ascii="Arial" w:hAnsi="Arial" w:cs="Arial"/>
          <w:b/>
          <w:color w:val="70AD47" w:themeColor="accent6"/>
        </w:rPr>
        <w:t>3</w:t>
      </w:r>
      <w:r w:rsidRPr="00D44340">
        <w:rPr>
          <w:rFonts w:ascii="Arial" w:hAnsi="Arial" w:cs="Arial"/>
          <w:b/>
          <w:color w:val="70AD47" w:themeColor="accent6"/>
        </w:rPr>
        <w:t xml:space="preserve">. </w:t>
      </w:r>
      <w:r w:rsidRPr="00D44340">
        <w:rPr>
          <w:rFonts w:ascii="Arial" w:eastAsia="Calibri" w:hAnsi="Arial" w:cs="Arial"/>
          <w:b/>
          <w:color w:val="70AD47" w:themeColor="accent6"/>
        </w:rPr>
        <w:t>Krepitev energetske učinkovitosti v industriji, še posebej na področju investicij in v gradbenem sektorju</w:t>
      </w:r>
      <w:bookmarkEnd w:id="33"/>
    </w:p>
    <w:p w14:paraId="368D5281" w14:textId="77777777" w:rsidR="00A01EFA" w:rsidRPr="001A71FF" w:rsidRDefault="00A01EFA" w:rsidP="00A01EFA">
      <w:pPr>
        <w:spacing w:after="0" w:line="240" w:lineRule="auto"/>
        <w:jc w:val="both"/>
        <w:rPr>
          <w:rFonts w:ascii="Arial" w:eastAsia="Calibri" w:hAnsi="Arial" w:cs="Times New Roman"/>
          <w:color w:val="538135" w:themeColor="accent6" w:themeShade="BF"/>
          <w:sz w:val="24"/>
          <w:szCs w:val="24"/>
        </w:rPr>
      </w:pPr>
    </w:p>
    <w:p w14:paraId="66A2E0E0" w14:textId="77777777" w:rsidR="00425E3A" w:rsidRPr="00D44340" w:rsidRDefault="00425E3A" w:rsidP="00D44340">
      <w:pPr>
        <w:pStyle w:val="Naslov3"/>
        <w:rPr>
          <w:rFonts w:ascii="Arial" w:eastAsia="Calibri" w:hAnsi="Arial" w:cs="Arial"/>
          <w:b/>
          <w:color w:val="70AD47" w:themeColor="accent6"/>
        </w:rPr>
      </w:pPr>
      <w:bookmarkStart w:id="34" w:name="_Toc102741397"/>
      <w:r w:rsidRPr="00D44340">
        <w:rPr>
          <w:rFonts w:ascii="Arial" w:eastAsia="Calibri" w:hAnsi="Arial" w:cs="Arial"/>
          <w:b/>
          <w:color w:val="70AD47" w:themeColor="accent6"/>
        </w:rPr>
        <w:t>IV.3.1. Ozadje</w:t>
      </w:r>
      <w:bookmarkEnd w:id="34"/>
    </w:p>
    <w:p w14:paraId="1199CC31" w14:textId="77777777" w:rsidR="00425E3A" w:rsidRDefault="00425E3A" w:rsidP="00A01EFA">
      <w:pPr>
        <w:spacing w:after="0" w:line="240" w:lineRule="auto"/>
        <w:jc w:val="both"/>
        <w:rPr>
          <w:rFonts w:ascii="Arial" w:eastAsia="Calibri" w:hAnsi="Arial" w:cs="Times New Roman"/>
          <w:sz w:val="20"/>
          <w:szCs w:val="20"/>
        </w:rPr>
      </w:pPr>
    </w:p>
    <w:p w14:paraId="543B2CF8" w14:textId="77777777" w:rsidR="00425E3A" w:rsidRDefault="00A01EFA" w:rsidP="00A01EFA">
      <w:pPr>
        <w:spacing w:after="0" w:line="240" w:lineRule="auto"/>
        <w:jc w:val="both"/>
        <w:rPr>
          <w:rFonts w:ascii="Arial" w:eastAsia="Calibri" w:hAnsi="Arial" w:cs="Times New Roman"/>
          <w:sz w:val="20"/>
          <w:szCs w:val="20"/>
        </w:rPr>
      </w:pPr>
      <w:r w:rsidRPr="00A01EFA">
        <w:rPr>
          <w:rFonts w:ascii="Arial" w:eastAsia="Calibri" w:hAnsi="Arial" w:cs="Times New Roman"/>
          <w:sz w:val="20"/>
          <w:szCs w:val="20"/>
        </w:rPr>
        <w:t>Slovenski gradbeni sektor je spodbujevalec gospodarske rasti in ga sestavljajo večinoma mala in srednje velika podjetja. Podobno kot drugi sektorji, tudi gradbeništvo zdaj doživlja „digitalno revolucijo“. Različni deli vrednostne verige pri načrtovanju in izvedbi gradbenih del že uporabljajo informacijsko modeliranje zgradb (</w:t>
      </w:r>
      <w:r w:rsidR="00B3544C" w:rsidRPr="00B3544C">
        <w:rPr>
          <w:rFonts w:ascii="Arial" w:eastAsia="Calibri" w:hAnsi="Arial" w:cs="Times New Roman"/>
          <w:b/>
          <w:sz w:val="20"/>
          <w:szCs w:val="20"/>
        </w:rPr>
        <w:t xml:space="preserve">Building Information modelling - </w:t>
      </w:r>
      <w:r w:rsidRPr="00B3544C">
        <w:rPr>
          <w:rFonts w:ascii="Arial" w:eastAsia="Calibri" w:hAnsi="Arial" w:cs="Times New Roman"/>
          <w:b/>
          <w:sz w:val="20"/>
          <w:szCs w:val="20"/>
        </w:rPr>
        <w:t>BIM</w:t>
      </w:r>
      <w:r w:rsidRPr="00A01EFA">
        <w:rPr>
          <w:rFonts w:ascii="Arial" w:eastAsia="Calibri" w:hAnsi="Arial" w:cs="Times New Roman"/>
          <w:sz w:val="20"/>
          <w:szCs w:val="20"/>
        </w:rPr>
        <w:t xml:space="preserve">) in lahko hitro sprejemajo novo strateško orodje. Predvsem pa digitalni preskok pomeni zagotavljanje prihrankov pri stroških, produktivnosti, učinkovitosti poslovanja, boljše kakovosti infrastrukture in boljše okoljske učinkovitosti. </w:t>
      </w:r>
    </w:p>
    <w:p w14:paraId="7D3916A2" w14:textId="77777777" w:rsidR="00425E3A" w:rsidRDefault="00425E3A" w:rsidP="00A01EFA">
      <w:pPr>
        <w:spacing w:after="0" w:line="240" w:lineRule="auto"/>
        <w:jc w:val="both"/>
        <w:rPr>
          <w:rFonts w:ascii="Arial" w:eastAsia="Calibri" w:hAnsi="Arial" w:cs="Times New Roman"/>
          <w:sz w:val="20"/>
          <w:szCs w:val="20"/>
        </w:rPr>
      </w:pPr>
    </w:p>
    <w:p w14:paraId="12263E50" w14:textId="77777777" w:rsidR="00A01EFA" w:rsidRDefault="00A01EFA" w:rsidP="00A01EFA">
      <w:pPr>
        <w:spacing w:after="0" w:line="240" w:lineRule="auto"/>
        <w:jc w:val="both"/>
        <w:rPr>
          <w:rFonts w:ascii="Arial" w:eastAsia="Calibri" w:hAnsi="Arial" w:cs="Times New Roman"/>
          <w:sz w:val="20"/>
          <w:szCs w:val="20"/>
        </w:rPr>
      </w:pPr>
      <w:r w:rsidRPr="00A01EFA">
        <w:rPr>
          <w:rFonts w:ascii="Arial" w:eastAsia="Calibri" w:hAnsi="Arial" w:cs="Times New Roman"/>
          <w:sz w:val="20"/>
          <w:szCs w:val="20"/>
        </w:rPr>
        <w:t xml:space="preserve">Za uveljavitev uporabe digitalizacije v gradbeništvu je potrebno v Sloveniji dvigniti zavedanje o uporabnosti in koristih uvedbe digitalnih rešitev, kar bo dvignilo konkurenčno prednost naših podjetij na domačih in tujih trgih. Z digitalizacijo v gradbeništvu bo lažje dosežen tudi cilj, da se bodo pri gradnji infrastrukture uporabljali večinoma obnovljivi proizvodi. Na tak način bo omogočeno, da bodo načrtovanje, razvoj, delovanje in upravljanje ter razgradnja gradbenih objektov (stavbe in infrastrukture zagotavljale trajnostno gradbeništvo, z večjo transparentnostjo in sledljivostjo pa bo dosežen večji učinek tudi na socialno trajnost. </w:t>
      </w:r>
    </w:p>
    <w:p w14:paraId="60314778" w14:textId="77777777" w:rsidR="00B3544C" w:rsidRDefault="00B3544C" w:rsidP="00A01EFA">
      <w:pPr>
        <w:spacing w:after="0" w:line="240" w:lineRule="auto"/>
        <w:jc w:val="both"/>
        <w:rPr>
          <w:rFonts w:ascii="Arial" w:eastAsia="Calibri" w:hAnsi="Arial" w:cs="Times New Roman"/>
          <w:sz w:val="20"/>
          <w:szCs w:val="20"/>
        </w:rPr>
      </w:pPr>
    </w:p>
    <w:p w14:paraId="5D8FC093" w14:textId="77777777" w:rsidR="00B3544C" w:rsidRPr="00B3544C" w:rsidRDefault="00B3544C" w:rsidP="00B3544C">
      <w:pPr>
        <w:spacing w:after="0" w:line="240" w:lineRule="auto"/>
        <w:jc w:val="both"/>
        <w:rPr>
          <w:rFonts w:ascii="Arial" w:eastAsia="Calibri" w:hAnsi="Arial" w:cs="Times New Roman"/>
          <w:sz w:val="20"/>
          <w:szCs w:val="20"/>
        </w:rPr>
      </w:pPr>
      <w:r>
        <w:rPr>
          <w:rFonts w:ascii="Arial" w:eastAsia="Calibri" w:hAnsi="Arial" w:cs="Times New Roman"/>
          <w:sz w:val="20"/>
          <w:szCs w:val="20"/>
        </w:rPr>
        <w:t>Gradbena panoga je bila leta 2020</w:t>
      </w:r>
      <w:r w:rsidRPr="00B3544C">
        <w:rPr>
          <w:rFonts w:ascii="Arial" w:eastAsia="Calibri" w:hAnsi="Arial" w:cs="Times New Roman"/>
          <w:sz w:val="20"/>
          <w:szCs w:val="20"/>
        </w:rPr>
        <w:t xml:space="preserve"> poleg poslovanja z nepremičninami ter strokovnih in znanstvenih dejavnosti edina, ki je v primerjavi z letom 2019 povečala prihodke iz poslovanja, s sedemodstotno rastjo dodane vrednosti je bila četrta najuspešnejša. Po tem parametru je primerljiva z evropskimi državami, veliko pa je še rezerv pri izrabi virov ter digitalizaciji, izziv so kadri.</w:t>
      </w:r>
    </w:p>
    <w:p w14:paraId="6EDBBC83" w14:textId="77777777" w:rsidR="00B3544C" w:rsidRPr="00B3544C" w:rsidRDefault="00B3544C" w:rsidP="00B3544C">
      <w:pPr>
        <w:spacing w:after="0" w:line="240" w:lineRule="auto"/>
        <w:jc w:val="both"/>
        <w:rPr>
          <w:rFonts w:ascii="Arial" w:eastAsia="Calibri" w:hAnsi="Arial" w:cs="Times New Roman"/>
          <w:sz w:val="20"/>
          <w:szCs w:val="20"/>
        </w:rPr>
      </w:pPr>
    </w:p>
    <w:p w14:paraId="7EDBEA1E" w14:textId="77777777" w:rsidR="00B3544C" w:rsidRPr="00A01EFA" w:rsidRDefault="00B3544C" w:rsidP="00B3544C">
      <w:pPr>
        <w:spacing w:after="0" w:line="240" w:lineRule="auto"/>
        <w:jc w:val="both"/>
        <w:rPr>
          <w:rFonts w:ascii="Arial" w:eastAsia="Calibri" w:hAnsi="Arial" w:cs="Times New Roman"/>
          <w:sz w:val="20"/>
          <w:szCs w:val="20"/>
        </w:rPr>
      </w:pPr>
      <w:r>
        <w:rPr>
          <w:rFonts w:ascii="Arial" w:eastAsia="Calibri" w:hAnsi="Arial" w:cs="Times New Roman"/>
          <w:sz w:val="20"/>
          <w:szCs w:val="20"/>
        </w:rPr>
        <w:t>Leta 2020 je bilo</w:t>
      </w:r>
      <w:r w:rsidRPr="00B3544C">
        <w:rPr>
          <w:rFonts w:ascii="Arial" w:eastAsia="Calibri" w:hAnsi="Arial" w:cs="Times New Roman"/>
          <w:sz w:val="20"/>
          <w:szCs w:val="20"/>
        </w:rPr>
        <w:t xml:space="preserve"> malo manj kot 20.300 gradbenih podjetij, ki so zaposlovala 74.600 delavcev, ustvarilo 6,34 milijarde evrov prihodkov od prodaje, dodana vrednost je presegla dve milijardi evrov (2,06 milijarde). S tem je panoga k skupni dodani vrednosti gospodarstva prispevala osem odstotkov. Urad za makroekonomske analize in razvoj je izračunal, da je leta 2019 dodana vrednost zaposlenega v gradbeništvu znašala 32.054 evrov.</w:t>
      </w:r>
    </w:p>
    <w:p w14:paraId="55B17CE7" w14:textId="77777777" w:rsidR="00A01EFA" w:rsidRPr="00A01EFA" w:rsidRDefault="00A01EFA" w:rsidP="00A01EFA">
      <w:pPr>
        <w:spacing w:after="0" w:line="240" w:lineRule="auto"/>
        <w:jc w:val="both"/>
        <w:rPr>
          <w:rFonts w:ascii="Arial" w:eastAsia="Calibri" w:hAnsi="Arial" w:cs="Times New Roman"/>
          <w:sz w:val="20"/>
          <w:szCs w:val="20"/>
        </w:rPr>
      </w:pPr>
    </w:p>
    <w:p w14:paraId="15119B70" w14:textId="77777777" w:rsidR="00A01EFA" w:rsidRDefault="00A01EFA" w:rsidP="00A01EFA">
      <w:pPr>
        <w:spacing w:after="0" w:line="240" w:lineRule="auto"/>
        <w:jc w:val="both"/>
        <w:rPr>
          <w:rFonts w:ascii="Arial" w:eastAsia="Calibri" w:hAnsi="Arial" w:cs="Times New Roman"/>
          <w:sz w:val="20"/>
          <w:szCs w:val="20"/>
        </w:rPr>
      </w:pPr>
      <w:r w:rsidRPr="00A01EFA">
        <w:rPr>
          <w:rFonts w:ascii="Arial" w:eastAsia="Calibri" w:hAnsi="Arial" w:cs="Times New Roman"/>
          <w:sz w:val="20"/>
          <w:szCs w:val="20"/>
        </w:rPr>
        <w:t xml:space="preserve">Tranzicija v gradbeništvu za vzpostavitev snovno učinkovitega gradbeništva se lahko izvede na dva načina, in sicer z enostavnimi tehnologijami, ki jih gradbeništvo že pozna (t.i. downcycling – recikliranje gradbenih odpadkov v material), pri čemer se porabi večja količina odpadkov, ki bi sicer končali na odlagališčih, na drugi strani pa se lahko izvaja t.i. upcycling z integracijo in uporabo naprednih inovativnih tehnologij. Zato so podporna informacijska orodja za doseganje večje snovne in energetske učinkovitosti velikega pomena. </w:t>
      </w:r>
    </w:p>
    <w:p w14:paraId="5F84D248" w14:textId="77777777" w:rsidR="00C42846" w:rsidRDefault="00C42846" w:rsidP="00A01EFA">
      <w:pPr>
        <w:spacing w:after="0" w:line="240" w:lineRule="auto"/>
        <w:jc w:val="both"/>
        <w:rPr>
          <w:rFonts w:ascii="Arial" w:eastAsia="Calibri" w:hAnsi="Arial" w:cs="Times New Roman"/>
          <w:sz w:val="20"/>
          <w:szCs w:val="20"/>
        </w:rPr>
      </w:pPr>
    </w:p>
    <w:p w14:paraId="0583EFA6" w14:textId="77777777" w:rsidR="00C42846" w:rsidRDefault="00C42846" w:rsidP="00C42846">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Koristi uporabe BIM: </w:t>
      </w:r>
    </w:p>
    <w:p w14:paraId="318D5E77" w14:textId="77777777" w:rsidR="00C42846" w:rsidRDefault="00C42846" w:rsidP="003445EF">
      <w:pPr>
        <w:pStyle w:val="Odstavekseznama"/>
        <w:numPr>
          <w:ilvl w:val="0"/>
          <w:numId w:val="10"/>
        </w:numPr>
        <w:spacing w:after="0" w:line="240" w:lineRule="auto"/>
        <w:jc w:val="both"/>
        <w:rPr>
          <w:rFonts w:ascii="Arial" w:eastAsia="Calibri" w:hAnsi="Arial" w:cs="Times New Roman"/>
          <w:sz w:val="20"/>
          <w:szCs w:val="20"/>
        </w:rPr>
      </w:pPr>
      <w:r w:rsidRPr="00C42846">
        <w:rPr>
          <w:rFonts w:ascii="Arial" w:eastAsia="Calibri" w:hAnsi="Arial" w:cs="Times New Roman"/>
          <w:sz w:val="20"/>
          <w:szCs w:val="20"/>
        </w:rPr>
        <w:t>Ekonomske</w:t>
      </w:r>
      <w:r>
        <w:rPr>
          <w:rFonts w:ascii="Arial" w:eastAsia="Calibri" w:hAnsi="Arial" w:cs="Times New Roman"/>
          <w:sz w:val="20"/>
          <w:szCs w:val="20"/>
        </w:rPr>
        <w:t>,</w:t>
      </w:r>
      <w:r w:rsidRPr="00C42846">
        <w:rPr>
          <w:rFonts w:ascii="Arial" w:eastAsia="Calibri" w:hAnsi="Arial" w:cs="Times New Roman"/>
          <w:sz w:val="20"/>
          <w:szCs w:val="20"/>
        </w:rPr>
        <w:t xml:space="preserve"> kot sta bolj smotrna poraba javnega denarja v fazi izvajanja ter boljša kakovost javnega blaga in storitev med uporabo grajenega sredstva. Za oblikovalca politike, ki se ukvarja z učinkovitostjo gradbenega sektorja, se lahko te ekonomske koristi na nacionalni ravni združijo v podporo višjim ravnem produktivnosti (npr. merjenim kot BDP) in možnostim za</w:t>
      </w:r>
      <w:r>
        <w:rPr>
          <w:rFonts w:ascii="Arial" w:eastAsia="Calibri" w:hAnsi="Arial" w:cs="Times New Roman"/>
          <w:sz w:val="20"/>
          <w:szCs w:val="20"/>
        </w:rPr>
        <w:t xml:space="preserve"> rast (npr. merjenim kot izvoz). </w:t>
      </w:r>
    </w:p>
    <w:p w14:paraId="176DC6B0" w14:textId="77777777" w:rsidR="00C42846" w:rsidRPr="00C42846" w:rsidRDefault="00C42846"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Okoljske</w:t>
      </w:r>
      <w:r w:rsidRPr="00C42846">
        <w:rPr>
          <w:rFonts w:ascii="Arial" w:eastAsia="Calibri" w:hAnsi="Arial" w:cs="Times New Roman"/>
          <w:sz w:val="20"/>
          <w:szCs w:val="20"/>
        </w:rPr>
        <w:t>, kot sta natančnejše naročanje materiala, s čimer se zmanjša količina odpadkov, ki pristanejo na odpadu, in optimizirana simulacija energetske analize, s katero se zmanjša potreba grajenega okolja po energiji.</w:t>
      </w:r>
    </w:p>
    <w:p w14:paraId="696BFE0A" w14:textId="77777777" w:rsidR="00C42846" w:rsidRPr="00C42846" w:rsidRDefault="00C42846"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Socialne, ki</w:t>
      </w:r>
      <w:r w:rsidRPr="00C42846">
        <w:rPr>
          <w:rFonts w:ascii="Arial" w:eastAsia="Calibri" w:hAnsi="Arial" w:cs="Times New Roman"/>
          <w:sz w:val="20"/>
          <w:szCs w:val="20"/>
        </w:rPr>
        <w:t xml:space="preserve"> se lahko lastniku javne infrastrukture zagotovijo z učinkovito uporabo BIM-a pri javnem načrtovanju in posvetovanju za vzpostavitev podpore za novo ali posodobljeno javno infrastrukturo, kot so umestitev hitre ceste, funkcije zadrževanja vode ali prenova javnih stavb. To javno sodelovanje lahko podpira javno infrastrukturo, ki je dobro zasnovana in skladna s potrebami lokalne skupnosti, kar prinaša boljše socialne rezultate, kot so boljše načrtovanje sredstev, večja uporaba javnih objektov ali kartiranje in varstvo arhitekturne zgodovinske dediščine.</w:t>
      </w:r>
    </w:p>
    <w:p w14:paraId="6EFDB6FF" w14:textId="77777777" w:rsidR="00A01EFA" w:rsidRPr="00A01EFA" w:rsidRDefault="00A01EFA" w:rsidP="00A01EFA">
      <w:pPr>
        <w:spacing w:after="0" w:line="240" w:lineRule="auto"/>
        <w:jc w:val="both"/>
        <w:rPr>
          <w:rFonts w:ascii="Arial" w:eastAsia="Calibri" w:hAnsi="Arial" w:cs="Times New Roman"/>
          <w:sz w:val="20"/>
        </w:rPr>
      </w:pPr>
    </w:p>
    <w:p w14:paraId="16624E06" w14:textId="77777777" w:rsidR="00A01EFA" w:rsidRPr="00A01EFA" w:rsidRDefault="00A01EFA" w:rsidP="00A01EFA">
      <w:pPr>
        <w:spacing w:after="0" w:line="240" w:lineRule="auto"/>
        <w:jc w:val="both"/>
        <w:rPr>
          <w:rFonts w:ascii="Arial" w:eastAsia="Calibri" w:hAnsi="Arial" w:cs="Times New Roman"/>
          <w:sz w:val="20"/>
        </w:rPr>
      </w:pPr>
      <w:r w:rsidRPr="00A01EFA">
        <w:rPr>
          <w:rFonts w:ascii="Arial" w:eastAsia="Calibri" w:hAnsi="Arial" w:cs="Times New Roman"/>
          <w:sz w:val="20"/>
        </w:rPr>
        <w:t xml:space="preserve">Reforma je zato namenjena ustvarjanju pogojev za intenzivnejšo uporabo orodij, kot so informacijski modeli gradnje, BIM </w:t>
      </w:r>
      <w:r w:rsidRPr="00A01EFA">
        <w:rPr>
          <w:rFonts w:ascii="Arial" w:eastAsia="Calibri" w:hAnsi="Arial" w:cs="Times New Roman"/>
          <w:sz w:val="20"/>
          <w:szCs w:val="20"/>
        </w:rPr>
        <w:t>tako v fazi gradnje, zlasti pa še v fazi upravljanja z energijo v stavbah (facility management</w:t>
      </w:r>
      <w:r w:rsidRPr="00A01EFA">
        <w:rPr>
          <w:rFonts w:ascii="Arial" w:eastAsia="Calibri" w:hAnsi="Arial" w:cs="Times New Roman"/>
          <w:sz w:val="20"/>
        </w:rPr>
        <w:t>), ali analiza snovnih tokov - MFA (Mass flow modelling), skupaj s krepitvijo digitalnega poslovnega okolja, lahko bistveno vpliva na večjo energetsko učinkovitost celotnega gradbenega sektorja, na drugi strani pa prispeva k ciljem krožnega gospodarstva in bolj učinkovitemu upravljanju z materiali v njihovi življenjski dobi. Posebno pozornost na tem mestu je treba posvetiti lesu kot energetsko učinkovitemu materialnemu viru za doseganje večje energetske učinkovitosti pri gradnji in energetski prenovi stavb</w:t>
      </w:r>
      <w:r w:rsidRPr="00A01EFA">
        <w:rPr>
          <w:rFonts w:ascii="Arial" w:eastAsia="Calibri" w:hAnsi="Arial" w:cs="Times New Roman"/>
          <w:sz w:val="20"/>
          <w:szCs w:val="20"/>
        </w:rPr>
        <w:t>. Sistem energetskih izkaznic je potrebno nagraditi z vrednotenjem stroškov v življenjski dobi (LCCA) s pomočjo priznanih mednarodnih certifikacijskih sistemov (LEED, DGNB, Levels).</w:t>
      </w:r>
    </w:p>
    <w:p w14:paraId="5457F98C" w14:textId="77777777" w:rsidR="00A01EFA" w:rsidRPr="00A01EFA" w:rsidRDefault="00A01EFA" w:rsidP="00A01EFA">
      <w:pPr>
        <w:spacing w:after="0" w:line="240" w:lineRule="auto"/>
        <w:jc w:val="both"/>
        <w:rPr>
          <w:rFonts w:ascii="Arial" w:eastAsia="Calibri" w:hAnsi="Arial" w:cs="Times New Roman"/>
          <w:sz w:val="20"/>
          <w:szCs w:val="20"/>
        </w:rPr>
      </w:pPr>
    </w:p>
    <w:p w14:paraId="4E0D40A2" w14:textId="77777777" w:rsidR="00A01EFA" w:rsidRPr="00A01EFA" w:rsidRDefault="00117763" w:rsidP="00A01EFA">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Z Akcijskim načrtom </w:t>
      </w:r>
      <w:r w:rsidR="00A01EFA" w:rsidRPr="00A01EFA">
        <w:rPr>
          <w:rFonts w:ascii="Arial" w:eastAsia="Calibri" w:hAnsi="Arial" w:cs="Times New Roman"/>
          <w:sz w:val="20"/>
          <w:szCs w:val="20"/>
        </w:rPr>
        <w:t>uvedbe digitalizacije v gradbeništvu bo dosežen več kot 10% prihranek sredstev za investicije, k čemur bo prispevalo tudi boljše razumevanje življenjskega cikla objektov grajenega okolja. Akcijski načrt tako zajema oblikovanje podlag za pospešeno uporabo BIM modela, in sicer Izdelavo nacionalnega klasifikacijskega sistema, standardizacijo popisov GOI del na osnovi klasifikacijskega sistema (omogoča tudi sistemsko rešitev uporabe nestandardiziranih postavk v primeru neobstoja standardiziranih rešitev, izdelavo standardnih minimalnih zahtev za izmenjavo informacij med ključnimi deležniki oziroma priročnika o informacijskih zahtevah BIM projektov  (angl. Information Delivery Manual) na osnovi klasifikacijskega sistema (povezljivost podatkov, reklamacije, neučinkovitost, racionalizacija, konkurenčnost, avtomatizacija procesov, upravljanje s podatki, standardizacija elementov, standardizacija popisov, baze podatkov…), smernic za digitalizacijo ostalih procesov, ki se pojavljajo na področju grajenega okolja (npr. digitalna gradbena knjiga/gradbeni dnevnik, digitalni arhiv,…) in pripravo izvirnih tehničnih specifikacij - standardizacijskih normativnih dokumentov.</w:t>
      </w:r>
    </w:p>
    <w:p w14:paraId="6D755958" w14:textId="77777777" w:rsidR="00A01EFA" w:rsidRPr="00A01EFA" w:rsidRDefault="00A01EFA" w:rsidP="00A01EFA">
      <w:pPr>
        <w:spacing w:after="0" w:line="240" w:lineRule="auto"/>
        <w:jc w:val="both"/>
        <w:rPr>
          <w:rFonts w:ascii="Arial" w:eastAsia="Calibri" w:hAnsi="Arial" w:cs="Times New Roman"/>
          <w:sz w:val="20"/>
          <w:szCs w:val="20"/>
        </w:rPr>
      </w:pPr>
    </w:p>
    <w:p w14:paraId="49F184A5" w14:textId="77777777" w:rsidR="00A01EFA" w:rsidRPr="00A01EFA" w:rsidRDefault="00A01EFA" w:rsidP="00A01EFA">
      <w:pPr>
        <w:spacing w:after="0" w:line="240" w:lineRule="auto"/>
        <w:jc w:val="both"/>
        <w:rPr>
          <w:rFonts w:ascii="Arial" w:eastAsia="Calibri" w:hAnsi="Arial" w:cs="Times New Roman"/>
          <w:sz w:val="20"/>
          <w:szCs w:val="20"/>
        </w:rPr>
      </w:pPr>
      <w:r w:rsidRPr="00A01EFA">
        <w:rPr>
          <w:rFonts w:ascii="Arial" w:eastAsia="Calibri" w:hAnsi="Arial" w:cs="Times New Roman"/>
          <w:sz w:val="20"/>
          <w:szCs w:val="20"/>
        </w:rPr>
        <w:t xml:space="preserve">Na drugi strani NEPN kot ukrepe razogljičenja na področju gospodarstva predvideva pripravo sheme spodbujanja z nepovratnimi finančnimi spodbudami za ukrepe za prehod v nizkoogljično krožno gospodarstvo, med drugim predvideva tudi nove spodbude za ukrepe, ki zmanjšujejo emisije TGP s prehodom na proizvodnjo z uvajanjem novih izdelkov (lažji izdelki, izdelki z daljšo življenjsko dobo, ponovna uporaba izdelkov ali materialov, zmanjšanje odpadkov in recikliranje, nadomeščanje zemeljskega plina s SNP/H2) [v letu 2023]. </w:t>
      </w:r>
    </w:p>
    <w:p w14:paraId="517A9B90" w14:textId="77777777" w:rsidR="00A01EFA" w:rsidRPr="00A01EFA" w:rsidRDefault="00A01EFA" w:rsidP="00A01EFA">
      <w:pPr>
        <w:spacing w:after="0" w:line="240" w:lineRule="auto"/>
        <w:jc w:val="both"/>
        <w:rPr>
          <w:rFonts w:ascii="Arial" w:eastAsia="Calibri" w:hAnsi="Arial" w:cs="Times New Roman"/>
          <w:sz w:val="20"/>
          <w:szCs w:val="20"/>
        </w:rPr>
      </w:pPr>
    </w:p>
    <w:p w14:paraId="67AEB32F" w14:textId="77777777" w:rsidR="00A01EFA" w:rsidRDefault="00A01EFA" w:rsidP="00A01EFA">
      <w:pPr>
        <w:spacing w:after="0" w:line="240" w:lineRule="auto"/>
        <w:jc w:val="both"/>
        <w:rPr>
          <w:rFonts w:ascii="Arial" w:eastAsia="Calibri" w:hAnsi="Arial" w:cs="Times New Roman"/>
          <w:sz w:val="20"/>
          <w:szCs w:val="20"/>
        </w:rPr>
      </w:pPr>
      <w:r w:rsidRPr="00A01EFA">
        <w:rPr>
          <w:rFonts w:ascii="Arial" w:eastAsia="Calibri" w:hAnsi="Arial" w:cs="Times New Roman"/>
          <w:sz w:val="20"/>
          <w:szCs w:val="20"/>
        </w:rPr>
        <w:t xml:space="preserve">Ukrepi, ki podpirajo reformo za doseganje večje energetske in snovne učinkovitosti v gospodarstvu so relevantni </w:t>
      </w:r>
      <w:r w:rsidR="00F279AA">
        <w:rPr>
          <w:rFonts w:ascii="Arial" w:eastAsia="Calibri" w:hAnsi="Arial" w:cs="Times New Roman"/>
          <w:sz w:val="20"/>
          <w:szCs w:val="20"/>
        </w:rPr>
        <w:t>tako za področje trajnostne prenove stavb</w:t>
      </w:r>
      <w:r w:rsidRPr="00A01EFA">
        <w:rPr>
          <w:rFonts w:ascii="Arial" w:eastAsia="Calibri" w:hAnsi="Arial" w:cs="Times New Roman"/>
          <w:sz w:val="20"/>
          <w:szCs w:val="20"/>
        </w:rPr>
        <w:t xml:space="preserve">, investicij v podjetjih in v podporno okolje za podjetja, dodajajo vrednost investicijam na področju trajnostne mobilnosti in pomembno vplivajo na prilagajanje podnebnim spremembam. </w:t>
      </w:r>
    </w:p>
    <w:p w14:paraId="341D040B" w14:textId="77777777" w:rsidR="00AE2F80" w:rsidRDefault="00AE2F80" w:rsidP="00A01EFA">
      <w:pPr>
        <w:spacing w:after="0" w:line="240" w:lineRule="auto"/>
        <w:jc w:val="both"/>
        <w:rPr>
          <w:rFonts w:ascii="Arial" w:eastAsia="Calibri" w:hAnsi="Arial" w:cs="Times New Roman"/>
          <w:sz w:val="20"/>
          <w:szCs w:val="20"/>
        </w:rPr>
      </w:pPr>
    </w:p>
    <w:p w14:paraId="5830D809" w14:textId="77777777" w:rsidR="00AE2F80" w:rsidRPr="00D44340" w:rsidRDefault="00B3544C" w:rsidP="00D44340">
      <w:pPr>
        <w:pStyle w:val="Naslov3"/>
        <w:rPr>
          <w:rFonts w:ascii="Arial" w:eastAsia="Calibri" w:hAnsi="Arial" w:cs="Arial"/>
          <w:b/>
          <w:color w:val="70AD47" w:themeColor="accent6"/>
        </w:rPr>
      </w:pPr>
      <w:bookmarkStart w:id="35" w:name="_Toc102741398"/>
      <w:r w:rsidRPr="00D44340">
        <w:rPr>
          <w:rFonts w:ascii="Arial" w:eastAsia="Calibri" w:hAnsi="Arial" w:cs="Arial"/>
          <w:b/>
          <w:color w:val="70AD47" w:themeColor="accent6"/>
        </w:rPr>
        <w:t>IV.3</w:t>
      </w:r>
      <w:r w:rsidR="00425E3A" w:rsidRPr="00D44340">
        <w:rPr>
          <w:rFonts w:ascii="Arial" w:eastAsia="Calibri" w:hAnsi="Arial" w:cs="Arial"/>
          <w:b/>
          <w:color w:val="70AD47" w:themeColor="accent6"/>
        </w:rPr>
        <w:t>.2. Napredne digitalne tehnologije kot orodje za učinkovito implementacijo modela BIM</w:t>
      </w:r>
      <w:bookmarkEnd w:id="35"/>
    </w:p>
    <w:p w14:paraId="64DCBA64" w14:textId="77777777" w:rsidR="00425E3A" w:rsidRDefault="00425E3A" w:rsidP="00A01EFA">
      <w:pPr>
        <w:spacing w:after="0" w:line="240" w:lineRule="auto"/>
        <w:jc w:val="both"/>
        <w:rPr>
          <w:rFonts w:ascii="Arial" w:eastAsia="Calibri" w:hAnsi="Arial" w:cs="Times New Roman"/>
          <w:color w:val="538135" w:themeColor="accent6" w:themeShade="BF"/>
          <w:sz w:val="20"/>
          <w:szCs w:val="20"/>
        </w:rPr>
      </w:pPr>
    </w:p>
    <w:p w14:paraId="02E78877" w14:textId="77777777" w:rsidR="00425E3A" w:rsidRDefault="00B3544C" w:rsidP="00B3544C">
      <w:pPr>
        <w:spacing w:after="0" w:line="240" w:lineRule="auto"/>
        <w:jc w:val="both"/>
        <w:rPr>
          <w:rFonts w:ascii="Arial" w:eastAsia="Calibri" w:hAnsi="Arial" w:cs="Times New Roman"/>
          <w:sz w:val="20"/>
          <w:szCs w:val="20"/>
        </w:rPr>
      </w:pPr>
      <w:r w:rsidRPr="00B3544C">
        <w:rPr>
          <w:rFonts w:ascii="Arial" w:eastAsia="Calibri" w:hAnsi="Arial" w:cs="Times New Roman"/>
          <w:sz w:val="20"/>
          <w:szCs w:val="20"/>
        </w:rPr>
        <w:t xml:space="preserve">BIM </w:t>
      </w:r>
      <w:r>
        <w:rPr>
          <w:rFonts w:ascii="Arial" w:eastAsia="Calibri" w:hAnsi="Arial" w:cs="Times New Roman"/>
          <w:sz w:val="20"/>
          <w:szCs w:val="20"/>
        </w:rPr>
        <w:t xml:space="preserve">je orodje za </w:t>
      </w:r>
      <w:r w:rsidRPr="00B3544C">
        <w:rPr>
          <w:rFonts w:ascii="Arial" w:eastAsia="Calibri" w:hAnsi="Arial" w:cs="Times New Roman"/>
          <w:sz w:val="20"/>
          <w:szCs w:val="20"/>
        </w:rPr>
        <w:t>načrtovanje</w:t>
      </w:r>
      <w:r>
        <w:rPr>
          <w:rFonts w:ascii="Arial" w:eastAsia="Calibri" w:hAnsi="Arial" w:cs="Times New Roman"/>
          <w:sz w:val="20"/>
          <w:szCs w:val="20"/>
        </w:rPr>
        <w:t xml:space="preserve"> in</w:t>
      </w:r>
      <w:r w:rsidRPr="00B3544C">
        <w:rPr>
          <w:rFonts w:ascii="Arial" w:eastAsia="Calibri" w:hAnsi="Arial" w:cs="Times New Roman"/>
          <w:sz w:val="20"/>
          <w:szCs w:val="20"/>
        </w:rPr>
        <w:t xml:space="preserve"> za celovito upravljanje z informacijami tekom celotnega investicijskega procesa. Je integriran proces vseh udeležencev projekta na skupnem digitalnem modelu in popoln nadzor nad informacijami skozi ves življenjski ciklus gradnje.  Prične se ob sami zamisli gradnje nekega objekta z zbiranjem vseh potrebnih informacij, nadaljuje pri projektiranju z izdelavo 3D gradnikov objekta ter kasneje s pripravo operativnih izvedbenih načrtov, kjer se 3D modelu dodajo še dimenzija časa izvedbe (4D) in stroškov (5D). Model izvedenega projekta se nato uporabi za potrebe vzdrževanja (6D), ki se uporablja vse do konca življenjske dobe oziroma razgradnje objekta. Uvedba BIM-a olajšuje vodenje in izvedbo projektov, zagotavlja boljši nadzor nad gradbenimi postopki, interdisciplinarno sodelovanje, kontrolo kakovosti in zniževanje tveganj.</w:t>
      </w:r>
    </w:p>
    <w:p w14:paraId="076AF38F" w14:textId="77777777" w:rsidR="00B95F61" w:rsidRDefault="00B95F61" w:rsidP="00B95F61">
      <w:pPr>
        <w:spacing w:after="0" w:line="240" w:lineRule="auto"/>
        <w:jc w:val="both"/>
        <w:rPr>
          <w:rFonts w:ascii="Arial" w:eastAsia="Calibri" w:hAnsi="Arial" w:cs="Times New Roman"/>
          <w:sz w:val="20"/>
          <w:szCs w:val="20"/>
        </w:rPr>
      </w:pPr>
    </w:p>
    <w:p w14:paraId="2D0E5C84" w14:textId="77777777" w:rsidR="00B95F61" w:rsidRDefault="00B95F61" w:rsidP="00B95F61">
      <w:pPr>
        <w:spacing w:after="0" w:line="240" w:lineRule="auto"/>
        <w:jc w:val="both"/>
        <w:rPr>
          <w:rFonts w:ascii="Arial" w:eastAsia="Calibri" w:hAnsi="Arial" w:cs="Times New Roman"/>
          <w:sz w:val="20"/>
          <w:szCs w:val="20"/>
        </w:rPr>
      </w:pPr>
      <w:r w:rsidRPr="007D7B50">
        <w:rPr>
          <w:rFonts w:ascii="Arial" w:eastAsia="Calibri" w:hAnsi="Arial" w:cs="Times New Roman"/>
          <w:b/>
          <w:sz w:val="20"/>
          <w:szCs w:val="20"/>
        </w:rPr>
        <w:t>Prednosti tehnologije se izražajo</w:t>
      </w:r>
      <w:r>
        <w:rPr>
          <w:rFonts w:ascii="Arial" w:eastAsia="Calibri" w:hAnsi="Arial" w:cs="Times New Roman"/>
          <w:sz w:val="20"/>
          <w:szCs w:val="20"/>
        </w:rPr>
        <w:t xml:space="preserve"> v </w:t>
      </w:r>
    </w:p>
    <w:p w14:paraId="1AFFFAD4" w14:textId="77777777" w:rsidR="00B95F61" w:rsidRDefault="00B95F61" w:rsidP="003445EF">
      <w:pPr>
        <w:pStyle w:val="Odstavekseznama"/>
        <w:numPr>
          <w:ilvl w:val="0"/>
          <w:numId w:val="20"/>
        </w:numPr>
        <w:spacing w:after="0" w:line="240" w:lineRule="auto"/>
        <w:jc w:val="both"/>
        <w:rPr>
          <w:rFonts w:ascii="Arial" w:eastAsia="Calibri" w:hAnsi="Arial" w:cs="Times New Roman"/>
          <w:sz w:val="20"/>
          <w:szCs w:val="20"/>
        </w:rPr>
      </w:pPr>
      <w:r w:rsidRPr="00B95F61">
        <w:rPr>
          <w:rFonts w:ascii="Arial" w:eastAsia="Calibri" w:hAnsi="Arial" w:cs="Times New Roman"/>
          <w:sz w:val="20"/>
          <w:szCs w:val="20"/>
        </w:rPr>
        <w:t xml:space="preserve">Povečanju produktivnosti in učinkovitosti: </w:t>
      </w:r>
    </w:p>
    <w:p w14:paraId="69465B29" w14:textId="77777777" w:rsidR="00B95F61" w:rsidRPr="00B95F61" w:rsidRDefault="00B95F61" w:rsidP="003445EF">
      <w:pPr>
        <w:pStyle w:val="Odstavekseznama"/>
        <w:numPr>
          <w:ilvl w:val="0"/>
          <w:numId w:val="10"/>
        </w:numPr>
        <w:spacing w:after="0" w:line="240" w:lineRule="auto"/>
        <w:jc w:val="both"/>
        <w:rPr>
          <w:rFonts w:ascii="Arial" w:eastAsia="Calibri" w:hAnsi="Arial" w:cs="Times New Roman"/>
          <w:sz w:val="20"/>
          <w:szCs w:val="20"/>
        </w:rPr>
      </w:pPr>
      <w:r w:rsidRPr="00B95F61">
        <w:rPr>
          <w:rFonts w:ascii="Arial" w:eastAsia="Calibri" w:hAnsi="Arial" w:cs="Times New Roman"/>
          <w:sz w:val="20"/>
          <w:szCs w:val="20"/>
        </w:rPr>
        <w:t xml:space="preserve">V celotnem življenjskem ciklu ponuja BIM ekonomsko učinkovit pristop, ki na ravni kapitalske naložbe ponuja kar se da cenovno ugodno rešitev. BIM dviguje kvaliteto končnim objektom. Dvig kvalitete objektov pa pomeni manjše stroške upravljanja, krajše dobavne roke, zmanjševaje pojavov nepotrebnih stroškov skozi procese in manjši stroški obratovanja. </w:t>
      </w:r>
    </w:p>
    <w:p w14:paraId="4B2428AB" w14:textId="77777777" w:rsidR="00B95F61" w:rsidRPr="00B95F61" w:rsidRDefault="00B95F61" w:rsidP="003445EF">
      <w:pPr>
        <w:pStyle w:val="Odstavekseznama"/>
        <w:numPr>
          <w:ilvl w:val="0"/>
          <w:numId w:val="10"/>
        </w:numPr>
        <w:spacing w:after="0" w:line="240" w:lineRule="auto"/>
        <w:jc w:val="both"/>
        <w:rPr>
          <w:rFonts w:ascii="Arial" w:eastAsia="Calibri" w:hAnsi="Arial" w:cs="Times New Roman"/>
          <w:sz w:val="20"/>
          <w:szCs w:val="20"/>
        </w:rPr>
      </w:pPr>
      <w:r w:rsidRPr="00B95F61">
        <w:rPr>
          <w:rFonts w:ascii="Arial" w:eastAsia="Calibri" w:hAnsi="Arial" w:cs="Times New Roman"/>
          <w:sz w:val="20"/>
          <w:szCs w:val="20"/>
        </w:rPr>
        <w:t xml:space="preserve">BIM omogoča uporabniku višjo stopnjo razumevanja projekta skozi tri-dimenzionalno predstavitev končnega objekta. Vizualizacijska komponenta BIM-a, ki v grobem samodejno nastaja tekom projektiranja, omogoča strankam enostavnejši pregled med variantnimi predlogi, ter posledično lažjo odločitev. </w:t>
      </w:r>
      <w:r>
        <w:rPr>
          <w:rFonts w:ascii="Arial" w:eastAsia="Calibri" w:hAnsi="Arial" w:cs="Times New Roman"/>
          <w:sz w:val="20"/>
          <w:szCs w:val="20"/>
        </w:rPr>
        <w:t>Stranke (podjetja, posamezniki)</w:t>
      </w:r>
      <w:r w:rsidRPr="00B95F61">
        <w:rPr>
          <w:rFonts w:ascii="Arial" w:eastAsia="Calibri" w:hAnsi="Arial" w:cs="Times New Roman"/>
          <w:sz w:val="20"/>
          <w:szCs w:val="20"/>
        </w:rPr>
        <w:t xml:space="preserve"> lažje razumejo ekonomski ter časovni vpliv njihovih odločitev, kar še dodatno olajša procese odločanja ter končno z</w:t>
      </w:r>
      <w:r>
        <w:rPr>
          <w:rFonts w:ascii="Arial" w:eastAsia="Calibri" w:hAnsi="Arial" w:cs="Times New Roman"/>
          <w:sz w:val="20"/>
          <w:szCs w:val="20"/>
        </w:rPr>
        <w:t xml:space="preserve">adovoljstvo s predanim objektom </w:t>
      </w:r>
      <w:r w:rsidRPr="00B95F61">
        <w:rPr>
          <w:rFonts w:ascii="Arial" w:eastAsia="Calibri" w:hAnsi="Arial" w:cs="Times New Roman"/>
          <w:sz w:val="20"/>
          <w:szCs w:val="20"/>
        </w:rPr>
        <w:t>i BIM-a,</w:t>
      </w:r>
      <w:r>
        <w:rPr>
          <w:rFonts w:ascii="Arial" w:eastAsia="Calibri" w:hAnsi="Arial" w:cs="Times New Roman"/>
          <w:sz w:val="20"/>
          <w:szCs w:val="20"/>
        </w:rPr>
        <w:t xml:space="preserve"> prav tako pa se lažje in hitreje</w:t>
      </w:r>
      <w:r w:rsidRPr="00B95F61">
        <w:rPr>
          <w:rFonts w:ascii="Arial" w:eastAsia="Calibri" w:hAnsi="Arial" w:cs="Times New Roman"/>
          <w:sz w:val="20"/>
          <w:szCs w:val="20"/>
        </w:rPr>
        <w:t xml:space="preserve"> sprejemajo odločitve na ravni države, občin, mestnih ter krajevnih skupnostih pri projektih, ki posegajo v prostor. </w:t>
      </w:r>
    </w:p>
    <w:p w14:paraId="45391883" w14:textId="77777777" w:rsidR="00212F43" w:rsidRDefault="00B95F61" w:rsidP="003445EF">
      <w:pPr>
        <w:pStyle w:val="Odstavekseznama"/>
        <w:numPr>
          <w:ilvl w:val="0"/>
          <w:numId w:val="10"/>
        </w:numPr>
        <w:spacing w:after="0" w:line="240" w:lineRule="auto"/>
        <w:jc w:val="both"/>
        <w:rPr>
          <w:rFonts w:ascii="Arial" w:eastAsia="Calibri" w:hAnsi="Arial" w:cs="Times New Roman"/>
          <w:sz w:val="20"/>
          <w:szCs w:val="20"/>
        </w:rPr>
      </w:pPr>
      <w:r w:rsidRPr="00B95F61">
        <w:rPr>
          <w:rFonts w:ascii="Arial" w:eastAsia="Calibri" w:hAnsi="Arial" w:cs="Times New Roman"/>
          <w:sz w:val="20"/>
          <w:szCs w:val="20"/>
        </w:rPr>
        <w:t>BIM omogoča hitrejše projektiranje, ki z uporabo te tehnologije ni več zaporedno, ampak se le-to odvija sočasno, z minimalnimi časovnimi zamiki, ar dodatno pospeši procese odločevanja.</w:t>
      </w:r>
      <w:r>
        <w:rPr>
          <w:rFonts w:ascii="Arial" w:eastAsia="Calibri" w:hAnsi="Arial" w:cs="Times New Roman"/>
          <w:sz w:val="20"/>
          <w:szCs w:val="20"/>
        </w:rPr>
        <w:t xml:space="preserve"> Z uporabo BIM projektiranje temelji na </w:t>
      </w:r>
      <w:r w:rsidRPr="00B95F61">
        <w:rPr>
          <w:rFonts w:ascii="Arial" w:eastAsia="Calibri" w:hAnsi="Arial" w:cs="Times New Roman"/>
          <w:sz w:val="20"/>
          <w:szCs w:val="20"/>
        </w:rPr>
        <w:t>sodelovalnem pristopu</w:t>
      </w:r>
      <w:r>
        <w:rPr>
          <w:rFonts w:ascii="Arial" w:eastAsia="Calibri" w:hAnsi="Arial" w:cs="Times New Roman"/>
          <w:sz w:val="20"/>
          <w:szCs w:val="20"/>
        </w:rPr>
        <w:t>,</w:t>
      </w:r>
      <w:r w:rsidRPr="00B95F61">
        <w:rPr>
          <w:rFonts w:ascii="Arial" w:eastAsia="Calibri" w:hAnsi="Arial" w:cs="Times New Roman"/>
          <w:sz w:val="20"/>
          <w:szCs w:val="20"/>
        </w:rPr>
        <w:t xml:space="preserve"> s prostim deljenjem informacij in aktivnim sodelovanjem vseh udeležencev. </w:t>
      </w:r>
      <w:r>
        <w:rPr>
          <w:rFonts w:ascii="Arial" w:eastAsia="Calibri" w:hAnsi="Arial" w:cs="Times New Roman"/>
          <w:sz w:val="20"/>
          <w:szCs w:val="20"/>
        </w:rPr>
        <w:t>Rešitve so navadno dražje od tradicionalnih in bolj kom</w:t>
      </w:r>
      <w:r w:rsidR="00212F43">
        <w:rPr>
          <w:rFonts w:ascii="Arial" w:eastAsia="Calibri" w:hAnsi="Arial" w:cs="Times New Roman"/>
          <w:sz w:val="20"/>
          <w:szCs w:val="20"/>
        </w:rPr>
        <w:t>pleksne (zaradi 3</w:t>
      </w:r>
      <w:r>
        <w:rPr>
          <w:rFonts w:ascii="Arial" w:eastAsia="Calibri" w:hAnsi="Arial" w:cs="Times New Roman"/>
          <w:sz w:val="20"/>
          <w:szCs w:val="20"/>
        </w:rPr>
        <w:t>D</w:t>
      </w:r>
      <w:r w:rsidR="00212F43">
        <w:rPr>
          <w:rFonts w:ascii="Arial" w:eastAsia="Calibri" w:hAnsi="Arial" w:cs="Times New Roman"/>
          <w:sz w:val="20"/>
          <w:szCs w:val="20"/>
        </w:rPr>
        <w:t xml:space="preserve">, 4D in 5D dimenzioniranja), vendar pa se zaradi zmanjšanja tveganja odstopanja v prvotnih načrtih in posledično kasnejšega spreminjanja projekta poveča stroškovna učinkovitost celotnega projekta. </w:t>
      </w:r>
    </w:p>
    <w:p w14:paraId="3A6E451D" w14:textId="77777777" w:rsidR="00212F43" w:rsidRPr="00C50BCD" w:rsidRDefault="00212F43" w:rsidP="003445EF">
      <w:pPr>
        <w:pStyle w:val="Odstavekseznama"/>
        <w:numPr>
          <w:ilvl w:val="0"/>
          <w:numId w:val="20"/>
        </w:numPr>
        <w:spacing w:after="0" w:line="240" w:lineRule="auto"/>
        <w:jc w:val="both"/>
        <w:rPr>
          <w:rFonts w:ascii="Arial" w:eastAsia="Calibri" w:hAnsi="Arial" w:cs="Times New Roman"/>
          <w:sz w:val="20"/>
          <w:szCs w:val="20"/>
        </w:rPr>
      </w:pPr>
      <w:r w:rsidRPr="00C50BCD">
        <w:rPr>
          <w:rFonts w:ascii="Arial" w:eastAsia="Calibri" w:hAnsi="Arial" w:cs="Times New Roman"/>
          <w:sz w:val="20"/>
          <w:szCs w:val="20"/>
        </w:rPr>
        <w:t>Podpori</w:t>
      </w:r>
      <w:r w:rsidR="00B95F61" w:rsidRPr="00C50BCD">
        <w:rPr>
          <w:rFonts w:ascii="Arial" w:eastAsia="Calibri" w:hAnsi="Arial" w:cs="Times New Roman"/>
          <w:sz w:val="20"/>
          <w:szCs w:val="20"/>
        </w:rPr>
        <w:t xml:space="preserve"> pri upravljanju</w:t>
      </w:r>
      <w:r w:rsidR="00C50BCD" w:rsidRPr="00C50BCD">
        <w:rPr>
          <w:rFonts w:ascii="Arial" w:eastAsia="Calibri" w:hAnsi="Arial" w:cs="Times New Roman"/>
          <w:sz w:val="20"/>
          <w:szCs w:val="20"/>
        </w:rPr>
        <w:t xml:space="preserve">: </w:t>
      </w:r>
      <w:r w:rsidR="00B95F61" w:rsidRPr="00C50BCD">
        <w:rPr>
          <w:rFonts w:ascii="Arial" w:eastAsia="Calibri" w:hAnsi="Arial" w:cs="Times New Roman"/>
          <w:sz w:val="20"/>
          <w:szCs w:val="20"/>
        </w:rPr>
        <w:t>BIM je tehnologija, ki omogoča učinkovitejše upravljanje premoženja in objektov</w:t>
      </w:r>
      <w:r w:rsidRPr="00C50BCD">
        <w:rPr>
          <w:rFonts w:ascii="Arial" w:eastAsia="Calibri" w:hAnsi="Arial" w:cs="Times New Roman"/>
          <w:sz w:val="20"/>
          <w:szCs w:val="20"/>
        </w:rPr>
        <w:t xml:space="preserve">, saj </w:t>
      </w:r>
      <w:r w:rsidR="00B95F61" w:rsidRPr="00C50BCD">
        <w:rPr>
          <w:rFonts w:ascii="Arial" w:eastAsia="Calibri" w:hAnsi="Arial" w:cs="Times New Roman"/>
          <w:sz w:val="20"/>
          <w:szCs w:val="20"/>
        </w:rPr>
        <w:t xml:space="preserve">zagotavlja potrebne informacije za rutinsko vzdrževanje ter planiranje prihodnjih večjih posegov oz. investicij. Informacije, ki so nastale tekom načrtovanja </w:t>
      </w:r>
      <w:r w:rsidRPr="00C50BCD">
        <w:rPr>
          <w:rFonts w:ascii="Arial" w:eastAsia="Calibri" w:hAnsi="Arial" w:cs="Times New Roman"/>
          <w:sz w:val="20"/>
          <w:szCs w:val="20"/>
        </w:rPr>
        <w:t xml:space="preserve">se v realnem času dopolnjujejo s tekočimi informacijami, kar omogoča oblikovanje podatkovnih baz z velikim številom podatkov. </w:t>
      </w:r>
    </w:p>
    <w:p w14:paraId="335E361D" w14:textId="77777777" w:rsidR="00B95F61" w:rsidRPr="00C50BCD" w:rsidRDefault="00212F43" w:rsidP="003445EF">
      <w:pPr>
        <w:pStyle w:val="Odstavekseznama"/>
        <w:numPr>
          <w:ilvl w:val="0"/>
          <w:numId w:val="20"/>
        </w:numPr>
        <w:spacing w:after="0" w:line="240" w:lineRule="auto"/>
        <w:jc w:val="both"/>
        <w:rPr>
          <w:rFonts w:ascii="Arial" w:eastAsia="Calibri" w:hAnsi="Arial" w:cs="Times New Roman"/>
          <w:sz w:val="20"/>
          <w:szCs w:val="20"/>
        </w:rPr>
      </w:pPr>
      <w:r w:rsidRPr="00C50BCD">
        <w:rPr>
          <w:rFonts w:ascii="Arial" w:eastAsia="Calibri" w:hAnsi="Arial" w:cs="Times New Roman"/>
          <w:sz w:val="20"/>
          <w:szCs w:val="20"/>
        </w:rPr>
        <w:t xml:space="preserve">Izmenjavi </w:t>
      </w:r>
      <w:r w:rsidR="00B95F61" w:rsidRPr="00C50BCD">
        <w:rPr>
          <w:rFonts w:ascii="Arial" w:eastAsia="Calibri" w:hAnsi="Arial" w:cs="Times New Roman"/>
          <w:sz w:val="20"/>
          <w:szCs w:val="20"/>
        </w:rPr>
        <w:t>podatkov in informacij</w:t>
      </w:r>
      <w:r w:rsidR="00C50BCD" w:rsidRPr="00C50BCD">
        <w:rPr>
          <w:rFonts w:ascii="Arial" w:eastAsia="Calibri" w:hAnsi="Arial" w:cs="Times New Roman"/>
          <w:sz w:val="20"/>
          <w:szCs w:val="20"/>
        </w:rPr>
        <w:t xml:space="preserve">: </w:t>
      </w:r>
      <w:r w:rsidR="00B95F61" w:rsidRPr="00C50BCD">
        <w:rPr>
          <w:rFonts w:ascii="Arial" w:eastAsia="Calibri" w:hAnsi="Arial" w:cs="Times New Roman"/>
          <w:sz w:val="20"/>
          <w:szCs w:val="20"/>
        </w:rPr>
        <w:t xml:space="preserve">BIM omogoča učinkovitejše shranjevanje vseh projektantskih podatkov znotraj 3D-modela, kar je velika pridobitev za vse arhitekte in projektante. 2D-načrti se lahko avtomatsko oz. polavtomatsko generirajo iz modela. </w:t>
      </w:r>
      <w:r w:rsidRPr="00C50BCD">
        <w:rPr>
          <w:rFonts w:ascii="Arial" w:eastAsia="Calibri" w:hAnsi="Arial" w:cs="Times New Roman"/>
          <w:sz w:val="20"/>
          <w:szCs w:val="20"/>
        </w:rPr>
        <w:t xml:space="preserve">Z dodajanjem naprednih digitalnih tehnologij pa se omogoči še dodatna sledljivost podatkov od izvora naprej po celotni verigi vrednosti. </w:t>
      </w:r>
    </w:p>
    <w:p w14:paraId="404EC270" w14:textId="77777777" w:rsidR="00B95F61" w:rsidRPr="00212F43" w:rsidRDefault="00B95F61" w:rsidP="003445EF">
      <w:pPr>
        <w:pStyle w:val="Odstavekseznama"/>
        <w:numPr>
          <w:ilvl w:val="0"/>
          <w:numId w:val="20"/>
        </w:numPr>
        <w:spacing w:after="0" w:line="240" w:lineRule="auto"/>
        <w:jc w:val="both"/>
        <w:rPr>
          <w:rFonts w:ascii="Arial" w:eastAsia="Calibri" w:hAnsi="Arial" w:cs="Times New Roman"/>
          <w:sz w:val="20"/>
          <w:szCs w:val="20"/>
        </w:rPr>
      </w:pPr>
      <w:r w:rsidRPr="00212F43">
        <w:rPr>
          <w:rFonts w:ascii="Arial" w:eastAsia="Calibri" w:hAnsi="Arial" w:cs="Times New Roman"/>
          <w:sz w:val="20"/>
          <w:szCs w:val="20"/>
        </w:rPr>
        <w:t>Obvladovanj</w:t>
      </w:r>
      <w:r w:rsidR="00212F43">
        <w:rPr>
          <w:rFonts w:ascii="Arial" w:eastAsia="Calibri" w:hAnsi="Arial" w:cs="Times New Roman"/>
          <w:sz w:val="20"/>
          <w:szCs w:val="20"/>
        </w:rPr>
        <w:t>u</w:t>
      </w:r>
      <w:r w:rsidRPr="00212F43">
        <w:rPr>
          <w:rFonts w:ascii="Arial" w:eastAsia="Calibri" w:hAnsi="Arial" w:cs="Times New Roman"/>
          <w:sz w:val="20"/>
          <w:szCs w:val="20"/>
        </w:rPr>
        <w:t xml:space="preserve"> nepredvidenih dodatnih del in reklamacij </w:t>
      </w:r>
    </w:p>
    <w:p w14:paraId="28861C9A" w14:textId="77777777" w:rsidR="00B95F61" w:rsidRPr="00212F43" w:rsidRDefault="00B95F61" w:rsidP="003445EF">
      <w:pPr>
        <w:pStyle w:val="Odstavekseznama"/>
        <w:numPr>
          <w:ilvl w:val="0"/>
          <w:numId w:val="10"/>
        </w:numPr>
        <w:spacing w:after="0" w:line="240" w:lineRule="auto"/>
        <w:jc w:val="both"/>
        <w:rPr>
          <w:rFonts w:ascii="Arial" w:eastAsia="Calibri" w:hAnsi="Arial" w:cs="Times New Roman"/>
          <w:sz w:val="20"/>
          <w:szCs w:val="20"/>
        </w:rPr>
      </w:pPr>
      <w:r w:rsidRPr="00212F43">
        <w:rPr>
          <w:rFonts w:ascii="Arial" w:eastAsia="Calibri" w:hAnsi="Arial" w:cs="Times New Roman"/>
          <w:sz w:val="20"/>
          <w:szCs w:val="20"/>
        </w:rPr>
        <w:t xml:space="preserve">Prihranek stroškov se lahko doseže z uporabo BIM-a za preverjanje usklajenosti strukturnih, arhitekturnih in gradbenih elementov, s tem pa se zmanjša število predelav in zahtevanih nepredvidenih dodatnih del na gradbišču. Posledično se zmanjša možnost odvečnega dela in nepotrebnih gradbenih odpadkov ter možnost pojava tožb. </w:t>
      </w:r>
    </w:p>
    <w:p w14:paraId="3C041896" w14:textId="77777777" w:rsidR="00B95F61" w:rsidRPr="00212F43" w:rsidRDefault="00B95F61" w:rsidP="003445EF">
      <w:pPr>
        <w:pStyle w:val="Odstavekseznama"/>
        <w:numPr>
          <w:ilvl w:val="0"/>
          <w:numId w:val="10"/>
        </w:numPr>
        <w:spacing w:after="0" w:line="240" w:lineRule="auto"/>
        <w:jc w:val="both"/>
        <w:rPr>
          <w:rFonts w:ascii="Arial" w:eastAsia="Calibri" w:hAnsi="Arial" w:cs="Times New Roman"/>
          <w:sz w:val="20"/>
          <w:szCs w:val="20"/>
        </w:rPr>
      </w:pPr>
      <w:r w:rsidRPr="00212F43">
        <w:rPr>
          <w:rFonts w:ascii="Arial" w:eastAsia="Calibri" w:hAnsi="Arial" w:cs="Times New Roman"/>
          <w:sz w:val="20"/>
          <w:szCs w:val="20"/>
        </w:rPr>
        <w:t>S pomočjo odkrivanja neusklajenosti strok v fazi načrtovanja se lahko zmanjšajo oz. v nekaterih primerih celo odpravijo stroški nepredvidenih del na gradbišču. Le-ti lahko znašajo tudi od 10% do 20% investicije. Natančne prihranke na lokalni ravni je možno nadalje raziskati v prihodnjih študijah.</w:t>
      </w:r>
    </w:p>
    <w:p w14:paraId="043007C4" w14:textId="77777777" w:rsidR="00B95F61" w:rsidRPr="00C50BCD" w:rsidRDefault="00212F43" w:rsidP="003445EF">
      <w:pPr>
        <w:pStyle w:val="Odstavekseznama"/>
        <w:numPr>
          <w:ilvl w:val="0"/>
          <w:numId w:val="20"/>
        </w:numPr>
        <w:spacing w:after="0" w:line="240" w:lineRule="auto"/>
        <w:jc w:val="both"/>
        <w:rPr>
          <w:rFonts w:ascii="Arial" w:eastAsia="Calibri" w:hAnsi="Arial" w:cs="Times New Roman"/>
          <w:sz w:val="20"/>
          <w:szCs w:val="20"/>
        </w:rPr>
      </w:pPr>
      <w:r w:rsidRPr="00C50BCD">
        <w:rPr>
          <w:rFonts w:ascii="Arial" w:eastAsia="Calibri" w:hAnsi="Arial" w:cs="Times New Roman"/>
          <w:sz w:val="20"/>
          <w:szCs w:val="20"/>
        </w:rPr>
        <w:t>Trajnostnih</w:t>
      </w:r>
      <w:r w:rsidR="00B95F61" w:rsidRPr="00C50BCD">
        <w:rPr>
          <w:rFonts w:ascii="Arial" w:eastAsia="Calibri" w:hAnsi="Arial" w:cs="Times New Roman"/>
          <w:sz w:val="20"/>
          <w:szCs w:val="20"/>
        </w:rPr>
        <w:t xml:space="preserve"> inženirsk</w:t>
      </w:r>
      <w:r w:rsidRPr="00C50BCD">
        <w:rPr>
          <w:rFonts w:ascii="Arial" w:eastAsia="Calibri" w:hAnsi="Arial" w:cs="Times New Roman"/>
          <w:sz w:val="20"/>
          <w:szCs w:val="20"/>
        </w:rPr>
        <w:t>ih rešitvah</w:t>
      </w:r>
      <w:r w:rsidR="00C50BCD" w:rsidRPr="00C50BCD">
        <w:rPr>
          <w:rFonts w:ascii="Arial" w:eastAsia="Calibri" w:hAnsi="Arial" w:cs="Times New Roman"/>
          <w:sz w:val="20"/>
          <w:szCs w:val="20"/>
        </w:rPr>
        <w:t xml:space="preserve">: </w:t>
      </w:r>
      <w:r w:rsidR="00C50BCD">
        <w:rPr>
          <w:rFonts w:ascii="Arial" w:eastAsia="Calibri" w:hAnsi="Arial" w:cs="Times New Roman"/>
          <w:sz w:val="20"/>
          <w:szCs w:val="20"/>
        </w:rPr>
        <w:t>n</w:t>
      </w:r>
      <w:r w:rsidR="00B95F61" w:rsidRPr="00C50BCD">
        <w:rPr>
          <w:rFonts w:ascii="Arial" w:eastAsia="Calibri" w:hAnsi="Arial" w:cs="Times New Roman"/>
          <w:sz w:val="20"/>
          <w:szCs w:val="20"/>
        </w:rPr>
        <w:t xml:space="preserve">ajbolj razvito in uporabljeno je področje simulacije porabe energije skozi celotni življenjski cikel. Simulacije se lahko izvedejo v razmeroma kratkem času ter vrnejo relevantne in zanesljive rezultate. </w:t>
      </w:r>
      <w:r w:rsidR="008374BD" w:rsidRPr="00C50BCD">
        <w:rPr>
          <w:rFonts w:ascii="Arial" w:eastAsia="Calibri" w:hAnsi="Arial" w:cs="Times New Roman"/>
          <w:sz w:val="20"/>
          <w:szCs w:val="20"/>
        </w:rPr>
        <w:t>D</w:t>
      </w:r>
      <w:r w:rsidR="00B95F61" w:rsidRPr="00C50BCD">
        <w:rPr>
          <w:rFonts w:ascii="Arial" w:eastAsia="Calibri" w:hAnsi="Arial" w:cs="Times New Roman"/>
          <w:sz w:val="20"/>
          <w:szCs w:val="20"/>
        </w:rPr>
        <w:t>odatno lahko h komponentam trajnosti dodamo tudi stroškovno komponento, ki investitorju omogoča lažjo izbiro med dejansko vgrajenimi elementi in končnim prihrankom obratovalnih stroškov objekta.</w:t>
      </w:r>
    </w:p>
    <w:p w14:paraId="41A69271" w14:textId="77777777" w:rsidR="00B95F61" w:rsidRPr="00D515C6" w:rsidRDefault="008374BD" w:rsidP="003445EF">
      <w:pPr>
        <w:pStyle w:val="Odstavekseznama"/>
        <w:numPr>
          <w:ilvl w:val="0"/>
          <w:numId w:val="20"/>
        </w:numPr>
        <w:spacing w:after="0" w:line="240" w:lineRule="auto"/>
        <w:jc w:val="both"/>
        <w:rPr>
          <w:rFonts w:ascii="Arial" w:eastAsia="Calibri" w:hAnsi="Arial" w:cs="Times New Roman"/>
          <w:sz w:val="20"/>
          <w:szCs w:val="20"/>
        </w:rPr>
      </w:pPr>
      <w:r w:rsidRPr="00D515C6">
        <w:rPr>
          <w:rFonts w:ascii="Arial" w:eastAsia="Calibri" w:hAnsi="Arial" w:cs="Times New Roman"/>
          <w:sz w:val="20"/>
          <w:szCs w:val="20"/>
        </w:rPr>
        <w:t>Poenostavljenemu naročanju</w:t>
      </w:r>
      <w:r w:rsidR="00B95F61" w:rsidRPr="00D515C6">
        <w:rPr>
          <w:rFonts w:ascii="Arial" w:eastAsia="Calibri" w:hAnsi="Arial" w:cs="Times New Roman"/>
          <w:sz w:val="20"/>
          <w:szCs w:val="20"/>
        </w:rPr>
        <w:t xml:space="preserve"> gradiv</w:t>
      </w:r>
      <w:r w:rsidR="00D515C6" w:rsidRPr="00D515C6">
        <w:rPr>
          <w:rFonts w:ascii="Arial" w:eastAsia="Calibri" w:hAnsi="Arial" w:cs="Times New Roman"/>
          <w:sz w:val="20"/>
          <w:szCs w:val="20"/>
        </w:rPr>
        <w:t xml:space="preserve">: </w:t>
      </w:r>
      <w:r w:rsidR="00B95F61" w:rsidRPr="00D515C6">
        <w:rPr>
          <w:rFonts w:ascii="Arial" w:eastAsia="Calibri" w:hAnsi="Arial" w:cs="Times New Roman"/>
          <w:sz w:val="20"/>
          <w:szCs w:val="20"/>
        </w:rPr>
        <w:t xml:space="preserve">BIM olajšuje naročanje gradiv (gradbenih elementov in materialov) v večjih količinah in nadzor inventure gradiva. </w:t>
      </w:r>
      <w:r w:rsidRPr="00D515C6">
        <w:rPr>
          <w:rFonts w:ascii="Arial" w:eastAsia="Calibri" w:hAnsi="Arial" w:cs="Times New Roman"/>
          <w:sz w:val="20"/>
          <w:szCs w:val="20"/>
        </w:rPr>
        <w:t xml:space="preserve">Z uporabo naprednih digitalnih tehnologij se poveča dostopnost do gradiv, saj se lahko oblikujejo knjižnice, dostopne v distribuiranih okoljih, v realnem času. </w:t>
      </w:r>
    </w:p>
    <w:p w14:paraId="2E4CC148" w14:textId="77777777" w:rsidR="00B95F61" w:rsidRPr="00D515C6" w:rsidRDefault="008374BD" w:rsidP="003445EF">
      <w:pPr>
        <w:pStyle w:val="Odstavekseznama"/>
        <w:numPr>
          <w:ilvl w:val="0"/>
          <w:numId w:val="20"/>
        </w:numPr>
        <w:spacing w:after="0" w:line="240" w:lineRule="auto"/>
        <w:jc w:val="both"/>
        <w:rPr>
          <w:rFonts w:ascii="Arial" w:eastAsia="Calibri" w:hAnsi="Arial" w:cs="Times New Roman"/>
          <w:sz w:val="20"/>
          <w:szCs w:val="20"/>
        </w:rPr>
      </w:pPr>
      <w:r w:rsidRPr="00D515C6">
        <w:rPr>
          <w:rFonts w:ascii="Arial" w:eastAsia="Calibri" w:hAnsi="Arial" w:cs="Times New Roman"/>
          <w:sz w:val="20"/>
          <w:szCs w:val="20"/>
        </w:rPr>
        <w:t>Zagotavljanju</w:t>
      </w:r>
      <w:r w:rsidR="00B95F61" w:rsidRPr="00D515C6">
        <w:rPr>
          <w:rFonts w:ascii="Arial" w:eastAsia="Calibri" w:hAnsi="Arial" w:cs="Times New Roman"/>
          <w:sz w:val="20"/>
          <w:szCs w:val="20"/>
        </w:rPr>
        <w:t xml:space="preserve"> zanesljivosti</w:t>
      </w:r>
      <w:r w:rsidR="00D515C6" w:rsidRPr="00D515C6">
        <w:rPr>
          <w:rFonts w:ascii="Arial" w:eastAsia="Calibri" w:hAnsi="Arial" w:cs="Times New Roman"/>
          <w:sz w:val="20"/>
          <w:szCs w:val="20"/>
        </w:rPr>
        <w:t xml:space="preserve">: </w:t>
      </w:r>
      <w:r w:rsidR="00D515C6">
        <w:rPr>
          <w:rFonts w:ascii="Arial" w:eastAsia="Calibri" w:hAnsi="Arial" w:cs="Times New Roman"/>
          <w:sz w:val="20"/>
          <w:szCs w:val="20"/>
        </w:rPr>
        <w:t>v</w:t>
      </w:r>
      <w:r w:rsidR="00B95F61" w:rsidRPr="00D515C6">
        <w:rPr>
          <w:rFonts w:ascii="Arial" w:eastAsia="Calibri" w:hAnsi="Arial" w:cs="Times New Roman"/>
          <w:sz w:val="20"/>
          <w:szCs w:val="20"/>
        </w:rPr>
        <w:t xml:space="preserve"> fazi gradnje obsežnost informacij, ki jih vsebuje 3D BIM-model izboljša sposobnost izvajalca, da razume detajle o projektu in v naprej razrešuje težave. Prav tako omogoča inženirjem, da preverijo izvedbo glede na specifikacije ter preverijo morebitne nepravilnosti. Integriran enoten model spodbuja permanenten pregled in optimiziranje projekta od začetka do konca gradnje ter za vzdrževanje in obratovanje.</w:t>
      </w:r>
      <w:r w:rsidRPr="00D515C6">
        <w:rPr>
          <w:rFonts w:ascii="Arial" w:eastAsia="Calibri" w:hAnsi="Arial" w:cs="Times New Roman"/>
          <w:sz w:val="20"/>
          <w:szCs w:val="20"/>
        </w:rPr>
        <w:t xml:space="preserve"> Z uporabo naprednih digitalnih tehnologij se to preverjanje lahko izvede v realnem času, ob zagotovljeni sledljivosti in preverljivosti podatkov in materialov pa se tudi zmanjša tveganje napak v procesu načrtovanja in izvajanja v celotnem življenjskem ciklu. </w:t>
      </w:r>
    </w:p>
    <w:p w14:paraId="519FC4E4" w14:textId="77777777" w:rsidR="00B95F61" w:rsidRPr="008374BD" w:rsidRDefault="008374BD" w:rsidP="003445EF">
      <w:pPr>
        <w:pStyle w:val="Odstavekseznama"/>
        <w:numPr>
          <w:ilvl w:val="0"/>
          <w:numId w:val="20"/>
        </w:numPr>
        <w:spacing w:after="0" w:line="240" w:lineRule="auto"/>
        <w:jc w:val="both"/>
        <w:rPr>
          <w:rFonts w:ascii="Arial" w:eastAsia="Calibri" w:hAnsi="Arial" w:cs="Times New Roman"/>
          <w:sz w:val="20"/>
          <w:szCs w:val="20"/>
        </w:rPr>
      </w:pPr>
      <w:r>
        <w:rPr>
          <w:rFonts w:ascii="Arial" w:eastAsia="Calibri" w:hAnsi="Arial" w:cs="Times New Roman"/>
          <w:sz w:val="20"/>
          <w:szCs w:val="20"/>
        </w:rPr>
        <w:t>Učenju in i</w:t>
      </w:r>
      <w:r w:rsidR="00B95F61" w:rsidRPr="008374BD">
        <w:rPr>
          <w:rFonts w:ascii="Arial" w:eastAsia="Calibri" w:hAnsi="Arial" w:cs="Times New Roman"/>
          <w:sz w:val="20"/>
          <w:szCs w:val="20"/>
        </w:rPr>
        <w:t>zboljšanj</w:t>
      </w:r>
      <w:r>
        <w:rPr>
          <w:rFonts w:ascii="Arial" w:eastAsia="Calibri" w:hAnsi="Arial" w:cs="Times New Roman"/>
          <w:sz w:val="20"/>
          <w:szCs w:val="20"/>
        </w:rPr>
        <w:t>u</w:t>
      </w:r>
      <w:r w:rsidR="00B95F61" w:rsidRPr="008374BD">
        <w:rPr>
          <w:rFonts w:ascii="Arial" w:eastAsia="Calibri" w:hAnsi="Arial" w:cs="Times New Roman"/>
          <w:sz w:val="20"/>
          <w:szCs w:val="20"/>
        </w:rPr>
        <w:t xml:space="preserve"> razumevanja</w:t>
      </w:r>
      <w:r>
        <w:rPr>
          <w:rFonts w:ascii="Arial" w:eastAsia="Calibri" w:hAnsi="Arial" w:cs="Times New Roman"/>
          <w:sz w:val="20"/>
          <w:szCs w:val="20"/>
        </w:rPr>
        <w:t xml:space="preserve"> ter sprejemanju odločitev:</w:t>
      </w:r>
    </w:p>
    <w:p w14:paraId="79514195" w14:textId="77777777" w:rsidR="00B95F61" w:rsidRDefault="008374BD"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S pomočjo uporabe virtualizacije in koncepta digitalnih dvojčkov, 3D vizualizacije in 4D ter 5D simulacij lahko </w:t>
      </w:r>
      <w:r w:rsidR="00B95F61" w:rsidRPr="008374BD">
        <w:rPr>
          <w:rFonts w:ascii="Arial" w:eastAsia="Calibri" w:hAnsi="Arial" w:cs="Times New Roman"/>
          <w:sz w:val="20"/>
          <w:szCs w:val="20"/>
        </w:rPr>
        <w:t>BIM bistveno</w:t>
      </w:r>
      <w:r>
        <w:rPr>
          <w:rFonts w:ascii="Arial" w:eastAsia="Calibri" w:hAnsi="Arial" w:cs="Times New Roman"/>
          <w:sz w:val="20"/>
          <w:szCs w:val="20"/>
        </w:rPr>
        <w:t xml:space="preserve"> prispeva k hitrejšemu prenosu znanja in razumevanja ter dvigu kompetenc vseh vključenih v verigo vrednosti. </w:t>
      </w:r>
    </w:p>
    <w:p w14:paraId="3D4DDA67" w14:textId="77777777" w:rsidR="008374BD" w:rsidRPr="008374BD" w:rsidRDefault="008374BD"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Z uporabo naprednih digitalnih tehnologij (interneta stvari, tehnologije veriženja blokov </w:t>
      </w:r>
      <w:r w:rsidR="0022616C">
        <w:rPr>
          <w:rFonts w:ascii="Arial" w:eastAsia="Calibri" w:hAnsi="Arial" w:cs="Times New Roman"/>
          <w:sz w:val="20"/>
          <w:szCs w:val="20"/>
        </w:rPr>
        <w:t xml:space="preserve">in umetne inteligence) pa se vzpostavi možnost implementacije prediktivne analitike, ki bistveno pospeši postopek sprejemanja odločitev. </w:t>
      </w:r>
      <w:r w:rsidR="0022616C" w:rsidRPr="00C5282E">
        <w:rPr>
          <w:rFonts w:ascii="Arial" w:eastAsia="Calibri" w:hAnsi="Arial" w:cs="Times New Roman"/>
          <w:sz w:val="20"/>
          <w:szCs w:val="20"/>
        </w:rPr>
        <w:t>Na ta način se olajša upravljanje stroškov, upravljanje denarnih tokov,  načrtovanje urnika del in kadrovskih potreb.</w:t>
      </w:r>
    </w:p>
    <w:p w14:paraId="6EC08332" w14:textId="77777777" w:rsidR="00B95F61" w:rsidRPr="00C50BCD" w:rsidRDefault="00B95F61" w:rsidP="003445EF">
      <w:pPr>
        <w:pStyle w:val="Odstavekseznama"/>
        <w:numPr>
          <w:ilvl w:val="0"/>
          <w:numId w:val="10"/>
        </w:numPr>
        <w:spacing w:after="0" w:line="240" w:lineRule="auto"/>
        <w:jc w:val="both"/>
        <w:rPr>
          <w:rFonts w:ascii="Arial" w:eastAsia="Calibri" w:hAnsi="Arial" w:cs="Times New Roman"/>
          <w:sz w:val="20"/>
          <w:szCs w:val="20"/>
        </w:rPr>
      </w:pPr>
      <w:r w:rsidRPr="00C50BCD">
        <w:rPr>
          <w:rFonts w:ascii="Arial" w:eastAsia="Calibri" w:hAnsi="Arial" w:cs="Times New Roman"/>
          <w:sz w:val="20"/>
          <w:szCs w:val="20"/>
        </w:rPr>
        <w:t>BIM model</w:t>
      </w:r>
      <w:r w:rsidR="0022616C" w:rsidRPr="00C50BCD">
        <w:rPr>
          <w:rFonts w:ascii="Arial" w:eastAsia="Calibri" w:hAnsi="Arial" w:cs="Times New Roman"/>
          <w:sz w:val="20"/>
          <w:szCs w:val="20"/>
        </w:rPr>
        <w:t xml:space="preserve"> prav tako</w:t>
      </w:r>
      <w:r w:rsidRPr="00C50BCD">
        <w:rPr>
          <w:rFonts w:ascii="Arial" w:eastAsia="Calibri" w:hAnsi="Arial" w:cs="Times New Roman"/>
          <w:sz w:val="20"/>
          <w:szCs w:val="20"/>
        </w:rPr>
        <w:t xml:space="preserve"> skupaj z digitalno gradbeno knjigo oz. dnevnikom predstavlja natančen sistem spremljanja gradnje ter omogoča hitrejše sprejemanje odločitev ter povečan nadzor nad vrsto ter kakovostjo del.</w:t>
      </w:r>
    </w:p>
    <w:p w14:paraId="6A7616F0" w14:textId="77777777" w:rsidR="00B95F61" w:rsidRDefault="00B95F61" w:rsidP="003445EF">
      <w:pPr>
        <w:pStyle w:val="Odstavekseznama"/>
        <w:numPr>
          <w:ilvl w:val="0"/>
          <w:numId w:val="20"/>
        </w:numPr>
        <w:spacing w:after="0" w:line="240" w:lineRule="auto"/>
        <w:jc w:val="both"/>
        <w:rPr>
          <w:rFonts w:ascii="Arial" w:eastAsia="Calibri" w:hAnsi="Arial" w:cs="Times New Roman"/>
          <w:sz w:val="20"/>
          <w:szCs w:val="20"/>
        </w:rPr>
      </w:pPr>
      <w:r w:rsidRPr="00C50BCD">
        <w:rPr>
          <w:rFonts w:ascii="Arial" w:eastAsia="Calibri" w:hAnsi="Arial" w:cs="Times New Roman"/>
          <w:sz w:val="20"/>
          <w:szCs w:val="20"/>
        </w:rPr>
        <w:t>Monitoring</w:t>
      </w:r>
      <w:r w:rsidR="00C50BCD" w:rsidRPr="00C50BCD">
        <w:rPr>
          <w:rFonts w:ascii="Arial" w:eastAsia="Calibri" w:hAnsi="Arial" w:cs="Times New Roman"/>
          <w:sz w:val="20"/>
          <w:szCs w:val="20"/>
        </w:rPr>
        <w:t>u</w:t>
      </w:r>
      <w:r w:rsidRPr="00C50BCD">
        <w:rPr>
          <w:rFonts w:ascii="Arial" w:eastAsia="Calibri" w:hAnsi="Arial" w:cs="Times New Roman"/>
          <w:sz w:val="20"/>
          <w:szCs w:val="20"/>
        </w:rPr>
        <w:t xml:space="preserve"> sprememb</w:t>
      </w:r>
      <w:r w:rsidR="00C50BCD" w:rsidRPr="00C50BCD">
        <w:rPr>
          <w:rFonts w:ascii="Arial" w:eastAsia="Calibri" w:hAnsi="Arial" w:cs="Times New Roman"/>
          <w:sz w:val="20"/>
          <w:szCs w:val="20"/>
        </w:rPr>
        <w:t xml:space="preserve">: </w:t>
      </w:r>
      <w:r w:rsidR="00C50BCD">
        <w:rPr>
          <w:rFonts w:ascii="Arial" w:eastAsia="Calibri" w:hAnsi="Arial" w:cs="Times New Roman"/>
          <w:sz w:val="20"/>
          <w:szCs w:val="20"/>
        </w:rPr>
        <w:t>z ustvarjanjem blokovnih verig (sistematičnim zajemanjem prostorskih podatkov)</w:t>
      </w:r>
      <w:r w:rsidRPr="00C50BCD">
        <w:rPr>
          <w:rFonts w:ascii="Arial" w:eastAsia="Calibri" w:hAnsi="Arial" w:cs="Times New Roman"/>
          <w:sz w:val="20"/>
          <w:szCs w:val="20"/>
        </w:rPr>
        <w:t xml:space="preserve"> </w:t>
      </w:r>
      <w:r w:rsidR="00C50BCD">
        <w:rPr>
          <w:rFonts w:ascii="Arial" w:eastAsia="Calibri" w:hAnsi="Arial" w:cs="Times New Roman"/>
          <w:sz w:val="20"/>
          <w:szCs w:val="20"/>
        </w:rPr>
        <w:t xml:space="preserve">v </w:t>
      </w:r>
      <w:r w:rsidRPr="00C50BCD">
        <w:rPr>
          <w:rFonts w:ascii="Arial" w:eastAsia="Calibri" w:hAnsi="Arial" w:cs="Times New Roman"/>
          <w:sz w:val="20"/>
          <w:szCs w:val="20"/>
        </w:rPr>
        <w:t>vnaprej določenih časovnih zaporedjih</w:t>
      </w:r>
      <w:r w:rsidR="00C50BCD">
        <w:rPr>
          <w:rFonts w:ascii="Arial" w:eastAsia="Calibri" w:hAnsi="Arial" w:cs="Times New Roman"/>
          <w:sz w:val="20"/>
          <w:szCs w:val="20"/>
        </w:rPr>
        <w:t xml:space="preserve"> in časovnim zapisom posameznega podatka (ang. </w:t>
      </w:r>
      <w:r w:rsidR="00D449BA">
        <w:rPr>
          <w:rFonts w:ascii="Arial" w:eastAsia="Calibri" w:hAnsi="Arial" w:cs="Times New Roman"/>
          <w:sz w:val="20"/>
          <w:szCs w:val="20"/>
        </w:rPr>
        <w:t>t</w:t>
      </w:r>
      <w:r w:rsidR="00C50BCD">
        <w:rPr>
          <w:rFonts w:ascii="Arial" w:eastAsia="Calibri" w:hAnsi="Arial" w:cs="Times New Roman"/>
          <w:sz w:val="20"/>
          <w:szCs w:val="20"/>
        </w:rPr>
        <w:t>ime-stamping)</w:t>
      </w:r>
      <w:r w:rsidRPr="00C50BCD">
        <w:rPr>
          <w:rFonts w:ascii="Arial" w:eastAsia="Calibri" w:hAnsi="Arial" w:cs="Times New Roman"/>
          <w:sz w:val="20"/>
          <w:szCs w:val="20"/>
        </w:rPr>
        <w:t xml:space="preserve">, lahko spremljamo </w:t>
      </w:r>
      <w:r w:rsidR="00C50BCD">
        <w:rPr>
          <w:rFonts w:ascii="Arial" w:eastAsia="Calibri" w:hAnsi="Arial" w:cs="Times New Roman"/>
          <w:sz w:val="20"/>
          <w:szCs w:val="20"/>
        </w:rPr>
        <w:t xml:space="preserve">podatek, material ali objekt in njegove spremembe </w:t>
      </w:r>
      <w:r w:rsidRPr="00C50BCD">
        <w:rPr>
          <w:rFonts w:ascii="Arial" w:eastAsia="Calibri" w:hAnsi="Arial" w:cs="Times New Roman"/>
          <w:sz w:val="20"/>
          <w:szCs w:val="20"/>
        </w:rPr>
        <w:t>v vsej njegovi življenjski dobi</w:t>
      </w:r>
      <w:r w:rsidR="00C50BCD">
        <w:rPr>
          <w:rFonts w:ascii="Arial" w:eastAsia="Calibri" w:hAnsi="Arial" w:cs="Times New Roman"/>
          <w:sz w:val="20"/>
          <w:szCs w:val="20"/>
        </w:rPr>
        <w:t xml:space="preserve">. </w:t>
      </w:r>
    </w:p>
    <w:p w14:paraId="4F5AE61B" w14:textId="77777777" w:rsidR="00B95F61" w:rsidRPr="00D515C6" w:rsidRDefault="00B95F61" w:rsidP="003445EF">
      <w:pPr>
        <w:pStyle w:val="Odstavekseznama"/>
        <w:numPr>
          <w:ilvl w:val="0"/>
          <w:numId w:val="20"/>
        </w:numPr>
        <w:spacing w:after="0" w:line="240" w:lineRule="auto"/>
        <w:jc w:val="both"/>
        <w:rPr>
          <w:rFonts w:ascii="Arial" w:eastAsia="Calibri" w:hAnsi="Arial" w:cs="Times New Roman"/>
          <w:sz w:val="20"/>
          <w:szCs w:val="20"/>
        </w:rPr>
      </w:pPr>
      <w:r w:rsidRPr="00D515C6">
        <w:rPr>
          <w:rFonts w:ascii="Arial" w:eastAsia="Calibri" w:hAnsi="Arial" w:cs="Times New Roman"/>
          <w:sz w:val="20"/>
          <w:szCs w:val="20"/>
        </w:rPr>
        <w:t>Upravlj</w:t>
      </w:r>
      <w:r w:rsidR="00C50BCD" w:rsidRPr="00D515C6">
        <w:rPr>
          <w:rFonts w:ascii="Arial" w:eastAsia="Calibri" w:hAnsi="Arial" w:cs="Times New Roman"/>
          <w:sz w:val="20"/>
          <w:szCs w:val="20"/>
        </w:rPr>
        <w:t xml:space="preserve">anju </w:t>
      </w:r>
      <w:r w:rsidRPr="00D515C6">
        <w:rPr>
          <w:rFonts w:ascii="Arial" w:eastAsia="Calibri" w:hAnsi="Arial" w:cs="Times New Roman"/>
          <w:sz w:val="20"/>
          <w:szCs w:val="20"/>
        </w:rPr>
        <w:t>stroškov</w:t>
      </w:r>
      <w:r w:rsidR="00C50BCD" w:rsidRPr="00D515C6">
        <w:rPr>
          <w:rFonts w:ascii="Arial" w:eastAsia="Calibri" w:hAnsi="Arial" w:cs="Times New Roman"/>
          <w:sz w:val="20"/>
          <w:szCs w:val="20"/>
        </w:rPr>
        <w:t>:</w:t>
      </w:r>
      <w:r w:rsidR="00D515C6" w:rsidRPr="00D515C6">
        <w:rPr>
          <w:rFonts w:ascii="Arial" w:eastAsia="Calibri" w:hAnsi="Arial" w:cs="Times New Roman"/>
          <w:sz w:val="20"/>
          <w:szCs w:val="20"/>
        </w:rPr>
        <w:t xml:space="preserve"> </w:t>
      </w:r>
      <w:r w:rsidR="00D515C6">
        <w:rPr>
          <w:rFonts w:ascii="Arial" w:eastAsia="Calibri" w:hAnsi="Arial" w:cs="Times New Roman"/>
          <w:sz w:val="20"/>
          <w:szCs w:val="20"/>
        </w:rPr>
        <w:t>z</w:t>
      </w:r>
      <w:r w:rsidRPr="00D515C6">
        <w:rPr>
          <w:rFonts w:ascii="Arial" w:eastAsia="Calibri" w:hAnsi="Arial" w:cs="Times New Roman"/>
          <w:sz w:val="20"/>
          <w:szCs w:val="20"/>
        </w:rPr>
        <w:t xml:space="preserve"> uporabo BIM tehnologije</w:t>
      </w:r>
      <w:r w:rsidR="00C50BCD" w:rsidRPr="00D515C6">
        <w:rPr>
          <w:rFonts w:ascii="Arial" w:eastAsia="Calibri" w:hAnsi="Arial" w:cs="Times New Roman"/>
          <w:sz w:val="20"/>
          <w:szCs w:val="20"/>
        </w:rPr>
        <w:t xml:space="preserve"> se poveča predvidljivost višine</w:t>
      </w:r>
      <w:r w:rsidRPr="00D515C6">
        <w:rPr>
          <w:rFonts w:ascii="Arial" w:eastAsia="Calibri" w:hAnsi="Arial" w:cs="Times New Roman"/>
          <w:sz w:val="20"/>
          <w:szCs w:val="20"/>
        </w:rPr>
        <w:t xml:space="preserve"> končne investicije in strošk</w:t>
      </w:r>
      <w:r w:rsidR="00C50BCD" w:rsidRPr="00D515C6">
        <w:rPr>
          <w:rFonts w:ascii="Arial" w:eastAsia="Calibri" w:hAnsi="Arial" w:cs="Times New Roman"/>
          <w:sz w:val="20"/>
          <w:szCs w:val="20"/>
        </w:rPr>
        <w:t xml:space="preserve">ov </w:t>
      </w:r>
      <w:r w:rsidRPr="00D515C6">
        <w:rPr>
          <w:rFonts w:ascii="Arial" w:eastAsia="Calibri" w:hAnsi="Arial" w:cs="Times New Roman"/>
          <w:sz w:val="20"/>
          <w:szCs w:val="20"/>
        </w:rPr>
        <w:t xml:space="preserve"> življenjskega ciklusa</w:t>
      </w:r>
      <w:r w:rsidR="00C50BCD" w:rsidRPr="00D515C6">
        <w:rPr>
          <w:rFonts w:ascii="Arial" w:eastAsia="Calibri" w:hAnsi="Arial" w:cs="Times New Roman"/>
          <w:sz w:val="20"/>
          <w:szCs w:val="20"/>
        </w:rPr>
        <w:t xml:space="preserve"> materialov in</w:t>
      </w:r>
      <w:r w:rsidRPr="00D515C6">
        <w:rPr>
          <w:rFonts w:ascii="Arial" w:eastAsia="Calibri" w:hAnsi="Arial" w:cs="Times New Roman"/>
          <w:sz w:val="20"/>
          <w:szCs w:val="20"/>
        </w:rPr>
        <w:t xml:space="preserve"> objekt</w:t>
      </w:r>
      <w:r w:rsidR="00C50BCD" w:rsidRPr="00D515C6">
        <w:rPr>
          <w:rFonts w:ascii="Arial" w:eastAsia="Calibri" w:hAnsi="Arial" w:cs="Times New Roman"/>
          <w:sz w:val="20"/>
          <w:szCs w:val="20"/>
        </w:rPr>
        <w:t xml:space="preserve">ov, prav tako pa se zaradi sledljivosti poveča natančnost ocenjenih stroškov že v fazi načrtovanja. </w:t>
      </w:r>
    </w:p>
    <w:p w14:paraId="6D3A6961" w14:textId="77777777" w:rsidR="00B3544C" w:rsidRDefault="00B3544C" w:rsidP="00B3544C">
      <w:pPr>
        <w:spacing w:after="0" w:line="240" w:lineRule="auto"/>
        <w:jc w:val="both"/>
        <w:rPr>
          <w:rFonts w:ascii="Arial" w:eastAsia="Calibri" w:hAnsi="Arial" w:cs="Times New Roman"/>
          <w:sz w:val="20"/>
          <w:szCs w:val="20"/>
        </w:rPr>
      </w:pPr>
    </w:p>
    <w:p w14:paraId="74E9AAB1" w14:textId="52DAE437" w:rsidR="00CE55B3" w:rsidRDefault="00FA2B98" w:rsidP="00B3544C">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Slika 4: </w:t>
      </w:r>
      <w:r w:rsidR="0096460F">
        <w:rPr>
          <w:rFonts w:ascii="Arial" w:eastAsia="Calibri" w:hAnsi="Arial" w:cs="Times New Roman"/>
          <w:sz w:val="20"/>
          <w:szCs w:val="20"/>
        </w:rPr>
        <w:t xml:space="preserve">model BIM: </w:t>
      </w:r>
    </w:p>
    <w:p w14:paraId="32720153" w14:textId="7AE6C2B0" w:rsidR="0096460F" w:rsidRDefault="0096460F" w:rsidP="0096460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Zasnova </w:t>
      </w:r>
    </w:p>
    <w:p w14:paraId="01C7C337" w14:textId="64021B75" w:rsidR="0096460F" w:rsidRDefault="0096460F" w:rsidP="0096460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Detaljno načrtovanje</w:t>
      </w:r>
    </w:p>
    <w:p w14:paraId="3FE43AC9" w14:textId="15C1C62E" w:rsidR="0096460F" w:rsidRDefault="0096460F" w:rsidP="0096460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Analiza</w:t>
      </w:r>
    </w:p>
    <w:p w14:paraId="042325F0" w14:textId="104A2C40" w:rsidR="0096460F" w:rsidRDefault="0096460F" w:rsidP="0096460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Dokumentacija</w:t>
      </w:r>
    </w:p>
    <w:p w14:paraId="08904142" w14:textId="16B37EB8" w:rsidR="0096460F" w:rsidRDefault="0096460F" w:rsidP="0096460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Gradbena proizvodnja</w:t>
      </w:r>
    </w:p>
    <w:p w14:paraId="7F1123FE" w14:textId="201CB8A7" w:rsidR="0096460F" w:rsidRDefault="0096460F" w:rsidP="0096460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Terminsko planiranje 4D/5D</w:t>
      </w:r>
    </w:p>
    <w:p w14:paraId="08E4A28F" w14:textId="0741FF3D" w:rsidR="0096460F" w:rsidRDefault="0096460F" w:rsidP="0096460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Gradnja objekta</w:t>
      </w:r>
    </w:p>
    <w:p w14:paraId="09E98428" w14:textId="69650AC4" w:rsidR="0096460F" w:rsidRDefault="0096460F" w:rsidP="0096460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Upravljanje in vzdrževanje</w:t>
      </w:r>
    </w:p>
    <w:p w14:paraId="645AFA96" w14:textId="27C9C73D" w:rsidR="0096460F" w:rsidRDefault="0096460F" w:rsidP="0096460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Porušitev</w:t>
      </w:r>
    </w:p>
    <w:p w14:paraId="1A5EC3C4" w14:textId="7AAEF381" w:rsidR="0096460F" w:rsidRDefault="0096460F" w:rsidP="0096460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Obnova</w:t>
      </w:r>
    </w:p>
    <w:p w14:paraId="7C5E1836" w14:textId="097ABF68" w:rsidR="0096460F" w:rsidRDefault="0096460F" w:rsidP="0096460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Priprava projekta</w:t>
      </w:r>
    </w:p>
    <w:p w14:paraId="450DBCF7" w14:textId="77777777" w:rsidR="0096460F" w:rsidRPr="0096460F" w:rsidRDefault="0096460F" w:rsidP="0096460F">
      <w:pPr>
        <w:pStyle w:val="Odstavekseznama"/>
        <w:spacing w:after="0" w:line="240" w:lineRule="auto"/>
        <w:jc w:val="both"/>
        <w:rPr>
          <w:rFonts w:ascii="Arial" w:eastAsia="Calibri" w:hAnsi="Arial" w:cs="Times New Roman"/>
          <w:sz w:val="20"/>
          <w:szCs w:val="20"/>
        </w:rPr>
      </w:pPr>
    </w:p>
    <w:p w14:paraId="0B8A8B6F" w14:textId="77777777" w:rsidR="00CE55B3" w:rsidRDefault="00CE55B3" w:rsidP="00B3544C">
      <w:pPr>
        <w:spacing w:after="0" w:line="240" w:lineRule="auto"/>
        <w:jc w:val="both"/>
        <w:rPr>
          <w:rFonts w:ascii="Arial" w:eastAsia="Calibri" w:hAnsi="Arial" w:cs="Times New Roman"/>
          <w:b/>
          <w:sz w:val="20"/>
          <w:szCs w:val="20"/>
        </w:rPr>
      </w:pPr>
    </w:p>
    <w:p w14:paraId="5D13D998" w14:textId="77777777" w:rsidR="00CE55B3" w:rsidRDefault="00EE33D9" w:rsidP="00B3544C">
      <w:pPr>
        <w:spacing w:after="0" w:line="240" w:lineRule="auto"/>
        <w:jc w:val="both"/>
        <w:rPr>
          <w:rFonts w:ascii="Arial" w:eastAsia="Calibri" w:hAnsi="Arial" w:cs="Times New Roman"/>
          <w:sz w:val="20"/>
          <w:szCs w:val="20"/>
        </w:rPr>
      </w:pPr>
      <w:r w:rsidRPr="007D7B50">
        <w:rPr>
          <w:rFonts w:ascii="Arial" w:eastAsia="Calibri" w:hAnsi="Arial" w:cs="Times New Roman"/>
          <w:b/>
          <w:sz w:val="20"/>
          <w:szCs w:val="20"/>
        </w:rPr>
        <w:t>Napredne digitalne tehnologije</w:t>
      </w:r>
      <w:r w:rsidR="00CE55B3">
        <w:rPr>
          <w:rStyle w:val="Sprotnaopomba-sklic"/>
          <w:rFonts w:ascii="Arial" w:eastAsia="Calibri" w:hAnsi="Arial" w:cs="Times New Roman"/>
          <w:b/>
          <w:sz w:val="20"/>
          <w:szCs w:val="20"/>
        </w:rPr>
        <w:footnoteReference w:id="12"/>
      </w:r>
      <w:r w:rsidR="00CE55B3">
        <w:rPr>
          <w:rFonts w:ascii="Arial" w:eastAsia="Calibri" w:hAnsi="Arial" w:cs="Times New Roman"/>
          <w:sz w:val="20"/>
          <w:szCs w:val="20"/>
        </w:rPr>
        <w:t xml:space="preserve"> so opredeljene v Strategiji digitalne transformacije gospodarstva. Z vidika komplementarne uporabe modelu BIM lahko ugotovimo povečanje učinkovitosti tega modela, hkrati pa tudi povečanje učinkovitosti vseh procesov, ki jih model BIM podpira. Hkrati se z uvajanjem naprednih digitalnih tehnologij poveča tudi snovna in energetska učinkovitost, kar ima za posledico zmanjšanje ogljičnega odtisa na okolje in manjši vpliv na klimatske spremembe. </w:t>
      </w:r>
    </w:p>
    <w:p w14:paraId="5D8F85DE" w14:textId="77777777" w:rsidR="00CE55B3" w:rsidRDefault="00CE55B3" w:rsidP="00B3544C">
      <w:pPr>
        <w:spacing w:after="0" w:line="240" w:lineRule="auto"/>
        <w:jc w:val="both"/>
        <w:rPr>
          <w:rFonts w:ascii="Arial" w:eastAsia="Calibri" w:hAnsi="Arial" w:cs="Times New Roman"/>
          <w:sz w:val="20"/>
          <w:szCs w:val="20"/>
        </w:rPr>
      </w:pPr>
    </w:p>
    <w:p w14:paraId="660F73D5" w14:textId="77777777" w:rsidR="00C42846" w:rsidRDefault="00D449BA" w:rsidP="00B3544C">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Povečanje učinkovitosti načrtovanja in izvajanja v gradbeništvu lahko z </w:t>
      </w:r>
      <w:r w:rsidR="002F7BB3">
        <w:rPr>
          <w:rFonts w:ascii="Arial" w:eastAsia="Calibri" w:hAnsi="Arial" w:cs="Times New Roman"/>
          <w:sz w:val="20"/>
          <w:szCs w:val="20"/>
        </w:rPr>
        <w:t xml:space="preserve">naprednimi digitalnimi tehnologijami še dodatno povečamo. Nekatere možne uporabe tehnologij so predstavljene v nadaljevanju: </w:t>
      </w:r>
    </w:p>
    <w:p w14:paraId="79DB9894" w14:textId="7AAD8784" w:rsidR="002F7BB3" w:rsidRDefault="002F7BB3" w:rsidP="00B3544C">
      <w:pPr>
        <w:spacing w:after="0" w:line="240" w:lineRule="auto"/>
        <w:jc w:val="both"/>
        <w:rPr>
          <w:rFonts w:ascii="Arial" w:eastAsia="Calibri" w:hAnsi="Arial" w:cs="Times New Roman"/>
          <w:sz w:val="20"/>
          <w:szCs w:val="20"/>
        </w:rPr>
      </w:pPr>
    </w:p>
    <w:p w14:paraId="6E34BFAC" w14:textId="383A3458" w:rsidR="0096460F" w:rsidRDefault="0096460F" w:rsidP="00B3544C">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Tabela 1: Relevantne napredne digitalne tehnologije za podporo BIM </w:t>
      </w:r>
    </w:p>
    <w:p w14:paraId="07ACACFA" w14:textId="77777777" w:rsidR="0096460F" w:rsidRDefault="0096460F" w:rsidP="00B3544C">
      <w:pPr>
        <w:spacing w:after="0" w:line="240" w:lineRule="auto"/>
        <w:jc w:val="both"/>
        <w:rPr>
          <w:rFonts w:ascii="Arial" w:eastAsia="Calibri" w:hAnsi="Arial" w:cs="Times New Roman"/>
          <w:sz w:val="20"/>
          <w:szCs w:val="20"/>
        </w:rPr>
      </w:pPr>
    </w:p>
    <w:tbl>
      <w:tblPr>
        <w:tblStyle w:val="Tabelamrea"/>
        <w:tblW w:w="0" w:type="auto"/>
        <w:tblLook w:val="04A0" w:firstRow="1" w:lastRow="0" w:firstColumn="1" w:lastColumn="0" w:noHBand="0" w:noVBand="1"/>
      </w:tblPr>
      <w:tblGrid>
        <w:gridCol w:w="1812"/>
        <w:gridCol w:w="1812"/>
        <w:gridCol w:w="1812"/>
        <w:gridCol w:w="1813"/>
        <w:gridCol w:w="1813"/>
      </w:tblGrid>
      <w:tr w:rsidR="002F7BB3" w:rsidRPr="002F7BB3" w14:paraId="4B963AC5" w14:textId="77777777" w:rsidTr="00222A37">
        <w:trPr>
          <w:tblHeader/>
        </w:trPr>
        <w:tc>
          <w:tcPr>
            <w:tcW w:w="1812" w:type="dxa"/>
          </w:tcPr>
          <w:p w14:paraId="78795CAC" w14:textId="77777777" w:rsidR="002F7BB3" w:rsidRPr="002F7BB3" w:rsidRDefault="002F7BB3" w:rsidP="00B3544C">
            <w:pPr>
              <w:jc w:val="both"/>
              <w:rPr>
                <w:rFonts w:ascii="Arial" w:eastAsia="Calibri" w:hAnsi="Arial" w:cs="Times New Roman"/>
                <w:sz w:val="18"/>
                <w:szCs w:val="18"/>
              </w:rPr>
            </w:pPr>
            <w:r w:rsidRPr="002F7BB3">
              <w:rPr>
                <w:rFonts w:ascii="Arial" w:eastAsia="Calibri" w:hAnsi="Arial" w:cs="Times New Roman"/>
                <w:sz w:val="18"/>
                <w:szCs w:val="18"/>
              </w:rPr>
              <w:t>BIM</w:t>
            </w:r>
            <w:r w:rsidR="00500C13">
              <w:rPr>
                <w:rFonts w:ascii="Arial" w:eastAsia="Calibri" w:hAnsi="Arial" w:cs="Times New Roman"/>
                <w:sz w:val="18"/>
                <w:szCs w:val="18"/>
              </w:rPr>
              <w:t xml:space="preserve"> </w:t>
            </w:r>
          </w:p>
        </w:tc>
        <w:tc>
          <w:tcPr>
            <w:tcW w:w="1812" w:type="dxa"/>
          </w:tcPr>
          <w:p w14:paraId="62E53CE0" w14:textId="77777777" w:rsidR="002F7BB3" w:rsidRPr="002F7BB3" w:rsidRDefault="002F7BB3" w:rsidP="002F7BB3">
            <w:pPr>
              <w:rPr>
                <w:rFonts w:ascii="Arial" w:eastAsia="Calibri" w:hAnsi="Arial" w:cs="Times New Roman"/>
                <w:sz w:val="18"/>
                <w:szCs w:val="18"/>
              </w:rPr>
            </w:pPr>
            <w:r w:rsidRPr="002F7BB3">
              <w:rPr>
                <w:rFonts w:ascii="Arial" w:eastAsia="Calibri" w:hAnsi="Arial" w:cs="Times New Roman"/>
                <w:sz w:val="18"/>
                <w:szCs w:val="18"/>
              </w:rPr>
              <w:t>Internet stvari (IoT)</w:t>
            </w:r>
          </w:p>
        </w:tc>
        <w:tc>
          <w:tcPr>
            <w:tcW w:w="1812" w:type="dxa"/>
          </w:tcPr>
          <w:p w14:paraId="0F5D4A19" w14:textId="77777777" w:rsidR="002F7BB3" w:rsidRPr="002F7BB3" w:rsidRDefault="002F7BB3" w:rsidP="00B3544C">
            <w:pPr>
              <w:jc w:val="both"/>
              <w:rPr>
                <w:rFonts w:ascii="Arial" w:eastAsia="Calibri" w:hAnsi="Arial" w:cs="Times New Roman"/>
                <w:sz w:val="18"/>
                <w:szCs w:val="18"/>
              </w:rPr>
            </w:pPr>
            <w:r w:rsidRPr="002F7BB3">
              <w:rPr>
                <w:rFonts w:ascii="Arial" w:eastAsia="Calibri" w:hAnsi="Arial" w:cs="Times New Roman"/>
                <w:sz w:val="18"/>
                <w:szCs w:val="18"/>
              </w:rPr>
              <w:t>Umetna inteligenca</w:t>
            </w:r>
          </w:p>
        </w:tc>
        <w:tc>
          <w:tcPr>
            <w:tcW w:w="1813" w:type="dxa"/>
          </w:tcPr>
          <w:p w14:paraId="08F06A11" w14:textId="77777777" w:rsidR="002F7BB3" w:rsidRPr="002F7BB3" w:rsidRDefault="002F7BB3" w:rsidP="00B3544C">
            <w:pPr>
              <w:jc w:val="both"/>
              <w:rPr>
                <w:rFonts w:ascii="Arial" w:eastAsia="Calibri" w:hAnsi="Arial" w:cs="Times New Roman"/>
                <w:sz w:val="18"/>
                <w:szCs w:val="18"/>
              </w:rPr>
            </w:pPr>
            <w:r w:rsidRPr="002F7BB3">
              <w:rPr>
                <w:rFonts w:ascii="Arial" w:eastAsia="Calibri" w:hAnsi="Arial" w:cs="Times New Roman"/>
                <w:sz w:val="18"/>
                <w:szCs w:val="18"/>
              </w:rPr>
              <w:t>Blockchain tehnologija</w:t>
            </w:r>
          </w:p>
        </w:tc>
        <w:tc>
          <w:tcPr>
            <w:tcW w:w="1813" w:type="dxa"/>
          </w:tcPr>
          <w:p w14:paraId="0A21BE82" w14:textId="77777777" w:rsidR="002F7BB3" w:rsidRPr="002F7BB3" w:rsidRDefault="002F7BB3" w:rsidP="00B3544C">
            <w:pPr>
              <w:jc w:val="both"/>
              <w:rPr>
                <w:rFonts w:ascii="Arial" w:eastAsia="Calibri" w:hAnsi="Arial" w:cs="Times New Roman"/>
                <w:sz w:val="18"/>
                <w:szCs w:val="18"/>
              </w:rPr>
            </w:pPr>
            <w:r w:rsidRPr="002F7BB3">
              <w:rPr>
                <w:rFonts w:ascii="Arial" w:eastAsia="Calibri" w:hAnsi="Arial" w:cs="Times New Roman"/>
                <w:sz w:val="18"/>
                <w:szCs w:val="18"/>
              </w:rPr>
              <w:t>Digitalni dvojčki (skupaj z NFT in metaverzum aplikacijami)</w:t>
            </w:r>
          </w:p>
        </w:tc>
      </w:tr>
      <w:tr w:rsidR="002F7BB3" w:rsidRPr="002F7BB3" w14:paraId="5B653A55" w14:textId="77777777" w:rsidTr="002F7BB3">
        <w:tc>
          <w:tcPr>
            <w:tcW w:w="1812" w:type="dxa"/>
          </w:tcPr>
          <w:p w14:paraId="5D598496" w14:textId="77777777" w:rsidR="002F7BB3" w:rsidRPr="002F7BB3" w:rsidRDefault="002F7BB3" w:rsidP="002F7BB3">
            <w:pPr>
              <w:rPr>
                <w:rFonts w:ascii="Arial" w:eastAsia="Calibri" w:hAnsi="Arial" w:cs="Times New Roman"/>
                <w:sz w:val="18"/>
                <w:szCs w:val="18"/>
              </w:rPr>
            </w:pPr>
            <w:r>
              <w:rPr>
                <w:rFonts w:ascii="Arial" w:eastAsia="Calibri" w:hAnsi="Arial" w:cs="Times New Roman"/>
                <w:sz w:val="18"/>
                <w:szCs w:val="18"/>
              </w:rPr>
              <w:t>P</w:t>
            </w:r>
            <w:r w:rsidRPr="002F7BB3">
              <w:rPr>
                <w:rFonts w:ascii="Arial" w:eastAsia="Calibri" w:hAnsi="Arial" w:cs="Times New Roman"/>
                <w:sz w:val="18"/>
                <w:szCs w:val="18"/>
              </w:rPr>
              <w:t>ovečanj</w:t>
            </w:r>
            <w:r>
              <w:rPr>
                <w:rFonts w:ascii="Arial" w:eastAsia="Calibri" w:hAnsi="Arial" w:cs="Times New Roman"/>
                <w:sz w:val="18"/>
                <w:szCs w:val="18"/>
              </w:rPr>
              <w:t>e</w:t>
            </w:r>
            <w:r w:rsidRPr="002F7BB3">
              <w:rPr>
                <w:rFonts w:ascii="Arial" w:eastAsia="Calibri" w:hAnsi="Arial" w:cs="Times New Roman"/>
                <w:sz w:val="18"/>
                <w:szCs w:val="18"/>
              </w:rPr>
              <w:t xml:space="preserve"> produktivnosti in učinkovitosti</w:t>
            </w:r>
            <w:r w:rsidR="00F912F4">
              <w:rPr>
                <w:rFonts w:ascii="Arial" w:eastAsia="Calibri" w:hAnsi="Arial" w:cs="Times New Roman"/>
                <w:sz w:val="18"/>
                <w:szCs w:val="18"/>
              </w:rPr>
              <w:t>, z</w:t>
            </w:r>
            <w:r w:rsidR="00F912F4" w:rsidRPr="00F912F4">
              <w:rPr>
                <w:rFonts w:ascii="Arial" w:eastAsia="Calibri" w:hAnsi="Arial" w:cs="Times New Roman"/>
                <w:sz w:val="18"/>
                <w:szCs w:val="18"/>
              </w:rPr>
              <w:t>agotavljanje zanesljivosti in obvladovanje nepredvidenih dodatnih del in reklamacij</w:t>
            </w:r>
          </w:p>
        </w:tc>
        <w:tc>
          <w:tcPr>
            <w:tcW w:w="1812" w:type="dxa"/>
          </w:tcPr>
          <w:p w14:paraId="4E405358" w14:textId="77777777" w:rsidR="002F7BB3" w:rsidRPr="002F7BB3" w:rsidRDefault="009B35ED" w:rsidP="00D936D7">
            <w:pPr>
              <w:rPr>
                <w:rFonts w:ascii="Arial" w:eastAsia="Calibri" w:hAnsi="Arial" w:cs="Times New Roman"/>
                <w:sz w:val="18"/>
                <w:szCs w:val="18"/>
              </w:rPr>
            </w:pPr>
            <w:r>
              <w:rPr>
                <w:rFonts w:ascii="Arial" w:eastAsia="Calibri" w:hAnsi="Arial" w:cs="Times New Roman"/>
                <w:sz w:val="18"/>
                <w:szCs w:val="18"/>
              </w:rPr>
              <w:t>Hitrejši pretok informacij znotraj platforme, boljš</w:t>
            </w:r>
            <w:r w:rsidR="00D936D7">
              <w:rPr>
                <w:rFonts w:ascii="Arial" w:eastAsia="Calibri" w:hAnsi="Arial" w:cs="Times New Roman"/>
                <w:sz w:val="18"/>
                <w:szCs w:val="18"/>
              </w:rPr>
              <w:t>i zajem</w:t>
            </w:r>
            <w:r w:rsidR="00232EB3">
              <w:rPr>
                <w:rFonts w:ascii="Arial" w:eastAsia="Calibri" w:hAnsi="Arial" w:cs="Times New Roman"/>
                <w:sz w:val="18"/>
                <w:szCs w:val="18"/>
              </w:rPr>
              <w:t xml:space="preserve"> podatkov iz nosilcev (senzorika) in virtualiziranih 3D</w:t>
            </w:r>
            <w:r w:rsidR="00D936D7">
              <w:rPr>
                <w:rFonts w:ascii="Arial" w:eastAsia="Calibri" w:hAnsi="Arial" w:cs="Times New Roman"/>
                <w:sz w:val="18"/>
                <w:szCs w:val="18"/>
              </w:rPr>
              <w:t xml:space="preserve">, </w:t>
            </w:r>
            <w:r>
              <w:rPr>
                <w:rFonts w:ascii="Arial" w:eastAsia="Calibri" w:hAnsi="Arial" w:cs="Times New Roman"/>
                <w:sz w:val="18"/>
                <w:szCs w:val="18"/>
              </w:rPr>
              <w:t xml:space="preserve">zbiranje </w:t>
            </w:r>
            <w:r w:rsidR="00D936D7">
              <w:rPr>
                <w:rFonts w:ascii="Arial" w:eastAsia="Calibri" w:hAnsi="Arial" w:cs="Times New Roman"/>
                <w:sz w:val="18"/>
                <w:szCs w:val="18"/>
              </w:rPr>
              <w:t>in prenos podatkov o procesih in materialih, lažji dostop do podatkov za vse uporabnike platforme</w:t>
            </w:r>
          </w:p>
        </w:tc>
        <w:tc>
          <w:tcPr>
            <w:tcW w:w="1812" w:type="dxa"/>
          </w:tcPr>
          <w:p w14:paraId="14CA438B" w14:textId="77777777" w:rsidR="002F7BB3" w:rsidRPr="002F7BB3" w:rsidRDefault="00D936D7" w:rsidP="00457C7E">
            <w:pPr>
              <w:rPr>
                <w:rFonts w:ascii="Arial" w:eastAsia="Calibri" w:hAnsi="Arial" w:cs="Times New Roman"/>
                <w:sz w:val="18"/>
                <w:szCs w:val="18"/>
              </w:rPr>
            </w:pPr>
            <w:r>
              <w:rPr>
                <w:rFonts w:ascii="Arial" w:eastAsia="Calibri" w:hAnsi="Arial" w:cs="Times New Roman"/>
                <w:sz w:val="18"/>
                <w:szCs w:val="18"/>
              </w:rPr>
              <w:t xml:space="preserve">V kombinaciji z IoT: večja učinkovitost in produktivnost </w:t>
            </w:r>
            <w:r w:rsidR="003B064F">
              <w:rPr>
                <w:rFonts w:ascii="Arial" w:eastAsia="Calibri" w:hAnsi="Arial" w:cs="Times New Roman"/>
                <w:sz w:val="18"/>
                <w:szCs w:val="18"/>
              </w:rPr>
              <w:t xml:space="preserve">s </w:t>
            </w:r>
            <w:r>
              <w:rPr>
                <w:rFonts w:ascii="Arial" w:eastAsia="Calibri" w:hAnsi="Arial" w:cs="Times New Roman"/>
                <w:sz w:val="18"/>
                <w:szCs w:val="18"/>
              </w:rPr>
              <w:t>strukturiranj</w:t>
            </w:r>
            <w:r w:rsidR="003B064F">
              <w:rPr>
                <w:rFonts w:ascii="Arial" w:eastAsia="Calibri" w:hAnsi="Arial" w:cs="Times New Roman"/>
                <w:sz w:val="18"/>
                <w:szCs w:val="18"/>
              </w:rPr>
              <w:t>em</w:t>
            </w:r>
            <w:r>
              <w:rPr>
                <w:rFonts w:ascii="Arial" w:eastAsia="Calibri" w:hAnsi="Arial" w:cs="Times New Roman"/>
                <w:sz w:val="18"/>
                <w:szCs w:val="18"/>
              </w:rPr>
              <w:t xml:space="preserve">, oblikovanja skupin podatkov in  prilagoditve različnim zahtevam uporabe glede na nosilca </w:t>
            </w:r>
          </w:p>
        </w:tc>
        <w:tc>
          <w:tcPr>
            <w:tcW w:w="1813" w:type="dxa"/>
          </w:tcPr>
          <w:p w14:paraId="2E8DE68A" w14:textId="77777777" w:rsidR="002F7BB3" w:rsidRPr="002F7BB3" w:rsidRDefault="00457C7E" w:rsidP="00677D45">
            <w:pPr>
              <w:rPr>
                <w:rFonts w:ascii="Arial" w:eastAsia="Calibri" w:hAnsi="Arial" w:cs="Times New Roman"/>
                <w:sz w:val="18"/>
                <w:szCs w:val="18"/>
              </w:rPr>
            </w:pPr>
            <w:r>
              <w:rPr>
                <w:rFonts w:ascii="Arial" w:eastAsia="Calibri" w:hAnsi="Arial" w:cs="Times New Roman"/>
                <w:sz w:val="18"/>
                <w:szCs w:val="18"/>
              </w:rPr>
              <w:t>Z distribuirano bazo podatkov se povečuje učinkovitost in produktivnost procesov, saj se z zagotavljanjem</w:t>
            </w:r>
            <w:r w:rsidR="00677D45">
              <w:rPr>
                <w:rFonts w:ascii="Arial" w:eastAsia="Calibri" w:hAnsi="Arial" w:cs="Times New Roman"/>
                <w:sz w:val="18"/>
                <w:szCs w:val="18"/>
              </w:rPr>
              <w:t xml:space="preserve"> nespremenljivosti in</w:t>
            </w:r>
            <w:r>
              <w:rPr>
                <w:rFonts w:ascii="Arial" w:eastAsia="Calibri" w:hAnsi="Arial" w:cs="Times New Roman"/>
                <w:sz w:val="18"/>
                <w:szCs w:val="18"/>
              </w:rPr>
              <w:t xml:space="preserve"> sledljivosti od originala dalje  zmanjšuje možnost </w:t>
            </w:r>
            <w:r w:rsidR="00677D45">
              <w:rPr>
                <w:rFonts w:ascii="Arial" w:eastAsia="Calibri" w:hAnsi="Arial" w:cs="Times New Roman"/>
                <w:sz w:val="18"/>
                <w:szCs w:val="18"/>
              </w:rPr>
              <w:t>potvarjanja podatkov in materi</w:t>
            </w:r>
            <w:r w:rsidR="00F912F4">
              <w:rPr>
                <w:rFonts w:ascii="Arial" w:eastAsia="Calibri" w:hAnsi="Arial" w:cs="Times New Roman"/>
                <w:sz w:val="18"/>
                <w:szCs w:val="18"/>
              </w:rPr>
              <w:t>alov, s tem pa povečanje zanesljivosti podatkov (na podlagi avtentikacije, verifikacije in samodejnega potrjevanja verodostojnosti podatkov in materialov)</w:t>
            </w:r>
            <w:r w:rsidR="00677D45">
              <w:rPr>
                <w:rFonts w:ascii="Arial" w:eastAsia="Calibri" w:hAnsi="Arial" w:cs="Times New Roman"/>
                <w:sz w:val="18"/>
                <w:szCs w:val="18"/>
              </w:rPr>
              <w:t xml:space="preserve"> </w:t>
            </w:r>
          </w:p>
        </w:tc>
        <w:tc>
          <w:tcPr>
            <w:tcW w:w="1813" w:type="dxa"/>
          </w:tcPr>
          <w:p w14:paraId="14D21B12" w14:textId="77777777" w:rsidR="002F7BB3" w:rsidRPr="002F7BB3" w:rsidRDefault="00677D45" w:rsidP="00677D45">
            <w:pPr>
              <w:rPr>
                <w:rFonts w:ascii="Arial" w:eastAsia="Calibri" w:hAnsi="Arial" w:cs="Times New Roman"/>
                <w:sz w:val="18"/>
                <w:szCs w:val="18"/>
              </w:rPr>
            </w:pPr>
            <w:r>
              <w:rPr>
                <w:rFonts w:ascii="Arial" w:eastAsia="Calibri" w:hAnsi="Arial" w:cs="Times New Roman"/>
                <w:sz w:val="18"/>
                <w:szCs w:val="18"/>
              </w:rPr>
              <w:t xml:space="preserve">S 3D rešitvami skupaj z umetno inteligenco lahko prispeva k oblikovanju meta podatkov (opisnih podatkov) in s tem omogoča ustrezno načrtovanje in aplikacijo vsebin v procesih načrtovanja in izvajanja </w:t>
            </w:r>
          </w:p>
        </w:tc>
      </w:tr>
      <w:tr w:rsidR="002F7BB3" w:rsidRPr="002F7BB3" w14:paraId="31A38058" w14:textId="77777777" w:rsidTr="002F7BB3">
        <w:tc>
          <w:tcPr>
            <w:tcW w:w="1812" w:type="dxa"/>
          </w:tcPr>
          <w:p w14:paraId="557BC2F1" w14:textId="77777777" w:rsidR="002F7BB3" w:rsidRPr="002F7BB3" w:rsidRDefault="002F7BB3" w:rsidP="00677D45">
            <w:pPr>
              <w:rPr>
                <w:rFonts w:ascii="Arial" w:eastAsia="Calibri" w:hAnsi="Arial" w:cs="Times New Roman"/>
                <w:sz w:val="18"/>
                <w:szCs w:val="18"/>
              </w:rPr>
            </w:pPr>
            <w:r w:rsidRPr="002F7BB3">
              <w:rPr>
                <w:rFonts w:ascii="Arial" w:eastAsia="Calibri" w:hAnsi="Arial" w:cs="Times New Roman"/>
                <w:sz w:val="18"/>
                <w:szCs w:val="18"/>
              </w:rPr>
              <w:t>Podpor</w:t>
            </w:r>
            <w:r>
              <w:rPr>
                <w:rFonts w:ascii="Arial" w:eastAsia="Calibri" w:hAnsi="Arial" w:cs="Times New Roman"/>
                <w:sz w:val="18"/>
                <w:szCs w:val="18"/>
              </w:rPr>
              <w:t>a</w:t>
            </w:r>
            <w:r w:rsidRPr="002F7BB3">
              <w:rPr>
                <w:rFonts w:ascii="Arial" w:eastAsia="Calibri" w:hAnsi="Arial" w:cs="Times New Roman"/>
                <w:sz w:val="18"/>
                <w:szCs w:val="18"/>
              </w:rPr>
              <w:t xml:space="preserve"> pri upravljanju</w:t>
            </w:r>
            <w:r w:rsidR="00677D45" w:rsidRPr="002F7BB3">
              <w:rPr>
                <w:rFonts w:ascii="Arial" w:eastAsia="Calibri" w:hAnsi="Arial" w:cs="Times New Roman"/>
                <w:sz w:val="18"/>
                <w:szCs w:val="18"/>
              </w:rPr>
              <w:t xml:space="preserve"> </w:t>
            </w:r>
            <w:r w:rsidR="00677D45">
              <w:rPr>
                <w:rFonts w:ascii="Arial" w:eastAsia="Calibri" w:hAnsi="Arial" w:cs="Times New Roman"/>
                <w:sz w:val="18"/>
                <w:szCs w:val="18"/>
              </w:rPr>
              <w:t>ter i</w:t>
            </w:r>
            <w:r w:rsidR="00677D45" w:rsidRPr="002F7BB3">
              <w:rPr>
                <w:rFonts w:ascii="Arial" w:eastAsia="Calibri" w:hAnsi="Arial" w:cs="Times New Roman"/>
                <w:sz w:val="18"/>
                <w:szCs w:val="18"/>
              </w:rPr>
              <w:t>zmenjav</w:t>
            </w:r>
            <w:r w:rsidR="00677D45">
              <w:rPr>
                <w:rFonts w:ascii="Arial" w:eastAsia="Calibri" w:hAnsi="Arial" w:cs="Times New Roman"/>
                <w:sz w:val="18"/>
                <w:szCs w:val="18"/>
              </w:rPr>
              <w:t>a</w:t>
            </w:r>
            <w:r w:rsidR="00677D45" w:rsidRPr="002F7BB3">
              <w:rPr>
                <w:rFonts w:ascii="Arial" w:eastAsia="Calibri" w:hAnsi="Arial" w:cs="Times New Roman"/>
                <w:sz w:val="18"/>
                <w:szCs w:val="18"/>
              </w:rPr>
              <w:t xml:space="preserve"> podatkov in informacij</w:t>
            </w:r>
          </w:p>
        </w:tc>
        <w:tc>
          <w:tcPr>
            <w:tcW w:w="1812" w:type="dxa"/>
          </w:tcPr>
          <w:p w14:paraId="07F27F41" w14:textId="77777777" w:rsidR="002F7BB3" w:rsidRPr="002F7BB3" w:rsidRDefault="00677D45" w:rsidP="00677D45">
            <w:pPr>
              <w:rPr>
                <w:rFonts w:ascii="Arial" w:eastAsia="Calibri" w:hAnsi="Arial" w:cs="Times New Roman"/>
                <w:sz w:val="18"/>
                <w:szCs w:val="18"/>
              </w:rPr>
            </w:pPr>
            <w:r>
              <w:rPr>
                <w:rFonts w:ascii="Arial" w:eastAsia="Calibri" w:hAnsi="Arial" w:cs="Times New Roman"/>
                <w:sz w:val="18"/>
                <w:szCs w:val="18"/>
              </w:rPr>
              <w:t>Pomembna z vidika zajemanja podatkov iz različnih virov in prenos podatkov v sistemu podjetja ali njegovi verigi vrednosti</w:t>
            </w:r>
          </w:p>
        </w:tc>
        <w:tc>
          <w:tcPr>
            <w:tcW w:w="1812" w:type="dxa"/>
          </w:tcPr>
          <w:p w14:paraId="7D08A312" w14:textId="77777777" w:rsidR="002F7BB3" w:rsidRPr="002F7BB3" w:rsidRDefault="00457C7E" w:rsidP="00457C7E">
            <w:pPr>
              <w:rPr>
                <w:rFonts w:ascii="Arial" w:eastAsia="Calibri" w:hAnsi="Arial" w:cs="Times New Roman"/>
                <w:sz w:val="18"/>
                <w:szCs w:val="18"/>
              </w:rPr>
            </w:pPr>
            <w:r>
              <w:rPr>
                <w:rFonts w:ascii="Arial" w:eastAsia="Calibri" w:hAnsi="Arial" w:cs="Times New Roman"/>
                <w:sz w:val="18"/>
                <w:szCs w:val="18"/>
              </w:rPr>
              <w:t>S prediktivno analitiko  se poveča učinkovitost načrtovanja in odločanja</w:t>
            </w:r>
          </w:p>
        </w:tc>
        <w:tc>
          <w:tcPr>
            <w:tcW w:w="1813" w:type="dxa"/>
          </w:tcPr>
          <w:p w14:paraId="4F64EE29" w14:textId="77777777" w:rsidR="002F7BB3" w:rsidRPr="002F7BB3" w:rsidRDefault="00677D45" w:rsidP="00677D45">
            <w:pPr>
              <w:rPr>
                <w:rFonts w:ascii="Arial" w:eastAsia="Calibri" w:hAnsi="Arial" w:cs="Times New Roman"/>
                <w:sz w:val="18"/>
                <w:szCs w:val="18"/>
              </w:rPr>
            </w:pPr>
            <w:r>
              <w:rPr>
                <w:rFonts w:ascii="Arial" w:eastAsia="Calibri" w:hAnsi="Arial" w:cs="Times New Roman"/>
                <w:sz w:val="18"/>
                <w:szCs w:val="18"/>
              </w:rPr>
              <w:t>Distribuiran način delovanja tehnologije prispeva k ustvarjanju distribuiranih organizacij, ki prispevajo k hitrejšemu (in pri enostavnih operacijah tudi avtomatiziranemu) odločanju</w:t>
            </w:r>
            <w:r w:rsidR="00F912F4">
              <w:rPr>
                <w:rFonts w:ascii="Arial" w:eastAsia="Calibri" w:hAnsi="Arial" w:cs="Times New Roman"/>
                <w:sz w:val="18"/>
                <w:szCs w:val="18"/>
              </w:rPr>
              <w:t xml:space="preserve"> </w:t>
            </w:r>
          </w:p>
        </w:tc>
        <w:tc>
          <w:tcPr>
            <w:tcW w:w="1813" w:type="dxa"/>
          </w:tcPr>
          <w:p w14:paraId="6E118836" w14:textId="77777777" w:rsidR="002F7BB3" w:rsidRPr="002F7BB3" w:rsidRDefault="00677D45" w:rsidP="00F912F4">
            <w:pPr>
              <w:rPr>
                <w:rFonts w:ascii="Arial" w:eastAsia="Calibri" w:hAnsi="Arial" w:cs="Times New Roman"/>
                <w:sz w:val="18"/>
                <w:szCs w:val="18"/>
              </w:rPr>
            </w:pPr>
            <w:r>
              <w:rPr>
                <w:rFonts w:ascii="Arial" w:eastAsia="Calibri" w:hAnsi="Arial" w:cs="Times New Roman"/>
                <w:sz w:val="18"/>
                <w:szCs w:val="18"/>
              </w:rPr>
              <w:t xml:space="preserve">Vsebina metapodatkov se oblikuje na osnovi preteklih in tekočih informacij </w:t>
            </w:r>
            <w:r w:rsidR="00F912F4">
              <w:rPr>
                <w:rFonts w:ascii="Arial" w:eastAsia="Calibri" w:hAnsi="Arial" w:cs="Times New Roman"/>
                <w:sz w:val="18"/>
                <w:szCs w:val="18"/>
              </w:rPr>
              <w:t>in pomeni sestavni del informacije, ki jo lahko oblikujemo na digitalnem sredstvu (žetonu)</w:t>
            </w:r>
          </w:p>
        </w:tc>
      </w:tr>
      <w:tr w:rsidR="002F7BB3" w:rsidRPr="002F7BB3" w14:paraId="0D44D1D2" w14:textId="77777777" w:rsidTr="002F7BB3">
        <w:tc>
          <w:tcPr>
            <w:tcW w:w="1812" w:type="dxa"/>
          </w:tcPr>
          <w:p w14:paraId="687F8C34" w14:textId="77777777" w:rsidR="002F7BB3" w:rsidRPr="002F7BB3" w:rsidRDefault="002F7BB3" w:rsidP="00500C13">
            <w:pPr>
              <w:rPr>
                <w:rFonts w:ascii="Arial" w:eastAsia="Calibri" w:hAnsi="Arial" w:cs="Times New Roman"/>
                <w:sz w:val="18"/>
                <w:szCs w:val="18"/>
              </w:rPr>
            </w:pPr>
            <w:r w:rsidRPr="002F7BB3">
              <w:rPr>
                <w:rFonts w:ascii="Arial" w:eastAsia="Calibri" w:hAnsi="Arial" w:cs="Times New Roman"/>
                <w:sz w:val="18"/>
                <w:szCs w:val="18"/>
              </w:rPr>
              <w:t>Trajnostn</w:t>
            </w:r>
            <w:r>
              <w:rPr>
                <w:rFonts w:ascii="Arial" w:eastAsia="Calibri" w:hAnsi="Arial" w:cs="Times New Roman"/>
                <w:sz w:val="18"/>
                <w:szCs w:val="18"/>
              </w:rPr>
              <w:t>e</w:t>
            </w:r>
            <w:r w:rsidRPr="002F7BB3">
              <w:rPr>
                <w:rFonts w:ascii="Arial" w:eastAsia="Calibri" w:hAnsi="Arial" w:cs="Times New Roman"/>
                <w:sz w:val="18"/>
                <w:szCs w:val="18"/>
              </w:rPr>
              <w:t xml:space="preserve"> inženirsk</w:t>
            </w:r>
            <w:r>
              <w:rPr>
                <w:rFonts w:ascii="Arial" w:eastAsia="Calibri" w:hAnsi="Arial" w:cs="Times New Roman"/>
                <w:sz w:val="18"/>
                <w:szCs w:val="18"/>
              </w:rPr>
              <w:t>e</w:t>
            </w:r>
            <w:r w:rsidRPr="002F7BB3">
              <w:rPr>
                <w:rFonts w:ascii="Arial" w:eastAsia="Calibri" w:hAnsi="Arial" w:cs="Times New Roman"/>
                <w:sz w:val="18"/>
                <w:szCs w:val="18"/>
              </w:rPr>
              <w:t xml:space="preserve"> rešitv</w:t>
            </w:r>
            <w:r>
              <w:rPr>
                <w:rFonts w:ascii="Arial" w:eastAsia="Calibri" w:hAnsi="Arial" w:cs="Times New Roman"/>
                <w:sz w:val="18"/>
                <w:szCs w:val="18"/>
              </w:rPr>
              <w:t>e</w:t>
            </w:r>
            <w:r w:rsidR="00F912F4">
              <w:rPr>
                <w:rFonts w:ascii="Arial" w:eastAsia="Calibri" w:hAnsi="Arial" w:cs="Times New Roman"/>
                <w:sz w:val="18"/>
                <w:szCs w:val="18"/>
              </w:rPr>
              <w:t>,  monitoring</w:t>
            </w:r>
            <w:r w:rsidR="00F912F4" w:rsidRPr="002F7BB3">
              <w:rPr>
                <w:rFonts w:ascii="Arial" w:eastAsia="Calibri" w:hAnsi="Arial" w:cs="Times New Roman"/>
                <w:sz w:val="18"/>
                <w:szCs w:val="18"/>
              </w:rPr>
              <w:t xml:space="preserve"> sprememb </w:t>
            </w:r>
            <w:r w:rsidR="00F912F4">
              <w:rPr>
                <w:rFonts w:ascii="Arial" w:eastAsia="Calibri" w:hAnsi="Arial" w:cs="Times New Roman"/>
                <w:sz w:val="18"/>
                <w:szCs w:val="18"/>
              </w:rPr>
              <w:t>in u</w:t>
            </w:r>
            <w:r w:rsidR="00F912F4" w:rsidRPr="002F7BB3">
              <w:rPr>
                <w:rFonts w:ascii="Arial" w:eastAsia="Calibri" w:hAnsi="Arial" w:cs="Times New Roman"/>
                <w:sz w:val="18"/>
                <w:szCs w:val="18"/>
              </w:rPr>
              <w:t>pravljanj</w:t>
            </w:r>
            <w:r w:rsidR="00F912F4">
              <w:rPr>
                <w:rFonts w:ascii="Arial" w:eastAsia="Calibri" w:hAnsi="Arial" w:cs="Times New Roman"/>
                <w:sz w:val="18"/>
                <w:szCs w:val="18"/>
              </w:rPr>
              <w:t>e</w:t>
            </w:r>
            <w:r w:rsidR="00F912F4" w:rsidRPr="002F7BB3">
              <w:rPr>
                <w:rFonts w:ascii="Arial" w:eastAsia="Calibri" w:hAnsi="Arial" w:cs="Times New Roman"/>
                <w:sz w:val="18"/>
                <w:szCs w:val="18"/>
              </w:rPr>
              <w:t xml:space="preserve"> stroškov</w:t>
            </w:r>
          </w:p>
        </w:tc>
        <w:tc>
          <w:tcPr>
            <w:tcW w:w="1812" w:type="dxa"/>
          </w:tcPr>
          <w:p w14:paraId="003297BD" w14:textId="77777777" w:rsidR="002F7BB3" w:rsidRPr="002F7BB3" w:rsidRDefault="00F912F4" w:rsidP="00F912F4">
            <w:pPr>
              <w:rPr>
                <w:rFonts w:ascii="Arial" w:eastAsia="Calibri" w:hAnsi="Arial" w:cs="Times New Roman"/>
                <w:sz w:val="18"/>
                <w:szCs w:val="18"/>
              </w:rPr>
            </w:pPr>
            <w:r>
              <w:rPr>
                <w:rFonts w:ascii="Arial" w:eastAsia="Calibri" w:hAnsi="Arial" w:cs="Times New Roman"/>
                <w:sz w:val="18"/>
                <w:szCs w:val="18"/>
              </w:rPr>
              <w:t>Vpliva na pridobivanje podatkov v realnem času in izboljšanje načrtovanja, upravljanja s podatki in materiali, kar povečuje snovno učinkovitost</w:t>
            </w:r>
          </w:p>
        </w:tc>
        <w:tc>
          <w:tcPr>
            <w:tcW w:w="1812" w:type="dxa"/>
          </w:tcPr>
          <w:p w14:paraId="2FF3CFE7" w14:textId="77777777" w:rsidR="002F7BB3" w:rsidRPr="002F7BB3" w:rsidRDefault="00500C13" w:rsidP="00F912F4">
            <w:pPr>
              <w:rPr>
                <w:rFonts w:ascii="Arial" w:eastAsia="Calibri" w:hAnsi="Arial" w:cs="Times New Roman"/>
                <w:sz w:val="18"/>
                <w:szCs w:val="18"/>
              </w:rPr>
            </w:pPr>
            <w:r>
              <w:rPr>
                <w:rFonts w:ascii="Arial" w:eastAsia="Calibri" w:hAnsi="Arial" w:cs="Times New Roman"/>
                <w:sz w:val="18"/>
                <w:szCs w:val="18"/>
              </w:rPr>
              <w:t xml:space="preserve">Strukturiranje in integracija podatkov. </w:t>
            </w:r>
            <w:r w:rsidR="00F912F4" w:rsidRPr="00F912F4">
              <w:rPr>
                <w:rFonts w:ascii="Arial" w:eastAsia="Calibri" w:hAnsi="Arial" w:cs="Times New Roman"/>
                <w:sz w:val="18"/>
                <w:szCs w:val="18"/>
              </w:rPr>
              <w:t>S prediktivno analitiko  se poveča učinkovitost načrtovanja in odločanja</w:t>
            </w:r>
          </w:p>
        </w:tc>
        <w:tc>
          <w:tcPr>
            <w:tcW w:w="1813" w:type="dxa"/>
          </w:tcPr>
          <w:p w14:paraId="377BAB22" w14:textId="77777777" w:rsidR="002F7BB3" w:rsidRPr="002F7BB3" w:rsidRDefault="00F912F4" w:rsidP="00F912F4">
            <w:pPr>
              <w:rPr>
                <w:rFonts w:ascii="Arial" w:eastAsia="Calibri" w:hAnsi="Arial" w:cs="Times New Roman"/>
                <w:sz w:val="18"/>
                <w:szCs w:val="18"/>
              </w:rPr>
            </w:pPr>
            <w:r>
              <w:rPr>
                <w:rFonts w:ascii="Arial" w:eastAsia="Calibri" w:hAnsi="Arial" w:cs="Times New Roman"/>
                <w:sz w:val="18"/>
                <w:szCs w:val="18"/>
              </w:rPr>
              <w:t>Sledenje informacij in materialnih tokov v realnem času za ustrezne odločitve o možnih uporabah (in ponovnih uporabah) materialov in rokov za povečanje snovne in energetske učinkovitosti</w:t>
            </w:r>
          </w:p>
        </w:tc>
        <w:tc>
          <w:tcPr>
            <w:tcW w:w="1813" w:type="dxa"/>
          </w:tcPr>
          <w:p w14:paraId="1E6113E4" w14:textId="77777777" w:rsidR="002F7BB3" w:rsidRPr="002F7BB3" w:rsidRDefault="002F7BB3" w:rsidP="00B3544C">
            <w:pPr>
              <w:jc w:val="both"/>
              <w:rPr>
                <w:rFonts w:ascii="Arial" w:eastAsia="Calibri" w:hAnsi="Arial" w:cs="Times New Roman"/>
                <w:sz w:val="18"/>
                <w:szCs w:val="18"/>
              </w:rPr>
            </w:pPr>
          </w:p>
        </w:tc>
      </w:tr>
      <w:tr w:rsidR="002F7BB3" w:rsidRPr="002F7BB3" w14:paraId="4BE906A8" w14:textId="77777777" w:rsidTr="002F7BB3">
        <w:tc>
          <w:tcPr>
            <w:tcW w:w="1812" w:type="dxa"/>
          </w:tcPr>
          <w:p w14:paraId="24321D6A" w14:textId="77777777" w:rsidR="002F7BB3" w:rsidRPr="002F7BB3" w:rsidRDefault="002F7BB3" w:rsidP="002F7BB3">
            <w:pPr>
              <w:rPr>
                <w:rFonts w:ascii="Arial" w:eastAsia="Calibri" w:hAnsi="Arial" w:cs="Times New Roman"/>
                <w:sz w:val="18"/>
                <w:szCs w:val="18"/>
              </w:rPr>
            </w:pPr>
            <w:r>
              <w:rPr>
                <w:rFonts w:ascii="Arial" w:eastAsia="Calibri" w:hAnsi="Arial" w:cs="Times New Roman"/>
                <w:sz w:val="18"/>
                <w:szCs w:val="18"/>
              </w:rPr>
              <w:t>Učenje</w:t>
            </w:r>
            <w:r w:rsidRPr="002F7BB3">
              <w:rPr>
                <w:rFonts w:ascii="Arial" w:eastAsia="Calibri" w:hAnsi="Arial" w:cs="Times New Roman"/>
                <w:sz w:val="18"/>
                <w:szCs w:val="18"/>
              </w:rPr>
              <w:t xml:space="preserve"> in izboljšanju </w:t>
            </w:r>
            <w:r>
              <w:rPr>
                <w:rFonts w:ascii="Arial" w:eastAsia="Calibri" w:hAnsi="Arial" w:cs="Times New Roman"/>
                <w:sz w:val="18"/>
                <w:szCs w:val="18"/>
              </w:rPr>
              <w:t xml:space="preserve">razumevanja ter sprejemanje </w:t>
            </w:r>
            <w:r w:rsidRPr="002F7BB3">
              <w:rPr>
                <w:rFonts w:ascii="Arial" w:eastAsia="Calibri" w:hAnsi="Arial" w:cs="Times New Roman"/>
                <w:sz w:val="18"/>
                <w:szCs w:val="18"/>
              </w:rPr>
              <w:t>odločitev</w:t>
            </w:r>
          </w:p>
        </w:tc>
        <w:tc>
          <w:tcPr>
            <w:tcW w:w="1812" w:type="dxa"/>
          </w:tcPr>
          <w:p w14:paraId="319F20DC" w14:textId="77777777" w:rsidR="002F7BB3" w:rsidRPr="002F7BB3" w:rsidRDefault="002F7BB3" w:rsidP="00B3544C">
            <w:pPr>
              <w:jc w:val="both"/>
              <w:rPr>
                <w:rFonts w:ascii="Arial" w:eastAsia="Calibri" w:hAnsi="Arial" w:cs="Times New Roman"/>
                <w:sz w:val="18"/>
                <w:szCs w:val="18"/>
              </w:rPr>
            </w:pPr>
          </w:p>
        </w:tc>
        <w:tc>
          <w:tcPr>
            <w:tcW w:w="1812" w:type="dxa"/>
          </w:tcPr>
          <w:p w14:paraId="40BC57FC" w14:textId="77777777" w:rsidR="002F7BB3" w:rsidRPr="002F7BB3" w:rsidRDefault="00F912F4" w:rsidP="00500C13">
            <w:pPr>
              <w:rPr>
                <w:rFonts w:ascii="Arial" w:eastAsia="Calibri" w:hAnsi="Arial" w:cs="Times New Roman"/>
                <w:sz w:val="18"/>
                <w:szCs w:val="18"/>
              </w:rPr>
            </w:pPr>
            <w:r>
              <w:rPr>
                <w:rFonts w:ascii="Arial" w:eastAsia="Calibri" w:hAnsi="Arial" w:cs="Times New Roman"/>
                <w:sz w:val="18"/>
                <w:szCs w:val="18"/>
              </w:rPr>
              <w:t xml:space="preserve">V segmentu strojnega, avtomatiziranega učenja na osnovi pridobljenih podatkov iz virov </w:t>
            </w:r>
          </w:p>
        </w:tc>
        <w:tc>
          <w:tcPr>
            <w:tcW w:w="1813" w:type="dxa"/>
          </w:tcPr>
          <w:p w14:paraId="14884401" w14:textId="77777777" w:rsidR="002F7BB3" w:rsidRPr="002F7BB3" w:rsidRDefault="002F7BB3" w:rsidP="00B3544C">
            <w:pPr>
              <w:jc w:val="both"/>
              <w:rPr>
                <w:rFonts w:ascii="Arial" w:eastAsia="Calibri" w:hAnsi="Arial" w:cs="Times New Roman"/>
                <w:sz w:val="18"/>
                <w:szCs w:val="18"/>
              </w:rPr>
            </w:pPr>
          </w:p>
        </w:tc>
        <w:tc>
          <w:tcPr>
            <w:tcW w:w="1813" w:type="dxa"/>
          </w:tcPr>
          <w:p w14:paraId="4AA58B97" w14:textId="77777777" w:rsidR="002F7BB3" w:rsidRPr="002F7BB3" w:rsidRDefault="00F912F4" w:rsidP="00500C13">
            <w:pPr>
              <w:rPr>
                <w:rFonts w:ascii="Arial" w:eastAsia="Calibri" w:hAnsi="Arial" w:cs="Times New Roman"/>
                <w:sz w:val="18"/>
                <w:szCs w:val="18"/>
              </w:rPr>
            </w:pPr>
            <w:r>
              <w:rPr>
                <w:rFonts w:ascii="Arial" w:eastAsia="Calibri" w:hAnsi="Arial" w:cs="Times New Roman"/>
                <w:sz w:val="18"/>
                <w:szCs w:val="18"/>
              </w:rPr>
              <w:t xml:space="preserve">Metaverzum v funkciji digitalnega dvojčka omogoča hitrejši prenos znanja iz virtualnega sveta v realni svet, uporabno zlasti v primeru, ko se izvede hitra digitalna transformacija </w:t>
            </w:r>
          </w:p>
        </w:tc>
      </w:tr>
    </w:tbl>
    <w:p w14:paraId="45B13CF6" w14:textId="77777777" w:rsidR="002F7BB3" w:rsidRDefault="002F7BB3" w:rsidP="00B3544C">
      <w:pPr>
        <w:spacing w:after="0" w:line="240" w:lineRule="auto"/>
        <w:jc w:val="both"/>
        <w:rPr>
          <w:rFonts w:ascii="Arial" w:eastAsia="Calibri" w:hAnsi="Arial" w:cs="Times New Roman"/>
          <w:sz w:val="20"/>
          <w:szCs w:val="20"/>
        </w:rPr>
      </w:pPr>
    </w:p>
    <w:p w14:paraId="3B7C92B8" w14:textId="77777777" w:rsidR="00683513" w:rsidRDefault="00683513" w:rsidP="00B3544C">
      <w:pPr>
        <w:spacing w:after="0" w:line="240" w:lineRule="auto"/>
        <w:jc w:val="both"/>
        <w:rPr>
          <w:rFonts w:ascii="Arial" w:eastAsia="Calibri" w:hAnsi="Arial" w:cs="Times New Roman"/>
          <w:sz w:val="20"/>
          <w:szCs w:val="20"/>
        </w:rPr>
      </w:pPr>
    </w:p>
    <w:p w14:paraId="35155F28" w14:textId="77777777" w:rsidR="00B3544C" w:rsidRPr="00D44340" w:rsidRDefault="00B3544C" w:rsidP="00D44340">
      <w:pPr>
        <w:pStyle w:val="Naslov3"/>
        <w:rPr>
          <w:rFonts w:ascii="Arial" w:eastAsia="Calibri" w:hAnsi="Arial" w:cs="Arial"/>
          <w:b/>
          <w:color w:val="70AD47" w:themeColor="accent6"/>
        </w:rPr>
      </w:pPr>
      <w:bookmarkStart w:id="36" w:name="_Toc102741399"/>
      <w:r w:rsidRPr="00D44340">
        <w:rPr>
          <w:rFonts w:ascii="Arial" w:eastAsia="Calibri" w:hAnsi="Arial" w:cs="Arial"/>
          <w:b/>
          <w:color w:val="70AD47" w:themeColor="accent6"/>
        </w:rPr>
        <w:t xml:space="preserve">IV.3.3. Opredelitev modela </w:t>
      </w:r>
      <w:r w:rsidR="00531956" w:rsidRPr="00D44340">
        <w:rPr>
          <w:rFonts w:ascii="Arial" w:eastAsia="Calibri" w:hAnsi="Arial" w:cs="Arial"/>
          <w:b/>
          <w:color w:val="70AD47" w:themeColor="accent6"/>
        </w:rPr>
        <w:t>BIM v navezavi na napredne digitalne tehnologije</w:t>
      </w:r>
      <w:r w:rsidR="007D7B50" w:rsidRPr="00D44340">
        <w:rPr>
          <w:rFonts w:ascii="Arial" w:eastAsia="Calibri" w:hAnsi="Arial" w:cs="Arial"/>
          <w:b/>
          <w:color w:val="70AD47" w:themeColor="accent6"/>
        </w:rPr>
        <w:t xml:space="preserve"> </w:t>
      </w:r>
      <w:r w:rsidR="002F7BB3" w:rsidRPr="00D44340">
        <w:rPr>
          <w:rFonts w:ascii="Arial" w:eastAsia="Calibri" w:hAnsi="Arial" w:cs="Arial"/>
          <w:b/>
          <w:color w:val="70AD47" w:themeColor="accent6"/>
        </w:rPr>
        <w:t xml:space="preserve">za </w:t>
      </w:r>
      <w:r w:rsidR="007D7B50" w:rsidRPr="00D44340">
        <w:rPr>
          <w:rFonts w:ascii="Arial" w:eastAsia="Calibri" w:hAnsi="Arial" w:cs="Arial"/>
          <w:b/>
          <w:color w:val="70AD47" w:themeColor="accent6"/>
        </w:rPr>
        <w:t>digitaln</w:t>
      </w:r>
      <w:r w:rsidR="002F7BB3" w:rsidRPr="00D44340">
        <w:rPr>
          <w:rFonts w:ascii="Arial" w:eastAsia="Calibri" w:hAnsi="Arial" w:cs="Arial"/>
          <w:b/>
          <w:color w:val="70AD47" w:themeColor="accent6"/>
        </w:rPr>
        <w:t>i</w:t>
      </w:r>
      <w:r w:rsidR="007D7B50" w:rsidRPr="00D44340">
        <w:rPr>
          <w:rFonts w:ascii="Arial" w:eastAsia="Calibri" w:hAnsi="Arial" w:cs="Arial"/>
          <w:b/>
          <w:color w:val="70AD47" w:themeColor="accent6"/>
        </w:rPr>
        <w:t xml:space="preserve"> </w:t>
      </w:r>
      <w:r w:rsidR="002F7BB3" w:rsidRPr="00D44340">
        <w:rPr>
          <w:rFonts w:ascii="Arial" w:eastAsia="Calibri" w:hAnsi="Arial" w:cs="Arial"/>
          <w:b/>
          <w:color w:val="70AD47" w:themeColor="accent6"/>
        </w:rPr>
        <w:t xml:space="preserve">potni list </w:t>
      </w:r>
      <w:r w:rsidR="007D7B50" w:rsidRPr="00D44340">
        <w:rPr>
          <w:rFonts w:ascii="Arial" w:eastAsia="Calibri" w:hAnsi="Arial" w:cs="Arial"/>
          <w:b/>
          <w:color w:val="70AD47" w:themeColor="accent6"/>
        </w:rPr>
        <w:t xml:space="preserve"> materialov</w:t>
      </w:r>
      <w:bookmarkEnd w:id="36"/>
    </w:p>
    <w:p w14:paraId="0FF051DC" w14:textId="77777777" w:rsidR="00531956" w:rsidRDefault="00531956" w:rsidP="00B3544C">
      <w:pPr>
        <w:spacing w:after="0" w:line="240" w:lineRule="auto"/>
        <w:jc w:val="both"/>
        <w:rPr>
          <w:rFonts w:ascii="Arial" w:eastAsia="Calibri" w:hAnsi="Arial" w:cs="Times New Roman"/>
          <w:sz w:val="20"/>
          <w:szCs w:val="20"/>
        </w:rPr>
      </w:pPr>
    </w:p>
    <w:p w14:paraId="11810D9C" w14:textId="77777777" w:rsidR="00B3544C" w:rsidRPr="00B3544C" w:rsidRDefault="00B3544C" w:rsidP="00B3544C">
      <w:pPr>
        <w:spacing w:after="0" w:line="240" w:lineRule="auto"/>
        <w:jc w:val="both"/>
        <w:rPr>
          <w:rFonts w:ascii="Arial" w:eastAsia="Calibri" w:hAnsi="Arial" w:cs="Times New Roman"/>
          <w:sz w:val="20"/>
          <w:szCs w:val="20"/>
        </w:rPr>
      </w:pPr>
      <w:r w:rsidRPr="00B3544C">
        <w:rPr>
          <w:rFonts w:ascii="Arial" w:eastAsia="Calibri" w:hAnsi="Arial" w:cs="Times New Roman"/>
          <w:sz w:val="20"/>
          <w:szCs w:val="20"/>
        </w:rPr>
        <w:t xml:space="preserve">Model </w:t>
      </w:r>
      <w:r w:rsidR="00CE55B3">
        <w:rPr>
          <w:rFonts w:ascii="Arial" w:eastAsia="Calibri" w:hAnsi="Arial" w:cs="Times New Roman"/>
          <w:sz w:val="20"/>
          <w:szCs w:val="20"/>
        </w:rPr>
        <w:t xml:space="preserve">BIM </w:t>
      </w:r>
      <w:r w:rsidRPr="00B3544C">
        <w:rPr>
          <w:rFonts w:ascii="Arial" w:eastAsia="Calibri" w:hAnsi="Arial" w:cs="Times New Roman"/>
          <w:sz w:val="20"/>
          <w:szCs w:val="20"/>
        </w:rPr>
        <w:t xml:space="preserve">se lahko uporablja v naslednje namene: </w:t>
      </w:r>
    </w:p>
    <w:p w14:paraId="1EF3E55A" w14:textId="77777777" w:rsidR="00B3544C" w:rsidRPr="00B3544C" w:rsidRDefault="00B3544C" w:rsidP="003445EF">
      <w:pPr>
        <w:pStyle w:val="Odstavekseznama"/>
        <w:numPr>
          <w:ilvl w:val="0"/>
          <w:numId w:val="19"/>
        </w:numPr>
        <w:spacing w:after="0" w:line="240" w:lineRule="auto"/>
        <w:jc w:val="both"/>
        <w:rPr>
          <w:rFonts w:ascii="Arial" w:eastAsia="Calibri" w:hAnsi="Arial" w:cs="Times New Roman"/>
          <w:sz w:val="20"/>
          <w:szCs w:val="20"/>
        </w:rPr>
      </w:pPr>
      <w:r w:rsidRPr="00B3544C">
        <w:rPr>
          <w:rFonts w:ascii="Arial" w:eastAsia="Calibri" w:hAnsi="Arial" w:cs="Times New Roman"/>
          <w:sz w:val="20"/>
          <w:szCs w:val="20"/>
        </w:rPr>
        <w:t>Vizualizacije: enostavnejša 3D-predstavitev.</w:t>
      </w:r>
    </w:p>
    <w:p w14:paraId="0DB272B5" w14:textId="77777777" w:rsidR="00B3544C" w:rsidRPr="00B3544C" w:rsidRDefault="00B3544C" w:rsidP="003445EF">
      <w:pPr>
        <w:pStyle w:val="Odstavekseznama"/>
        <w:numPr>
          <w:ilvl w:val="0"/>
          <w:numId w:val="19"/>
        </w:numPr>
        <w:spacing w:after="0" w:line="240" w:lineRule="auto"/>
        <w:jc w:val="both"/>
        <w:rPr>
          <w:rFonts w:ascii="Arial" w:eastAsia="Calibri" w:hAnsi="Arial" w:cs="Times New Roman"/>
          <w:sz w:val="20"/>
          <w:szCs w:val="20"/>
        </w:rPr>
      </w:pPr>
      <w:r w:rsidRPr="00B3544C">
        <w:rPr>
          <w:rFonts w:ascii="Arial" w:eastAsia="Calibri" w:hAnsi="Arial" w:cs="Times New Roman"/>
          <w:sz w:val="20"/>
          <w:szCs w:val="20"/>
        </w:rPr>
        <w:t>Izdelava 3D-prikaza za različne sisteme, npr. 3D-načrt sistema prezračevanja se lahko hitro generira iz že obstoječega modela.</w:t>
      </w:r>
    </w:p>
    <w:p w14:paraId="11E74866" w14:textId="77777777" w:rsidR="00B3544C" w:rsidRPr="00B3544C" w:rsidRDefault="00B3544C" w:rsidP="003445EF">
      <w:pPr>
        <w:pStyle w:val="Odstavekseznama"/>
        <w:numPr>
          <w:ilvl w:val="0"/>
          <w:numId w:val="19"/>
        </w:numPr>
        <w:spacing w:after="0" w:line="240" w:lineRule="auto"/>
        <w:jc w:val="both"/>
        <w:rPr>
          <w:rFonts w:ascii="Arial" w:eastAsia="Calibri" w:hAnsi="Arial" w:cs="Times New Roman"/>
          <w:sz w:val="20"/>
          <w:szCs w:val="20"/>
        </w:rPr>
      </w:pPr>
      <w:r w:rsidRPr="00B3544C">
        <w:rPr>
          <w:rFonts w:ascii="Arial" w:eastAsia="Calibri" w:hAnsi="Arial" w:cs="Times New Roman"/>
          <w:sz w:val="20"/>
          <w:szCs w:val="20"/>
        </w:rPr>
        <w:t>Zagotavljanje kontrole kakovosti: Odkrivanje in preverjanje neskladij ter kolizij med posameznimi modeli oziroma sistemi.</w:t>
      </w:r>
    </w:p>
    <w:p w14:paraId="70D11ED5" w14:textId="77777777" w:rsidR="00B3544C" w:rsidRPr="00B3544C" w:rsidRDefault="00B3544C" w:rsidP="003445EF">
      <w:pPr>
        <w:pStyle w:val="Odstavekseznama"/>
        <w:numPr>
          <w:ilvl w:val="0"/>
          <w:numId w:val="19"/>
        </w:numPr>
        <w:spacing w:after="0" w:line="240" w:lineRule="auto"/>
        <w:jc w:val="both"/>
        <w:rPr>
          <w:rFonts w:ascii="Arial" w:eastAsia="Calibri" w:hAnsi="Arial" w:cs="Times New Roman"/>
          <w:sz w:val="20"/>
          <w:szCs w:val="20"/>
        </w:rPr>
      </w:pPr>
      <w:r w:rsidRPr="00B3544C">
        <w:rPr>
          <w:rFonts w:ascii="Arial" w:eastAsia="Calibri" w:hAnsi="Arial" w:cs="Times New Roman"/>
          <w:sz w:val="20"/>
          <w:szCs w:val="20"/>
        </w:rPr>
        <w:t>Simulacijske analize: model se lahko preprosto prilagaja za grafični prikaz raznih karakteristik objektov kot so npr. analiza osončenosti, naravnega prezračevanja, toplotnih pribitkov ter izgub, načrtov evakuacije.</w:t>
      </w:r>
    </w:p>
    <w:p w14:paraId="2198D0E9" w14:textId="77777777" w:rsidR="00B3544C" w:rsidRPr="00B3544C" w:rsidRDefault="00B3544C" w:rsidP="003445EF">
      <w:pPr>
        <w:pStyle w:val="Odstavekseznama"/>
        <w:numPr>
          <w:ilvl w:val="0"/>
          <w:numId w:val="19"/>
        </w:numPr>
        <w:spacing w:after="0" w:line="240" w:lineRule="auto"/>
        <w:jc w:val="both"/>
        <w:rPr>
          <w:rFonts w:ascii="Arial" w:eastAsia="Calibri" w:hAnsi="Arial" w:cs="Times New Roman"/>
          <w:sz w:val="20"/>
          <w:szCs w:val="20"/>
        </w:rPr>
      </w:pPr>
      <w:r w:rsidRPr="00B3544C">
        <w:rPr>
          <w:rFonts w:ascii="Arial" w:eastAsia="Calibri" w:hAnsi="Arial" w:cs="Times New Roman"/>
          <w:sz w:val="20"/>
          <w:szCs w:val="20"/>
        </w:rPr>
        <w:t xml:space="preserve">Vrednotenje stroškov: nekatera BIM-programska oprema imajo integrirano orodje za vrednotenje količin. Količine se posodabljajo ob spremembi modela.  Ugotovljene količine se ovrednotijo na osnovi definiranih vrednosti posameznih BIM gradnikov. S sintezo vrednosti gradnikov dobimo oceno vrednosti investicije. </w:t>
      </w:r>
    </w:p>
    <w:p w14:paraId="7E93341C" w14:textId="77777777" w:rsidR="00B3544C" w:rsidRPr="00B3544C" w:rsidRDefault="00B3544C" w:rsidP="003445EF">
      <w:pPr>
        <w:pStyle w:val="Odstavekseznama"/>
        <w:numPr>
          <w:ilvl w:val="0"/>
          <w:numId w:val="19"/>
        </w:numPr>
        <w:spacing w:after="0" w:line="240" w:lineRule="auto"/>
        <w:jc w:val="both"/>
        <w:rPr>
          <w:rFonts w:ascii="Arial" w:eastAsia="Calibri" w:hAnsi="Arial" w:cs="Times New Roman"/>
          <w:sz w:val="20"/>
          <w:szCs w:val="20"/>
        </w:rPr>
      </w:pPr>
      <w:r w:rsidRPr="00B3544C">
        <w:rPr>
          <w:rFonts w:ascii="Arial" w:eastAsia="Calibri" w:hAnsi="Arial" w:cs="Times New Roman"/>
          <w:sz w:val="20"/>
          <w:szCs w:val="20"/>
        </w:rPr>
        <w:t>Terminsko planiranje: model lahko učinkovito uporabimo za zagotavljanje točnih informacij o naročanju gradiva, izgradnji in določanju rokov.</w:t>
      </w:r>
    </w:p>
    <w:p w14:paraId="70432296" w14:textId="77777777" w:rsidR="00B3544C" w:rsidRPr="00B3544C" w:rsidRDefault="00B3544C" w:rsidP="003445EF">
      <w:pPr>
        <w:pStyle w:val="Odstavekseznama"/>
        <w:numPr>
          <w:ilvl w:val="0"/>
          <w:numId w:val="19"/>
        </w:numPr>
        <w:spacing w:after="0" w:line="240" w:lineRule="auto"/>
        <w:jc w:val="both"/>
        <w:rPr>
          <w:rFonts w:ascii="Arial" w:eastAsia="Calibri" w:hAnsi="Arial" w:cs="Times New Roman"/>
          <w:sz w:val="20"/>
          <w:szCs w:val="20"/>
        </w:rPr>
      </w:pPr>
      <w:r w:rsidRPr="00B3544C">
        <w:rPr>
          <w:rFonts w:ascii="Arial" w:eastAsia="Calibri" w:hAnsi="Arial" w:cs="Times New Roman"/>
          <w:sz w:val="20"/>
          <w:szCs w:val="20"/>
        </w:rPr>
        <w:t xml:space="preserve">Upravljanje objektov: model se lahko uporablja za potrebe prenavljanja, prostorskega načrtovanja ter vzdrževanja. </w:t>
      </w:r>
    </w:p>
    <w:p w14:paraId="5A92BD9E" w14:textId="77777777" w:rsidR="00B3544C" w:rsidRPr="00B3544C" w:rsidRDefault="00B3544C" w:rsidP="003445EF">
      <w:pPr>
        <w:pStyle w:val="Odstavekseznama"/>
        <w:numPr>
          <w:ilvl w:val="0"/>
          <w:numId w:val="19"/>
        </w:numPr>
        <w:spacing w:after="0" w:line="240" w:lineRule="auto"/>
        <w:jc w:val="both"/>
        <w:rPr>
          <w:rFonts w:ascii="Arial" w:eastAsia="Calibri" w:hAnsi="Arial" w:cs="Times New Roman"/>
          <w:sz w:val="20"/>
          <w:szCs w:val="20"/>
        </w:rPr>
      </w:pPr>
      <w:r w:rsidRPr="00B3544C">
        <w:rPr>
          <w:rFonts w:ascii="Arial" w:eastAsia="Calibri" w:hAnsi="Arial" w:cs="Times New Roman"/>
          <w:sz w:val="20"/>
          <w:szCs w:val="20"/>
        </w:rPr>
        <w:t>Obnove, rekonstrukcije grajenega okolja: znani podatki o odpadnih materialih (za nadaljnjo reciklažo ali ponovno uporabo)</w:t>
      </w:r>
    </w:p>
    <w:p w14:paraId="4A812A3E" w14:textId="77777777" w:rsidR="00683513" w:rsidRDefault="00683513" w:rsidP="00A01EFA">
      <w:pPr>
        <w:spacing w:after="0" w:line="240" w:lineRule="auto"/>
        <w:jc w:val="both"/>
        <w:rPr>
          <w:rFonts w:ascii="Arial" w:eastAsia="Calibri" w:hAnsi="Arial" w:cs="Times New Roman"/>
          <w:sz w:val="20"/>
          <w:szCs w:val="20"/>
        </w:rPr>
      </w:pPr>
    </w:p>
    <w:p w14:paraId="4ED0C492" w14:textId="77777777" w:rsidR="00FF77EA" w:rsidRDefault="00FF77EA" w:rsidP="00A01EFA">
      <w:pPr>
        <w:spacing w:after="0" w:line="240" w:lineRule="auto"/>
        <w:jc w:val="both"/>
        <w:rPr>
          <w:rFonts w:ascii="Arial" w:eastAsia="Calibri" w:hAnsi="Arial" w:cs="Times New Roman"/>
          <w:sz w:val="20"/>
          <w:szCs w:val="20"/>
        </w:rPr>
      </w:pPr>
    </w:p>
    <w:p w14:paraId="3A11EDFB" w14:textId="77777777" w:rsidR="00500C13" w:rsidRDefault="00500C13" w:rsidP="00A01EFA">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Z dodajanjem naprednih digitalnih tehnologij se ustvari možnost zajemanja podatkov pri viru (IoT), zbiranja, strukturiranja in prilagoditve podatkov potrebam uporabnika (umetna inteligenca), zapisovanju podatkov po zaporedju s časovno oznako zapisa in samodejno verifikacijo (blockchain), z virtualizacijo v obliki različnih dimenzionalnih predstavnosti (3D/4D/5D) in s pomočjo meta podatkov pa se vsebina iz virtualnega sveta s pomočjo digitalnega dvojčka prenese v realno okolje. </w:t>
      </w:r>
    </w:p>
    <w:p w14:paraId="5CE380F6" w14:textId="77777777" w:rsidR="00A01EFA" w:rsidRDefault="00500C13" w:rsidP="00A01EFA">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 </w:t>
      </w:r>
    </w:p>
    <w:p w14:paraId="1ED741D9" w14:textId="77777777" w:rsidR="00683513" w:rsidRDefault="00500C13" w:rsidP="00A01EFA">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Integrirana platforma, katere osnove so podatki v digitalni obliki, ki na tak način omogočajo tudi digitalizacijo sredstev in definirajo vsebnost takega sredstva, lahko služi za oblikovanje digitalnega potnega lista materialov. </w:t>
      </w:r>
    </w:p>
    <w:p w14:paraId="4305EB90" w14:textId="77777777" w:rsidR="00500C13" w:rsidRDefault="00500C13" w:rsidP="00A01EFA">
      <w:pPr>
        <w:spacing w:after="0" w:line="240" w:lineRule="auto"/>
        <w:jc w:val="both"/>
        <w:rPr>
          <w:rFonts w:ascii="Arial" w:eastAsia="Calibri" w:hAnsi="Arial" w:cs="Times New Roman"/>
          <w:sz w:val="20"/>
          <w:szCs w:val="20"/>
        </w:rPr>
      </w:pPr>
    </w:p>
    <w:p w14:paraId="552AC2F6" w14:textId="77777777" w:rsidR="00500C13" w:rsidRDefault="00500C13" w:rsidP="00A01EFA">
      <w:pPr>
        <w:spacing w:after="0" w:line="240" w:lineRule="auto"/>
        <w:jc w:val="both"/>
        <w:rPr>
          <w:rFonts w:ascii="Arial" w:eastAsia="Calibri" w:hAnsi="Arial" w:cs="Times New Roman"/>
          <w:sz w:val="20"/>
          <w:szCs w:val="20"/>
        </w:rPr>
      </w:pPr>
      <w:r>
        <w:rPr>
          <w:rFonts w:ascii="Arial" w:eastAsia="Calibri" w:hAnsi="Arial" w:cs="Times New Roman"/>
          <w:sz w:val="20"/>
          <w:szCs w:val="20"/>
        </w:rPr>
        <w:t>Digitalni potni list materialov pomeni digitalno predstavitev osnovnih podatkov materialov in njihovih uporab, in sicer</w:t>
      </w:r>
      <w:r w:rsidR="006F3676">
        <w:rPr>
          <w:rFonts w:ascii="Arial" w:eastAsia="Calibri" w:hAnsi="Arial" w:cs="Times New Roman"/>
          <w:sz w:val="20"/>
          <w:szCs w:val="20"/>
        </w:rPr>
        <w:t xml:space="preserve"> najmanj o</w:t>
      </w:r>
      <w:r>
        <w:rPr>
          <w:rFonts w:ascii="Arial" w:eastAsia="Calibri" w:hAnsi="Arial" w:cs="Times New Roman"/>
          <w:sz w:val="20"/>
          <w:szCs w:val="20"/>
        </w:rPr>
        <w:t xml:space="preserve">: </w:t>
      </w:r>
    </w:p>
    <w:p w14:paraId="6486346D" w14:textId="77777777" w:rsidR="00500C13" w:rsidRDefault="00500C13" w:rsidP="003445EF">
      <w:pPr>
        <w:pStyle w:val="Odstavekseznama"/>
        <w:numPr>
          <w:ilvl w:val="0"/>
          <w:numId w:val="19"/>
        </w:numPr>
        <w:spacing w:after="0" w:line="240" w:lineRule="auto"/>
        <w:jc w:val="both"/>
        <w:rPr>
          <w:rFonts w:ascii="Arial" w:eastAsia="Calibri" w:hAnsi="Arial" w:cs="Times New Roman"/>
          <w:sz w:val="20"/>
          <w:szCs w:val="20"/>
        </w:rPr>
      </w:pPr>
      <w:r>
        <w:rPr>
          <w:rFonts w:ascii="Arial" w:eastAsia="Calibri" w:hAnsi="Arial" w:cs="Times New Roman"/>
          <w:sz w:val="20"/>
          <w:szCs w:val="20"/>
        </w:rPr>
        <w:t>vrsti materiala</w:t>
      </w:r>
      <w:r w:rsidR="001B0D03">
        <w:rPr>
          <w:rFonts w:ascii="Arial" w:eastAsia="Calibri" w:hAnsi="Arial" w:cs="Times New Roman"/>
          <w:sz w:val="20"/>
          <w:szCs w:val="20"/>
        </w:rPr>
        <w:t xml:space="preserve"> (fizični podatek)</w:t>
      </w:r>
    </w:p>
    <w:p w14:paraId="0B962A5E" w14:textId="77777777" w:rsidR="00500C13" w:rsidRDefault="006F3676" w:rsidP="003445EF">
      <w:pPr>
        <w:pStyle w:val="Odstavekseznama"/>
        <w:numPr>
          <w:ilvl w:val="0"/>
          <w:numId w:val="19"/>
        </w:numPr>
        <w:spacing w:after="0" w:line="240" w:lineRule="auto"/>
        <w:jc w:val="both"/>
        <w:rPr>
          <w:rFonts w:ascii="Arial" w:eastAsia="Calibri" w:hAnsi="Arial" w:cs="Times New Roman"/>
          <w:sz w:val="20"/>
          <w:szCs w:val="20"/>
        </w:rPr>
      </w:pPr>
      <w:r>
        <w:rPr>
          <w:rFonts w:ascii="Arial" w:eastAsia="Calibri" w:hAnsi="Arial" w:cs="Times New Roman"/>
          <w:sz w:val="20"/>
          <w:szCs w:val="20"/>
        </w:rPr>
        <w:t>i</w:t>
      </w:r>
      <w:r w:rsidR="00500C13">
        <w:rPr>
          <w:rFonts w:ascii="Arial" w:eastAsia="Calibri" w:hAnsi="Arial" w:cs="Times New Roman"/>
          <w:sz w:val="20"/>
          <w:szCs w:val="20"/>
        </w:rPr>
        <w:t>zvoru materiala</w:t>
      </w:r>
      <w:r w:rsidR="001B0D03">
        <w:rPr>
          <w:rFonts w:ascii="Arial" w:eastAsia="Calibri" w:hAnsi="Arial" w:cs="Times New Roman"/>
          <w:sz w:val="20"/>
          <w:szCs w:val="20"/>
        </w:rPr>
        <w:t xml:space="preserve"> (zapis originala na blockchain tehnologiji)</w:t>
      </w:r>
    </w:p>
    <w:p w14:paraId="1AE419CA" w14:textId="77777777" w:rsidR="006F3676" w:rsidRDefault="006F3676" w:rsidP="003445EF">
      <w:pPr>
        <w:pStyle w:val="Odstavekseznama"/>
        <w:numPr>
          <w:ilvl w:val="0"/>
          <w:numId w:val="19"/>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sestavi materiala (zapis ponudnika materiala) </w:t>
      </w:r>
    </w:p>
    <w:p w14:paraId="3BBE125B" w14:textId="77777777" w:rsidR="006F3676" w:rsidRDefault="006F3676" w:rsidP="003445EF">
      <w:pPr>
        <w:pStyle w:val="Odstavekseznama"/>
        <w:numPr>
          <w:ilvl w:val="0"/>
          <w:numId w:val="19"/>
        </w:numPr>
        <w:spacing w:after="0" w:line="240" w:lineRule="auto"/>
        <w:jc w:val="both"/>
        <w:rPr>
          <w:rFonts w:ascii="Arial" w:eastAsia="Calibri" w:hAnsi="Arial" w:cs="Times New Roman"/>
          <w:sz w:val="20"/>
          <w:szCs w:val="20"/>
        </w:rPr>
      </w:pPr>
      <w:r>
        <w:rPr>
          <w:rFonts w:ascii="Arial" w:eastAsia="Calibri" w:hAnsi="Arial" w:cs="Times New Roman"/>
          <w:sz w:val="20"/>
          <w:szCs w:val="20"/>
        </w:rPr>
        <w:t>kakovosti materiala (zapis ponudnika materiala)</w:t>
      </w:r>
    </w:p>
    <w:p w14:paraId="05D2FAD7" w14:textId="77777777" w:rsidR="001B0D03" w:rsidRDefault="006F3676" w:rsidP="003445EF">
      <w:pPr>
        <w:pStyle w:val="Odstavekseznama"/>
        <w:numPr>
          <w:ilvl w:val="0"/>
          <w:numId w:val="19"/>
        </w:numPr>
        <w:spacing w:after="0" w:line="240" w:lineRule="auto"/>
        <w:jc w:val="both"/>
        <w:rPr>
          <w:rFonts w:ascii="Arial" w:eastAsia="Calibri" w:hAnsi="Arial" w:cs="Times New Roman"/>
          <w:sz w:val="20"/>
          <w:szCs w:val="20"/>
        </w:rPr>
      </w:pPr>
      <w:r>
        <w:rPr>
          <w:rFonts w:ascii="Arial" w:eastAsia="Calibri" w:hAnsi="Arial" w:cs="Times New Roman"/>
          <w:sz w:val="20"/>
          <w:szCs w:val="20"/>
        </w:rPr>
        <w:t>p</w:t>
      </w:r>
      <w:r w:rsidR="00500C13">
        <w:rPr>
          <w:rFonts w:ascii="Arial" w:eastAsia="Calibri" w:hAnsi="Arial" w:cs="Times New Roman"/>
          <w:sz w:val="20"/>
          <w:szCs w:val="20"/>
        </w:rPr>
        <w:t xml:space="preserve">redhodnih </w:t>
      </w:r>
      <w:r w:rsidR="001B0D03">
        <w:rPr>
          <w:rFonts w:ascii="Arial" w:eastAsia="Calibri" w:hAnsi="Arial" w:cs="Times New Roman"/>
          <w:sz w:val="20"/>
          <w:szCs w:val="20"/>
        </w:rPr>
        <w:t>uporabah materiala (glede na možnost sledenja podatkov o predhodnih uporabah materiala) – če je relevantno</w:t>
      </w:r>
      <w:r>
        <w:rPr>
          <w:rFonts w:ascii="Arial" w:eastAsia="Calibri" w:hAnsi="Arial" w:cs="Times New Roman"/>
          <w:sz w:val="20"/>
          <w:szCs w:val="20"/>
        </w:rPr>
        <w:t xml:space="preserve"> (evidenca)</w:t>
      </w:r>
    </w:p>
    <w:p w14:paraId="09EDAC0D" w14:textId="77777777" w:rsidR="006F3676" w:rsidRDefault="006F3676" w:rsidP="003445EF">
      <w:pPr>
        <w:pStyle w:val="Odstavekseznama"/>
        <w:numPr>
          <w:ilvl w:val="0"/>
          <w:numId w:val="19"/>
        </w:numPr>
        <w:spacing w:after="0" w:line="240" w:lineRule="auto"/>
        <w:jc w:val="both"/>
        <w:rPr>
          <w:rFonts w:ascii="Arial" w:eastAsia="Calibri" w:hAnsi="Arial" w:cs="Times New Roman"/>
          <w:sz w:val="20"/>
          <w:szCs w:val="20"/>
        </w:rPr>
      </w:pPr>
      <w:r>
        <w:rPr>
          <w:rFonts w:ascii="Arial" w:eastAsia="Calibri" w:hAnsi="Arial" w:cs="Times New Roman"/>
          <w:sz w:val="20"/>
          <w:szCs w:val="20"/>
        </w:rPr>
        <w:t>spremembah materiala (dodajanje vsebnosti) (evidenca sprememb)</w:t>
      </w:r>
    </w:p>
    <w:p w14:paraId="7DEE2D0F" w14:textId="77777777" w:rsidR="006F3676" w:rsidRDefault="006F3676" w:rsidP="003445EF">
      <w:pPr>
        <w:pStyle w:val="Odstavekseznama"/>
        <w:numPr>
          <w:ilvl w:val="0"/>
          <w:numId w:val="19"/>
        </w:numPr>
        <w:spacing w:after="0" w:line="240" w:lineRule="auto"/>
        <w:jc w:val="both"/>
        <w:rPr>
          <w:rFonts w:ascii="Arial" w:eastAsia="Calibri" w:hAnsi="Arial" w:cs="Times New Roman"/>
          <w:sz w:val="20"/>
          <w:szCs w:val="20"/>
        </w:rPr>
      </w:pPr>
      <w:r>
        <w:rPr>
          <w:rFonts w:ascii="Arial" w:eastAsia="Calibri" w:hAnsi="Arial" w:cs="Times New Roman"/>
          <w:sz w:val="20"/>
          <w:szCs w:val="20"/>
        </w:rPr>
        <w:t>uporabniku in času uporabe materiala (evidenca)</w:t>
      </w:r>
    </w:p>
    <w:p w14:paraId="35439D73" w14:textId="77777777" w:rsidR="006F3676" w:rsidRDefault="006F3676" w:rsidP="003445EF">
      <w:pPr>
        <w:pStyle w:val="Odstavekseznama"/>
        <w:numPr>
          <w:ilvl w:val="0"/>
          <w:numId w:val="19"/>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uporabniku in času spremembe materiala </w:t>
      </w:r>
      <w:r w:rsidRPr="006F3676">
        <w:rPr>
          <w:rFonts w:ascii="Arial" w:eastAsia="Calibri" w:hAnsi="Arial" w:cs="Times New Roman"/>
          <w:sz w:val="20"/>
          <w:szCs w:val="20"/>
        </w:rPr>
        <w:t>(evidenca)</w:t>
      </w:r>
    </w:p>
    <w:p w14:paraId="7DFC0822" w14:textId="77777777" w:rsidR="00500C13" w:rsidRPr="00500C13" w:rsidRDefault="006F3676" w:rsidP="003445EF">
      <w:pPr>
        <w:pStyle w:val="Odstavekseznama"/>
        <w:numPr>
          <w:ilvl w:val="0"/>
          <w:numId w:val="19"/>
        </w:numPr>
        <w:spacing w:after="0" w:line="240" w:lineRule="auto"/>
        <w:jc w:val="both"/>
        <w:rPr>
          <w:rFonts w:ascii="Arial" w:eastAsia="Calibri" w:hAnsi="Arial" w:cs="Times New Roman"/>
          <w:sz w:val="20"/>
          <w:szCs w:val="20"/>
        </w:rPr>
      </w:pPr>
      <w:r>
        <w:rPr>
          <w:rFonts w:ascii="Arial" w:eastAsia="Calibri" w:hAnsi="Arial" w:cs="Times New Roman"/>
          <w:sz w:val="20"/>
          <w:szCs w:val="20"/>
        </w:rPr>
        <w:t>uporabniku in času ponovne uporabe materiala</w:t>
      </w:r>
      <w:r w:rsidR="00500C13" w:rsidRPr="00500C13">
        <w:rPr>
          <w:rFonts w:ascii="Arial" w:eastAsia="Calibri" w:hAnsi="Arial" w:cs="Times New Roman"/>
          <w:sz w:val="20"/>
          <w:szCs w:val="20"/>
        </w:rPr>
        <w:t xml:space="preserve"> </w:t>
      </w:r>
      <w:r w:rsidRPr="006F3676">
        <w:rPr>
          <w:rFonts w:ascii="Arial" w:eastAsia="Calibri" w:hAnsi="Arial" w:cs="Times New Roman"/>
          <w:sz w:val="20"/>
          <w:szCs w:val="20"/>
        </w:rPr>
        <w:t>(evidenca)</w:t>
      </w:r>
    </w:p>
    <w:p w14:paraId="48D10BDE" w14:textId="77777777" w:rsidR="00500C13" w:rsidRDefault="00500C13" w:rsidP="00A01EFA">
      <w:pPr>
        <w:spacing w:after="0" w:line="240" w:lineRule="auto"/>
        <w:jc w:val="both"/>
        <w:rPr>
          <w:rFonts w:ascii="Arial" w:eastAsia="Calibri" w:hAnsi="Arial" w:cs="Times New Roman"/>
          <w:sz w:val="20"/>
          <w:szCs w:val="20"/>
        </w:rPr>
      </w:pPr>
    </w:p>
    <w:p w14:paraId="16C125E2" w14:textId="77777777" w:rsidR="00F47081" w:rsidRDefault="00F47081" w:rsidP="00A01EFA">
      <w:pPr>
        <w:spacing w:after="0" w:line="240" w:lineRule="auto"/>
        <w:jc w:val="both"/>
        <w:rPr>
          <w:rFonts w:ascii="Arial" w:eastAsia="Calibri" w:hAnsi="Arial" w:cs="Times New Roman"/>
          <w:sz w:val="20"/>
          <w:szCs w:val="20"/>
        </w:rPr>
      </w:pPr>
    </w:p>
    <w:p w14:paraId="0AD7079A" w14:textId="77777777" w:rsidR="00F47081" w:rsidRDefault="00F47081" w:rsidP="00A01EFA">
      <w:pPr>
        <w:spacing w:after="0" w:line="240" w:lineRule="auto"/>
        <w:jc w:val="both"/>
        <w:rPr>
          <w:rFonts w:ascii="Arial" w:eastAsia="Calibri" w:hAnsi="Arial" w:cs="Times New Roman"/>
          <w:sz w:val="20"/>
          <w:szCs w:val="20"/>
        </w:rPr>
      </w:pPr>
    </w:p>
    <w:p w14:paraId="764B50C5" w14:textId="77777777" w:rsidR="00F47081" w:rsidRDefault="00F47081" w:rsidP="00A01EFA">
      <w:pPr>
        <w:spacing w:after="0" w:line="240" w:lineRule="auto"/>
        <w:jc w:val="both"/>
        <w:rPr>
          <w:rFonts w:ascii="Arial" w:eastAsia="Calibri" w:hAnsi="Arial" w:cs="Times New Roman"/>
          <w:sz w:val="20"/>
          <w:szCs w:val="20"/>
        </w:rPr>
      </w:pPr>
    </w:p>
    <w:p w14:paraId="42668DC0" w14:textId="77777777" w:rsidR="00F47081" w:rsidRPr="00D44340" w:rsidRDefault="00F47081" w:rsidP="00D44340">
      <w:pPr>
        <w:pStyle w:val="Naslov3"/>
        <w:rPr>
          <w:rFonts w:ascii="Arial" w:eastAsia="Calibri" w:hAnsi="Arial" w:cs="Arial"/>
          <w:b/>
        </w:rPr>
      </w:pPr>
    </w:p>
    <w:p w14:paraId="7358E613" w14:textId="3A1E22B6" w:rsidR="00F47081" w:rsidRPr="00D44340" w:rsidRDefault="00F47081" w:rsidP="00D44340">
      <w:pPr>
        <w:pStyle w:val="Naslov3"/>
        <w:rPr>
          <w:rFonts w:ascii="Arial" w:eastAsia="Calibri" w:hAnsi="Arial" w:cs="Arial"/>
          <w:b/>
          <w:color w:val="538135" w:themeColor="accent6" w:themeShade="BF"/>
        </w:rPr>
      </w:pPr>
      <w:bookmarkStart w:id="37" w:name="_Toc102741400"/>
      <w:r w:rsidRPr="00D44340">
        <w:rPr>
          <w:rFonts w:ascii="Arial" w:eastAsia="Calibri" w:hAnsi="Arial" w:cs="Arial"/>
          <w:b/>
          <w:color w:val="538135" w:themeColor="accent6" w:themeShade="BF"/>
        </w:rPr>
        <w:t>IV.3.4. Strateška izhodišča</w:t>
      </w:r>
      <w:r w:rsidR="00E845DF">
        <w:rPr>
          <w:rFonts w:ascii="Arial" w:eastAsia="Calibri" w:hAnsi="Arial" w:cs="Arial"/>
          <w:b/>
          <w:color w:val="538135" w:themeColor="accent6" w:themeShade="BF"/>
        </w:rPr>
        <w:t xml:space="preserve">, </w:t>
      </w:r>
      <w:r w:rsidRPr="00D44340">
        <w:rPr>
          <w:rFonts w:ascii="Arial" w:eastAsia="Calibri" w:hAnsi="Arial" w:cs="Arial"/>
          <w:b/>
          <w:color w:val="538135" w:themeColor="accent6" w:themeShade="BF"/>
        </w:rPr>
        <w:t>cilji</w:t>
      </w:r>
      <w:bookmarkEnd w:id="37"/>
      <w:r w:rsidR="00E845DF">
        <w:rPr>
          <w:rFonts w:ascii="Arial" w:eastAsia="Calibri" w:hAnsi="Arial" w:cs="Arial"/>
          <w:b/>
          <w:color w:val="538135" w:themeColor="accent6" w:themeShade="BF"/>
        </w:rPr>
        <w:t xml:space="preserve"> in vrednost projekta</w:t>
      </w:r>
    </w:p>
    <w:p w14:paraId="347F5340" w14:textId="77777777" w:rsidR="00F47081" w:rsidRDefault="00F47081" w:rsidP="00F47081">
      <w:pPr>
        <w:spacing w:after="0" w:line="240" w:lineRule="auto"/>
        <w:contextualSpacing/>
        <w:jc w:val="both"/>
        <w:rPr>
          <w:rFonts w:ascii="Arial" w:eastAsia="Calibri" w:hAnsi="Arial" w:cs="Arial"/>
          <w:sz w:val="20"/>
          <w:szCs w:val="20"/>
        </w:rPr>
      </w:pPr>
    </w:p>
    <w:p w14:paraId="13A98AE8" w14:textId="77777777" w:rsidR="00F47081" w:rsidRDefault="00F47081" w:rsidP="00F47081">
      <w:pPr>
        <w:spacing w:after="0" w:line="240" w:lineRule="auto"/>
        <w:contextualSpacing/>
        <w:jc w:val="both"/>
        <w:rPr>
          <w:rFonts w:ascii="Arial" w:eastAsia="Calibri" w:hAnsi="Arial" w:cs="Arial"/>
          <w:sz w:val="20"/>
          <w:szCs w:val="20"/>
        </w:rPr>
      </w:pPr>
      <w:r>
        <w:rPr>
          <w:rFonts w:ascii="Arial" w:eastAsia="Calibri" w:hAnsi="Arial" w:cs="Arial"/>
          <w:sz w:val="20"/>
          <w:szCs w:val="20"/>
        </w:rPr>
        <w:t>Strateška izhodišča</w:t>
      </w:r>
    </w:p>
    <w:p w14:paraId="6A4292C9" w14:textId="77777777" w:rsidR="00F47081" w:rsidRDefault="00F47081" w:rsidP="00F47081">
      <w:pPr>
        <w:spacing w:after="0" w:line="240" w:lineRule="auto"/>
        <w:contextualSpacing/>
        <w:jc w:val="both"/>
        <w:rPr>
          <w:rFonts w:ascii="Arial" w:eastAsia="Calibri" w:hAnsi="Arial" w:cs="Arial"/>
          <w:sz w:val="20"/>
          <w:szCs w:val="20"/>
        </w:rPr>
      </w:pPr>
    </w:p>
    <w:p w14:paraId="1706252E" w14:textId="77777777" w:rsidR="00F47081" w:rsidRDefault="00F47081" w:rsidP="00F47081">
      <w:pPr>
        <w:spacing w:after="0" w:line="240" w:lineRule="auto"/>
        <w:contextualSpacing/>
        <w:jc w:val="both"/>
        <w:rPr>
          <w:rFonts w:ascii="Arial" w:eastAsia="Calibri" w:hAnsi="Arial" w:cs="Arial"/>
          <w:sz w:val="20"/>
          <w:szCs w:val="20"/>
        </w:rPr>
      </w:pPr>
      <w:r>
        <w:rPr>
          <w:rFonts w:ascii="Arial" w:eastAsia="Calibri" w:hAnsi="Arial" w:cs="Times New Roman"/>
          <w:noProof/>
          <w:sz w:val="20"/>
          <w:lang w:eastAsia="sl-SI"/>
        </w:rPr>
        <mc:AlternateContent>
          <mc:Choice Requires="wps">
            <w:drawing>
              <wp:anchor distT="0" distB="0" distL="114300" distR="114300" simplePos="0" relativeHeight="251666432" behindDoc="0" locked="0" layoutInCell="1" allowOverlap="1" wp14:anchorId="439EB6F4" wp14:editId="3ADD943E">
                <wp:simplePos x="0" y="0"/>
                <wp:positionH relativeFrom="margin">
                  <wp:posOffset>-635</wp:posOffset>
                </wp:positionH>
                <wp:positionV relativeFrom="paragraph">
                  <wp:posOffset>47625</wp:posOffset>
                </wp:positionV>
                <wp:extent cx="5699760" cy="1706880"/>
                <wp:effectExtent l="0" t="0" r="15240" b="26670"/>
                <wp:wrapNone/>
                <wp:docPr id="464" name="Pravokotnik z odrezanima kotoma na diagonali 464"/>
                <wp:cNvGraphicFramePr/>
                <a:graphic xmlns:a="http://schemas.openxmlformats.org/drawingml/2006/main">
                  <a:graphicData uri="http://schemas.microsoft.com/office/word/2010/wordprocessingShape">
                    <wps:wsp>
                      <wps:cNvSpPr/>
                      <wps:spPr>
                        <a:xfrm>
                          <a:off x="0" y="0"/>
                          <a:ext cx="5699760" cy="1706880"/>
                        </a:xfrm>
                        <a:prstGeom prst="snip2DiagRect">
                          <a:avLst/>
                        </a:prstGeom>
                        <a:solidFill>
                          <a:sysClr val="window" lastClr="FFFFFF"/>
                        </a:solidFill>
                        <a:ln w="12700" cap="flat" cmpd="sng" algn="ctr">
                          <a:solidFill>
                            <a:srgbClr val="4472C4"/>
                          </a:solidFill>
                          <a:prstDash val="solid"/>
                          <a:miter lim="800000"/>
                        </a:ln>
                        <a:effectLst/>
                      </wps:spPr>
                      <wps:txbx>
                        <w:txbxContent>
                          <w:p w14:paraId="2654BF76" w14:textId="77777777" w:rsidR="00A15ADE" w:rsidRDefault="00A15ADE" w:rsidP="003445EF">
                            <w:pPr>
                              <w:pStyle w:val="Odstavekseznama"/>
                              <w:numPr>
                                <w:ilvl w:val="0"/>
                                <w:numId w:val="21"/>
                              </w:numPr>
                              <w:jc w:val="both"/>
                              <w:rPr>
                                <w:rFonts w:ascii="Arial" w:hAnsi="Arial" w:cs="Arial"/>
                                <w:sz w:val="18"/>
                                <w:szCs w:val="18"/>
                              </w:rPr>
                            </w:pPr>
                            <w:r w:rsidRPr="00A14895">
                              <w:rPr>
                                <w:rFonts w:ascii="Arial" w:hAnsi="Arial" w:cs="Arial"/>
                                <w:sz w:val="18"/>
                                <w:szCs w:val="18"/>
                              </w:rPr>
                              <w:t>Spodbujanje podjetij v gradbeni verigi vrednosti k digitalizaciji postopkov, procesov in izvedbe del z uporabo napredne digitalne tehnologije z namenom povečanja snovne in energetske učinkovitosti</w:t>
                            </w:r>
                          </w:p>
                          <w:p w14:paraId="1C41D155" w14:textId="77777777" w:rsidR="00A15ADE" w:rsidRDefault="00A15ADE" w:rsidP="003445EF">
                            <w:pPr>
                              <w:pStyle w:val="Odstavekseznama"/>
                              <w:numPr>
                                <w:ilvl w:val="0"/>
                                <w:numId w:val="21"/>
                              </w:numPr>
                              <w:jc w:val="both"/>
                              <w:rPr>
                                <w:rFonts w:ascii="Arial" w:hAnsi="Arial" w:cs="Arial"/>
                                <w:sz w:val="18"/>
                                <w:szCs w:val="18"/>
                              </w:rPr>
                            </w:pPr>
                            <w:r>
                              <w:rPr>
                                <w:rFonts w:ascii="Arial" w:hAnsi="Arial" w:cs="Arial"/>
                                <w:sz w:val="18"/>
                                <w:szCs w:val="18"/>
                              </w:rPr>
                              <w:t>Spodbujanje krožnega gradbeništva z implementacijo BIM tehnologije in njeno konvergenco z naprednimi digitalnimi tehnologijami, ob hkratnem uvajanju novi modelov (npr. Bauhaus)</w:t>
                            </w:r>
                          </w:p>
                          <w:p w14:paraId="24087DF3" w14:textId="77777777" w:rsidR="00A15ADE" w:rsidRPr="00A14895" w:rsidRDefault="00A15ADE" w:rsidP="003445EF">
                            <w:pPr>
                              <w:pStyle w:val="Odstavekseznama"/>
                              <w:numPr>
                                <w:ilvl w:val="0"/>
                                <w:numId w:val="21"/>
                              </w:numPr>
                              <w:jc w:val="both"/>
                              <w:rPr>
                                <w:rFonts w:ascii="Arial" w:hAnsi="Arial" w:cs="Arial"/>
                                <w:sz w:val="18"/>
                                <w:szCs w:val="18"/>
                              </w:rPr>
                            </w:pPr>
                            <w:r>
                              <w:rPr>
                                <w:rFonts w:ascii="Arial" w:hAnsi="Arial" w:cs="Arial"/>
                                <w:sz w:val="18"/>
                                <w:szCs w:val="18"/>
                              </w:rPr>
                              <w:t>Spodbujanje uporabe tehnologij za sledenje podatkom, procesom in materialom za doseganje večje snovne in energetske učinkovitosti z uporabo digitalnega potnega lista materialov</w:t>
                            </w:r>
                            <w:r w:rsidRPr="00A14895">
                              <w:rPr>
                                <w:rFonts w:ascii="Arial" w:hAnsi="Arial" w:cs="Arial"/>
                                <w:sz w:val="18"/>
                                <w:szCs w:val="18"/>
                              </w:rPr>
                              <w:t xml:space="preserve">    </w:t>
                            </w:r>
                          </w:p>
                          <w:p w14:paraId="74D4A579" w14:textId="77777777" w:rsidR="00A15ADE" w:rsidRPr="00A14895" w:rsidRDefault="00A15ADE" w:rsidP="003445EF">
                            <w:pPr>
                              <w:pStyle w:val="Odstavekseznama"/>
                              <w:numPr>
                                <w:ilvl w:val="0"/>
                                <w:numId w:val="21"/>
                              </w:numPr>
                              <w:rPr>
                                <w:rFonts w:ascii="Arial" w:hAnsi="Arial" w:cs="Arial"/>
                                <w:sz w:val="18"/>
                                <w:szCs w:val="18"/>
                              </w:rPr>
                            </w:pPr>
                            <w:r w:rsidRPr="00A14895">
                              <w:rPr>
                                <w:rFonts w:ascii="Arial" w:hAnsi="Arial" w:cs="Arial"/>
                                <w:sz w:val="18"/>
                                <w:szCs w:val="18"/>
                              </w:rPr>
                              <w:t>Spodbujanje inovativnih rešitev razvoja in uporabe naprednih digitalnih tehnologij v sklopu testnega laboratorija (sandbox-a)</w:t>
                            </w:r>
                          </w:p>
                          <w:p w14:paraId="1CDCF6C4" w14:textId="77777777" w:rsidR="00A15ADE" w:rsidRPr="00A14895" w:rsidRDefault="00A15ADE" w:rsidP="00A14895">
                            <w:pPr>
                              <w:ind w:left="360"/>
                              <w:jc w:val="both"/>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9EB6F4" id="Pravokotnik z odrezanima kotoma na diagonali 464" o:spid="_x0000_s1029" style="position:absolute;left:0;text-align:left;margin-left:-.05pt;margin-top:3.75pt;width:448.8pt;height:134.4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699760,1706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" adj="-11796480,,5400" path="m,l5415274,r284486,284486l5699760,1706880r,l284486,1706880,,1422394,,xe" fillcolor="window" strokecolor="#4472c4" strokeweight="1pt">
                <v:stroke joinstyle="miter"/>
                <v:formulas/>
                <v:path arrowok="t" o:connecttype="custom" o:connectlocs="0,0;5415274,0;5699760,284486;5699760,1706880;5699760,1706880;284486,1706880;0,1422394;0,0" o:connectangles="0,0,0,0,0,0,0,0" textboxrect="0,0,5699760,1706880"/>
                <v:textbox>
                  <w:txbxContent>
                    <w:p w14:paraId="2654BF76" w14:textId="77777777" w:rsidR="00A15ADE" w:rsidRDefault="00A15ADE" w:rsidP="003445EF">
                      <w:pPr>
                        <w:pStyle w:val="Odstavekseznama"/>
                        <w:numPr>
                          <w:ilvl w:val="0"/>
                          <w:numId w:val="21"/>
                        </w:numPr>
                        <w:jc w:val="both"/>
                        <w:rPr>
                          <w:rFonts w:ascii="Arial" w:hAnsi="Arial" w:cs="Arial"/>
                          <w:sz w:val="18"/>
                          <w:szCs w:val="18"/>
                        </w:rPr>
                      </w:pPr>
                      <w:r w:rsidRPr="00A14895">
                        <w:rPr>
                          <w:rFonts w:ascii="Arial" w:hAnsi="Arial" w:cs="Arial"/>
                          <w:sz w:val="18"/>
                          <w:szCs w:val="18"/>
                        </w:rPr>
                        <w:t>Spodbujanje podjetij v gradbeni verigi vrednosti k digitalizaciji postopkov, procesov in izvedbe del z uporabo napredne digitalne tehnologije z namenom povečanja snovne in energetske učinkovitosti</w:t>
                      </w:r>
                    </w:p>
                    <w:p w14:paraId="1C41D155" w14:textId="77777777" w:rsidR="00A15ADE" w:rsidRDefault="00A15ADE" w:rsidP="003445EF">
                      <w:pPr>
                        <w:pStyle w:val="Odstavekseznama"/>
                        <w:numPr>
                          <w:ilvl w:val="0"/>
                          <w:numId w:val="21"/>
                        </w:numPr>
                        <w:jc w:val="both"/>
                        <w:rPr>
                          <w:rFonts w:ascii="Arial" w:hAnsi="Arial" w:cs="Arial"/>
                          <w:sz w:val="18"/>
                          <w:szCs w:val="18"/>
                        </w:rPr>
                      </w:pPr>
                      <w:r>
                        <w:rPr>
                          <w:rFonts w:ascii="Arial" w:hAnsi="Arial" w:cs="Arial"/>
                          <w:sz w:val="18"/>
                          <w:szCs w:val="18"/>
                        </w:rPr>
                        <w:t>Spodbujanje krožnega gradbeništva z implementacijo BIM tehnologije in njeno konvergenco z naprednimi digitalnimi tehnologijami, ob hkratnem uvajanju novi modelov (npr. Bauhaus)</w:t>
                      </w:r>
                    </w:p>
                    <w:p w14:paraId="24087DF3" w14:textId="77777777" w:rsidR="00A15ADE" w:rsidRPr="00A14895" w:rsidRDefault="00A15ADE" w:rsidP="003445EF">
                      <w:pPr>
                        <w:pStyle w:val="Odstavekseznama"/>
                        <w:numPr>
                          <w:ilvl w:val="0"/>
                          <w:numId w:val="21"/>
                        </w:numPr>
                        <w:jc w:val="both"/>
                        <w:rPr>
                          <w:rFonts w:ascii="Arial" w:hAnsi="Arial" w:cs="Arial"/>
                          <w:sz w:val="18"/>
                          <w:szCs w:val="18"/>
                        </w:rPr>
                      </w:pPr>
                      <w:r>
                        <w:rPr>
                          <w:rFonts w:ascii="Arial" w:hAnsi="Arial" w:cs="Arial"/>
                          <w:sz w:val="18"/>
                          <w:szCs w:val="18"/>
                        </w:rPr>
                        <w:t>Spodbujanje uporabe tehnologij za sledenje podatkom, procesom in materialom za doseganje večje snovne in energetske učinkovitosti z uporabo digitalnega potnega lista materialov</w:t>
                      </w:r>
                      <w:r w:rsidRPr="00A14895">
                        <w:rPr>
                          <w:rFonts w:ascii="Arial" w:hAnsi="Arial" w:cs="Arial"/>
                          <w:sz w:val="18"/>
                          <w:szCs w:val="18"/>
                        </w:rPr>
                        <w:t xml:space="preserve">    </w:t>
                      </w:r>
                    </w:p>
                    <w:p w14:paraId="74D4A579" w14:textId="77777777" w:rsidR="00A15ADE" w:rsidRPr="00A14895" w:rsidRDefault="00A15ADE" w:rsidP="003445EF">
                      <w:pPr>
                        <w:pStyle w:val="Odstavekseznama"/>
                        <w:numPr>
                          <w:ilvl w:val="0"/>
                          <w:numId w:val="21"/>
                        </w:numPr>
                        <w:rPr>
                          <w:rFonts w:ascii="Arial" w:hAnsi="Arial" w:cs="Arial"/>
                          <w:sz w:val="18"/>
                          <w:szCs w:val="18"/>
                        </w:rPr>
                      </w:pPr>
                      <w:r w:rsidRPr="00A14895">
                        <w:rPr>
                          <w:rFonts w:ascii="Arial" w:hAnsi="Arial" w:cs="Arial"/>
                          <w:sz w:val="18"/>
                          <w:szCs w:val="18"/>
                        </w:rPr>
                        <w:t>Spodbujanje inovativnih rešitev razvoja in uporabe naprednih digitalnih tehnologij v sklopu testnega laboratorija (sandbox-a)</w:t>
                      </w:r>
                    </w:p>
                    <w:p w14:paraId="1CDCF6C4" w14:textId="77777777" w:rsidR="00A15ADE" w:rsidRPr="00A14895" w:rsidRDefault="00A15ADE" w:rsidP="00A14895">
                      <w:pPr>
                        <w:ind w:left="360"/>
                        <w:jc w:val="both"/>
                        <w:rPr>
                          <w:rFonts w:ascii="Arial" w:hAnsi="Arial" w:cs="Arial"/>
                          <w:sz w:val="18"/>
                          <w:szCs w:val="18"/>
                        </w:rPr>
                      </w:pPr>
                    </w:p>
                  </w:txbxContent>
                </v:textbox>
                <w10:wrap anchorx="margin"/>
              </v:shape>
            </w:pict>
          </mc:Fallback>
        </mc:AlternateContent>
      </w:r>
    </w:p>
    <w:p w14:paraId="61CD085C" w14:textId="77777777" w:rsidR="00F47081" w:rsidRDefault="00F47081" w:rsidP="00F47081">
      <w:pPr>
        <w:spacing w:after="0" w:line="240" w:lineRule="auto"/>
        <w:contextualSpacing/>
        <w:jc w:val="both"/>
        <w:rPr>
          <w:rFonts w:ascii="Arial" w:eastAsia="Calibri" w:hAnsi="Arial" w:cs="Arial"/>
          <w:sz w:val="20"/>
          <w:szCs w:val="20"/>
        </w:rPr>
      </w:pPr>
    </w:p>
    <w:p w14:paraId="11C6A989" w14:textId="77777777" w:rsidR="00F47081" w:rsidRDefault="00F47081" w:rsidP="00F47081">
      <w:pPr>
        <w:spacing w:after="0" w:line="240" w:lineRule="auto"/>
        <w:contextualSpacing/>
        <w:jc w:val="both"/>
        <w:rPr>
          <w:rFonts w:ascii="Arial" w:eastAsia="Calibri" w:hAnsi="Arial" w:cs="Arial"/>
          <w:sz w:val="20"/>
          <w:szCs w:val="20"/>
        </w:rPr>
      </w:pPr>
    </w:p>
    <w:p w14:paraId="0D62A6C4" w14:textId="77777777" w:rsidR="00F47081" w:rsidRDefault="00F47081" w:rsidP="00F47081">
      <w:pPr>
        <w:spacing w:after="0" w:line="240" w:lineRule="auto"/>
        <w:contextualSpacing/>
        <w:jc w:val="both"/>
        <w:rPr>
          <w:rFonts w:ascii="Arial" w:eastAsia="Calibri" w:hAnsi="Arial" w:cs="Arial"/>
          <w:sz w:val="20"/>
          <w:szCs w:val="20"/>
        </w:rPr>
      </w:pPr>
    </w:p>
    <w:p w14:paraId="1CA4774F" w14:textId="77777777" w:rsidR="00F47081" w:rsidRDefault="00F47081" w:rsidP="00F47081">
      <w:pPr>
        <w:spacing w:after="0" w:line="240" w:lineRule="auto"/>
        <w:contextualSpacing/>
        <w:jc w:val="both"/>
        <w:rPr>
          <w:rFonts w:ascii="Arial" w:eastAsia="Calibri" w:hAnsi="Arial" w:cs="Arial"/>
          <w:sz w:val="20"/>
          <w:szCs w:val="20"/>
        </w:rPr>
      </w:pPr>
    </w:p>
    <w:p w14:paraId="6C81DDD3" w14:textId="77777777" w:rsidR="00F47081" w:rsidRDefault="00F47081" w:rsidP="00F47081">
      <w:pPr>
        <w:spacing w:after="0" w:line="240" w:lineRule="auto"/>
        <w:contextualSpacing/>
        <w:jc w:val="both"/>
        <w:rPr>
          <w:rFonts w:ascii="Arial" w:eastAsia="Calibri" w:hAnsi="Arial" w:cs="Arial"/>
          <w:sz w:val="20"/>
          <w:szCs w:val="20"/>
        </w:rPr>
      </w:pPr>
    </w:p>
    <w:p w14:paraId="4D27D679" w14:textId="77777777" w:rsidR="00F47081" w:rsidRDefault="00F47081" w:rsidP="00F47081">
      <w:pPr>
        <w:spacing w:after="0" w:line="240" w:lineRule="auto"/>
        <w:contextualSpacing/>
        <w:jc w:val="both"/>
        <w:rPr>
          <w:rFonts w:ascii="Arial" w:eastAsia="Calibri" w:hAnsi="Arial" w:cs="Arial"/>
          <w:sz w:val="20"/>
          <w:szCs w:val="20"/>
        </w:rPr>
      </w:pPr>
    </w:p>
    <w:p w14:paraId="0C5BAC50" w14:textId="77777777" w:rsidR="00F47081" w:rsidRDefault="00F47081" w:rsidP="00F47081">
      <w:pPr>
        <w:spacing w:after="0" w:line="240" w:lineRule="auto"/>
        <w:contextualSpacing/>
        <w:jc w:val="both"/>
        <w:rPr>
          <w:rFonts w:ascii="Arial" w:eastAsia="Calibri" w:hAnsi="Arial" w:cs="Arial"/>
          <w:sz w:val="20"/>
          <w:szCs w:val="20"/>
        </w:rPr>
      </w:pPr>
    </w:p>
    <w:p w14:paraId="33EE3010" w14:textId="77777777" w:rsidR="00F47081" w:rsidRDefault="00F47081" w:rsidP="00F47081">
      <w:pPr>
        <w:spacing w:after="0" w:line="240" w:lineRule="auto"/>
        <w:contextualSpacing/>
        <w:jc w:val="both"/>
        <w:rPr>
          <w:rFonts w:ascii="Arial" w:eastAsia="Calibri" w:hAnsi="Arial" w:cs="Arial"/>
          <w:sz w:val="20"/>
          <w:szCs w:val="20"/>
        </w:rPr>
      </w:pPr>
    </w:p>
    <w:p w14:paraId="53B695BA" w14:textId="77777777" w:rsidR="00F47081" w:rsidRDefault="00F47081" w:rsidP="00F47081">
      <w:pPr>
        <w:spacing w:after="0" w:line="240" w:lineRule="auto"/>
        <w:contextualSpacing/>
        <w:jc w:val="both"/>
        <w:rPr>
          <w:rFonts w:ascii="Arial" w:eastAsia="Calibri" w:hAnsi="Arial" w:cs="Arial"/>
          <w:sz w:val="20"/>
          <w:szCs w:val="20"/>
        </w:rPr>
      </w:pPr>
    </w:p>
    <w:p w14:paraId="1E9AD817" w14:textId="77777777" w:rsidR="00F47081" w:rsidRDefault="00F47081" w:rsidP="00F47081">
      <w:pPr>
        <w:spacing w:after="0" w:line="240" w:lineRule="auto"/>
        <w:contextualSpacing/>
        <w:jc w:val="both"/>
        <w:rPr>
          <w:rFonts w:ascii="Arial" w:eastAsia="Calibri" w:hAnsi="Arial" w:cs="Arial"/>
          <w:sz w:val="20"/>
          <w:szCs w:val="20"/>
        </w:rPr>
      </w:pPr>
    </w:p>
    <w:p w14:paraId="3560A3D4" w14:textId="77777777" w:rsidR="00F47081" w:rsidRDefault="00F47081" w:rsidP="00F47081">
      <w:pPr>
        <w:spacing w:after="0" w:line="240" w:lineRule="auto"/>
        <w:contextualSpacing/>
        <w:jc w:val="both"/>
        <w:rPr>
          <w:rFonts w:ascii="Arial" w:eastAsia="Calibri" w:hAnsi="Arial" w:cs="Arial"/>
          <w:sz w:val="20"/>
          <w:szCs w:val="20"/>
        </w:rPr>
      </w:pPr>
    </w:p>
    <w:p w14:paraId="5779BBB4" w14:textId="77777777" w:rsidR="00F47081" w:rsidRDefault="00F47081" w:rsidP="00F47081">
      <w:pPr>
        <w:spacing w:after="0" w:line="240" w:lineRule="auto"/>
        <w:contextualSpacing/>
        <w:jc w:val="both"/>
        <w:rPr>
          <w:rFonts w:ascii="Arial" w:eastAsia="Calibri" w:hAnsi="Arial" w:cs="Arial"/>
          <w:sz w:val="20"/>
          <w:szCs w:val="20"/>
        </w:rPr>
      </w:pPr>
    </w:p>
    <w:p w14:paraId="7422D15D" w14:textId="77777777" w:rsidR="00F47081" w:rsidRDefault="00F47081" w:rsidP="00F47081">
      <w:pPr>
        <w:spacing w:after="0" w:line="240" w:lineRule="auto"/>
        <w:contextualSpacing/>
        <w:jc w:val="both"/>
        <w:rPr>
          <w:rFonts w:ascii="Arial" w:eastAsia="Calibri" w:hAnsi="Arial" w:cs="Arial"/>
          <w:sz w:val="20"/>
          <w:szCs w:val="20"/>
        </w:rPr>
      </w:pPr>
    </w:p>
    <w:p w14:paraId="76C6C8FB" w14:textId="45D28F99" w:rsidR="00F47081" w:rsidRDefault="00F47081" w:rsidP="00F47081">
      <w:pPr>
        <w:spacing w:after="0" w:line="240" w:lineRule="auto"/>
        <w:contextualSpacing/>
        <w:jc w:val="both"/>
        <w:rPr>
          <w:rFonts w:ascii="Arial" w:eastAsia="Calibri" w:hAnsi="Arial" w:cs="Arial"/>
          <w:sz w:val="20"/>
          <w:szCs w:val="20"/>
        </w:rPr>
      </w:pPr>
      <w:r>
        <w:rPr>
          <w:rFonts w:ascii="Arial" w:eastAsia="Calibri" w:hAnsi="Arial" w:cs="Arial"/>
          <w:sz w:val="20"/>
          <w:szCs w:val="20"/>
        </w:rPr>
        <w:t>Cilji</w:t>
      </w:r>
      <w:r w:rsidR="0096460F">
        <w:rPr>
          <w:rFonts w:ascii="Arial" w:eastAsia="Calibri" w:hAnsi="Arial" w:cs="Arial"/>
          <w:sz w:val="20"/>
          <w:szCs w:val="20"/>
        </w:rPr>
        <w:t xml:space="preserve"> (prilagojeno za dostopnost): </w:t>
      </w:r>
    </w:p>
    <w:p w14:paraId="39DBB387" w14:textId="2ADC1B72" w:rsidR="0096460F" w:rsidRDefault="0096460F" w:rsidP="0096460F">
      <w:pPr>
        <w:pStyle w:val="Odstavekseznama"/>
        <w:numPr>
          <w:ilvl w:val="0"/>
          <w:numId w:val="40"/>
        </w:numPr>
        <w:spacing w:after="0" w:line="240" w:lineRule="auto"/>
        <w:jc w:val="both"/>
        <w:rPr>
          <w:rFonts w:ascii="Arial" w:eastAsia="Calibri" w:hAnsi="Arial" w:cs="Arial"/>
          <w:sz w:val="20"/>
          <w:szCs w:val="20"/>
        </w:rPr>
      </w:pPr>
      <w:r w:rsidRPr="0096460F">
        <w:rPr>
          <w:rFonts w:ascii="Arial" w:eastAsia="Calibri" w:hAnsi="Arial" w:cs="Arial"/>
          <w:sz w:val="20"/>
          <w:szCs w:val="20"/>
        </w:rPr>
        <w:t>Do leta 2030 vsaj 50% podjetij iz verige vrednosti v gradbenem sektorju, ki uporablja BIM metodo v kombinaciji z naprednimi digitalnimi tehnologijami</w:t>
      </w:r>
    </w:p>
    <w:p w14:paraId="5915C080" w14:textId="0700DDCC" w:rsidR="0096460F" w:rsidRDefault="0096460F" w:rsidP="0096460F">
      <w:pPr>
        <w:pStyle w:val="Odstavekseznama"/>
        <w:numPr>
          <w:ilvl w:val="0"/>
          <w:numId w:val="40"/>
        </w:numPr>
        <w:spacing w:after="0" w:line="240" w:lineRule="auto"/>
        <w:jc w:val="both"/>
        <w:rPr>
          <w:rFonts w:ascii="Arial" w:eastAsia="Calibri" w:hAnsi="Arial" w:cs="Arial"/>
          <w:sz w:val="20"/>
          <w:szCs w:val="20"/>
        </w:rPr>
      </w:pPr>
      <w:r w:rsidRPr="0096460F">
        <w:rPr>
          <w:rFonts w:ascii="Arial" w:eastAsia="Calibri" w:hAnsi="Arial" w:cs="Arial"/>
          <w:sz w:val="20"/>
          <w:szCs w:val="20"/>
        </w:rPr>
        <w:t>Do leta 2030 vsaj 50% podjetij iz verige vrednosti gradbenega sektorja, ki uporablja digitalno</w:t>
      </w:r>
    </w:p>
    <w:p w14:paraId="474989DD" w14:textId="5D10C357" w:rsidR="0096460F" w:rsidRPr="0096460F" w:rsidRDefault="0096460F" w:rsidP="0096460F">
      <w:pPr>
        <w:pStyle w:val="Odstavekseznama"/>
        <w:numPr>
          <w:ilvl w:val="0"/>
          <w:numId w:val="40"/>
        </w:numPr>
        <w:spacing w:after="0" w:line="240" w:lineRule="auto"/>
        <w:jc w:val="both"/>
        <w:rPr>
          <w:rFonts w:ascii="Arial" w:eastAsia="Calibri" w:hAnsi="Arial" w:cs="Arial"/>
          <w:sz w:val="20"/>
          <w:szCs w:val="20"/>
        </w:rPr>
      </w:pPr>
      <w:r w:rsidRPr="0096460F">
        <w:rPr>
          <w:rFonts w:ascii="Arial" w:eastAsia="Calibri" w:hAnsi="Arial" w:cs="Arial"/>
          <w:sz w:val="20"/>
          <w:szCs w:val="20"/>
        </w:rPr>
        <w:t>Do leta 2025 vsaj 50% podjetij vklučenih v platformo z namenom uporabe storitve hibridnega oblaka</w:t>
      </w:r>
    </w:p>
    <w:p w14:paraId="43192A1D" w14:textId="77777777" w:rsidR="00F47081" w:rsidRDefault="00F47081" w:rsidP="00F47081">
      <w:pPr>
        <w:spacing w:after="0" w:line="240" w:lineRule="auto"/>
        <w:contextualSpacing/>
        <w:jc w:val="both"/>
        <w:rPr>
          <w:rFonts w:ascii="Arial" w:eastAsia="Calibri" w:hAnsi="Arial" w:cs="Arial"/>
          <w:sz w:val="20"/>
          <w:szCs w:val="20"/>
        </w:rPr>
      </w:pPr>
    </w:p>
    <w:p w14:paraId="377167C9" w14:textId="3B146E63" w:rsidR="00F47081" w:rsidRDefault="00F47081" w:rsidP="00F47081">
      <w:pPr>
        <w:spacing w:after="0" w:line="240" w:lineRule="auto"/>
        <w:contextualSpacing/>
        <w:jc w:val="both"/>
        <w:rPr>
          <w:rFonts w:ascii="Arial" w:eastAsia="Calibri" w:hAnsi="Arial" w:cs="Arial"/>
          <w:sz w:val="20"/>
          <w:szCs w:val="20"/>
        </w:rPr>
      </w:pPr>
    </w:p>
    <w:p w14:paraId="14A76E47" w14:textId="5D82686E" w:rsidR="00F47081" w:rsidRDefault="00E845DF" w:rsidP="00F47081">
      <w:pPr>
        <w:spacing w:after="0" w:line="240" w:lineRule="auto"/>
        <w:contextualSpacing/>
        <w:jc w:val="both"/>
        <w:rPr>
          <w:rFonts w:ascii="Arial" w:eastAsia="Calibri" w:hAnsi="Arial" w:cs="Arial"/>
          <w:sz w:val="20"/>
          <w:szCs w:val="20"/>
        </w:rPr>
      </w:pPr>
      <w:r>
        <w:rPr>
          <w:rFonts w:ascii="Arial" w:eastAsia="Calibri" w:hAnsi="Arial" w:cs="Arial"/>
          <w:sz w:val="20"/>
          <w:szCs w:val="20"/>
        </w:rPr>
        <w:t>Vrednost: 1.000.000,00 EUR</w:t>
      </w:r>
    </w:p>
    <w:p w14:paraId="09638FB8" w14:textId="77777777" w:rsidR="0096460F" w:rsidRDefault="0096460F" w:rsidP="0096460F">
      <w:pPr>
        <w:jc w:val="both"/>
        <w:rPr>
          <w:rFonts w:ascii="Arial" w:eastAsia="Calibri" w:hAnsi="Arial" w:cs="Times New Roman"/>
          <w:sz w:val="20"/>
          <w:szCs w:val="20"/>
        </w:rPr>
      </w:pPr>
      <w:r>
        <w:rPr>
          <w:rFonts w:ascii="Arial" w:eastAsia="Calibri" w:hAnsi="Arial" w:cs="Times New Roman"/>
          <w:sz w:val="20"/>
          <w:szCs w:val="20"/>
        </w:rPr>
        <w:t xml:space="preserve">Možni ključni kazalniki uspešnosti: </w:t>
      </w:r>
    </w:p>
    <w:p w14:paraId="4B8D3679" w14:textId="77777777" w:rsidR="0096460F" w:rsidRDefault="0096460F" w:rsidP="0096460F">
      <w:pPr>
        <w:pStyle w:val="Odstavekseznama"/>
        <w:numPr>
          <w:ilvl w:val="0"/>
          <w:numId w:val="10"/>
        </w:numPr>
        <w:jc w:val="both"/>
        <w:rPr>
          <w:rFonts w:ascii="Arial" w:eastAsia="Calibri" w:hAnsi="Arial" w:cs="Times New Roman"/>
          <w:sz w:val="20"/>
          <w:szCs w:val="20"/>
        </w:rPr>
      </w:pPr>
      <w:r>
        <w:rPr>
          <w:rFonts w:ascii="Arial" w:eastAsia="Calibri" w:hAnsi="Arial" w:cs="Times New Roman"/>
          <w:sz w:val="20"/>
          <w:szCs w:val="20"/>
        </w:rPr>
        <w:t>odstotek prihranka pri materialih</w:t>
      </w:r>
    </w:p>
    <w:p w14:paraId="036F9561" w14:textId="77777777" w:rsidR="0096460F" w:rsidRDefault="0096460F" w:rsidP="0096460F">
      <w:pPr>
        <w:pStyle w:val="Odstavekseznama"/>
        <w:numPr>
          <w:ilvl w:val="0"/>
          <w:numId w:val="10"/>
        </w:numPr>
        <w:jc w:val="both"/>
        <w:rPr>
          <w:rFonts w:ascii="Arial" w:eastAsia="Calibri" w:hAnsi="Arial" w:cs="Times New Roman"/>
          <w:sz w:val="20"/>
          <w:szCs w:val="20"/>
        </w:rPr>
      </w:pPr>
      <w:r>
        <w:rPr>
          <w:rFonts w:ascii="Arial" w:eastAsia="Calibri" w:hAnsi="Arial" w:cs="Times New Roman"/>
          <w:sz w:val="20"/>
          <w:szCs w:val="20"/>
        </w:rPr>
        <w:t>odstotek ponovno uporabljenih materialov</w:t>
      </w:r>
    </w:p>
    <w:p w14:paraId="6AC26069" w14:textId="77777777" w:rsidR="0096460F" w:rsidRPr="007D7B50" w:rsidRDefault="0096460F" w:rsidP="0096460F">
      <w:pPr>
        <w:pStyle w:val="Odstavekseznama"/>
        <w:numPr>
          <w:ilvl w:val="0"/>
          <w:numId w:val="10"/>
        </w:numPr>
        <w:jc w:val="both"/>
        <w:rPr>
          <w:rFonts w:ascii="Arial" w:eastAsia="Calibri" w:hAnsi="Arial" w:cs="Times New Roman"/>
          <w:sz w:val="20"/>
          <w:szCs w:val="20"/>
        </w:rPr>
      </w:pPr>
      <w:r>
        <w:rPr>
          <w:rFonts w:ascii="Arial" w:eastAsia="Calibri" w:hAnsi="Arial" w:cs="Times New Roman"/>
          <w:sz w:val="20"/>
          <w:szCs w:val="20"/>
        </w:rPr>
        <w:t>odstotek znižanja porabe energije</w:t>
      </w:r>
      <w:r w:rsidRPr="007D7B50">
        <w:rPr>
          <w:rFonts w:ascii="Arial" w:eastAsia="Calibri" w:hAnsi="Arial" w:cs="Times New Roman"/>
          <w:sz w:val="20"/>
          <w:szCs w:val="20"/>
        </w:rPr>
        <w:t xml:space="preserve"> </w:t>
      </w:r>
    </w:p>
    <w:p w14:paraId="3DF9827F" w14:textId="77777777" w:rsidR="0096460F" w:rsidRDefault="0096460F" w:rsidP="0096460F">
      <w:pPr>
        <w:pStyle w:val="Odstavekseznama"/>
        <w:numPr>
          <w:ilvl w:val="0"/>
          <w:numId w:val="10"/>
        </w:numPr>
        <w:jc w:val="both"/>
        <w:rPr>
          <w:rFonts w:ascii="Arial" w:eastAsia="Calibri" w:hAnsi="Arial" w:cs="Times New Roman"/>
          <w:sz w:val="20"/>
          <w:szCs w:val="20"/>
        </w:rPr>
      </w:pPr>
      <w:r>
        <w:rPr>
          <w:rFonts w:ascii="Arial" w:eastAsia="Calibri" w:hAnsi="Arial" w:cs="Times New Roman"/>
          <w:sz w:val="20"/>
          <w:szCs w:val="20"/>
        </w:rPr>
        <w:t>odstotek</w:t>
      </w:r>
      <w:r w:rsidRPr="007D7B50">
        <w:rPr>
          <w:rFonts w:ascii="Arial" w:eastAsia="Calibri" w:hAnsi="Arial" w:cs="Times New Roman"/>
          <w:sz w:val="20"/>
          <w:szCs w:val="20"/>
        </w:rPr>
        <w:t xml:space="preserve"> zmanjšanj</w:t>
      </w:r>
      <w:r>
        <w:rPr>
          <w:rFonts w:ascii="Arial" w:eastAsia="Calibri" w:hAnsi="Arial" w:cs="Times New Roman"/>
          <w:sz w:val="20"/>
          <w:szCs w:val="20"/>
        </w:rPr>
        <w:t>a</w:t>
      </w:r>
      <w:r w:rsidRPr="007D7B50">
        <w:rPr>
          <w:rFonts w:ascii="Arial" w:eastAsia="Calibri" w:hAnsi="Arial" w:cs="Times New Roman"/>
          <w:sz w:val="20"/>
          <w:szCs w:val="20"/>
        </w:rPr>
        <w:t xml:space="preserve"> napak</w:t>
      </w:r>
    </w:p>
    <w:p w14:paraId="281020A0" w14:textId="77777777" w:rsidR="0096460F" w:rsidRDefault="0096460F" w:rsidP="0096460F">
      <w:pPr>
        <w:pStyle w:val="Odstavekseznama"/>
        <w:numPr>
          <w:ilvl w:val="0"/>
          <w:numId w:val="10"/>
        </w:numPr>
        <w:jc w:val="both"/>
        <w:rPr>
          <w:rFonts w:ascii="Arial" w:eastAsia="Calibri" w:hAnsi="Arial" w:cs="Times New Roman"/>
          <w:sz w:val="20"/>
          <w:szCs w:val="20"/>
        </w:rPr>
      </w:pPr>
      <w:r>
        <w:rPr>
          <w:rFonts w:ascii="Arial" w:eastAsia="Calibri" w:hAnsi="Arial" w:cs="Times New Roman"/>
          <w:sz w:val="20"/>
          <w:szCs w:val="20"/>
        </w:rPr>
        <w:t xml:space="preserve">odstotek zmanjšanja </w:t>
      </w:r>
      <w:r w:rsidRPr="00EE33D9">
        <w:rPr>
          <w:rFonts w:ascii="Arial" w:eastAsia="Calibri" w:hAnsi="Arial" w:cs="Times New Roman"/>
          <w:sz w:val="20"/>
          <w:szCs w:val="20"/>
        </w:rPr>
        <w:t>števila projektnih sprememb</w:t>
      </w:r>
    </w:p>
    <w:p w14:paraId="0DC04F7A" w14:textId="77777777" w:rsidR="0096460F" w:rsidRDefault="0096460F" w:rsidP="0096460F">
      <w:pPr>
        <w:pStyle w:val="Odstavekseznama"/>
        <w:numPr>
          <w:ilvl w:val="0"/>
          <w:numId w:val="10"/>
        </w:numPr>
        <w:jc w:val="both"/>
        <w:rPr>
          <w:rFonts w:ascii="Arial" w:eastAsia="Calibri" w:hAnsi="Arial" w:cs="Times New Roman"/>
          <w:sz w:val="20"/>
          <w:szCs w:val="20"/>
        </w:rPr>
      </w:pPr>
      <w:r>
        <w:rPr>
          <w:rFonts w:ascii="Arial" w:eastAsia="Calibri" w:hAnsi="Arial" w:cs="Times New Roman"/>
          <w:sz w:val="20"/>
          <w:szCs w:val="20"/>
        </w:rPr>
        <w:t>odstotek znižanja stroškov gradnje</w:t>
      </w:r>
    </w:p>
    <w:p w14:paraId="25B5BB63" w14:textId="77777777" w:rsidR="0096460F" w:rsidRDefault="0096460F" w:rsidP="0096460F">
      <w:pPr>
        <w:pStyle w:val="Odstavekseznama"/>
        <w:numPr>
          <w:ilvl w:val="0"/>
          <w:numId w:val="10"/>
        </w:numPr>
        <w:jc w:val="both"/>
        <w:rPr>
          <w:rFonts w:ascii="Arial" w:eastAsia="Calibri" w:hAnsi="Arial" w:cs="Times New Roman"/>
          <w:sz w:val="20"/>
          <w:szCs w:val="20"/>
        </w:rPr>
      </w:pPr>
      <w:r>
        <w:rPr>
          <w:rFonts w:ascii="Arial" w:eastAsia="Calibri" w:hAnsi="Arial" w:cs="Times New Roman"/>
          <w:sz w:val="20"/>
          <w:szCs w:val="20"/>
        </w:rPr>
        <w:t>odstotek zmanjšanja časa za izvedbo projekta</w:t>
      </w:r>
    </w:p>
    <w:p w14:paraId="47E2840E" w14:textId="77777777" w:rsidR="0096460F" w:rsidRDefault="0096460F" w:rsidP="0096460F">
      <w:pPr>
        <w:pStyle w:val="Odstavekseznama"/>
        <w:numPr>
          <w:ilvl w:val="0"/>
          <w:numId w:val="10"/>
        </w:numPr>
        <w:jc w:val="both"/>
        <w:rPr>
          <w:rFonts w:ascii="Arial" w:eastAsia="Calibri" w:hAnsi="Arial" w:cs="Times New Roman"/>
          <w:sz w:val="20"/>
          <w:szCs w:val="20"/>
        </w:rPr>
      </w:pPr>
      <w:r>
        <w:rPr>
          <w:rFonts w:ascii="Arial" w:eastAsia="Calibri" w:hAnsi="Arial" w:cs="Times New Roman"/>
          <w:sz w:val="20"/>
          <w:szCs w:val="20"/>
        </w:rPr>
        <w:t>odstotek povečanja natančnosti napovedi</w:t>
      </w:r>
    </w:p>
    <w:p w14:paraId="57F0E4AD" w14:textId="77777777" w:rsidR="0096460F" w:rsidRDefault="0096460F" w:rsidP="0096460F">
      <w:pPr>
        <w:pStyle w:val="Odstavekseznama"/>
        <w:numPr>
          <w:ilvl w:val="0"/>
          <w:numId w:val="10"/>
        </w:numPr>
        <w:jc w:val="both"/>
        <w:rPr>
          <w:rFonts w:ascii="Arial" w:eastAsia="Calibri" w:hAnsi="Arial" w:cs="Times New Roman"/>
          <w:sz w:val="20"/>
          <w:szCs w:val="20"/>
        </w:rPr>
      </w:pPr>
      <w:r>
        <w:rPr>
          <w:rFonts w:ascii="Arial" w:eastAsia="Calibri" w:hAnsi="Arial" w:cs="Times New Roman"/>
          <w:sz w:val="20"/>
          <w:szCs w:val="20"/>
        </w:rPr>
        <w:t>izboljšanje dostopa do novih trgov (% novih trgov)</w:t>
      </w:r>
    </w:p>
    <w:p w14:paraId="4F81A7A6" w14:textId="6DAF0B76" w:rsidR="0096460F" w:rsidRDefault="0096460F" w:rsidP="0096460F">
      <w:pPr>
        <w:pStyle w:val="Odstavekseznama"/>
        <w:numPr>
          <w:ilvl w:val="0"/>
          <w:numId w:val="10"/>
        </w:numPr>
        <w:jc w:val="both"/>
        <w:rPr>
          <w:rFonts w:ascii="Arial" w:eastAsia="Calibri" w:hAnsi="Arial" w:cs="Times New Roman"/>
          <w:sz w:val="20"/>
          <w:szCs w:val="20"/>
        </w:rPr>
      </w:pPr>
      <w:r>
        <w:rPr>
          <w:rFonts w:ascii="Arial" w:eastAsia="Calibri" w:hAnsi="Arial" w:cs="Times New Roman"/>
          <w:sz w:val="20"/>
          <w:szCs w:val="20"/>
        </w:rPr>
        <w:t xml:space="preserve">izboljšanje </w:t>
      </w:r>
      <w:r w:rsidRPr="00EE33D9">
        <w:rPr>
          <w:rFonts w:ascii="Arial" w:eastAsia="Calibri" w:hAnsi="Arial" w:cs="Times New Roman"/>
          <w:sz w:val="20"/>
          <w:szCs w:val="20"/>
        </w:rPr>
        <w:t>komunikacije med menedžerji in obl</w:t>
      </w:r>
      <w:r>
        <w:rPr>
          <w:rFonts w:ascii="Arial" w:eastAsia="Calibri" w:hAnsi="Arial" w:cs="Times New Roman"/>
          <w:sz w:val="20"/>
          <w:szCs w:val="20"/>
        </w:rPr>
        <w:t>ikovalci</w:t>
      </w:r>
    </w:p>
    <w:p w14:paraId="6F57921E" w14:textId="778D71A2" w:rsidR="0096460F" w:rsidRDefault="0096460F" w:rsidP="0096460F">
      <w:pPr>
        <w:pStyle w:val="Odstavekseznama"/>
        <w:numPr>
          <w:ilvl w:val="0"/>
          <w:numId w:val="10"/>
        </w:numPr>
        <w:jc w:val="both"/>
        <w:rPr>
          <w:rFonts w:ascii="Arial" w:eastAsia="Calibri" w:hAnsi="Arial" w:cs="Times New Roman"/>
          <w:sz w:val="20"/>
          <w:szCs w:val="20"/>
        </w:rPr>
      </w:pPr>
      <w:r>
        <w:rPr>
          <w:rFonts w:ascii="Arial" w:eastAsia="Calibri" w:hAnsi="Arial" w:cs="Times New Roman"/>
          <w:sz w:val="20"/>
          <w:szCs w:val="20"/>
        </w:rPr>
        <w:t>izboljšana podoba podjetja</w:t>
      </w:r>
    </w:p>
    <w:p w14:paraId="763E4E9D" w14:textId="2D7834C7" w:rsidR="00F47081" w:rsidRPr="00A01EFA" w:rsidRDefault="00F47081" w:rsidP="0096460F">
      <w:pPr>
        <w:spacing w:after="0" w:line="240" w:lineRule="auto"/>
        <w:jc w:val="both"/>
        <w:rPr>
          <w:rFonts w:ascii="Arial" w:eastAsia="Calibri" w:hAnsi="Arial" w:cs="Times New Roman"/>
          <w:sz w:val="20"/>
          <w:szCs w:val="20"/>
        </w:rPr>
      </w:pPr>
    </w:p>
    <w:p w14:paraId="4F5ADF69" w14:textId="77777777" w:rsidR="00211048" w:rsidRDefault="00211048" w:rsidP="00211048">
      <w:pPr>
        <w:spacing w:after="0" w:line="240" w:lineRule="auto"/>
        <w:contextualSpacing/>
        <w:jc w:val="both"/>
        <w:rPr>
          <w:rFonts w:ascii="Arial" w:eastAsia="Calibri" w:hAnsi="Arial" w:cs="Times New Roman"/>
          <w:sz w:val="20"/>
        </w:rPr>
      </w:pPr>
    </w:p>
    <w:p w14:paraId="0926FF41" w14:textId="77777777" w:rsidR="00211048" w:rsidRPr="00D44340" w:rsidRDefault="00211048" w:rsidP="00D44340">
      <w:pPr>
        <w:pStyle w:val="Naslov2"/>
        <w:rPr>
          <w:rFonts w:ascii="Arial" w:eastAsia="Calibri" w:hAnsi="Arial" w:cs="Arial"/>
          <w:b/>
          <w:color w:val="70AD47" w:themeColor="accent6"/>
        </w:rPr>
      </w:pPr>
      <w:bookmarkStart w:id="38" w:name="_Toc102741401"/>
      <w:r w:rsidRPr="00D44340">
        <w:rPr>
          <w:rFonts w:ascii="Arial" w:hAnsi="Arial" w:cs="Arial"/>
          <w:b/>
          <w:color w:val="70AD47" w:themeColor="accent6"/>
        </w:rPr>
        <w:t xml:space="preserve">IV.4. </w:t>
      </w:r>
      <w:r w:rsidRPr="00D44340">
        <w:rPr>
          <w:rFonts w:ascii="Arial" w:eastAsia="Calibri" w:hAnsi="Arial" w:cs="Arial"/>
          <w:b/>
          <w:color w:val="70AD47" w:themeColor="accent6"/>
        </w:rPr>
        <w:t>Vzpostavitev testnega laboratorija za regulatorne rešitve za hitrejšo integracijo inovativnih tehnoloških rešitev v zakonodaji</w:t>
      </w:r>
      <w:bookmarkEnd w:id="38"/>
    </w:p>
    <w:p w14:paraId="381B283F" w14:textId="77777777" w:rsidR="00211048" w:rsidRDefault="00211048" w:rsidP="00211048">
      <w:pPr>
        <w:spacing w:after="0" w:line="240" w:lineRule="auto"/>
        <w:contextualSpacing/>
        <w:jc w:val="both"/>
        <w:rPr>
          <w:rFonts w:ascii="Arial" w:eastAsia="Calibri" w:hAnsi="Arial" w:cs="Times New Roman"/>
          <w:sz w:val="20"/>
        </w:rPr>
      </w:pPr>
    </w:p>
    <w:p w14:paraId="04E3C53E" w14:textId="77777777" w:rsidR="00A01EFA" w:rsidRPr="00A01EFA" w:rsidRDefault="00A01EFA" w:rsidP="00A01EFA">
      <w:pPr>
        <w:spacing w:after="0" w:line="240" w:lineRule="auto"/>
        <w:jc w:val="both"/>
        <w:rPr>
          <w:rFonts w:ascii="Arial" w:eastAsia="Calibri" w:hAnsi="Arial" w:cs="Times New Roman"/>
          <w:sz w:val="20"/>
          <w:szCs w:val="20"/>
        </w:rPr>
      </w:pPr>
    </w:p>
    <w:p w14:paraId="07B99D80" w14:textId="3FC7B8B6" w:rsidR="003C0A9D" w:rsidRDefault="00A01EFA" w:rsidP="00A01EFA">
      <w:pPr>
        <w:spacing w:after="0" w:line="240" w:lineRule="auto"/>
        <w:jc w:val="both"/>
        <w:rPr>
          <w:rFonts w:ascii="Arial" w:eastAsia="Calibri" w:hAnsi="Arial" w:cs="Times New Roman"/>
          <w:sz w:val="20"/>
          <w:szCs w:val="20"/>
        </w:rPr>
      </w:pPr>
      <w:r w:rsidRPr="00A01EFA">
        <w:rPr>
          <w:rFonts w:ascii="Arial" w:eastAsia="Calibri" w:hAnsi="Arial" w:cs="Times New Roman"/>
          <w:sz w:val="20"/>
          <w:szCs w:val="20"/>
        </w:rPr>
        <w:t>Vzpostavitev testnega laboratorija</w:t>
      </w:r>
      <w:r w:rsidR="00DB3847">
        <w:rPr>
          <w:rFonts w:ascii="Arial" w:eastAsia="Calibri" w:hAnsi="Arial" w:cs="Times New Roman"/>
          <w:sz w:val="20"/>
          <w:szCs w:val="20"/>
        </w:rPr>
        <w:t xml:space="preserve"> </w:t>
      </w:r>
      <w:r w:rsidRPr="00A01EFA">
        <w:rPr>
          <w:rFonts w:ascii="Arial" w:eastAsia="Calibri" w:hAnsi="Arial" w:cs="Times New Roman"/>
          <w:sz w:val="20"/>
          <w:szCs w:val="20"/>
        </w:rPr>
        <w:t>za regulatorne rešitve</w:t>
      </w:r>
      <w:r w:rsidR="00DB3847">
        <w:rPr>
          <w:rFonts w:ascii="Arial" w:eastAsia="Calibri" w:hAnsi="Arial" w:cs="Times New Roman"/>
          <w:sz w:val="20"/>
          <w:szCs w:val="20"/>
        </w:rPr>
        <w:t xml:space="preserve"> (ang. Sandbox ali regulatorni peskovnik)</w:t>
      </w:r>
      <w:r w:rsidR="00DB3847" w:rsidRPr="00A01EFA">
        <w:rPr>
          <w:rFonts w:ascii="Arial" w:eastAsia="Calibri" w:hAnsi="Arial" w:cs="Times New Roman"/>
          <w:sz w:val="20"/>
          <w:szCs w:val="20"/>
        </w:rPr>
        <w:t xml:space="preserve"> </w:t>
      </w:r>
      <w:r w:rsidRPr="00A01EFA">
        <w:rPr>
          <w:rFonts w:ascii="Arial" w:eastAsia="Calibri" w:hAnsi="Arial" w:cs="Times New Roman"/>
          <w:sz w:val="20"/>
          <w:szCs w:val="20"/>
        </w:rPr>
        <w:t xml:space="preserve"> je rešitev, s katero se skozi testiranje inovativnih tehnoloških rešitev v sodelovanju z regulatorji po preteku testnega obdobja ugotovi, ali je treba za integracijo inovativne tehnologije spremeniti obstoječo zakonodajo, ali pa je treba prilagoditi tehnološko rešitev na način, da bo ustrezala obstoječi zakonodaji na področju energetske učinkovitosti, obnovljivih virov energije, relevantne zakonodaje za področje krožnega gospodarstva, trajnostnega prometa ipd. </w:t>
      </w:r>
      <w:r w:rsidR="003C0A9D">
        <w:rPr>
          <w:rFonts w:ascii="Arial" w:eastAsia="Calibri" w:hAnsi="Arial" w:cs="Times New Roman"/>
          <w:sz w:val="20"/>
          <w:szCs w:val="20"/>
        </w:rPr>
        <w:t xml:space="preserve">Pri tem gre primarno za </w:t>
      </w:r>
      <w:r w:rsidR="003C0A9D" w:rsidRPr="003C0A9D">
        <w:rPr>
          <w:rFonts w:ascii="Arial" w:eastAsia="Calibri" w:hAnsi="Arial" w:cs="Times New Roman"/>
          <w:sz w:val="20"/>
          <w:szCs w:val="20"/>
        </w:rPr>
        <w:t xml:space="preserve">rešitve, ki podpirajo prehod v nizkoogljično </w:t>
      </w:r>
      <w:r w:rsidR="003C0A9D">
        <w:rPr>
          <w:rFonts w:ascii="Arial" w:eastAsia="Calibri" w:hAnsi="Arial" w:cs="Times New Roman"/>
          <w:sz w:val="20"/>
          <w:szCs w:val="20"/>
        </w:rPr>
        <w:t>krožno gospodarstvo.</w:t>
      </w:r>
      <w:r w:rsidR="003C0A9D" w:rsidRPr="003C0A9D">
        <w:rPr>
          <w:rFonts w:ascii="Arial" w:eastAsia="Calibri" w:hAnsi="Arial" w:cs="Times New Roman"/>
          <w:sz w:val="20"/>
          <w:szCs w:val="20"/>
        </w:rPr>
        <w:t xml:space="preserve"> </w:t>
      </w:r>
    </w:p>
    <w:p w14:paraId="1BA78AF8" w14:textId="77777777" w:rsidR="003C0A9D" w:rsidRDefault="003C0A9D" w:rsidP="00A01EFA">
      <w:pPr>
        <w:spacing w:after="0" w:line="240" w:lineRule="auto"/>
        <w:jc w:val="both"/>
        <w:rPr>
          <w:rFonts w:ascii="Arial" w:eastAsia="Calibri" w:hAnsi="Arial" w:cs="Times New Roman"/>
          <w:sz w:val="20"/>
          <w:szCs w:val="20"/>
        </w:rPr>
      </w:pPr>
    </w:p>
    <w:p w14:paraId="31129286" w14:textId="0FB130BD" w:rsidR="00A01EFA" w:rsidRPr="00A01EFA" w:rsidRDefault="00A01EFA" w:rsidP="00A01EFA">
      <w:pPr>
        <w:spacing w:after="0" w:line="240" w:lineRule="auto"/>
        <w:jc w:val="both"/>
        <w:rPr>
          <w:rFonts w:ascii="Arial" w:eastAsia="Calibri" w:hAnsi="Arial" w:cs="Times New Roman"/>
          <w:sz w:val="20"/>
          <w:szCs w:val="20"/>
        </w:rPr>
      </w:pPr>
      <w:r w:rsidRPr="00A01EFA">
        <w:rPr>
          <w:rFonts w:ascii="Arial" w:eastAsia="Calibri" w:hAnsi="Arial" w:cs="Times New Roman"/>
          <w:sz w:val="20"/>
          <w:szCs w:val="20"/>
        </w:rPr>
        <w:t xml:space="preserve">Za ta namen bo v prvem koraku vzpostavljen pravilnik za kandidiranje za obravnavo v testnem laboratoriju, opredeljeno bo časovno obdobje. S tem bomo povečali tako prilagodljivost zakonodaje novim tehnološkim zahtevam, kot tudi naslovili vso pripadajočo zakonodajo in regulatorni okvir, ki je s to zakonodajo povezan. </w:t>
      </w:r>
    </w:p>
    <w:p w14:paraId="308BDE98" w14:textId="77777777" w:rsidR="00A01EFA" w:rsidRPr="00A01EFA" w:rsidRDefault="00A01EFA" w:rsidP="00A01EFA">
      <w:pPr>
        <w:spacing w:after="0" w:line="240" w:lineRule="auto"/>
        <w:jc w:val="both"/>
        <w:rPr>
          <w:rFonts w:ascii="Arial" w:eastAsia="Calibri" w:hAnsi="Arial" w:cs="Times New Roman"/>
          <w:sz w:val="20"/>
          <w:szCs w:val="20"/>
        </w:rPr>
      </w:pPr>
    </w:p>
    <w:p w14:paraId="00E744BD" w14:textId="03D3A9B6" w:rsidR="00A01EFA" w:rsidRDefault="00A01EFA" w:rsidP="00A01EFA">
      <w:pPr>
        <w:spacing w:after="0" w:line="240" w:lineRule="auto"/>
        <w:jc w:val="both"/>
        <w:rPr>
          <w:rFonts w:ascii="Arial" w:eastAsia="Calibri" w:hAnsi="Arial" w:cs="Times New Roman"/>
          <w:sz w:val="20"/>
          <w:szCs w:val="20"/>
        </w:rPr>
      </w:pPr>
      <w:r w:rsidRPr="00A01EFA">
        <w:rPr>
          <w:rFonts w:ascii="Arial" w:eastAsia="Calibri" w:hAnsi="Arial" w:cs="Times New Roman"/>
          <w:sz w:val="20"/>
          <w:szCs w:val="20"/>
        </w:rPr>
        <w:t>Na drugi strani bo s testiranjem inovativnih tehnoloških rešitev v različnih fazah testiranja možno pridobiti povratno informacijo o ustreznosti tehnološke rešitve, ki jo razvija določeno podjetje. Še zlasti pomembno je naslavljanje novih tehnologij (uporaba podnebno-nevtralnega vodika, uporaba biomase in biotehnologij, zajemanje in uporaba ogljika, shranjevanje ogljika, hranilniki energije).</w:t>
      </w:r>
    </w:p>
    <w:p w14:paraId="6A2255E6" w14:textId="12E5E03B" w:rsidR="003C0A9D" w:rsidRDefault="003C0A9D" w:rsidP="00A01EFA">
      <w:pPr>
        <w:spacing w:after="0" w:line="240" w:lineRule="auto"/>
        <w:jc w:val="both"/>
        <w:rPr>
          <w:rFonts w:ascii="Arial" w:eastAsia="Calibri" w:hAnsi="Arial" w:cs="Times New Roman"/>
          <w:sz w:val="20"/>
          <w:szCs w:val="20"/>
        </w:rPr>
      </w:pPr>
    </w:p>
    <w:p w14:paraId="17D7EA03" w14:textId="0C5D63A3" w:rsidR="003C0A9D" w:rsidRPr="00A01EFA" w:rsidRDefault="003C0A9D" w:rsidP="00A01EFA">
      <w:pPr>
        <w:spacing w:after="0" w:line="240" w:lineRule="auto"/>
        <w:jc w:val="both"/>
        <w:rPr>
          <w:rFonts w:ascii="Arial" w:eastAsia="Calibri" w:hAnsi="Arial" w:cs="Times New Roman"/>
          <w:sz w:val="20"/>
          <w:szCs w:val="20"/>
        </w:rPr>
      </w:pPr>
      <w:r w:rsidRPr="003C0A9D">
        <w:rPr>
          <w:rFonts w:ascii="Arial" w:eastAsia="Calibri" w:hAnsi="Arial" w:cs="Times New Roman"/>
          <w:sz w:val="20"/>
          <w:szCs w:val="20"/>
        </w:rPr>
        <w:t>Z namenom poenotenja izraza in zagotavljanja večje razumljivosti funkcije tovrstnega testnega laboratorija, se v dokumentu uporablja izraz regulatorni peskovnik. Regulatorni peskovnik se bo izvajal v sklopu aktivnosti krovnega programa Laboratorija politik, ki je sestavni del Celovitega strateškega projekta razogljičenja Slovenije preko prehoda v krožno gospodarstvo.</w:t>
      </w:r>
    </w:p>
    <w:p w14:paraId="4344C021" w14:textId="77777777" w:rsidR="00A01EFA" w:rsidRPr="00A01EFA" w:rsidRDefault="00A01EFA" w:rsidP="00A01EFA">
      <w:pPr>
        <w:spacing w:after="0" w:line="240" w:lineRule="auto"/>
        <w:jc w:val="both"/>
        <w:rPr>
          <w:rFonts w:ascii="Arial" w:eastAsia="Calibri" w:hAnsi="Arial" w:cs="Times New Roman"/>
          <w:sz w:val="20"/>
          <w:szCs w:val="20"/>
        </w:rPr>
      </w:pPr>
    </w:p>
    <w:p w14:paraId="3F8B980B" w14:textId="34BE6DF9" w:rsidR="00A01EFA" w:rsidRDefault="00A01EFA" w:rsidP="00A01EFA">
      <w:pPr>
        <w:spacing w:after="0" w:line="240" w:lineRule="auto"/>
        <w:jc w:val="both"/>
        <w:rPr>
          <w:rFonts w:ascii="Arial" w:eastAsia="Calibri" w:hAnsi="Arial" w:cs="Times New Roman"/>
          <w:sz w:val="20"/>
        </w:rPr>
      </w:pPr>
      <w:r w:rsidRPr="00A01EFA">
        <w:rPr>
          <w:rFonts w:ascii="Arial" w:eastAsia="Calibri" w:hAnsi="Arial" w:cs="Times New Roman"/>
          <w:sz w:val="20"/>
          <w:szCs w:val="20"/>
        </w:rPr>
        <w:t xml:space="preserve">Člani </w:t>
      </w:r>
      <w:r w:rsidR="009560C8">
        <w:rPr>
          <w:rFonts w:ascii="Arial" w:eastAsia="Calibri" w:hAnsi="Arial" w:cs="Times New Roman"/>
          <w:sz w:val="20"/>
          <w:szCs w:val="20"/>
        </w:rPr>
        <w:t xml:space="preserve">regulatornega peskovnika </w:t>
      </w:r>
      <w:r w:rsidRPr="00A01EFA">
        <w:rPr>
          <w:rFonts w:ascii="Arial" w:eastAsia="Calibri" w:hAnsi="Arial" w:cs="Times New Roman"/>
          <w:sz w:val="20"/>
          <w:szCs w:val="20"/>
        </w:rPr>
        <w:t xml:space="preserve"> bodo tako predstavniki regulatornih organov, področni strokovnjaki in inovativna tehnološka podjetja, za katere bo s pravilnikom opredeljen postopek kandidiranja za testiranje v tem laboratoriju . V prvi fazi bodo obravnavane rešitve s področja energetske učinkovitosti v podjetjih, energetske učinkovitosti v navezavi na trajnostno mobilnost in krožno gospodarstvo, pri čemer se bomo ta ukrep izvajali v povezavi s programom Laboratorija politike iz Celovitega strateškega projekta razogljičenja Slovenije preko prehoda v krožno gospodarstvo. Z uvajanjem naprednih tehnologij bomo testn</w:t>
      </w:r>
      <w:r w:rsidR="0087587A">
        <w:rPr>
          <w:rFonts w:ascii="Arial" w:eastAsia="Calibri" w:hAnsi="Arial" w:cs="Times New Roman"/>
          <w:sz w:val="20"/>
          <w:szCs w:val="20"/>
        </w:rPr>
        <w:t xml:space="preserve">o argumentirali  tudi možnosti </w:t>
      </w:r>
      <w:r w:rsidRPr="00A01EFA">
        <w:rPr>
          <w:rFonts w:ascii="Arial" w:eastAsia="Calibri" w:hAnsi="Arial" w:cs="Times New Roman"/>
          <w:sz w:val="20"/>
          <w:szCs w:val="20"/>
        </w:rPr>
        <w:t>v navezavi na podpore, ki se lahko neposredno dodeljujejo tudi energetskim tehnologijam za proizvodne naprave, ki niso posebej zajete v uredbi o podporah, če izkoriščajo energetske vire, ki ustrezajo opredelitvi obnovljivih virov energije, ali energetske tehnologije in njihove kombinacije, ki ustrezajo opredelitvi soproizvodnje z visokim izkoristkom.</w:t>
      </w:r>
      <w:r w:rsidRPr="00A01EFA">
        <w:rPr>
          <w:rFonts w:ascii="Arial" w:eastAsia="Calibri" w:hAnsi="Arial" w:cs="Times New Roman"/>
          <w:sz w:val="20"/>
        </w:rPr>
        <w:t xml:space="preserve"> </w:t>
      </w:r>
    </w:p>
    <w:p w14:paraId="74DDC5B1" w14:textId="7BD38460" w:rsidR="00690EC8" w:rsidRDefault="00690EC8" w:rsidP="00A01EFA">
      <w:pPr>
        <w:spacing w:after="0" w:line="240" w:lineRule="auto"/>
        <w:jc w:val="both"/>
        <w:rPr>
          <w:rFonts w:ascii="Arial" w:eastAsia="Calibri" w:hAnsi="Arial" w:cs="Times New Roman"/>
          <w:sz w:val="20"/>
        </w:rPr>
      </w:pPr>
    </w:p>
    <w:p w14:paraId="6954AC12" w14:textId="77777777" w:rsidR="00A01EFA" w:rsidRPr="00A01EFA" w:rsidRDefault="00A01EFA" w:rsidP="00A01EFA">
      <w:pPr>
        <w:spacing w:after="0" w:line="240" w:lineRule="auto"/>
        <w:contextualSpacing/>
        <w:jc w:val="both"/>
        <w:rPr>
          <w:rFonts w:ascii="Arial" w:eastAsia="Arial" w:hAnsi="Arial" w:cs="Arial"/>
          <w:sz w:val="20"/>
          <w:u w:val="single"/>
          <w:lang w:eastAsia="sl-SI"/>
        </w:rPr>
      </w:pPr>
    </w:p>
    <w:p w14:paraId="705A12B7" w14:textId="2338330A" w:rsidR="00346E22" w:rsidRPr="00D44340" w:rsidRDefault="00346E22" w:rsidP="00D44340">
      <w:pPr>
        <w:pStyle w:val="Naslov3"/>
        <w:rPr>
          <w:rFonts w:ascii="Arial" w:eastAsia="Calibri" w:hAnsi="Arial" w:cs="Arial"/>
          <w:b/>
          <w:color w:val="70AD47" w:themeColor="accent6"/>
        </w:rPr>
      </w:pPr>
      <w:bookmarkStart w:id="39" w:name="_Toc102741402"/>
      <w:r w:rsidRPr="00D44340">
        <w:rPr>
          <w:rFonts w:ascii="Arial" w:eastAsia="Calibri" w:hAnsi="Arial" w:cs="Arial"/>
          <w:b/>
          <w:color w:val="70AD47" w:themeColor="accent6"/>
        </w:rPr>
        <w:t>IV.4.1  Okvir za vzpostavitev testnega laboratorija</w:t>
      </w:r>
      <w:bookmarkEnd w:id="39"/>
      <w:r w:rsidRPr="00D44340">
        <w:rPr>
          <w:rFonts w:ascii="Arial" w:eastAsia="Calibri" w:hAnsi="Arial" w:cs="Arial"/>
          <w:b/>
          <w:color w:val="70AD47" w:themeColor="accent6"/>
        </w:rPr>
        <w:t xml:space="preserve"> </w:t>
      </w:r>
    </w:p>
    <w:p w14:paraId="4A8CF110" w14:textId="77777777" w:rsidR="00346E22" w:rsidRDefault="00346E22" w:rsidP="00346E22">
      <w:pPr>
        <w:spacing w:after="0" w:line="240" w:lineRule="auto"/>
        <w:jc w:val="both"/>
        <w:rPr>
          <w:rFonts w:ascii="Arial" w:eastAsia="Calibri" w:hAnsi="Arial" w:cs="Times New Roman"/>
          <w:color w:val="538135" w:themeColor="accent6" w:themeShade="BF"/>
          <w:sz w:val="20"/>
          <w:szCs w:val="20"/>
        </w:rPr>
      </w:pPr>
    </w:p>
    <w:p w14:paraId="1C08D2F3" w14:textId="77777777" w:rsidR="00346E22" w:rsidRDefault="00A87285" w:rsidP="00346E22">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Ministrstvo za gospodarski razvoj in tehnologijo v skladu z reformnimi cilji Načrta za okrevanje in odpornost na področju naprednih digitalnih tehnologij spodbuja inovativne tehnološke rešitve z namenom povečanja učinkovitosti in uspešnosti obstoječih tehnologij, procesov in modelov, ki pa na drugi strani lahko vodijo v spremembo obstoječih pravil v regulatornih okoljih in prilagajanje obstoječe regulative novim tehnološkim izzivom. </w:t>
      </w:r>
    </w:p>
    <w:p w14:paraId="1991697B" w14:textId="77777777" w:rsidR="00A87285" w:rsidRDefault="00A87285" w:rsidP="00346E22">
      <w:pPr>
        <w:spacing w:after="0" w:line="240" w:lineRule="auto"/>
        <w:jc w:val="both"/>
        <w:rPr>
          <w:rFonts w:ascii="Arial" w:eastAsia="Calibri" w:hAnsi="Arial" w:cs="Times New Roman"/>
          <w:sz w:val="20"/>
          <w:szCs w:val="20"/>
        </w:rPr>
      </w:pPr>
    </w:p>
    <w:p w14:paraId="69203990" w14:textId="495CA665" w:rsidR="006C73D0" w:rsidRPr="00A01EFA" w:rsidRDefault="00A87285" w:rsidP="006C73D0">
      <w:pPr>
        <w:spacing w:after="0" w:line="240" w:lineRule="auto"/>
        <w:jc w:val="both"/>
        <w:rPr>
          <w:rFonts w:ascii="Arial" w:eastAsia="Calibri" w:hAnsi="Arial" w:cs="Times New Roman"/>
          <w:sz w:val="20"/>
        </w:rPr>
      </w:pPr>
      <w:r>
        <w:rPr>
          <w:rFonts w:ascii="Arial" w:eastAsia="Calibri" w:hAnsi="Arial" w:cs="Times New Roman"/>
          <w:sz w:val="20"/>
          <w:szCs w:val="20"/>
        </w:rPr>
        <w:t xml:space="preserve">Z namenom doseganja tega cilja se vzpostavi regulatorni peskovnik, kamor vstopajo podjetja z namenom eksperimentiranja in testiranja inovativnih rešitev v produkcijskem okolju ter z jasno določenim trajanjem in mestom izvajanja testiranja. </w:t>
      </w:r>
    </w:p>
    <w:p w14:paraId="7A8845CF" w14:textId="77777777" w:rsidR="00A87285" w:rsidRDefault="00A87285" w:rsidP="00346E22">
      <w:pPr>
        <w:spacing w:after="0" w:line="240" w:lineRule="auto"/>
        <w:jc w:val="both"/>
        <w:rPr>
          <w:rFonts w:ascii="Arial" w:eastAsia="Calibri" w:hAnsi="Arial" w:cs="Times New Roman"/>
          <w:sz w:val="20"/>
          <w:szCs w:val="20"/>
        </w:rPr>
      </w:pPr>
    </w:p>
    <w:p w14:paraId="4B013F08" w14:textId="77777777" w:rsidR="00CA2121" w:rsidRDefault="00A87285" w:rsidP="00346E22">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Ministrstvo za gospodarski razvoj in tehnologijo opredeli posebne pravne in regulatorne zahteve za obravnavo posameznega inovativnega tehnološkega projekta oziroma rešitve, ki temelji na naprednih digitalnih tehnologijah. </w:t>
      </w:r>
      <w:r w:rsidR="00C56801">
        <w:rPr>
          <w:rFonts w:ascii="Arial" w:eastAsia="Calibri" w:hAnsi="Arial" w:cs="Times New Roman"/>
          <w:sz w:val="20"/>
          <w:szCs w:val="20"/>
        </w:rPr>
        <w:t xml:space="preserve">Zahteve za vstop so lahko na primer zahteve po zaupnosti o prijavitelju, zahteve po integriteti, preprečevanju pranja denarja ipd. Zahteve za to, da se inovativna tehnološka rešitev lahko prične testirati, pa so na primer finančno stanje podjetja (sredstva, s katerimi razpolaga, kreditni rating, solventnost, minimalna likvidnostna </w:t>
      </w:r>
      <w:r w:rsidR="00CA2121">
        <w:rPr>
          <w:rFonts w:ascii="Arial" w:eastAsia="Calibri" w:hAnsi="Arial" w:cs="Times New Roman"/>
          <w:sz w:val="20"/>
          <w:szCs w:val="20"/>
        </w:rPr>
        <w:t xml:space="preserve">sredstva), izkušnje z vodenjem in upravljanjem, relativna velikost, reference ipd. Obrazec za vstop in pričetek testiranja je v Prilogi XX k temu dokumentu. </w:t>
      </w:r>
    </w:p>
    <w:p w14:paraId="09DC03C1" w14:textId="77777777" w:rsidR="00CA2121" w:rsidRDefault="00CA2121" w:rsidP="00346E22">
      <w:pPr>
        <w:spacing w:after="0" w:line="240" w:lineRule="auto"/>
        <w:jc w:val="both"/>
        <w:rPr>
          <w:rFonts w:ascii="Arial" w:eastAsia="Calibri" w:hAnsi="Arial" w:cs="Times New Roman"/>
          <w:sz w:val="20"/>
          <w:szCs w:val="20"/>
        </w:rPr>
      </w:pPr>
    </w:p>
    <w:p w14:paraId="5888C187" w14:textId="02684AD6" w:rsidR="007E1F35" w:rsidRDefault="00CA2121" w:rsidP="005E2ED1">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Po odobritvi vstopa in sprejemu v testiranje, prijavitelj </w:t>
      </w:r>
      <w:r w:rsidR="00C725DB">
        <w:rPr>
          <w:rFonts w:ascii="Arial" w:eastAsia="Calibri" w:hAnsi="Arial" w:cs="Times New Roman"/>
          <w:sz w:val="20"/>
          <w:szCs w:val="20"/>
        </w:rPr>
        <w:t xml:space="preserve">postane predmet obravnave v testnem laboratoriju. </w:t>
      </w:r>
      <w:r w:rsidR="009560C8">
        <w:rPr>
          <w:rFonts w:ascii="Arial" w:eastAsia="Calibri" w:hAnsi="Arial" w:cs="Times New Roman"/>
          <w:sz w:val="20"/>
          <w:szCs w:val="20"/>
        </w:rPr>
        <w:t xml:space="preserve">Pred tem je treba pri regulatorju preveriti možnosti, ali se lahko </w:t>
      </w:r>
      <w:r w:rsidR="00C725DB">
        <w:rPr>
          <w:rFonts w:ascii="Arial" w:eastAsia="Calibri" w:hAnsi="Arial" w:cs="Times New Roman"/>
          <w:sz w:val="20"/>
          <w:szCs w:val="20"/>
        </w:rPr>
        <w:t xml:space="preserve"> se zaveže, da bo v času testiranja</w:t>
      </w:r>
      <w:r>
        <w:rPr>
          <w:rFonts w:ascii="Arial" w:eastAsia="Calibri" w:hAnsi="Arial" w:cs="Times New Roman"/>
          <w:sz w:val="20"/>
          <w:szCs w:val="20"/>
        </w:rPr>
        <w:t xml:space="preserve"> </w:t>
      </w:r>
      <w:r w:rsidR="005E2ED1">
        <w:rPr>
          <w:rFonts w:ascii="Arial" w:eastAsia="Calibri" w:hAnsi="Arial" w:cs="Times New Roman"/>
          <w:sz w:val="20"/>
          <w:szCs w:val="20"/>
        </w:rPr>
        <w:t xml:space="preserve">za to podjetje/projekt sprostil regulatorne zahteve, ki so povezane s predmetom inovativnega projekta, ki bi sicer za projekt/podjetje veljale, če ne bi bil predmet obravnave v regulatornem peskovniku. </w:t>
      </w:r>
    </w:p>
    <w:p w14:paraId="11753DA6" w14:textId="77777777" w:rsidR="007E1F35" w:rsidRDefault="007E1F35" w:rsidP="005E2ED1">
      <w:pPr>
        <w:spacing w:after="0" w:line="240" w:lineRule="auto"/>
        <w:jc w:val="both"/>
        <w:rPr>
          <w:rFonts w:ascii="Arial" w:eastAsia="Calibri" w:hAnsi="Arial" w:cs="Times New Roman"/>
          <w:sz w:val="20"/>
          <w:szCs w:val="20"/>
        </w:rPr>
      </w:pPr>
    </w:p>
    <w:p w14:paraId="59CAC878" w14:textId="760B948F" w:rsidR="00D9225C" w:rsidRDefault="007E1F35" w:rsidP="005E2ED1">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Po uspešno zaključenem testiranju in izhodu iz </w:t>
      </w:r>
      <w:r w:rsidR="009560C8">
        <w:rPr>
          <w:rFonts w:ascii="Arial" w:eastAsia="Calibri" w:hAnsi="Arial" w:cs="Times New Roman"/>
          <w:sz w:val="20"/>
          <w:szCs w:val="20"/>
        </w:rPr>
        <w:t>regulatornega peskovnika</w:t>
      </w:r>
      <w:r>
        <w:rPr>
          <w:rFonts w:ascii="Arial" w:eastAsia="Calibri" w:hAnsi="Arial" w:cs="Times New Roman"/>
          <w:sz w:val="20"/>
          <w:szCs w:val="20"/>
        </w:rPr>
        <w:t xml:space="preserve"> mora biti delovanje podjetja/projekta v celoti skladno z zakonodajo in regulatornimi zahtevami. </w:t>
      </w:r>
    </w:p>
    <w:p w14:paraId="53798227" w14:textId="77777777" w:rsidR="007E1F35" w:rsidRDefault="007E1F35" w:rsidP="005E2ED1">
      <w:pPr>
        <w:spacing w:after="0" w:line="240" w:lineRule="auto"/>
        <w:jc w:val="both"/>
        <w:rPr>
          <w:rFonts w:ascii="Arial" w:eastAsia="Calibri" w:hAnsi="Arial" w:cs="Times New Roman"/>
          <w:sz w:val="20"/>
          <w:szCs w:val="20"/>
        </w:rPr>
      </w:pPr>
    </w:p>
    <w:p w14:paraId="7782F4D8" w14:textId="77777777" w:rsidR="007E1F35" w:rsidRDefault="007E1F35" w:rsidP="005E2ED1">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Ciljna skupina: inovativna podjetja/projekti, ki razvijajo tehnološke rešitve in napredne (digitalne) tehnologije oziroma uporabljajo napredne (digitalne) tehnologije na inovativen način, da bi zagotovili bodisi inovativne tehnološke rešitve, skladne z zakonodajo, ali pa prispevali k identifikaciji tistega dela zakonodaje, ki bi ga bilo potrebno spremeniti, da bi se zagotovila ustrezna umestitev tehnološke rešitve v pravni okvir. </w:t>
      </w:r>
    </w:p>
    <w:p w14:paraId="75F80B23" w14:textId="77777777" w:rsidR="007E1F35" w:rsidRDefault="007E1F35" w:rsidP="005E2ED1">
      <w:pPr>
        <w:spacing w:after="0" w:line="240" w:lineRule="auto"/>
        <w:jc w:val="both"/>
        <w:rPr>
          <w:rFonts w:ascii="Arial" w:eastAsia="Calibri" w:hAnsi="Arial" w:cs="Times New Roman"/>
          <w:sz w:val="20"/>
          <w:szCs w:val="20"/>
        </w:rPr>
      </w:pPr>
    </w:p>
    <w:p w14:paraId="47D0238B" w14:textId="354F2139" w:rsidR="00F7270D" w:rsidRPr="00D44340" w:rsidRDefault="00F7270D" w:rsidP="00D44340">
      <w:pPr>
        <w:pStyle w:val="Naslov3"/>
        <w:rPr>
          <w:rFonts w:ascii="Arial" w:eastAsia="Calibri" w:hAnsi="Arial" w:cs="Arial"/>
          <w:b/>
          <w:color w:val="70AD47" w:themeColor="accent6"/>
        </w:rPr>
      </w:pPr>
      <w:bookmarkStart w:id="40" w:name="_Toc102741403"/>
      <w:r w:rsidRPr="00D44340">
        <w:rPr>
          <w:rFonts w:ascii="Arial" w:eastAsia="Calibri" w:hAnsi="Arial" w:cs="Arial"/>
          <w:b/>
          <w:color w:val="70AD47" w:themeColor="accent6"/>
        </w:rPr>
        <w:t>IV.4.</w:t>
      </w:r>
      <w:r w:rsidR="0071541A" w:rsidRPr="00D44340">
        <w:rPr>
          <w:rFonts w:ascii="Arial" w:eastAsia="Calibri" w:hAnsi="Arial" w:cs="Arial"/>
          <w:b/>
          <w:color w:val="70AD47" w:themeColor="accent6"/>
        </w:rPr>
        <w:t>2</w:t>
      </w:r>
      <w:r w:rsidRPr="00D44340">
        <w:rPr>
          <w:rFonts w:ascii="Arial" w:eastAsia="Calibri" w:hAnsi="Arial" w:cs="Arial"/>
          <w:b/>
          <w:color w:val="70AD47" w:themeColor="accent6"/>
        </w:rPr>
        <w:t xml:space="preserve">  Cilji in načela testnega laboratorija</w:t>
      </w:r>
      <w:bookmarkEnd w:id="40"/>
      <w:r w:rsidRPr="00D44340">
        <w:rPr>
          <w:rFonts w:ascii="Arial" w:eastAsia="Calibri" w:hAnsi="Arial" w:cs="Arial"/>
          <w:b/>
          <w:color w:val="70AD47" w:themeColor="accent6"/>
        </w:rPr>
        <w:t xml:space="preserve"> </w:t>
      </w:r>
    </w:p>
    <w:p w14:paraId="16F05FA5" w14:textId="77777777" w:rsidR="007E1F35" w:rsidRDefault="007E1F35" w:rsidP="005E2ED1">
      <w:pPr>
        <w:spacing w:after="0" w:line="240" w:lineRule="auto"/>
        <w:jc w:val="both"/>
        <w:rPr>
          <w:rFonts w:ascii="Arial" w:eastAsia="Calibri" w:hAnsi="Arial" w:cs="Times New Roman"/>
          <w:sz w:val="20"/>
          <w:szCs w:val="20"/>
        </w:rPr>
      </w:pPr>
    </w:p>
    <w:p w14:paraId="1E91EFBF" w14:textId="3A8A63AD" w:rsidR="00F7270D" w:rsidRDefault="007E1F35" w:rsidP="005E2ED1">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Ministrstvo za gospodarski razvoj in tehnologijo kot pristojno ministrstvo za napredne tehnologije želi ustvariti čim bolj inovacijam prijazno okolje za razvoj teh tehnologij ali inovativnih rešitev, tudi na način, da skozi tehnološke inovacije zagotovi transformacijo relevantnega regulatornega ekosistema in s tem omogoči hkraten in enakomeren razvoj komplementarnih netehnoloških inovacij, </w:t>
      </w:r>
      <w:r w:rsidR="009560C8">
        <w:rPr>
          <w:rFonts w:ascii="Arial" w:eastAsia="Calibri" w:hAnsi="Arial" w:cs="Times New Roman"/>
          <w:sz w:val="20"/>
          <w:szCs w:val="20"/>
        </w:rPr>
        <w:t>k</w:t>
      </w:r>
      <w:r>
        <w:rPr>
          <w:rFonts w:ascii="Arial" w:eastAsia="Calibri" w:hAnsi="Arial" w:cs="Times New Roman"/>
          <w:sz w:val="20"/>
          <w:szCs w:val="20"/>
        </w:rPr>
        <w:t xml:space="preserve">i se lahko odrazijo tudi v transformaciji regulatornega okolja. </w:t>
      </w:r>
      <w:r w:rsidR="00F7270D">
        <w:rPr>
          <w:rFonts w:ascii="Arial" w:eastAsia="Calibri" w:hAnsi="Arial" w:cs="Times New Roman"/>
          <w:sz w:val="20"/>
          <w:szCs w:val="20"/>
        </w:rPr>
        <w:t xml:space="preserve">Ob upoštevanju horizontalnega značaja tehnologij, je ta </w:t>
      </w:r>
      <w:r w:rsidR="009560C8">
        <w:rPr>
          <w:rFonts w:ascii="Arial" w:eastAsia="Calibri" w:hAnsi="Arial" w:cs="Times New Roman"/>
          <w:sz w:val="20"/>
          <w:szCs w:val="20"/>
        </w:rPr>
        <w:t>regulatorni peskovnik</w:t>
      </w:r>
      <w:r w:rsidR="00F7270D">
        <w:rPr>
          <w:rFonts w:ascii="Arial" w:eastAsia="Calibri" w:hAnsi="Arial" w:cs="Times New Roman"/>
          <w:sz w:val="20"/>
          <w:szCs w:val="20"/>
        </w:rPr>
        <w:t xml:space="preserve"> relevanten za več industrijskih vertikal, ki kot omogočitveni dejavnik postavljajo v ospredje napredne (digitalne) tehnologije. </w:t>
      </w:r>
    </w:p>
    <w:p w14:paraId="5FA72BB5" w14:textId="77777777" w:rsidR="00F7270D" w:rsidRDefault="00F7270D" w:rsidP="005E2ED1">
      <w:pPr>
        <w:spacing w:after="0" w:line="240" w:lineRule="auto"/>
        <w:jc w:val="both"/>
        <w:rPr>
          <w:rFonts w:ascii="Arial" w:eastAsia="Calibri" w:hAnsi="Arial" w:cs="Times New Roman"/>
          <w:sz w:val="20"/>
          <w:szCs w:val="20"/>
        </w:rPr>
      </w:pPr>
    </w:p>
    <w:p w14:paraId="2B4496DF" w14:textId="34FBC1AB" w:rsidR="007E1F35" w:rsidRDefault="009560C8" w:rsidP="005E2ED1">
      <w:pPr>
        <w:spacing w:after="0" w:line="240" w:lineRule="auto"/>
        <w:jc w:val="both"/>
        <w:rPr>
          <w:rFonts w:ascii="Arial" w:eastAsia="Calibri" w:hAnsi="Arial" w:cs="Times New Roman"/>
          <w:sz w:val="20"/>
          <w:szCs w:val="20"/>
        </w:rPr>
      </w:pPr>
      <w:r>
        <w:rPr>
          <w:rFonts w:ascii="Arial" w:eastAsia="Calibri" w:hAnsi="Arial" w:cs="Times New Roman"/>
          <w:sz w:val="20"/>
          <w:szCs w:val="20"/>
        </w:rPr>
        <w:t>Regulatorni peskovnik</w:t>
      </w:r>
      <w:r w:rsidR="00F7270D">
        <w:rPr>
          <w:rFonts w:ascii="Arial" w:eastAsia="Calibri" w:hAnsi="Arial" w:cs="Times New Roman"/>
          <w:sz w:val="20"/>
          <w:szCs w:val="20"/>
        </w:rPr>
        <w:t xml:space="preserve"> za napredne (digitalne) tehnologije bo prispeval k večjemu številu testiranj inovativnih tehnoloških rešitev in hkrati omogočil regulatorno podporo na način, da v času eksperimentiranja ali testiranja potencialne regulatorne omejitve, ki bi jih lahko imelo podjetje/projekt v tej fazi, omogoči odstopanje od teh omejitev, z namenom doseganja rezultata, ki je bodisi prilagoditev tehnološke rešitve na obstoječo zakonodajo ali pa prilagoditev zakonodaje na inovativno tehnološko rešitev. Na tak način </w:t>
      </w:r>
      <w:r>
        <w:rPr>
          <w:rFonts w:ascii="Arial" w:eastAsia="Calibri" w:hAnsi="Arial" w:cs="Times New Roman"/>
          <w:sz w:val="20"/>
          <w:szCs w:val="20"/>
        </w:rPr>
        <w:t>regulatorni peskovnik</w:t>
      </w:r>
      <w:r w:rsidR="00F7270D">
        <w:rPr>
          <w:rFonts w:ascii="Arial" w:eastAsia="Calibri" w:hAnsi="Arial" w:cs="Times New Roman"/>
          <w:sz w:val="20"/>
          <w:szCs w:val="20"/>
        </w:rPr>
        <w:t xml:space="preserve"> dosega svoj namen, in sicer: (i) </w:t>
      </w:r>
      <w:r w:rsidR="000C2C6E">
        <w:rPr>
          <w:rFonts w:ascii="Arial" w:eastAsia="Calibri" w:hAnsi="Arial" w:cs="Times New Roman"/>
          <w:sz w:val="20"/>
          <w:szCs w:val="20"/>
        </w:rPr>
        <w:t xml:space="preserve">večji poudarek na inovativnosti, (ii) </w:t>
      </w:r>
      <w:r w:rsidR="00F7270D">
        <w:rPr>
          <w:rFonts w:ascii="Arial" w:eastAsia="Calibri" w:hAnsi="Arial" w:cs="Times New Roman"/>
          <w:sz w:val="20"/>
          <w:szCs w:val="20"/>
        </w:rPr>
        <w:t>povečanje učinkovitosti, (ii</w:t>
      </w:r>
      <w:r w:rsidR="000C2C6E">
        <w:rPr>
          <w:rFonts w:ascii="Arial" w:eastAsia="Calibri" w:hAnsi="Arial" w:cs="Times New Roman"/>
          <w:sz w:val="20"/>
          <w:szCs w:val="20"/>
        </w:rPr>
        <w:t>i</w:t>
      </w:r>
      <w:r w:rsidR="00F7270D">
        <w:rPr>
          <w:rFonts w:ascii="Arial" w:eastAsia="Calibri" w:hAnsi="Arial" w:cs="Times New Roman"/>
          <w:sz w:val="20"/>
          <w:szCs w:val="20"/>
        </w:rPr>
        <w:t>)</w:t>
      </w:r>
      <w:r w:rsidR="002348FE">
        <w:rPr>
          <w:rFonts w:ascii="Arial" w:eastAsia="Calibri" w:hAnsi="Arial" w:cs="Times New Roman"/>
          <w:sz w:val="20"/>
          <w:szCs w:val="20"/>
        </w:rPr>
        <w:t xml:space="preserve"> boljše upravljanje s tveganji, (iii) ustvarjanje novih priložnosti</w:t>
      </w:r>
      <w:r w:rsidR="000C2C6E">
        <w:rPr>
          <w:rFonts w:ascii="Arial" w:eastAsia="Calibri" w:hAnsi="Arial" w:cs="Times New Roman"/>
          <w:sz w:val="20"/>
          <w:szCs w:val="20"/>
        </w:rPr>
        <w:t>, mreženje in informiranje</w:t>
      </w:r>
      <w:r w:rsidR="002348FE">
        <w:rPr>
          <w:rFonts w:ascii="Arial" w:eastAsia="Calibri" w:hAnsi="Arial" w:cs="Times New Roman"/>
          <w:sz w:val="20"/>
          <w:szCs w:val="20"/>
        </w:rPr>
        <w:t xml:space="preserve"> in (iv) izboljšanje poslovnega okolja. </w:t>
      </w:r>
    </w:p>
    <w:p w14:paraId="015CB3DF" w14:textId="77777777" w:rsidR="002348FE" w:rsidRDefault="002348FE" w:rsidP="005E2ED1">
      <w:pPr>
        <w:spacing w:after="0" w:line="240" w:lineRule="auto"/>
        <w:jc w:val="both"/>
        <w:rPr>
          <w:rFonts w:ascii="Arial" w:eastAsia="Calibri" w:hAnsi="Arial" w:cs="Times New Roman"/>
          <w:sz w:val="20"/>
          <w:szCs w:val="20"/>
        </w:rPr>
      </w:pPr>
    </w:p>
    <w:p w14:paraId="5C6D10BB" w14:textId="2101D2CE" w:rsidR="002348FE" w:rsidRDefault="009560C8" w:rsidP="005E2ED1">
      <w:pPr>
        <w:spacing w:after="0" w:line="240" w:lineRule="auto"/>
        <w:jc w:val="both"/>
        <w:rPr>
          <w:rFonts w:ascii="Arial" w:eastAsia="Calibri" w:hAnsi="Arial" w:cs="Times New Roman"/>
          <w:sz w:val="20"/>
          <w:szCs w:val="20"/>
        </w:rPr>
      </w:pPr>
      <w:r>
        <w:rPr>
          <w:rFonts w:ascii="Arial" w:eastAsia="Calibri" w:hAnsi="Arial" w:cs="Times New Roman"/>
          <w:sz w:val="20"/>
          <w:szCs w:val="20"/>
        </w:rPr>
        <w:t>Regulatorni peskovnik</w:t>
      </w:r>
      <w:r w:rsidR="002348FE">
        <w:rPr>
          <w:rFonts w:ascii="Arial" w:eastAsia="Calibri" w:hAnsi="Arial" w:cs="Times New Roman"/>
          <w:sz w:val="20"/>
          <w:szCs w:val="20"/>
        </w:rPr>
        <w:t xml:space="preserve"> deluje v </w:t>
      </w:r>
      <w:r w:rsidR="00884D01">
        <w:rPr>
          <w:rFonts w:ascii="Arial" w:eastAsia="Calibri" w:hAnsi="Arial" w:cs="Times New Roman"/>
          <w:sz w:val="20"/>
          <w:szCs w:val="20"/>
        </w:rPr>
        <w:t xml:space="preserve">kontekstu Laboratorija politik CSP – KG </w:t>
      </w:r>
      <w:r w:rsidR="002348FE">
        <w:rPr>
          <w:rFonts w:ascii="Arial" w:eastAsia="Calibri" w:hAnsi="Arial" w:cs="Times New Roman"/>
          <w:sz w:val="20"/>
          <w:szCs w:val="20"/>
        </w:rPr>
        <w:t xml:space="preserve">mora imeti ustrezno opredeljen prostor in čas trajanja, da se na tak način kontrolirano izvaja testiranje in se v primeru negativnega izida možne posledice ne vplivajo na zunanje okolje. </w:t>
      </w:r>
    </w:p>
    <w:p w14:paraId="5F27C1E8" w14:textId="77777777" w:rsidR="002348FE" w:rsidRDefault="002348FE" w:rsidP="005E2ED1">
      <w:pPr>
        <w:spacing w:after="0" w:line="240" w:lineRule="auto"/>
        <w:jc w:val="both"/>
        <w:rPr>
          <w:rFonts w:ascii="Arial" w:eastAsia="Calibri" w:hAnsi="Arial" w:cs="Times New Roman"/>
          <w:sz w:val="20"/>
          <w:szCs w:val="20"/>
        </w:rPr>
      </w:pPr>
    </w:p>
    <w:p w14:paraId="1346BCC6" w14:textId="433A282B" w:rsidR="00A25EA7" w:rsidRDefault="002348FE" w:rsidP="00236053">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Uporaba </w:t>
      </w:r>
      <w:r w:rsidR="009560C8">
        <w:rPr>
          <w:rFonts w:ascii="Arial" w:eastAsia="Calibri" w:hAnsi="Arial" w:cs="Times New Roman"/>
          <w:sz w:val="20"/>
          <w:szCs w:val="20"/>
        </w:rPr>
        <w:t>regulatornega peskovnika</w:t>
      </w:r>
      <w:r>
        <w:rPr>
          <w:rFonts w:ascii="Arial" w:eastAsia="Calibri" w:hAnsi="Arial" w:cs="Times New Roman"/>
          <w:sz w:val="20"/>
          <w:szCs w:val="20"/>
        </w:rPr>
        <w:t xml:space="preserve"> ni ustrezna v primeru, ko gre za tehnološko rešitev, ki že obstaja na trgu, razen v primeru, ko prijavitelj dokaže, da je (i) za obstoječo rešitev uporabljena druga tehnologija ali (ii) da je enaka tehnologija uporabljena na drugačen način. </w:t>
      </w:r>
    </w:p>
    <w:p w14:paraId="1BC4A317" w14:textId="77777777" w:rsidR="00A25EA7" w:rsidRPr="00D44340" w:rsidRDefault="00A25EA7" w:rsidP="00D44340">
      <w:pPr>
        <w:pStyle w:val="Naslov3"/>
        <w:rPr>
          <w:rFonts w:ascii="Arial" w:eastAsia="Calibri" w:hAnsi="Arial" w:cs="Arial"/>
          <w:b/>
          <w:color w:val="70AD47" w:themeColor="accent6"/>
        </w:rPr>
      </w:pPr>
    </w:p>
    <w:p w14:paraId="61B174CE" w14:textId="2D54EAA8" w:rsidR="0071541A" w:rsidRPr="00D44340" w:rsidRDefault="0071541A" w:rsidP="00D44340">
      <w:pPr>
        <w:pStyle w:val="Naslov3"/>
        <w:rPr>
          <w:rFonts w:ascii="Arial" w:eastAsia="Calibri" w:hAnsi="Arial" w:cs="Arial"/>
          <w:b/>
          <w:color w:val="70AD47" w:themeColor="accent6"/>
        </w:rPr>
      </w:pPr>
      <w:bookmarkStart w:id="41" w:name="_Toc102741404"/>
      <w:r w:rsidRPr="00D44340">
        <w:rPr>
          <w:rFonts w:ascii="Arial" w:eastAsia="Calibri" w:hAnsi="Arial" w:cs="Arial"/>
          <w:b/>
          <w:color w:val="70AD47" w:themeColor="accent6"/>
        </w:rPr>
        <w:t>IV.4.3.  Vzpostavitev testnega laboratorija</w:t>
      </w:r>
      <w:bookmarkEnd w:id="41"/>
      <w:r w:rsidRPr="00D44340">
        <w:rPr>
          <w:rFonts w:ascii="Arial" w:eastAsia="Calibri" w:hAnsi="Arial" w:cs="Arial"/>
          <w:b/>
          <w:color w:val="70AD47" w:themeColor="accent6"/>
        </w:rPr>
        <w:t xml:space="preserve"> </w:t>
      </w:r>
    </w:p>
    <w:p w14:paraId="6FDAFFAA" w14:textId="77777777" w:rsidR="0071541A" w:rsidRDefault="0071541A" w:rsidP="005E2ED1">
      <w:pPr>
        <w:spacing w:after="0" w:line="240" w:lineRule="auto"/>
        <w:jc w:val="both"/>
        <w:rPr>
          <w:rFonts w:ascii="Arial" w:eastAsia="Calibri" w:hAnsi="Arial" w:cs="Times New Roman"/>
          <w:color w:val="538135" w:themeColor="accent6" w:themeShade="BF"/>
          <w:sz w:val="20"/>
          <w:szCs w:val="20"/>
        </w:rPr>
      </w:pPr>
    </w:p>
    <w:p w14:paraId="3F8F0E20" w14:textId="7AF9E88F" w:rsidR="000C2C6E" w:rsidRDefault="000C2C6E" w:rsidP="005E2ED1">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Vzpostavitev </w:t>
      </w:r>
      <w:r w:rsidR="009560C8">
        <w:rPr>
          <w:rFonts w:ascii="Arial" w:eastAsia="Calibri" w:hAnsi="Arial" w:cs="Times New Roman"/>
          <w:sz w:val="20"/>
          <w:szCs w:val="20"/>
        </w:rPr>
        <w:t>regulatornega peskovnika</w:t>
      </w:r>
      <w:r>
        <w:rPr>
          <w:rFonts w:ascii="Arial" w:eastAsia="Calibri" w:hAnsi="Arial" w:cs="Times New Roman"/>
          <w:sz w:val="20"/>
          <w:szCs w:val="20"/>
        </w:rPr>
        <w:t xml:space="preserve"> poteka po treh korakih</w:t>
      </w:r>
      <w:r w:rsidR="00341908">
        <w:rPr>
          <w:rStyle w:val="Sprotnaopomba-sklic"/>
          <w:rFonts w:ascii="Arial" w:eastAsia="Calibri" w:hAnsi="Arial" w:cs="Times New Roman"/>
          <w:sz w:val="20"/>
          <w:szCs w:val="20"/>
        </w:rPr>
        <w:footnoteReference w:id="13"/>
      </w:r>
      <w:r>
        <w:rPr>
          <w:rFonts w:ascii="Arial" w:eastAsia="Calibri" w:hAnsi="Arial" w:cs="Times New Roman"/>
          <w:sz w:val="20"/>
          <w:szCs w:val="20"/>
        </w:rPr>
        <w:t xml:space="preserve">: </w:t>
      </w:r>
    </w:p>
    <w:p w14:paraId="6E1DB4B8" w14:textId="77777777" w:rsidR="000C2C6E" w:rsidRDefault="000C2C6E" w:rsidP="003445EF">
      <w:pPr>
        <w:pStyle w:val="Odstavekseznama"/>
        <w:numPr>
          <w:ilvl w:val="0"/>
          <w:numId w:val="22"/>
        </w:numPr>
        <w:spacing w:after="0" w:line="240" w:lineRule="auto"/>
        <w:jc w:val="both"/>
        <w:rPr>
          <w:rFonts w:ascii="Arial" w:eastAsia="Calibri" w:hAnsi="Arial" w:cs="Times New Roman"/>
          <w:sz w:val="20"/>
          <w:szCs w:val="20"/>
        </w:rPr>
      </w:pPr>
      <w:r>
        <w:rPr>
          <w:rFonts w:ascii="Arial" w:eastAsia="Calibri" w:hAnsi="Arial" w:cs="Times New Roman"/>
          <w:sz w:val="20"/>
          <w:szCs w:val="20"/>
        </w:rPr>
        <w:t>korak: priprava in načrtovanje</w:t>
      </w:r>
    </w:p>
    <w:p w14:paraId="04AAE18C" w14:textId="77777777" w:rsidR="000C2C6E" w:rsidRDefault="000C2C6E" w:rsidP="003445EF">
      <w:pPr>
        <w:pStyle w:val="Odstavekseznama"/>
        <w:numPr>
          <w:ilvl w:val="0"/>
          <w:numId w:val="22"/>
        </w:numPr>
        <w:spacing w:after="0" w:line="240" w:lineRule="auto"/>
        <w:jc w:val="both"/>
        <w:rPr>
          <w:rFonts w:ascii="Arial" w:eastAsia="Calibri" w:hAnsi="Arial" w:cs="Times New Roman"/>
          <w:sz w:val="20"/>
          <w:szCs w:val="20"/>
        </w:rPr>
      </w:pPr>
      <w:r>
        <w:rPr>
          <w:rFonts w:ascii="Arial" w:eastAsia="Calibri" w:hAnsi="Arial" w:cs="Times New Roman"/>
          <w:sz w:val="20"/>
          <w:szCs w:val="20"/>
        </w:rPr>
        <w:t>korak: pravni vidiki</w:t>
      </w:r>
    </w:p>
    <w:p w14:paraId="2A9B5E26" w14:textId="77777777" w:rsidR="000C2C6E" w:rsidRDefault="000C2C6E" w:rsidP="003445EF">
      <w:pPr>
        <w:pStyle w:val="Odstavekseznama"/>
        <w:numPr>
          <w:ilvl w:val="0"/>
          <w:numId w:val="22"/>
        </w:numPr>
        <w:spacing w:after="0" w:line="240" w:lineRule="auto"/>
        <w:jc w:val="both"/>
        <w:rPr>
          <w:rFonts w:ascii="Arial" w:eastAsia="Calibri" w:hAnsi="Arial" w:cs="Times New Roman"/>
          <w:sz w:val="20"/>
          <w:szCs w:val="20"/>
        </w:rPr>
      </w:pPr>
      <w:r>
        <w:rPr>
          <w:rFonts w:ascii="Arial" w:eastAsia="Calibri" w:hAnsi="Arial" w:cs="Times New Roman"/>
          <w:sz w:val="20"/>
          <w:szCs w:val="20"/>
        </w:rPr>
        <w:t>korak: oblikovanje in izvedba</w:t>
      </w:r>
    </w:p>
    <w:p w14:paraId="2577AAAD" w14:textId="77777777" w:rsidR="000C2C6E" w:rsidRDefault="000C2C6E" w:rsidP="000C2C6E">
      <w:pPr>
        <w:spacing w:after="0" w:line="240" w:lineRule="auto"/>
        <w:jc w:val="both"/>
        <w:rPr>
          <w:rFonts w:ascii="Arial" w:eastAsia="Calibri" w:hAnsi="Arial" w:cs="Times New Roman"/>
          <w:sz w:val="20"/>
          <w:szCs w:val="20"/>
        </w:rPr>
      </w:pPr>
    </w:p>
    <w:p w14:paraId="7ADB84A3" w14:textId="77777777" w:rsidR="000C2C6E" w:rsidRDefault="000C2C6E" w:rsidP="000C2C6E">
      <w:pPr>
        <w:spacing w:after="0" w:line="240" w:lineRule="auto"/>
        <w:jc w:val="both"/>
        <w:rPr>
          <w:rFonts w:ascii="Arial" w:eastAsia="Calibri" w:hAnsi="Arial" w:cs="Times New Roman"/>
          <w:sz w:val="20"/>
          <w:szCs w:val="20"/>
        </w:rPr>
      </w:pPr>
      <w:r w:rsidRPr="00701F8B">
        <w:rPr>
          <w:rFonts w:ascii="Arial" w:eastAsia="Calibri" w:hAnsi="Arial" w:cs="Times New Roman"/>
          <w:b/>
          <w:i/>
          <w:sz w:val="20"/>
          <w:szCs w:val="20"/>
        </w:rPr>
        <w:t>Ad1) Priprava in načrtovanje</w:t>
      </w:r>
      <w:r>
        <w:rPr>
          <w:rFonts w:ascii="Arial" w:eastAsia="Calibri" w:hAnsi="Arial" w:cs="Times New Roman"/>
          <w:sz w:val="20"/>
          <w:szCs w:val="20"/>
        </w:rPr>
        <w:t xml:space="preserve">: </w:t>
      </w:r>
    </w:p>
    <w:p w14:paraId="527C6098" w14:textId="77777777" w:rsidR="000C2C6E" w:rsidRDefault="000C2C6E" w:rsidP="000C2C6E">
      <w:pPr>
        <w:spacing w:after="0" w:line="240" w:lineRule="auto"/>
        <w:jc w:val="both"/>
        <w:rPr>
          <w:rFonts w:ascii="Arial" w:eastAsia="Calibri" w:hAnsi="Arial" w:cs="Times New Roman"/>
          <w:sz w:val="20"/>
          <w:szCs w:val="20"/>
        </w:rPr>
      </w:pPr>
    </w:p>
    <w:p w14:paraId="089278F8" w14:textId="77777777" w:rsidR="0043725D" w:rsidRDefault="0043725D" w:rsidP="000C2C6E">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V procesu priprave in načrtovanja se izvedejo naslednje aktivnosti: </w:t>
      </w:r>
    </w:p>
    <w:p w14:paraId="76377C16" w14:textId="77777777" w:rsidR="000C2C6E" w:rsidRPr="0043725D" w:rsidRDefault="0043725D" w:rsidP="003445EF">
      <w:pPr>
        <w:pStyle w:val="Odstavekseznama"/>
        <w:numPr>
          <w:ilvl w:val="0"/>
          <w:numId w:val="23"/>
        </w:numPr>
        <w:spacing w:after="0" w:line="240" w:lineRule="auto"/>
        <w:jc w:val="both"/>
        <w:rPr>
          <w:rFonts w:ascii="Arial" w:eastAsia="Calibri" w:hAnsi="Arial" w:cs="Times New Roman"/>
          <w:sz w:val="20"/>
          <w:szCs w:val="20"/>
        </w:rPr>
      </w:pPr>
      <w:r w:rsidRPr="0043725D">
        <w:rPr>
          <w:rFonts w:ascii="Arial" w:eastAsia="Calibri" w:hAnsi="Arial" w:cs="Times New Roman"/>
          <w:sz w:val="20"/>
          <w:szCs w:val="20"/>
        </w:rPr>
        <w:t xml:space="preserve">oblikovanje ciljev in razvoj kazalnikov </w:t>
      </w:r>
      <w:r>
        <w:rPr>
          <w:rFonts w:ascii="Arial" w:eastAsia="Calibri" w:hAnsi="Arial" w:cs="Times New Roman"/>
          <w:sz w:val="20"/>
          <w:szCs w:val="20"/>
        </w:rPr>
        <w:t>- t</w:t>
      </w:r>
      <w:r w:rsidR="000C2C6E" w:rsidRPr="0043725D">
        <w:rPr>
          <w:rFonts w:ascii="Arial" w:eastAsia="Calibri" w:hAnsi="Arial" w:cs="Times New Roman"/>
          <w:sz w:val="20"/>
          <w:szCs w:val="20"/>
        </w:rPr>
        <w:t xml:space="preserve">a </w:t>
      </w:r>
      <w:r>
        <w:rPr>
          <w:rFonts w:ascii="Arial" w:eastAsia="Calibri" w:hAnsi="Arial" w:cs="Times New Roman"/>
          <w:sz w:val="20"/>
          <w:szCs w:val="20"/>
        </w:rPr>
        <w:t>aktivnost</w:t>
      </w:r>
      <w:r w:rsidR="000C2C6E" w:rsidRPr="0043725D">
        <w:rPr>
          <w:rFonts w:ascii="Arial" w:eastAsia="Calibri" w:hAnsi="Arial" w:cs="Times New Roman"/>
          <w:sz w:val="20"/>
          <w:szCs w:val="20"/>
        </w:rPr>
        <w:t xml:space="preserve"> v splošnem odgovarja na 3 vprašanja, in sicer: </w:t>
      </w:r>
    </w:p>
    <w:p w14:paraId="49A04876" w14:textId="77777777" w:rsidR="000C2C6E" w:rsidRDefault="000C2C6E"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kakšni so ključni cilji regulatornega peskovnika</w:t>
      </w:r>
    </w:p>
    <w:p w14:paraId="2508A312" w14:textId="77777777" w:rsidR="000C2C6E" w:rsidRDefault="000C2C6E"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kaj želimo z regulatornim peskovnikom doseči</w:t>
      </w:r>
    </w:p>
    <w:p w14:paraId="5764B8F6" w14:textId="77777777" w:rsidR="000C2C6E" w:rsidRDefault="000C2C6E"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kako bomo merili cilje, ki jih želimo doseči</w:t>
      </w:r>
    </w:p>
    <w:p w14:paraId="4E18A3E3" w14:textId="77777777" w:rsidR="000C2C6E" w:rsidRDefault="000C2C6E" w:rsidP="000C2C6E">
      <w:pPr>
        <w:spacing w:after="0" w:line="240" w:lineRule="auto"/>
        <w:jc w:val="both"/>
        <w:rPr>
          <w:rFonts w:ascii="Arial" w:eastAsia="Calibri" w:hAnsi="Arial" w:cs="Times New Roman"/>
          <w:sz w:val="20"/>
          <w:szCs w:val="20"/>
        </w:rPr>
      </w:pPr>
    </w:p>
    <w:p w14:paraId="2254123C" w14:textId="599C4850" w:rsidR="0043725D" w:rsidRDefault="0043725D" w:rsidP="000C2C6E">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Različni deležniki v regulatornih peskovnikih zasledujejo različne cilje. </w:t>
      </w:r>
      <w:r w:rsidR="000C2C6E">
        <w:rPr>
          <w:rFonts w:ascii="Arial" w:eastAsia="Calibri" w:hAnsi="Arial" w:cs="Times New Roman"/>
          <w:sz w:val="20"/>
          <w:szCs w:val="20"/>
        </w:rPr>
        <w:t>Glavni cilj podjetij in raziskovalnih organizacij v okviru testnega laboratorija oziroma regulato</w:t>
      </w:r>
      <w:r w:rsidR="00236053">
        <w:rPr>
          <w:rFonts w:ascii="Arial" w:eastAsia="Calibri" w:hAnsi="Arial" w:cs="Times New Roman"/>
          <w:sz w:val="20"/>
          <w:szCs w:val="20"/>
        </w:rPr>
        <w:t>r</w:t>
      </w:r>
      <w:r w:rsidR="000C2C6E">
        <w:rPr>
          <w:rFonts w:ascii="Arial" w:eastAsia="Calibri" w:hAnsi="Arial" w:cs="Times New Roman"/>
          <w:sz w:val="20"/>
          <w:szCs w:val="20"/>
        </w:rPr>
        <w:t xml:space="preserve">nega peskovnika je testirati nove tehnologije in poslovne modele v realnem okolju. Cilj je tudi lahko promocija produktov in storitev posameznega podjetja ali pa zagovorništvo inovacijam prijazne zakonodaje. Cilj zakonodajalca je na drugi strani ugotoviti, kako </w:t>
      </w:r>
      <w:r>
        <w:rPr>
          <w:rFonts w:ascii="Arial" w:eastAsia="Calibri" w:hAnsi="Arial" w:cs="Times New Roman"/>
          <w:sz w:val="20"/>
          <w:szCs w:val="20"/>
        </w:rPr>
        <w:t xml:space="preserve">se lahko spremenijo ali izboljšajo </w:t>
      </w:r>
      <w:r w:rsidR="000C2C6E">
        <w:rPr>
          <w:rFonts w:ascii="Arial" w:eastAsia="Calibri" w:hAnsi="Arial" w:cs="Times New Roman"/>
          <w:sz w:val="20"/>
          <w:szCs w:val="20"/>
        </w:rPr>
        <w:t>obstoječa</w:t>
      </w:r>
      <w:r>
        <w:rPr>
          <w:rFonts w:ascii="Arial" w:eastAsia="Calibri" w:hAnsi="Arial" w:cs="Times New Roman"/>
          <w:sz w:val="20"/>
          <w:szCs w:val="20"/>
        </w:rPr>
        <w:t xml:space="preserve"> spremenijo na način, da bi lahko ponudila ustrezno rešitev za inovativne tehnološke rešitve. </w:t>
      </w:r>
      <w:r w:rsidR="000C2C6E">
        <w:rPr>
          <w:rFonts w:ascii="Arial" w:eastAsia="Calibri" w:hAnsi="Arial" w:cs="Times New Roman"/>
          <w:sz w:val="20"/>
          <w:szCs w:val="20"/>
        </w:rPr>
        <w:t xml:space="preserve"> </w:t>
      </w:r>
    </w:p>
    <w:p w14:paraId="0E4C4850" w14:textId="77777777" w:rsidR="0043725D" w:rsidRDefault="0043725D" w:rsidP="000C2C6E">
      <w:pPr>
        <w:spacing w:after="0" w:line="240" w:lineRule="auto"/>
        <w:jc w:val="both"/>
        <w:rPr>
          <w:rFonts w:ascii="Arial" w:eastAsia="Calibri" w:hAnsi="Arial" w:cs="Times New Roman"/>
          <w:sz w:val="20"/>
          <w:szCs w:val="20"/>
        </w:rPr>
      </w:pPr>
    </w:p>
    <w:p w14:paraId="1F7EE79A" w14:textId="77777777" w:rsidR="0043725D" w:rsidRDefault="00701F8B" w:rsidP="000C2C6E">
      <w:pPr>
        <w:spacing w:after="0" w:line="240" w:lineRule="auto"/>
        <w:jc w:val="both"/>
        <w:rPr>
          <w:rFonts w:ascii="Arial" w:eastAsia="Calibri" w:hAnsi="Arial" w:cs="Times New Roman"/>
          <w:sz w:val="20"/>
          <w:szCs w:val="20"/>
        </w:rPr>
      </w:pPr>
      <w:r>
        <w:rPr>
          <w:rFonts w:ascii="Arial" w:eastAsia="Calibri" w:hAnsi="Arial" w:cs="Times New Roman"/>
          <w:sz w:val="20"/>
          <w:szCs w:val="20"/>
        </w:rPr>
        <w:t>Pomembno je, da deležniki v regulatornem peskovniku že na začetku opredelijo skupne cilje in specifične raziskovalno/eksperimentalne cilje, prav tako pa morajo opredeliti, kateri kazalniki in podatki bodo relevantni za njihovo delo.</w:t>
      </w:r>
    </w:p>
    <w:p w14:paraId="6287BDCF" w14:textId="77777777" w:rsidR="0043725D" w:rsidRDefault="0043725D" w:rsidP="000C2C6E">
      <w:pPr>
        <w:spacing w:after="0" w:line="240" w:lineRule="auto"/>
        <w:jc w:val="both"/>
        <w:rPr>
          <w:rFonts w:ascii="Arial" w:eastAsia="Calibri" w:hAnsi="Arial" w:cs="Times New Roman"/>
          <w:sz w:val="20"/>
          <w:szCs w:val="20"/>
        </w:rPr>
      </w:pPr>
    </w:p>
    <w:p w14:paraId="0C899741" w14:textId="77777777" w:rsidR="0043725D" w:rsidRDefault="0043725D" w:rsidP="003445EF">
      <w:pPr>
        <w:pStyle w:val="Odstavekseznama"/>
        <w:numPr>
          <w:ilvl w:val="0"/>
          <w:numId w:val="23"/>
        </w:numPr>
        <w:spacing w:after="0" w:line="240" w:lineRule="auto"/>
        <w:jc w:val="both"/>
        <w:rPr>
          <w:rFonts w:ascii="Arial" w:eastAsia="Calibri" w:hAnsi="Arial" w:cs="Times New Roman"/>
          <w:sz w:val="20"/>
          <w:szCs w:val="20"/>
        </w:rPr>
      </w:pPr>
      <w:r>
        <w:rPr>
          <w:rFonts w:ascii="Arial" w:eastAsia="Calibri" w:hAnsi="Arial" w:cs="Times New Roman"/>
          <w:sz w:val="20"/>
          <w:szCs w:val="20"/>
        </w:rPr>
        <w:t>zagotavljanje vključenosti deležnikov – ta aktivnost odgovarja na naslednja vprašanja:</w:t>
      </w:r>
    </w:p>
    <w:p w14:paraId="157C3F0E" w14:textId="77777777" w:rsidR="0043725D" w:rsidRDefault="0043725D"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kateri deležniki so odgovorni za izvedbo in nadzor (t.i. ključni deležniki)</w:t>
      </w:r>
      <w:r w:rsidR="00ED15F5">
        <w:rPr>
          <w:rFonts w:ascii="Arial" w:eastAsia="Calibri" w:hAnsi="Arial" w:cs="Times New Roman"/>
          <w:sz w:val="20"/>
          <w:szCs w:val="20"/>
        </w:rPr>
        <w:t xml:space="preserve">, </w:t>
      </w:r>
    </w:p>
    <w:p w14:paraId="5A8BB687" w14:textId="77777777" w:rsidR="00ED15F5" w:rsidRDefault="00ED15F5"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kateri deležniki imajo aktivno vlogo pri izvajanju</w:t>
      </w:r>
    </w:p>
    <w:p w14:paraId="3CE64CF5" w14:textId="77777777" w:rsidR="00ED15F5" w:rsidRDefault="00ED15F5"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kateri deležniki sodelujejo občasno in po potrebi in z namenom izboljšanja osnovnih pogojev za regulatorni </w:t>
      </w:r>
      <w:r w:rsidR="005F6A8A">
        <w:rPr>
          <w:rFonts w:ascii="Arial" w:eastAsia="Calibri" w:hAnsi="Arial" w:cs="Times New Roman"/>
          <w:sz w:val="20"/>
          <w:szCs w:val="20"/>
        </w:rPr>
        <w:t>peskovnik</w:t>
      </w:r>
    </w:p>
    <w:p w14:paraId="6A232CC4" w14:textId="77777777" w:rsidR="00ED15F5" w:rsidRDefault="00ED15F5"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kateri deležniki iz okolja lahko vplivajo na </w:t>
      </w:r>
      <w:r w:rsidR="005F6A8A">
        <w:rPr>
          <w:rFonts w:ascii="Arial" w:eastAsia="Calibri" w:hAnsi="Arial" w:cs="Times New Roman"/>
          <w:sz w:val="20"/>
          <w:szCs w:val="20"/>
        </w:rPr>
        <w:t>regulatorni peskovnik</w:t>
      </w:r>
    </w:p>
    <w:p w14:paraId="62794C45" w14:textId="77777777" w:rsidR="005F6A8A" w:rsidRDefault="005F6A8A"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kakšni so različni interesi, ki obstajajo v zvezi z regulatornim peskovnikom</w:t>
      </w:r>
    </w:p>
    <w:p w14:paraId="626FD093" w14:textId="77777777" w:rsidR="005F6A8A" w:rsidRDefault="005F6A8A" w:rsidP="005F6A8A">
      <w:pPr>
        <w:spacing w:after="0" w:line="240" w:lineRule="auto"/>
        <w:jc w:val="both"/>
        <w:rPr>
          <w:rFonts w:ascii="Arial" w:eastAsia="Calibri" w:hAnsi="Arial" w:cs="Times New Roman"/>
          <w:sz w:val="20"/>
          <w:szCs w:val="20"/>
        </w:rPr>
      </w:pPr>
    </w:p>
    <w:p w14:paraId="203FCE65" w14:textId="77777777" w:rsidR="00907867" w:rsidRDefault="00907867" w:rsidP="005F6A8A">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Vrste deležnikov: </w:t>
      </w:r>
    </w:p>
    <w:p w14:paraId="4ABD0DFA" w14:textId="3A9E39F3" w:rsidR="00907867" w:rsidRDefault="005F6A8A" w:rsidP="003445EF">
      <w:pPr>
        <w:pStyle w:val="Odstavekseznama"/>
        <w:numPr>
          <w:ilvl w:val="0"/>
          <w:numId w:val="10"/>
        </w:numPr>
        <w:spacing w:after="0" w:line="240" w:lineRule="auto"/>
        <w:jc w:val="both"/>
        <w:rPr>
          <w:rFonts w:ascii="Arial" w:eastAsia="Calibri" w:hAnsi="Arial" w:cs="Times New Roman"/>
          <w:sz w:val="20"/>
          <w:szCs w:val="20"/>
        </w:rPr>
      </w:pPr>
      <w:r w:rsidRPr="00236053">
        <w:rPr>
          <w:rFonts w:ascii="Arial" w:eastAsia="Calibri" w:hAnsi="Arial" w:cs="Times New Roman"/>
          <w:sz w:val="20"/>
          <w:szCs w:val="20"/>
        </w:rPr>
        <w:t xml:space="preserve">Ključni deležniki so tisti, ki imajo odločevalsko funkcijo. V primeru </w:t>
      </w:r>
      <w:r w:rsidR="009560C8" w:rsidRPr="00236053">
        <w:rPr>
          <w:rFonts w:ascii="Arial" w:eastAsia="Calibri" w:hAnsi="Arial" w:cs="Times New Roman"/>
          <w:sz w:val="20"/>
          <w:szCs w:val="20"/>
        </w:rPr>
        <w:t>regulatornega peskovnika</w:t>
      </w:r>
      <w:r w:rsidRPr="00236053">
        <w:rPr>
          <w:rFonts w:ascii="Arial" w:eastAsia="Calibri" w:hAnsi="Arial" w:cs="Times New Roman"/>
          <w:sz w:val="20"/>
          <w:szCs w:val="20"/>
        </w:rPr>
        <w:t xml:space="preserve"> za področje naprednih (digitalnih</w:t>
      </w:r>
      <w:r w:rsidR="009560C8" w:rsidRPr="00236053">
        <w:rPr>
          <w:rFonts w:ascii="Arial" w:eastAsia="Calibri" w:hAnsi="Arial" w:cs="Times New Roman"/>
          <w:sz w:val="20"/>
          <w:szCs w:val="20"/>
        </w:rPr>
        <w:t>)</w:t>
      </w:r>
      <w:r w:rsidRPr="00236053">
        <w:rPr>
          <w:rFonts w:ascii="Arial" w:eastAsia="Calibri" w:hAnsi="Arial" w:cs="Times New Roman"/>
          <w:sz w:val="20"/>
          <w:szCs w:val="20"/>
        </w:rPr>
        <w:t xml:space="preserve"> tehnologij</w:t>
      </w:r>
      <w:r w:rsidR="009560C8" w:rsidRPr="00236053">
        <w:rPr>
          <w:rFonts w:ascii="Arial" w:eastAsia="Calibri" w:hAnsi="Arial" w:cs="Times New Roman"/>
          <w:sz w:val="20"/>
          <w:szCs w:val="20"/>
        </w:rPr>
        <w:t>, vključno s tehnologijami, ki podpirajo prehod v krožno gospodarstvo,</w:t>
      </w:r>
      <w:r w:rsidRPr="00236053">
        <w:rPr>
          <w:rFonts w:ascii="Arial" w:eastAsia="Calibri" w:hAnsi="Arial" w:cs="Times New Roman"/>
          <w:sz w:val="20"/>
          <w:szCs w:val="20"/>
        </w:rPr>
        <w:t xml:space="preserve"> so to predstavniki relevantnih ministrstev in zakonodajalca oziroma regulatorjev. </w:t>
      </w:r>
    </w:p>
    <w:p w14:paraId="29A181E8" w14:textId="77777777" w:rsidR="00907867" w:rsidRDefault="005F6A8A" w:rsidP="003445EF">
      <w:pPr>
        <w:pStyle w:val="Odstavekseznama"/>
        <w:numPr>
          <w:ilvl w:val="0"/>
          <w:numId w:val="10"/>
        </w:numPr>
        <w:spacing w:after="0" w:line="240" w:lineRule="auto"/>
        <w:jc w:val="both"/>
        <w:rPr>
          <w:rFonts w:ascii="Arial" w:eastAsia="Calibri" w:hAnsi="Arial" w:cs="Times New Roman"/>
          <w:sz w:val="20"/>
          <w:szCs w:val="20"/>
        </w:rPr>
      </w:pPr>
      <w:r w:rsidRPr="00236053">
        <w:rPr>
          <w:rFonts w:ascii="Arial" w:eastAsia="Calibri" w:hAnsi="Arial" w:cs="Times New Roman"/>
          <w:sz w:val="20"/>
          <w:szCs w:val="20"/>
        </w:rPr>
        <w:t xml:space="preserve">Deležniki, ki imajo aktivno vlogo pri izvajanju, so predstavniki raziskovalnih organizacij in podjetij, ki razpolagajo z ustreznim znanjem. </w:t>
      </w:r>
    </w:p>
    <w:p w14:paraId="7FB8A4FF" w14:textId="77777777" w:rsidR="00907867" w:rsidRDefault="005F6A8A" w:rsidP="003445EF">
      <w:pPr>
        <w:pStyle w:val="Odstavekseznama"/>
        <w:numPr>
          <w:ilvl w:val="0"/>
          <w:numId w:val="10"/>
        </w:numPr>
        <w:spacing w:after="0" w:line="240" w:lineRule="auto"/>
        <w:jc w:val="both"/>
        <w:rPr>
          <w:rFonts w:ascii="Arial" w:eastAsia="Calibri" w:hAnsi="Arial" w:cs="Times New Roman"/>
          <w:sz w:val="20"/>
          <w:szCs w:val="20"/>
        </w:rPr>
      </w:pPr>
      <w:r w:rsidRPr="00236053">
        <w:rPr>
          <w:rFonts w:ascii="Arial" w:eastAsia="Calibri" w:hAnsi="Arial" w:cs="Times New Roman"/>
          <w:sz w:val="20"/>
          <w:szCs w:val="20"/>
        </w:rPr>
        <w:t xml:space="preserve">Deležniki, ki sodelujejo občasno, so deležniki, ki lahko s specifičnim znanjem in kompetencami ustrezno prispevajo k izvedbi testiranja in evalvacije tehnološke rešitve v regulatornem peskovniku. To so lahko individualni strokovnjaki z ekspertnimi znanji. </w:t>
      </w:r>
    </w:p>
    <w:p w14:paraId="76A18B9D" w14:textId="35FB2B4B" w:rsidR="005F6A8A" w:rsidRPr="00236053" w:rsidRDefault="005F6A8A" w:rsidP="003445EF">
      <w:pPr>
        <w:pStyle w:val="Odstavekseznama"/>
        <w:numPr>
          <w:ilvl w:val="0"/>
          <w:numId w:val="10"/>
        </w:numPr>
        <w:spacing w:after="0" w:line="240" w:lineRule="auto"/>
        <w:jc w:val="both"/>
        <w:rPr>
          <w:rFonts w:ascii="Arial" w:eastAsia="Calibri" w:hAnsi="Arial" w:cs="Times New Roman"/>
          <w:sz w:val="20"/>
          <w:szCs w:val="20"/>
        </w:rPr>
      </w:pPr>
      <w:r w:rsidRPr="00236053">
        <w:rPr>
          <w:rFonts w:ascii="Arial" w:eastAsia="Calibri" w:hAnsi="Arial" w:cs="Times New Roman"/>
          <w:sz w:val="20"/>
          <w:szCs w:val="20"/>
        </w:rPr>
        <w:t xml:space="preserve">Deležniki iz okolja (potencialni uporabniki) lahko vplivajo na inovativno tehnološko rešitev v fazi testiranja.  </w:t>
      </w:r>
    </w:p>
    <w:p w14:paraId="2E75FBAD" w14:textId="77777777" w:rsidR="0043725D" w:rsidRPr="0043725D" w:rsidRDefault="0043725D" w:rsidP="0043725D">
      <w:pPr>
        <w:spacing w:after="0" w:line="240" w:lineRule="auto"/>
        <w:jc w:val="both"/>
        <w:rPr>
          <w:rFonts w:ascii="Arial" w:eastAsia="Calibri" w:hAnsi="Arial" w:cs="Times New Roman"/>
          <w:sz w:val="20"/>
          <w:szCs w:val="20"/>
        </w:rPr>
      </w:pPr>
      <w:r w:rsidRPr="0043725D">
        <w:rPr>
          <w:rFonts w:ascii="Arial" w:eastAsia="Calibri" w:hAnsi="Arial" w:cs="Times New Roman"/>
          <w:sz w:val="20"/>
          <w:szCs w:val="20"/>
        </w:rPr>
        <w:t xml:space="preserve"> </w:t>
      </w:r>
    </w:p>
    <w:p w14:paraId="7F44D637" w14:textId="77777777" w:rsidR="002348FE" w:rsidRDefault="005F6A8A" w:rsidP="003445EF">
      <w:pPr>
        <w:pStyle w:val="Odstavekseznama"/>
        <w:numPr>
          <w:ilvl w:val="0"/>
          <w:numId w:val="23"/>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Oblikovanje in uporaba </w:t>
      </w:r>
      <w:r w:rsidR="00627B5D">
        <w:rPr>
          <w:rFonts w:ascii="Arial" w:eastAsia="Calibri" w:hAnsi="Arial" w:cs="Times New Roman"/>
          <w:sz w:val="20"/>
          <w:szCs w:val="20"/>
        </w:rPr>
        <w:t xml:space="preserve">povezav, zvez, skupnosti ali </w:t>
      </w:r>
      <w:r>
        <w:rPr>
          <w:rFonts w:ascii="Arial" w:eastAsia="Calibri" w:hAnsi="Arial" w:cs="Times New Roman"/>
          <w:sz w:val="20"/>
          <w:szCs w:val="20"/>
        </w:rPr>
        <w:t xml:space="preserve">mrež – ta aktivnost odgovarja na naslednja vprašanja: </w:t>
      </w:r>
    </w:p>
    <w:p w14:paraId="0EDAE8EE" w14:textId="77777777" w:rsidR="005F6A8A" w:rsidRDefault="005F6A8A"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ali mreže oziroma skupnosti, ki bi potencialno lahko sodelovale, že obstajajo</w:t>
      </w:r>
    </w:p>
    <w:p w14:paraId="7F26AA21" w14:textId="77777777" w:rsidR="005F6A8A" w:rsidRDefault="005F6A8A"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kako lahko posamezne aktivne deležnike povežemo v mrežo ali drugo obliko sodelovanja</w:t>
      </w:r>
    </w:p>
    <w:p w14:paraId="0959B29F" w14:textId="77777777" w:rsidR="005F6A8A" w:rsidRDefault="005F6A8A"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kako je organizirano sodelovanje znotraj mreže</w:t>
      </w:r>
    </w:p>
    <w:p w14:paraId="51263056" w14:textId="77777777" w:rsidR="001856AD" w:rsidRDefault="001856AD"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ali se lahko mrežne strukture iz drugih projektov uporabijo v takem regulatornem peskovniku</w:t>
      </w:r>
    </w:p>
    <w:p w14:paraId="41194462" w14:textId="77777777" w:rsidR="001856AD" w:rsidRDefault="001856AD" w:rsidP="001856AD">
      <w:pPr>
        <w:spacing w:after="0" w:line="240" w:lineRule="auto"/>
        <w:jc w:val="both"/>
        <w:rPr>
          <w:rFonts w:ascii="Arial" w:eastAsia="Calibri" w:hAnsi="Arial" w:cs="Times New Roman"/>
          <w:sz w:val="20"/>
          <w:szCs w:val="20"/>
        </w:rPr>
      </w:pPr>
    </w:p>
    <w:p w14:paraId="01614816" w14:textId="5A338200" w:rsidR="005F6A8A" w:rsidRPr="001856AD" w:rsidRDefault="001856AD" w:rsidP="001856AD">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Mreže oziroma druge oblike sodelovanja podjetij, raziskovalnih inštitucij ter tudi povezovanja med partnerskimi državami, lahko prispevajo h kompetencam regulatornega peskovnika. Prav tako je lahko regulatorni peskovnih del take mreže. V tem primeru se določi centralna kontaktna točka oziroma upravljalec regulatornega peskovnika. Za potrebe ureditve sodelovanja članov mrež se lahko sklene dogovor o sodelovanju. </w:t>
      </w:r>
      <w:r w:rsidR="005F6A8A" w:rsidRPr="001856AD">
        <w:rPr>
          <w:rFonts w:ascii="Arial" w:eastAsia="Calibri" w:hAnsi="Arial" w:cs="Times New Roman"/>
          <w:sz w:val="20"/>
          <w:szCs w:val="20"/>
        </w:rPr>
        <w:t xml:space="preserve"> </w:t>
      </w:r>
    </w:p>
    <w:p w14:paraId="0C17175D" w14:textId="77777777" w:rsidR="005F6A8A" w:rsidRDefault="005F6A8A" w:rsidP="005F6A8A">
      <w:pPr>
        <w:spacing w:after="0" w:line="240" w:lineRule="auto"/>
        <w:jc w:val="both"/>
        <w:rPr>
          <w:rFonts w:ascii="Arial" w:eastAsia="Calibri" w:hAnsi="Arial" w:cs="Times New Roman"/>
          <w:sz w:val="20"/>
          <w:szCs w:val="20"/>
        </w:rPr>
      </w:pPr>
    </w:p>
    <w:p w14:paraId="6CE7F412" w14:textId="77777777" w:rsidR="001856AD" w:rsidRDefault="001856AD" w:rsidP="003445EF">
      <w:pPr>
        <w:pStyle w:val="Odstavekseznama"/>
        <w:numPr>
          <w:ilvl w:val="0"/>
          <w:numId w:val="23"/>
        </w:numPr>
        <w:spacing w:after="0" w:line="240" w:lineRule="auto"/>
        <w:jc w:val="both"/>
        <w:rPr>
          <w:rFonts w:ascii="Arial" w:eastAsia="Calibri" w:hAnsi="Arial" w:cs="Times New Roman"/>
          <w:sz w:val="20"/>
          <w:szCs w:val="20"/>
        </w:rPr>
      </w:pPr>
      <w:r>
        <w:rPr>
          <w:rFonts w:ascii="Arial" w:eastAsia="Calibri" w:hAnsi="Arial" w:cs="Times New Roman"/>
          <w:sz w:val="20"/>
          <w:szCs w:val="20"/>
        </w:rPr>
        <w:t>časovno načrtovanje in načrtovanje virov – ta aktivnost odgovarja na naslednja vprašanja</w:t>
      </w:r>
    </w:p>
    <w:p w14:paraId="198B3F1B" w14:textId="77777777" w:rsidR="001856AD" w:rsidRDefault="001856AD"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kakšen je časovni okvir za vzpostavitev testnega laboratorija oziroma regulatornega peskovnika</w:t>
      </w:r>
    </w:p>
    <w:p w14:paraId="0E00A18A" w14:textId="77777777" w:rsidR="001856AD" w:rsidRDefault="00115040"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koliko je potrebnih virov za posamezen korak</w:t>
      </w:r>
    </w:p>
    <w:p w14:paraId="4941DD7C" w14:textId="77777777" w:rsidR="00115040" w:rsidRDefault="00115040" w:rsidP="00115040">
      <w:pPr>
        <w:spacing w:after="0" w:line="240" w:lineRule="auto"/>
        <w:jc w:val="both"/>
        <w:rPr>
          <w:rFonts w:ascii="Arial" w:eastAsia="Calibri" w:hAnsi="Arial" w:cs="Times New Roman"/>
          <w:sz w:val="20"/>
          <w:szCs w:val="20"/>
        </w:rPr>
      </w:pPr>
    </w:p>
    <w:p w14:paraId="7EDABA48" w14:textId="77777777" w:rsidR="00115040" w:rsidRDefault="00115040" w:rsidP="00115040">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Pred vzpostavitvijo </w:t>
      </w:r>
      <w:r w:rsidR="00C2377E">
        <w:rPr>
          <w:rFonts w:ascii="Arial" w:eastAsia="Calibri" w:hAnsi="Arial" w:cs="Times New Roman"/>
          <w:sz w:val="20"/>
          <w:szCs w:val="20"/>
        </w:rPr>
        <w:t xml:space="preserve">regulatornega peskovnika ključni deležniki opredelijo časovnico za posamezen korak in opredelijo potrebo po virih za izvedbo posameznega koraka.  </w:t>
      </w:r>
    </w:p>
    <w:p w14:paraId="28294D00" w14:textId="77777777" w:rsidR="00115040" w:rsidRPr="00115040" w:rsidRDefault="00115040" w:rsidP="00115040">
      <w:pPr>
        <w:spacing w:after="0" w:line="240" w:lineRule="auto"/>
        <w:jc w:val="both"/>
        <w:rPr>
          <w:rFonts w:ascii="Arial" w:eastAsia="Calibri" w:hAnsi="Arial" w:cs="Times New Roman"/>
          <w:sz w:val="20"/>
          <w:szCs w:val="20"/>
        </w:rPr>
      </w:pPr>
    </w:p>
    <w:p w14:paraId="537BC1C1" w14:textId="77777777" w:rsidR="00C2377E" w:rsidRDefault="00C2377E" w:rsidP="003445EF">
      <w:pPr>
        <w:pStyle w:val="Odstavekseznama"/>
        <w:numPr>
          <w:ilvl w:val="0"/>
          <w:numId w:val="23"/>
        </w:numPr>
        <w:spacing w:after="0" w:line="240" w:lineRule="auto"/>
        <w:jc w:val="both"/>
        <w:rPr>
          <w:rFonts w:ascii="Arial" w:eastAsia="Calibri" w:hAnsi="Arial" w:cs="Times New Roman"/>
          <w:sz w:val="20"/>
          <w:szCs w:val="20"/>
        </w:rPr>
      </w:pPr>
      <w:r>
        <w:rPr>
          <w:rFonts w:ascii="Arial" w:eastAsia="Calibri" w:hAnsi="Arial" w:cs="Times New Roman"/>
          <w:sz w:val="20"/>
          <w:szCs w:val="20"/>
        </w:rPr>
        <w:t>zagotavljanje financiranja – ta aktivnost v splošnem odgovarja na vprašanje, ali so za izvedbo regulatornega peskovnika na razpolago javni viri financiranja</w:t>
      </w:r>
      <w:r w:rsidR="001856AD">
        <w:rPr>
          <w:rFonts w:ascii="Arial" w:eastAsia="Calibri" w:hAnsi="Arial" w:cs="Times New Roman"/>
          <w:sz w:val="20"/>
          <w:szCs w:val="20"/>
        </w:rPr>
        <w:t xml:space="preserve"> </w:t>
      </w:r>
    </w:p>
    <w:p w14:paraId="4DC4F143" w14:textId="77777777" w:rsidR="00C2377E" w:rsidRDefault="00C2377E" w:rsidP="00C2377E">
      <w:pPr>
        <w:spacing w:after="0" w:line="240" w:lineRule="auto"/>
        <w:jc w:val="both"/>
        <w:rPr>
          <w:rFonts w:ascii="Arial" w:eastAsia="Calibri" w:hAnsi="Arial" w:cs="Times New Roman"/>
          <w:sz w:val="20"/>
          <w:szCs w:val="20"/>
        </w:rPr>
      </w:pPr>
    </w:p>
    <w:p w14:paraId="1768839D" w14:textId="77777777" w:rsidR="00C2377E" w:rsidRPr="00701F8B" w:rsidRDefault="00701F8B" w:rsidP="00C2377E">
      <w:pPr>
        <w:spacing w:after="0" w:line="240" w:lineRule="auto"/>
        <w:jc w:val="both"/>
        <w:rPr>
          <w:rFonts w:ascii="Arial" w:eastAsia="Calibri" w:hAnsi="Arial" w:cs="Times New Roman"/>
          <w:b/>
          <w:i/>
          <w:sz w:val="20"/>
          <w:szCs w:val="20"/>
        </w:rPr>
      </w:pPr>
      <w:r w:rsidRPr="00701F8B">
        <w:rPr>
          <w:rFonts w:ascii="Arial" w:eastAsia="Calibri" w:hAnsi="Arial" w:cs="Times New Roman"/>
          <w:b/>
          <w:i/>
          <w:sz w:val="20"/>
          <w:szCs w:val="20"/>
        </w:rPr>
        <w:t>Ad</w:t>
      </w:r>
      <w:r w:rsidR="00C2377E" w:rsidRPr="00701F8B">
        <w:rPr>
          <w:rFonts w:ascii="Arial" w:eastAsia="Calibri" w:hAnsi="Arial" w:cs="Times New Roman"/>
          <w:b/>
          <w:i/>
          <w:sz w:val="20"/>
          <w:szCs w:val="20"/>
        </w:rPr>
        <w:t>2) Pravni vidiki</w:t>
      </w:r>
    </w:p>
    <w:p w14:paraId="1F8DE392" w14:textId="77777777" w:rsidR="00C2377E" w:rsidRDefault="00C2377E" w:rsidP="00C2377E">
      <w:pPr>
        <w:spacing w:after="0" w:line="240" w:lineRule="auto"/>
        <w:jc w:val="both"/>
        <w:rPr>
          <w:rFonts w:ascii="Arial" w:eastAsia="Calibri" w:hAnsi="Arial" w:cs="Times New Roman"/>
          <w:sz w:val="20"/>
          <w:szCs w:val="20"/>
        </w:rPr>
      </w:pPr>
    </w:p>
    <w:p w14:paraId="21602119" w14:textId="77777777" w:rsidR="00C2377E" w:rsidRDefault="00C2377E" w:rsidP="00C2377E">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Pri opredelitvi pravnih vidikov se izvedejo naslednje aktivnosti: </w:t>
      </w:r>
    </w:p>
    <w:p w14:paraId="7FE27360" w14:textId="77777777" w:rsidR="00C2377E" w:rsidRDefault="00C2377E" w:rsidP="003445EF">
      <w:pPr>
        <w:pStyle w:val="Odstavekseznama"/>
        <w:numPr>
          <w:ilvl w:val="0"/>
          <w:numId w:val="24"/>
        </w:numPr>
        <w:spacing w:after="0" w:line="240" w:lineRule="auto"/>
        <w:jc w:val="both"/>
        <w:rPr>
          <w:rFonts w:ascii="Arial" w:eastAsia="Calibri" w:hAnsi="Arial" w:cs="Times New Roman"/>
          <w:sz w:val="20"/>
          <w:szCs w:val="20"/>
        </w:rPr>
      </w:pPr>
      <w:r>
        <w:rPr>
          <w:rFonts w:ascii="Arial" w:eastAsia="Calibri" w:hAnsi="Arial" w:cs="Times New Roman"/>
          <w:sz w:val="20"/>
          <w:szCs w:val="20"/>
        </w:rPr>
        <w:t>Identifikacija ovir v zakonodaji – ta aktivnost odgovarja na dve ključni vprašanji:</w:t>
      </w:r>
    </w:p>
    <w:p w14:paraId="2D712C07" w14:textId="77777777" w:rsidR="00C2377E" w:rsidRDefault="00C2377E"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katera področja zakonodaje so relevantna za regulatorni peskovnik</w:t>
      </w:r>
    </w:p>
    <w:p w14:paraId="69B2CFA6" w14:textId="77777777" w:rsidR="00C2377E" w:rsidRDefault="00C2377E"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katera pravila, ki izhajajo iz zakonodaje, ovirajo uvedbo tehnologije ali poslovnega modela</w:t>
      </w:r>
    </w:p>
    <w:p w14:paraId="0BD4FB9C" w14:textId="77777777" w:rsidR="00C2377E" w:rsidRPr="00C2377E" w:rsidRDefault="00C2377E" w:rsidP="00C2377E">
      <w:pPr>
        <w:pStyle w:val="Odstavekseznama"/>
        <w:spacing w:after="0" w:line="240" w:lineRule="auto"/>
        <w:jc w:val="both"/>
        <w:rPr>
          <w:rFonts w:ascii="Arial" w:eastAsia="Calibri" w:hAnsi="Arial" w:cs="Times New Roman"/>
          <w:sz w:val="20"/>
          <w:szCs w:val="20"/>
        </w:rPr>
      </w:pPr>
      <w:r w:rsidRPr="00C2377E">
        <w:rPr>
          <w:rFonts w:ascii="Arial" w:eastAsia="Calibri" w:hAnsi="Arial" w:cs="Times New Roman"/>
          <w:sz w:val="20"/>
          <w:szCs w:val="20"/>
        </w:rPr>
        <w:t xml:space="preserve">  </w:t>
      </w:r>
    </w:p>
    <w:p w14:paraId="04C53D28" w14:textId="77777777" w:rsidR="00C2377E" w:rsidRDefault="00C2377E" w:rsidP="003445EF">
      <w:pPr>
        <w:pStyle w:val="Odstavekseznama"/>
        <w:numPr>
          <w:ilvl w:val="0"/>
          <w:numId w:val="24"/>
        </w:numPr>
        <w:spacing w:after="0" w:line="240" w:lineRule="auto"/>
        <w:jc w:val="both"/>
        <w:rPr>
          <w:rFonts w:ascii="Arial" w:eastAsia="Calibri" w:hAnsi="Arial" w:cs="Times New Roman"/>
          <w:sz w:val="20"/>
          <w:szCs w:val="20"/>
        </w:rPr>
      </w:pPr>
      <w:r>
        <w:rPr>
          <w:rFonts w:ascii="Arial" w:eastAsia="Calibri" w:hAnsi="Arial" w:cs="Times New Roman"/>
          <w:sz w:val="20"/>
          <w:szCs w:val="20"/>
        </w:rPr>
        <w:t>Identifikacija možnih izjem – ta aktivnost odgovarja na vprašanje, ali v obstoječi zakonodaji obstajajo določila, ki za primer eksperimentiranja omogočajo izjeme</w:t>
      </w:r>
    </w:p>
    <w:p w14:paraId="1DC7E4D3" w14:textId="77777777" w:rsidR="00C2377E" w:rsidRDefault="00C2377E" w:rsidP="00C2377E">
      <w:pPr>
        <w:pStyle w:val="Odstavekseznama"/>
        <w:spacing w:after="0" w:line="240" w:lineRule="auto"/>
        <w:jc w:val="both"/>
        <w:rPr>
          <w:rFonts w:ascii="Arial" w:eastAsia="Calibri" w:hAnsi="Arial" w:cs="Times New Roman"/>
          <w:sz w:val="20"/>
          <w:szCs w:val="20"/>
        </w:rPr>
      </w:pPr>
    </w:p>
    <w:p w14:paraId="18A23C76" w14:textId="77777777" w:rsidR="00C2377E" w:rsidRDefault="00C2377E" w:rsidP="003445EF">
      <w:pPr>
        <w:pStyle w:val="Odstavekseznama"/>
        <w:numPr>
          <w:ilvl w:val="0"/>
          <w:numId w:val="24"/>
        </w:numPr>
        <w:spacing w:after="0" w:line="240" w:lineRule="auto"/>
        <w:jc w:val="both"/>
        <w:rPr>
          <w:rFonts w:ascii="Arial" w:eastAsia="Calibri" w:hAnsi="Arial" w:cs="Times New Roman"/>
          <w:sz w:val="20"/>
          <w:szCs w:val="20"/>
        </w:rPr>
      </w:pPr>
      <w:r w:rsidRPr="00C2377E">
        <w:rPr>
          <w:rFonts w:ascii="Arial" w:eastAsia="Calibri" w:hAnsi="Arial" w:cs="Times New Roman"/>
          <w:sz w:val="20"/>
          <w:szCs w:val="20"/>
        </w:rPr>
        <w:t>Identifikacija</w:t>
      </w:r>
      <w:r>
        <w:rPr>
          <w:rFonts w:ascii="Arial" w:eastAsia="Calibri" w:hAnsi="Arial" w:cs="Times New Roman"/>
          <w:sz w:val="20"/>
          <w:szCs w:val="20"/>
        </w:rPr>
        <w:t xml:space="preserve"> načinov, kako priti do izjem – ta aktivnost odgovarja na naslednja vprašanja: </w:t>
      </w:r>
    </w:p>
    <w:p w14:paraId="22F62B20" w14:textId="77777777" w:rsidR="000508D1" w:rsidRDefault="000508D1"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kakšni so predpogoji, da lahko uporabimo izjeme</w:t>
      </w:r>
    </w:p>
    <w:p w14:paraId="58E11D33" w14:textId="77777777" w:rsidR="000508D1" w:rsidRDefault="000508D1"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kateri organi so odgovorni za opredelitev izjem</w:t>
      </w:r>
    </w:p>
    <w:p w14:paraId="4F2A1EAB" w14:textId="77777777" w:rsidR="000508D1" w:rsidRDefault="000508D1"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ali poznamo praktično uporabo teh pravil iz katerega drugega pravnega sistema</w:t>
      </w:r>
    </w:p>
    <w:p w14:paraId="1DE76A9A" w14:textId="77777777" w:rsidR="000508D1" w:rsidRDefault="000508D1"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kateri organ je že izdal izjemo za druge primere</w:t>
      </w:r>
    </w:p>
    <w:p w14:paraId="51F15FAD" w14:textId="77777777" w:rsidR="000508D1" w:rsidRPr="000508D1" w:rsidRDefault="000508D1" w:rsidP="000508D1">
      <w:pPr>
        <w:pStyle w:val="Odstavekseznama"/>
        <w:spacing w:after="0" w:line="240" w:lineRule="auto"/>
        <w:jc w:val="both"/>
        <w:rPr>
          <w:rFonts w:ascii="Arial" w:eastAsia="Calibri" w:hAnsi="Arial" w:cs="Times New Roman"/>
          <w:sz w:val="20"/>
          <w:szCs w:val="20"/>
        </w:rPr>
      </w:pPr>
    </w:p>
    <w:p w14:paraId="33F03F7F" w14:textId="77777777" w:rsidR="000508D1" w:rsidRDefault="000508D1" w:rsidP="003445EF">
      <w:pPr>
        <w:pStyle w:val="Odstavekseznama"/>
        <w:numPr>
          <w:ilvl w:val="0"/>
          <w:numId w:val="24"/>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Pokritje tveganja odgovornosti – ta aktivnost odgovarja na naslednja vprašanja: </w:t>
      </w:r>
    </w:p>
    <w:p w14:paraId="22C0C833" w14:textId="77777777" w:rsidR="000508D1" w:rsidRDefault="00627B5D"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w:t>
      </w:r>
      <w:r w:rsidR="000508D1">
        <w:rPr>
          <w:rFonts w:ascii="Arial" w:eastAsia="Calibri" w:hAnsi="Arial" w:cs="Times New Roman"/>
          <w:sz w:val="20"/>
          <w:szCs w:val="20"/>
        </w:rPr>
        <w:t>atera so tveganja, ki jih  s testiranji lahko povzročimo uporabnikom in opazovalcem</w:t>
      </w:r>
    </w:p>
    <w:p w14:paraId="58CD16EE" w14:textId="77777777" w:rsidR="000508D1" w:rsidRDefault="00627B5D"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w:t>
      </w:r>
      <w:r w:rsidR="000508D1">
        <w:rPr>
          <w:rFonts w:ascii="Arial" w:eastAsia="Calibri" w:hAnsi="Arial" w:cs="Times New Roman"/>
          <w:sz w:val="20"/>
          <w:szCs w:val="20"/>
        </w:rPr>
        <w:t>do nosi odgovornost za škodo</w:t>
      </w:r>
    </w:p>
    <w:p w14:paraId="4EF59076" w14:textId="77777777" w:rsidR="000508D1" w:rsidRDefault="00627B5D"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w:t>
      </w:r>
      <w:r w:rsidR="000508D1">
        <w:rPr>
          <w:rFonts w:ascii="Arial" w:eastAsia="Calibri" w:hAnsi="Arial" w:cs="Times New Roman"/>
          <w:sz w:val="20"/>
          <w:szCs w:val="20"/>
        </w:rPr>
        <w:t>ako se lahko tveganja zavarujejo</w:t>
      </w:r>
    </w:p>
    <w:p w14:paraId="3DB3DD34" w14:textId="77777777" w:rsidR="00627B5D" w:rsidRDefault="00627B5D" w:rsidP="00627B5D">
      <w:pPr>
        <w:spacing w:after="0" w:line="240" w:lineRule="auto"/>
        <w:jc w:val="both"/>
        <w:rPr>
          <w:rFonts w:ascii="Arial" w:eastAsia="Calibri" w:hAnsi="Arial" w:cs="Times New Roman"/>
          <w:sz w:val="20"/>
          <w:szCs w:val="20"/>
        </w:rPr>
      </w:pPr>
    </w:p>
    <w:p w14:paraId="3839E1AB" w14:textId="77777777" w:rsidR="00627B5D" w:rsidRDefault="00627B5D" w:rsidP="00627B5D">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Vprašanja v zvezi z zavarovanjem so relevantna predvsem za podjetja ali raziskovalne organizacije, ki se prijavijo za testiranje v regulatornem peskovniku. Ob upoštevanju dejstva, da zavarovalnice v splošnem niso naklonjene zavarovanju </w:t>
      </w:r>
      <w:r w:rsidR="00171100">
        <w:rPr>
          <w:rFonts w:ascii="Arial" w:eastAsia="Calibri" w:hAnsi="Arial" w:cs="Times New Roman"/>
          <w:sz w:val="20"/>
          <w:szCs w:val="20"/>
        </w:rPr>
        <w:t xml:space="preserve">inovativnih tehnoloških rešitev z neznanim izidom, so lahko v pomoč pri dokazovanju tisti ponudniki zavarovanj, s katerimi imajo prijavitelji že vzpostavljene poslovne odnose, ki izkazujejo zaupanje. Dokazilo o zavarovanju je lahko del dokumentacije, ki jo prijavitelj v regulatorni peskovnik posreduje za vstop v proces testiranja. </w:t>
      </w:r>
      <w:r>
        <w:rPr>
          <w:rFonts w:ascii="Arial" w:eastAsia="Calibri" w:hAnsi="Arial" w:cs="Times New Roman"/>
          <w:sz w:val="20"/>
          <w:szCs w:val="20"/>
        </w:rPr>
        <w:t xml:space="preserve"> </w:t>
      </w:r>
    </w:p>
    <w:p w14:paraId="1F93256E" w14:textId="77777777" w:rsidR="00627B5D" w:rsidRPr="00627B5D" w:rsidRDefault="00627B5D" w:rsidP="00627B5D">
      <w:pPr>
        <w:spacing w:after="0" w:line="240" w:lineRule="auto"/>
        <w:jc w:val="both"/>
        <w:rPr>
          <w:rFonts w:ascii="Arial" w:eastAsia="Calibri" w:hAnsi="Arial" w:cs="Times New Roman"/>
          <w:sz w:val="20"/>
          <w:szCs w:val="20"/>
        </w:rPr>
      </w:pPr>
    </w:p>
    <w:p w14:paraId="6B0FAB4D" w14:textId="77777777" w:rsidR="00C2377E" w:rsidRDefault="00171100" w:rsidP="003445EF">
      <w:pPr>
        <w:pStyle w:val="Odstavekseznama"/>
        <w:numPr>
          <w:ilvl w:val="0"/>
          <w:numId w:val="24"/>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Skladnost s pravili državnih pomoči – na tem mestu se ugotavlja skladnost s pravili posamezne sheme državnih pomoči </w:t>
      </w:r>
    </w:p>
    <w:p w14:paraId="532B879B" w14:textId="77777777" w:rsidR="00171100" w:rsidRDefault="00171100" w:rsidP="00171100">
      <w:pPr>
        <w:spacing w:after="0" w:line="240" w:lineRule="auto"/>
        <w:jc w:val="both"/>
        <w:rPr>
          <w:rFonts w:ascii="Arial" w:eastAsia="Calibri" w:hAnsi="Arial" w:cs="Times New Roman"/>
          <w:sz w:val="20"/>
          <w:szCs w:val="20"/>
        </w:rPr>
      </w:pPr>
    </w:p>
    <w:p w14:paraId="47FE2F08" w14:textId="77777777" w:rsidR="00171100" w:rsidRPr="00701F8B" w:rsidRDefault="00171100" w:rsidP="00171100">
      <w:pPr>
        <w:spacing w:after="0" w:line="240" w:lineRule="auto"/>
        <w:jc w:val="both"/>
        <w:rPr>
          <w:rFonts w:ascii="Arial" w:eastAsia="Calibri" w:hAnsi="Arial" w:cs="Times New Roman"/>
          <w:b/>
          <w:i/>
          <w:sz w:val="20"/>
          <w:szCs w:val="20"/>
        </w:rPr>
      </w:pPr>
      <w:r w:rsidRPr="00701F8B">
        <w:rPr>
          <w:rFonts w:ascii="Arial" w:eastAsia="Calibri" w:hAnsi="Arial" w:cs="Times New Roman"/>
          <w:b/>
          <w:i/>
          <w:sz w:val="20"/>
          <w:szCs w:val="20"/>
        </w:rPr>
        <w:t>Ad3) Oblikovanje oziroma ustanovitev in izvedba</w:t>
      </w:r>
      <w:r w:rsidR="00701F8B">
        <w:rPr>
          <w:rFonts w:ascii="Arial" w:eastAsia="Calibri" w:hAnsi="Arial" w:cs="Times New Roman"/>
          <w:b/>
          <w:i/>
          <w:sz w:val="20"/>
          <w:szCs w:val="20"/>
        </w:rPr>
        <w:t xml:space="preserve"> testnega laboratorija oziroma regulatornega peskovnika</w:t>
      </w:r>
    </w:p>
    <w:p w14:paraId="7D5F2B0E" w14:textId="77777777" w:rsidR="00171100" w:rsidRDefault="00171100" w:rsidP="00171100">
      <w:pPr>
        <w:spacing w:after="0" w:line="240" w:lineRule="auto"/>
        <w:jc w:val="both"/>
        <w:rPr>
          <w:rFonts w:ascii="Arial" w:eastAsia="Calibri" w:hAnsi="Arial" w:cs="Times New Roman"/>
          <w:sz w:val="20"/>
          <w:szCs w:val="20"/>
        </w:rPr>
      </w:pPr>
    </w:p>
    <w:p w14:paraId="4703C088" w14:textId="33788904" w:rsidR="00171100" w:rsidRDefault="00171100" w:rsidP="00171100">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Za vzpostavitev </w:t>
      </w:r>
      <w:r w:rsidR="00236053">
        <w:rPr>
          <w:rFonts w:ascii="Arial" w:eastAsia="Calibri" w:hAnsi="Arial" w:cs="Times New Roman"/>
          <w:sz w:val="20"/>
          <w:szCs w:val="20"/>
        </w:rPr>
        <w:t>regulatornega peskovnika</w:t>
      </w:r>
      <w:r>
        <w:rPr>
          <w:rFonts w:ascii="Arial" w:eastAsia="Calibri" w:hAnsi="Arial" w:cs="Times New Roman"/>
          <w:sz w:val="20"/>
          <w:szCs w:val="20"/>
        </w:rPr>
        <w:t xml:space="preserve"> se opredelijo naslednje aktivnosti: </w:t>
      </w:r>
    </w:p>
    <w:p w14:paraId="75FDF267" w14:textId="77777777" w:rsidR="00171100" w:rsidRDefault="00171100" w:rsidP="003445EF">
      <w:pPr>
        <w:pStyle w:val="Odstavekseznama"/>
        <w:numPr>
          <w:ilvl w:val="0"/>
          <w:numId w:val="25"/>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Izbira pravega prostora in čas trajanja – pri tej </w:t>
      </w:r>
      <w:r w:rsidR="00BB24B4">
        <w:rPr>
          <w:rFonts w:ascii="Arial" w:eastAsia="Calibri" w:hAnsi="Arial" w:cs="Times New Roman"/>
          <w:sz w:val="20"/>
          <w:szCs w:val="20"/>
        </w:rPr>
        <w:t xml:space="preserve">aktivnosti so relevantna naslednja vprašanja: </w:t>
      </w:r>
    </w:p>
    <w:p w14:paraId="2A4940D2" w14:textId="77777777" w:rsidR="00BB24B4" w:rsidRDefault="00BB24B4"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koliko časa potrebujemo, da dosežemo cilje regulatornega peskovnika</w:t>
      </w:r>
    </w:p>
    <w:p w14:paraId="5748853D" w14:textId="77777777" w:rsidR="00BB24B4" w:rsidRDefault="00BB24B4"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katero območje pokriva regulatorni peskovnik</w:t>
      </w:r>
    </w:p>
    <w:p w14:paraId="142C63E8" w14:textId="77777777" w:rsidR="00BB24B4" w:rsidRDefault="00BB24B4" w:rsidP="00BB24B4">
      <w:pPr>
        <w:spacing w:after="0" w:line="240" w:lineRule="auto"/>
        <w:jc w:val="both"/>
        <w:rPr>
          <w:rFonts w:ascii="Arial" w:eastAsia="Calibri" w:hAnsi="Arial" w:cs="Times New Roman"/>
          <w:sz w:val="20"/>
          <w:szCs w:val="20"/>
        </w:rPr>
      </w:pPr>
    </w:p>
    <w:p w14:paraId="06018098" w14:textId="77777777" w:rsidR="00BB24B4" w:rsidRDefault="00BB24B4" w:rsidP="00BB24B4">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Obe vprašanji sta odvisni od ciljev, ki jih postavijo ključni deležniki. Časovna omejitev lahko izvira iz eksperimentalnih pogojev s pripadajočimi zahtevami. Pri opredelitvi območja so pomembni naslednji dejavniki: </w:t>
      </w:r>
      <w:r w:rsidR="00341908">
        <w:rPr>
          <w:rFonts w:ascii="Arial" w:eastAsia="Calibri" w:hAnsi="Arial" w:cs="Times New Roman"/>
          <w:sz w:val="20"/>
          <w:szCs w:val="20"/>
        </w:rPr>
        <w:t xml:space="preserve">struktura populacije, gostota naseljenosti, infrastruktura, pa tudi obstoječe (podjetniške, raziskovalne) skupnosti in mreže. </w:t>
      </w:r>
    </w:p>
    <w:p w14:paraId="02AEFB5F" w14:textId="77777777" w:rsidR="00BB24B4" w:rsidRPr="00BB24B4" w:rsidRDefault="00BB24B4" w:rsidP="00BB24B4">
      <w:pPr>
        <w:spacing w:after="0" w:line="240" w:lineRule="auto"/>
        <w:jc w:val="both"/>
        <w:rPr>
          <w:rFonts w:ascii="Arial" w:eastAsia="Calibri" w:hAnsi="Arial" w:cs="Times New Roman"/>
          <w:sz w:val="20"/>
          <w:szCs w:val="20"/>
        </w:rPr>
      </w:pPr>
    </w:p>
    <w:p w14:paraId="0DEE2F2D" w14:textId="77777777" w:rsidR="00BB24B4" w:rsidRDefault="00341908" w:rsidP="003445EF">
      <w:pPr>
        <w:pStyle w:val="Odstavekseznama"/>
        <w:numPr>
          <w:ilvl w:val="0"/>
          <w:numId w:val="25"/>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Opredelitev odgovornosti </w:t>
      </w:r>
      <w:r w:rsidR="008630EB">
        <w:rPr>
          <w:rFonts w:ascii="Arial" w:eastAsia="Calibri" w:hAnsi="Arial" w:cs="Times New Roman"/>
          <w:sz w:val="20"/>
          <w:szCs w:val="20"/>
        </w:rPr>
        <w:t xml:space="preserve">za nadzor in ocenjevanje – pri tem so relevantna zlasti naslednja vprašanja: </w:t>
      </w:r>
    </w:p>
    <w:p w14:paraId="059485A7" w14:textId="77777777" w:rsidR="008630EB" w:rsidRDefault="008630EB"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kdo je odgovoren za nadzor regulatornega peskovnika </w:t>
      </w:r>
    </w:p>
    <w:p w14:paraId="2DD819E8" w14:textId="77777777" w:rsidR="008630EB" w:rsidRDefault="008630EB"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kdo evalvira oziroma ocenjuje delo regulatornega peskovnika</w:t>
      </w:r>
    </w:p>
    <w:p w14:paraId="5666A2A3" w14:textId="77777777" w:rsidR="008630EB" w:rsidRDefault="008630EB"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kakšen je lahko odziv na razvoj regulatornega peskovnika</w:t>
      </w:r>
    </w:p>
    <w:p w14:paraId="3A7A1A63" w14:textId="77777777" w:rsidR="008630EB" w:rsidRDefault="008630EB" w:rsidP="008630EB">
      <w:pPr>
        <w:spacing w:after="0" w:line="240" w:lineRule="auto"/>
        <w:jc w:val="both"/>
        <w:rPr>
          <w:rFonts w:ascii="Arial" w:eastAsia="Calibri" w:hAnsi="Arial" w:cs="Times New Roman"/>
          <w:sz w:val="20"/>
          <w:szCs w:val="20"/>
        </w:rPr>
      </w:pPr>
    </w:p>
    <w:p w14:paraId="79531344" w14:textId="77777777" w:rsidR="008630EB" w:rsidRDefault="008630EB" w:rsidP="008630EB">
      <w:pPr>
        <w:spacing w:after="0" w:line="240" w:lineRule="auto"/>
        <w:jc w:val="both"/>
        <w:rPr>
          <w:rFonts w:ascii="Arial" w:eastAsia="Calibri" w:hAnsi="Arial" w:cs="Times New Roman"/>
          <w:sz w:val="20"/>
          <w:szCs w:val="20"/>
        </w:rPr>
      </w:pPr>
      <w:r>
        <w:rPr>
          <w:rFonts w:ascii="Arial" w:eastAsia="Calibri" w:hAnsi="Arial" w:cs="Times New Roman"/>
          <w:sz w:val="20"/>
          <w:szCs w:val="20"/>
        </w:rPr>
        <w:t>Ključno vlogo pri nadzoru in evalvaciji imajo administrativni organi, ki opredelijo pravni okvir regulatornega peskovnika. Evalvacija je zlasti povezana z opredelitvijo podatkov, informacij, relevantnih za evalvacijo, ugotovitev in učinkov regulatornih peskovnikov. Z evalvacijo moramo pridobiti transparentno in objektivno informacijo o doseganju ciljev regulatornega peskovnika. V primeru velikih kompleksnih projektov je mogoče za izvedbo evalvacije najeti pogodbenega evalvatorja</w:t>
      </w:r>
    </w:p>
    <w:p w14:paraId="0317069A" w14:textId="77777777" w:rsidR="008630EB" w:rsidRPr="008630EB" w:rsidRDefault="008630EB" w:rsidP="008630EB">
      <w:pPr>
        <w:spacing w:after="0" w:line="240" w:lineRule="auto"/>
        <w:jc w:val="both"/>
        <w:rPr>
          <w:rFonts w:ascii="Arial" w:eastAsia="Calibri" w:hAnsi="Arial" w:cs="Times New Roman"/>
          <w:sz w:val="20"/>
          <w:szCs w:val="20"/>
        </w:rPr>
      </w:pPr>
    </w:p>
    <w:p w14:paraId="2564EED4" w14:textId="77777777" w:rsidR="00701F8B" w:rsidRDefault="00B23DAE" w:rsidP="003445EF">
      <w:pPr>
        <w:pStyle w:val="Odstavekseznama"/>
        <w:numPr>
          <w:ilvl w:val="0"/>
          <w:numId w:val="25"/>
        </w:numPr>
        <w:spacing w:after="0" w:line="240" w:lineRule="auto"/>
        <w:jc w:val="both"/>
        <w:rPr>
          <w:rFonts w:ascii="Arial" w:eastAsia="Calibri" w:hAnsi="Arial" w:cs="Times New Roman"/>
          <w:sz w:val="20"/>
          <w:szCs w:val="20"/>
        </w:rPr>
      </w:pPr>
      <w:r>
        <w:rPr>
          <w:rFonts w:ascii="Arial" w:eastAsia="Calibri" w:hAnsi="Arial" w:cs="Times New Roman"/>
          <w:sz w:val="20"/>
          <w:szCs w:val="20"/>
        </w:rPr>
        <w:t>Opredelitev kazalnikov in virov podatkov za evalvacije</w:t>
      </w:r>
      <w:r w:rsidR="00701F8B">
        <w:rPr>
          <w:rFonts w:ascii="Arial" w:eastAsia="Calibri" w:hAnsi="Arial" w:cs="Times New Roman"/>
          <w:sz w:val="20"/>
          <w:szCs w:val="20"/>
        </w:rPr>
        <w:t xml:space="preserve"> – na tem mestu so pomembna naslednja vprašanja:</w:t>
      </w:r>
    </w:p>
    <w:p w14:paraId="2C2B0D4A" w14:textId="77777777" w:rsidR="00701F8B" w:rsidRDefault="00701F8B"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kateri kazalniki so ustrezni za merjenje doseganja ciljev regulatornega peskovnika</w:t>
      </w:r>
    </w:p>
    <w:p w14:paraId="0AA9AB4D" w14:textId="77777777" w:rsidR="00701F8B" w:rsidRDefault="00701F8B"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kateri podatki so že na voljo</w:t>
      </w:r>
    </w:p>
    <w:p w14:paraId="2A1D4D2A" w14:textId="77777777" w:rsidR="00701F8B" w:rsidRDefault="00701F8B"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katere podatke je treba zbrati za evalvacijo</w:t>
      </w:r>
    </w:p>
    <w:p w14:paraId="412613D5" w14:textId="77777777" w:rsidR="00701F8B" w:rsidRDefault="00701F8B"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katere so zahteve za poročanje za posamezne deležnike regulatornega peskovnika</w:t>
      </w:r>
    </w:p>
    <w:p w14:paraId="6CD3A878" w14:textId="77777777" w:rsidR="008630EB" w:rsidRDefault="00701F8B" w:rsidP="003445EF">
      <w:pPr>
        <w:pStyle w:val="Odstavekseznama"/>
        <w:numPr>
          <w:ilvl w:val="0"/>
          <w:numId w:val="10"/>
        </w:numPr>
        <w:spacing w:after="0" w:line="240" w:lineRule="auto"/>
        <w:jc w:val="both"/>
        <w:rPr>
          <w:rFonts w:ascii="Arial" w:eastAsia="Calibri" w:hAnsi="Arial" w:cs="Times New Roman"/>
          <w:sz w:val="20"/>
          <w:szCs w:val="20"/>
        </w:rPr>
      </w:pPr>
      <w:r>
        <w:rPr>
          <w:rFonts w:ascii="Arial" w:eastAsia="Calibri" w:hAnsi="Arial" w:cs="Times New Roman"/>
          <w:sz w:val="20"/>
          <w:szCs w:val="20"/>
        </w:rPr>
        <w:t>katere metode in tehnike so ustrezne za evalvacijo</w:t>
      </w:r>
      <w:r w:rsidRPr="00701F8B">
        <w:rPr>
          <w:rFonts w:ascii="Arial" w:eastAsia="Calibri" w:hAnsi="Arial" w:cs="Times New Roman"/>
          <w:sz w:val="20"/>
          <w:szCs w:val="20"/>
        </w:rPr>
        <w:t xml:space="preserve"> </w:t>
      </w:r>
    </w:p>
    <w:p w14:paraId="0EF2F87C" w14:textId="77777777" w:rsidR="00701F8B" w:rsidRPr="00701F8B" w:rsidRDefault="00701F8B" w:rsidP="00701F8B">
      <w:pPr>
        <w:pStyle w:val="Odstavekseznama"/>
        <w:spacing w:after="0" w:line="240" w:lineRule="auto"/>
        <w:jc w:val="both"/>
        <w:rPr>
          <w:rFonts w:ascii="Arial" w:eastAsia="Calibri" w:hAnsi="Arial" w:cs="Times New Roman"/>
          <w:sz w:val="20"/>
          <w:szCs w:val="20"/>
        </w:rPr>
      </w:pPr>
    </w:p>
    <w:p w14:paraId="1A336E50" w14:textId="77777777" w:rsidR="00701F8B" w:rsidRDefault="00701F8B" w:rsidP="003445EF">
      <w:pPr>
        <w:pStyle w:val="Odstavekseznama"/>
        <w:numPr>
          <w:ilvl w:val="0"/>
          <w:numId w:val="25"/>
        </w:numPr>
        <w:spacing w:after="0" w:line="240" w:lineRule="auto"/>
        <w:jc w:val="both"/>
        <w:rPr>
          <w:rFonts w:ascii="Arial" w:eastAsia="Calibri" w:hAnsi="Arial" w:cs="Times New Roman"/>
          <w:sz w:val="20"/>
          <w:szCs w:val="20"/>
        </w:rPr>
      </w:pPr>
      <w:r>
        <w:rPr>
          <w:rFonts w:ascii="Arial" w:eastAsia="Calibri" w:hAnsi="Arial" w:cs="Times New Roman"/>
          <w:sz w:val="20"/>
          <w:szCs w:val="20"/>
        </w:rPr>
        <w:t>Opredelitev ciljne uporabe ugotovitev</w:t>
      </w:r>
    </w:p>
    <w:p w14:paraId="1CBD3751" w14:textId="77777777" w:rsidR="0096460F" w:rsidRDefault="0096460F" w:rsidP="008B3D0E">
      <w:pPr>
        <w:spacing w:after="0" w:line="240" w:lineRule="auto"/>
        <w:jc w:val="both"/>
        <w:rPr>
          <w:rFonts w:ascii="Arial" w:eastAsia="Calibri" w:hAnsi="Arial" w:cs="Times New Roman"/>
          <w:b/>
          <w:i/>
          <w:sz w:val="20"/>
          <w:szCs w:val="20"/>
        </w:rPr>
      </w:pPr>
    </w:p>
    <w:p w14:paraId="2375CB19" w14:textId="1245D9B2" w:rsidR="008B3D0E" w:rsidRDefault="008B3D0E" w:rsidP="008B3D0E">
      <w:pPr>
        <w:spacing w:after="0" w:line="240" w:lineRule="auto"/>
        <w:jc w:val="both"/>
        <w:rPr>
          <w:rFonts w:ascii="Arial" w:eastAsia="Calibri" w:hAnsi="Arial" w:cs="Times New Roman"/>
          <w:sz w:val="20"/>
          <w:szCs w:val="20"/>
        </w:rPr>
      </w:pPr>
      <w:r w:rsidRPr="006A3AA1">
        <w:rPr>
          <w:rFonts w:ascii="Arial" w:eastAsia="Calibri" w:hAnsi="Arial" w:cs="Times New Roman"/>
          <w:b/>
          <w:i/>
          <w:sz w:val="20"/>
          <w:szCs w:val="20"/>
        </w:rPr>
        <w:t>Proces vzpostavitve testnega laboratorija oziroma regulatornega peskovnika za napredne (digitalne) tehnologije je torej naslednji</w:t>
      </w:r>
      <w:r>
        <w:rPr>
          <w:rFonts w:ascii="Arial" w:eastAsia="Calibri" w:hAnsi="Arial" w:cs="Times New Roman"/>
          <w:sz w:val="20"/>
          <w:szCs w:val="20"/>
        </w:rPr>
        <w:t xml:space="preserve">: </w:t>
      </w:r>
    </w:p>
    <w:p w14:paraId="0A4F188B" w14:textId="65EDDB0A" w:rsidR="0096460F" w:rsidRDefault="0096460F" w:rsidP="008B3D0E">
      <w:pPr>
        <w:spacing w:after="0" w:line="240" w:lineRule="auto"/>
        <w:jc w:val="both"/>
        <w:rPr>
          <w:rFonts w:ascii="Arial" w:eastAsia="Calibri" w:hAnsi="Arial" w:cs="Times New Roman"/>
          <w:sz w:val="20"/>
          <w:szCs w:val="20"/>
        </w:rPr>
      </w:pPr>
    </w:p>
    <w:p w14:paraId="70F8F56F" w14:textId="55801DC8" w:rsidR="0096460F" w:rsidRDefault="0096460F" w:rsidP="008B3D0E">
      <w:pPr>
        <w:spacing w:after="0" w:line="240" w:lineRule="auto"/>
        <w:jc w:val="both"/>
        <w:rPr>
          <w:rFonts w:ascii="Arial" w:eastAsia="Calibri" w:hAnsi="Arial" w:cs="Times New Roman"/>
          <w:sz w:val="20"/>
          <w:szCs w:val="20"/>
        </w:rPr>
      </w:pPr>
      <w:r>
        <w:rPr>
          <w:rFonts w:ascii="Arial" w:eastAsia="Calibri" w:hAnsi="Arial" w:cs="Times New Roman"/>
          <w:sz w:val="20"/>
          <w:szCs w:val="20"/>
        </w:rPr>
        <w:t xml:space="preserve">Tabela 2: predvideni koraki v procesu vzpostavitve </w:t>
      </w:r>
      <w:r w:rsidRPr="0096460F">
        <w:rPr>
          <w:rFonts w:ascii="Arial" w:eastAsia="Calibri" w:hAnsi="Arial" w:cs="Times New Roman"/>
          <w:sz w:val="20"/>
          <w:szCs w:val="20"/>
        </w:rPr>
        <w:t>testnega laboratorija oziroma regulatornega peskovnika za napredne (digitalne) tehnologije je torej naslednji</w:t>
      </w:r>
    </w:p>
    <w:p w14:paraId="78FD403E" w14:textId="77777777" w:rsidR="006A3AA1" w:rsidRDefault="006A3AA1" w:rsidP="008B3D0E">
      <w:pPr>
        <w:spacing w:after="0" w:line="240" w:lineRule="auto"/>
        <w:jc w:val="both"/>
        <w:rPr>
          <w:rFonts w:ascii="Arial" w:eastAsia="Calibri" w:hAnsi="Arial" w:cs="Times New Roman"/>
          <w:sz w:val="20"/>
          <w:szCs w:val="20"/>
        </w:rPr>
      </w:pPr>
    </w:p>
    <w:tbl>
      <w:tblPr>
        <w:tblStyle w:val="Tabelamrea"/>
        <w:tblW w:w="0" w:type="auto"/>
        <w:tblLook w:val="04A0" w:firstRow="1" w:lastRow="0" w:firstColumn="1" w:lastColumn="0" w:noHBand="0" w:noVBand="1"/>
      </w:tblPr>
      <w:tblGrid>
        <w:gridCol w:w="6799"/>
        <w:gridCol w:w="2263"/>
      </w:tblGrid>
      <w:tr w:rsidR="006A3AA1" w14:paraId="152712E1" w14:textId="77777777" w:rsidTr="00222A37">
        <w:trPr>
          <w:tblHeader/>
        </w:trPr>
        <w:tc>
          <w:tcPr>
            <w:tcW w:w="6799" w:type="dxa"/>
          </w:tcPr>
          <w:p w14:paraId="26967346" w14:textId="77777777" w:rsidR="006A3AA1" w:rsidRPr="00105E3E" w:rsidRDefault="006A3AA1" w:rsidP="008B3D0E">
            <w:pPr>
              <w:jc w:val="both"/>
              <w:rPr>
                <w:rFonts w:ascii="Arial" w:eastAsia="Calibri" w:hAnsi="Arial" w:cs="Times New Roman"/>
                <w:b/>
                <w:sz w:val="20"/>
                <w:szCs w:val="20"/>
              </w:rPr>
            </w:pPr>
            <w:r w:rsidRPr="00105E3E">
              <w:rPr>
                <w:rFonts w:ascii="Arial" w:eastAsia="Calibri" w:hAnsi="Arial" w:cs="Times New Roman"/>
                <w:b/>
                <w:sz w:val="20"/>
                <w:szCs w:val="20"/>
              </w:rPr>
              <w:t>Korak</w:t>
            </w:r>
          </w:p>
        </w:tc>
        <w:tc>
          <w:tcPr>
            <w:tcW w:w="2263" w:type="dxa"/>
          </w:tcPr>
          <w:p w14:paraId="74D11BDE" w14:textId="7F27935C" w:rsidR="006A3AA1" w:rsidRPr="00105E3E" w:rsidRDefault="006A3AA1" w:rsidP="008B3D0E">
            <w:pPr>
              <w:jc w:val="both"/>
              <w:rPr>
                <w:rFonts w:ascii="Arial" w:eastAsia="Calibri" w:hAnsi="Arial" w:cs="Times New Roman"/>
                <w:b/>
                <w:sz w:val="20"/>
                <w:szCs w:val="20"/>
              </w:rPr>
            </w:pPr>
            <w:r w:rsidRPr="00105E3E">
              <w:rPr>
                <w:rFonts w:ascii="Arial" w:eastAsia="Calibri" w:hAnsi="Arial" w:cs="Times New Roman"/>
                <w:b/>
                <w:sz w:val="20"/>
                <w:szCs w:val="20"/>
              </w:rPr>
              <w:t xml:space="preserve">Pristojnost </w:t>
            </w:r>
            <w:r w:rsidR="00C93F4A">
              <w:rPr>
                <w:rFonts w:ascii="Arial" w:eastAsia="Calibri" w:hAnsi="Arial" w:cs="Times New Roman"/>
                <w:b/>
                <w:sz w:val="20"/>
                <w:szCs w:val="20"/>
              </w:rPr>
              <w:t>/rok</w:t>
            </w:r>
          </w:p>
        </w:tc>
      </w:tr>
      <w:tr w:rsidR="006A3AA1" w14:paraId="0DCDB002" w14:textId="77777777" w:rsidTr="006A3AA1">
        <w:tc>
          <w:tcPr>
            <w:tcW w:w="6799" w:type="dxa"/>
          </w:tcPr>
          <w:p w14:paraId="170C05B3" w14:textId="77777777" w:rsidR="006A3AA1" w:rsidRDefault="006A3AA1" w:rsidP="008B3D0E">
            <w:pPr>
              <w:jc w:val="both"/>
              <w:rPr>
                <w:rFonts w:ascii="Arial" w:eastAsia="Calibri" w:hAnsi="Arial" w:cs="Times New Roman"/>
                <w:sz w:val="20"/>
                <w:szCs w:val="20"/>
              </w:rPr>
            </w:pPr>
            <w:r>
              <w:rPr>
                <w:rFonts w:ascii="Arial" w:eastAsia="Calibri" w:hAnsi="Arial" w:cs="Times New Roman"/>
                <w:sz w:val="20"/>
                <w:szCs w:val="20"/>
              </w:rPr>
              <w:t>Identifikacija možnih (skupin) deležnikov: ključnih deležnikov, aktivnih deležnikov in relevantnih ekspertnih deležnikov s specifičnimi znanji</w:t>
            </w:r>
          </w:p>
        </w:tc>
        <w:tc>
          <w:tcPr>
            <w:tcW w:w="2263" w:type="dxa"/>
          </w:tcPr>
          <w:p w14:paraId="43437433" w14:textId="2D8BCA80" w:rsidR="006A3AA1" w:rsidRDefault="006A3AA1" w:rsidP="008B3D0E">
            <w:pPr>
              <w:jc w:val="both"/>
              <w:rPr>
                <w:rFonts w:ascii="Arial" w:eastAsia="Calibri" w:hAnsi="Arial" w:cs="Times New Roman"/>
                <w:sz w:val="20"/>
                <w:szCs w:val="20"/>
              </w:rPr>
            </w:pPr>
            <w:r>
              <w:rPr>
                <w:rFonts w:ascii="Arial" w:eastAsia="Calibri" w:hAnsi="Arial" w:cs="Times New Roman"/>
                <w:sz w:val="20"/>
                <w:szCs w:val="20"/>
              </w:rPr>
              <w:t>MGRT</w:t>
            </w:r>
            <w:r w:rsidR="00C93F4A">
              <w:rPr>
                <w:rFonts w:ascii="Arial" w:eastAsia="Calibri" w:hAnsi="Arial" w:cs="Times New Roman"/>
                <w:sz w:val="20"/>
                <w:szCs w:val="20"/>
              </w:rPr>
              <w:t xml:space="preserve"> v sodelovanju z deležniki, maj 2022</w:t>
            </w:r>
          </w:p>
        </w:tc>
      </w:tr>
      <w:tr w:rsidR="00105E3E" w14:paraId="55C5DC57" w14:textId="77777777" w:rsidTr="006A3AA1">
        <w:tc>
          <w:tcPr>
            <w:tcW w:w="6799" w:type="dxa"/>
          </w:tcPr>
          <w:p w14:paraId="26E5EA49" w14:textId="77777777" w:rsidR="00105E3E" w:rsidRDefault="00105E3E" w:rsidP="008B3D0E">
            <w:pPr>
              <w:jc w:val="both"/>
              <w:rPr>
                <w:rFonts w:ascii="Arial" w:eastAsia="Calibri" w:hAnsi="Arial" w:cs="Times New Roman"/>
                <w:sz w:val="20"/>
                <w:szCs w:val="20"/>
              </w:rPr>
            </w:pPr>
            <w:r>
              <w:rPr>
                <w:rFonts w:ascii="Arial" w:eastAsia="Calibri" w:hAnsi="Arial" w:cs="Times New Roman"/>
                <w:sz w:val="20"/>
                <w:szCs w:val="20"/>
              </w:rPr>
              <w:t xml:space="preserve">Opredelitev pravnega okvira v zvezi z odgovornostjo in tveganji </w:t>
            </w:r>
          </w:p>
        </w:tc>
        <w:tc>
          <w:tcPr>
            <w:tcW w:w="2263" w:type="dxa"/>
          </w:tcPr>
          <w:p w14:paraId="5D59B6C7" w14:textId="10DDE215" w:rsidR="00105E3E" w:rsidRDefault="00105E3E" w:rsidP="008B3D0E">
            <w:pPr>
              <w:jc w:val="both"/>
              <w:rPr>
                <w:rFonts w:ascii="Arial" w:eastAsia="Calibri" w:hAnsi="Arial" w:cs="Times New Roman"/>
                <w:sz w:val="20"/>
                <w:szCs w:val="20"/>
              </w:rPr>
            </w:pPr>
            <w:r>
              <w:rPr>
                <w:rFonts w:ascii="Arial" w:eastAsia="Calibri" w:hAnsi="Arial" w:cs="Times New Roman"/>
                <w:sz w:val="20"/>
                <w:szCs w:val="20"/>
              </w:rPr>
              <w:t>MGRT</w:t>
            </w:r>
            <w:r w:rsidR="00C93F4A">
              <w:rPr>
                <w:rFonts w:ascii="Arial" w:eastAsia="Calibri" w:hAnsi="Arial" w:cs="Times New Roman"/>
                <w:sz w:val="20"/>
                <w:szCs w:val="20"/>
              </w:rPr>
              <w:t xml:space="preserve"> v sodelovanju z deležniki, maj 2022</w:t>
            </w:r>
          </w:p>
        </w:tc>
      </w:tr>
      <w:tr w:rsidR="00105E3E" w14:paraId="5C6ADF89" w14:textId="77777777" w:rsidTr="006A3AA1">
        <w:tc>
          <w:tcPr>
            <w:tcW w:w="6799" w:type="dxa"/>
          </w:tcPr>
          <w:p w14:paraId="22A2CC99" w14:textId="77777777" w:rsidR="00105E3E" w:rsidRDefault="00105E3E" w:rsidP="008B3D0E">
            <w:pPr>
              <w:jc w:val="both"/>
              <w:rPr>
                <w:rFonts w:ascii="Arial" w:eastAsia="Calibri" w:hAnsi="Arial" w:cs="Times New Roman"/>
                <w:sz w:val="20"/>
                <w:szCs w:val="20"/>
              </w:rPr>
            </w:pPr>
            <w:r>
              <w:rPr>
                <w:rFonts w:ascii="Arial" w:eastAsia="Calibri" w:hAnsi="Arial" w:cs="Times New Roman"/>
                <w:sz w:val="20"/>
                <w:szCs w:val="20"/>
              </w:rPr>
              <w:t>Opredelitev lokacije in časa trajanja regulatornega peskovnika</w:t>
            </w:r>
          </w:p>
        </w:tc>
        <w:tc>
          <w:tcPr>
            <w:tcW w:w="2263" w:type="dxa"/>
          </w:tcPr>
          <w:p w14:paraId="5A8FDF00" w14:textId="1EC1AD86" w:rsidR="00105E3E" w:rsidRDefault="00105E3E" w:rsidP="008B3D0E">
            <w:pPr>
              <w:jc w:val="both"/>
              <w:rPr>
                <w:rFonts w:ascii="Arial" w:eastAsia="Calibri" w:hAnsi="Arial" w:cs="Times New Roman"/>
                <w:sz w:val="20"/>
                <w:szCs w:val="20"/>
              </w:rPr>
            </w:pPr>
            <w:r>
              <w:rPr>
                <w:rFonts w:ascii="Arial" w:eastAsia="Calibri" w:hAnsi="Arial" w:cs="Times New Roman"/>
                <w:sz w:val="20"/>
                <w:szCs w:val="20"/>
              </w:rPr>
              <w:t>MGRT</w:t>
            </w:r>
            <w:r w:rsidR="00C93F4A">
              <w:rPr>
                <w:rFonts w:ascii="Arial" w:eastAsia="Calibri" w:hAnsi="Arial" w:cs="Times New Roman"/>
                <w:sz w:val="20"/>
                <w:szCs w:val="20"/>
              </w:rPr>
              <w:t xml:space="preserve"> v sodelovanju z deležniki, junij 2022</w:t>
            </w:r>
          </w:p>
        </w:tc>
      </w:tr>
      <w:tr w:rsidR="006A3AA1" w14:paraId="644F4ECD" w14:textId="77777777" w:rsidTr="006A3AA1">
        <w:tc>
          <w:tcPr>
            <w:tcW w:w="6799" w:type="dxa"/>
          </w:tcPr>
          <w:p w14:paraId="0B0E7120" w14:textId="77777777" w:rsidR="006A3AA1" w:rsidRDefault="006A3AA1" w:rsidP="008B3D0E">
            <w:pPr>
              <w:jc w:val="both"/>
              <w:rPr>
                <w:rFonts w:ascii="Arial" w:eastAsia="Calibri" w:hAnsi="Arial" w:cs="Times New Roman"/>
                <w:sz w:val="20"/>
                <w:szCs w:val="20"/>
              </w:rPr>
            </w:pPr>
            <w:r>
              <w:rPr>
                <w:rFonts w:ascii="Arial" w:eastAsia="Calibri" w:hAnsi="Arial" w:cs="Times New Roman"/>
                <w:sz w:val="20"/>
                <w:szCs w:val="20"/>
              </w:rPr>
              <w:t xml:space="preserve">Posredovanje povabila k sodelovanju posameznim (skupinam) deležnikov: </w:t>
            </w:r>
          </w:p>
          <w:p w14:paraId="441690BF" w14:textId="77777777" w:rsidR="006A3AA1" w:rsidRDefault="006A3AA1" w:rsidP="003445EF">
            <w:pPr>
              <w:pStyle w:val="Odstavekseznama"/>
              <w:numPr>
                <w:ilvl w:val="0"/>
                <w:numId w:val="10"/>
              </w:numPr>
              <w:jc w:val="both"/>
              <w:rPr>
                <w:rFonts w:ascii="Arial" w:eastAsia="Calibri" w:hAnsi="Arial" w:cs="Times New Roman"/>
                <w:sz w:val="20"/>
                <w:szCs w:val="20"/>
              </w:rPr>
            </w:pPr>
            <w:r>
              <w:rPr>
                <w:rFonts w:ascii="Arial" w:eastAsia="Calibri" w:hAnsi="Arial" w:cs="Times New Roman"/>
                <w:sz w:val="20"/>
                <w:szCs w:val="20"/>
              </w:rPr>
              <w:t>ministrstvom in regulatorjem</w:t>
            </w:r>
          </w:p>
          <w:p w14:paraId="30BBCB1A" w14:textId="77777777" w:rsidR="006A3AA1" w:rsidRDefault="006A3AA1" w:rsidP="003445EF">
            <w:pPr>
              <w:pStyle w:val="Odstavekseznama"/>
              <w:numPr>
                <w:ilvl w:val="0"/>
                <w:numId w:val="10"/>
              </w:numPr>
              <w:jc w:val="both"/>
              <w:rPr>
                <w:rFonts w:ascii="Arial" w:eastAsia="Calibri" w:hAnsi="Arial" w:cs="Times New Roman"/>
                <w:sz w:val="20"/>
                <w:szCs w:val="20"/>
              </w:rPr>
            </w:pPr>
            <w:r>
              <w:rPr>
                <w:rFonts w:ascii="Arial" w:eastAsia="Calibri" w:hAnsi="Arial" w:cs="Times New Roman"/>
                <w:sz w:val="20"/>
                <w:szCs w:val="20"/>
              </w:rPr>
              <w:t xml:space="preserve">raziskovalnim / razvojnim organizacijam </w:t>
            </w:r>
          </w:p>
          <w:p w14:paraId="2F6B6483" w14:textId="77777777" w:rsidR="006A3AA1" w:rsidRPr="006A3AA1" w:rsidRDefault="006A3AA1" w:rsidP="003445EF">
            <w:pPr>
              <w:pStyle w:val="Odstavekseznama"/>
              <w:numPr>
                <w:ilvl w:val="0"/>
                <w:numId w:val="10"/>
              </w:numPr>
              <w:jc w:val="both"/>
              <w:rPr>
                <w:rFonts w:ascii="Arial" w:eastAsia="Calibri" w:hAnsi="Arial" w:cs="Times New Roman"/>
                <w:sz w:val="20"/>
                <w:szCs w:val="20"/>
              </w:rPr>
            </w:pPr>
            <w:r>
              <w:rPr>
                <w:rFonts w:ascii="Arial" w:eastAsia="Calibri" w:hAnsi="Arial" w:cs="Times New Roman"/>
                <w:sz w:val="20"/>
                <w:szCs w:val="20"/>
              </w:rPr>
              <w:t>podjetjem (združenjem, mrežam podjetij)</w:t>
            </w:r>
          </w:p>
        </w:tc>
        <w:tc>
          <w:tcPr>
            <w:tcW w:w="2263" w:type="dxa"/>
          </w:tcPr>
          <w:p w14:paraId="45FBB4AE" w14:textId="6A39B21F" w:rsidR="006A3AA1" w:rsidRDefault="006A3AA1" w:rsidP="008B3D0E">
            <w:pPr>
              <w:jc w:val="both"/>
              <w:rPr>
                <w:rFonts w:ascii="Arial" w:eastAsia="Calibri" w:hAnsi="Arial" w:cs="Times New Roman"/>
                <w:sz w:val="20"/>
                <w:szCs w:val="20"/>
              </w:rPr>
            </w:pPr>
            <w:r>
              <w:rPr>
                <w:rFonts w:ascii="Arial" w:eastAsia="Calibri" w:hAnsi="Arial" w:cs="Times New Roman"/>
                <w:sz w:val="20"/>
                <w:szCs w:val="20"/>
              </w:rPr>
              <w:t>MGRT</w:t>
            </w:r>
            <w:r w:rsidR="00C93F4A">
              <w:rPr>
                <w:rFonts w:ascii="Arial" w:eastAsia="Calibri" w:hAnsi="Arial" w:cs="Times New Roman"/>
                <w:sz w:val="20"/>
                <w:szCs w:val="20"/>
              </w:rPr>
              <w:t>, maj 2022</w:t>
            </w:r>
          </w:p>
        </w:tc>
      </w:tr>
      <w:tr w:rsidR="006A3AA1" w14:paraId="622F7296" w14:textId="77777777" w:rsidTr="006A3AA1">
        <w:tc>
          <w:tcPr>
            <w:tcW w:w="6799" w:type="dxa"/>
          </w:tcPr>
          <w:p w14:paraId="518EF546" w14:textId="77777777" w:rsidR="006A3AA1" w:rsidRDefault="006A3AA1" w:rsidP="008B3D0E">
            <w:pPr>
              <w:jc w:val="both"/>
              <w:rPr>
                <w:rFonts w:ascii="Arial" w:eastAsia="Calibri" w:hAnsi="Arial" w:cs="Times New Roman"/>
                <w:sz w:val="20"/>
                <w:szCs w:val="20"/>
              </w:rPr>
            </w:pPr>
            <w:r>
              <w:rPr>
                <w:rFonts w:ascii="Arial" w:eastAsia="Calibri" w:hAnsi="Arial" w:cs="Times New Roman"/>
                <w:sz w:val="20"/>
                <w:szCs w:val="20"/>
              </w:rPr>
              <w:t xml:space="preserve">Institucionalizacija sodelovanja med deležniki v regulatornem peskovniku: </w:t>
            </w:r>
          </w:p>
          <w:p w14:paraId="7464605C" w14:textId="58C099C0" w:rsidR="006A3AA1" w:rsidRDefault="006A3AA1" w:rsidP="003445EF">
            <w:pPr>
              <w:pStyle w:val="Odstavekseznama"/>
              <w:numPr>
                <w:ilvl w:val="0"/>
                <w:numId w:val="26"/>
              </w:numPr>
              <w:jc w:val="both"/>
              <w:rPr>
                <w:rFonts w:ascii="Arial" w:eastAsia="Calibri" w:hAnsi="Arial" w:cs="Times New Roman"/>
                <w:sz w:val="20"/>
                <w:szCs w:val="20"/>
              </w:rPr>
            </w:pPr>
            <w:r>
              <w:rPr>
                <w:rFonts w:ascii="Arial" w:eastAsia="Calibri" w:hAnsi="Arial" w:cs="Times New Roman"/>
                <w:sz w:val="20"/>
                <w:szCs w:val="20"/>
              </w:rPr>
              <w:t>s sklepom o imenovanju deležnikov v regulatorni peskovnik</w:t>
            </w:r>
            <w:r w:rsidR="00907867">
              <w:rPr>
                <w:rFonts w:ascii="Arial" w:eastAsia="Calibri" w:hAnsi="Arial" w:cs="Times New Roman"/>
                <w:sz w:val="20"/>
                <w:szCs w:val="20"/>
              </w:rPr>
              <w:t xml:space="preserve"> (sklep izda minister)</w:t>
            </w:r>
          </w:p>
          <w:p w14:paraId="49D192C5" w14:textId="77777777" w:rsidR="006A3AA1" w:rsidRPr="006A3AA1" w:rsidRDefault="006A3AA1" w:rsidP="003445EF">
            <w:pPr>
              <w:pStyle w:val="Odstavekseznama"/>
              <w:numPr>
                <w:ilvl w:val="0"/>
                <w:numId w:val="26"/>
              </w:numPr>
              <w:jc w:val="both"/>
              <w:rPr>
                <w:rFonts w:ascii="Arial" w:eastAsia="Calibri" w:hAnsi="Arial" w:cs="Times New Roman"/>
                <w:sz w:val="20"/>
                <w:szCs w:val="20"/>
              </w:rPr>
            </w:pPr>
            <w:r>
              <w:rPr>
                <w:rFonts w:ascii="Arial" w:eastAsia="Calibri" w:hAnsi="Arial" w:cs="Times New Roman"/>
                <w:sz w:val="20"/>
                <w:szCs w:val="20"/>
              </w:rPr>
              <w:t>s sporazumom o sodelovanju z relevantnimi skupinami ali mrežami podjetij ali raziskovalnih institucij</w:t>
            </w:r>
          </w:p>
        </w:tc>
        <w:tc>
          <w:tcPr>
            <w:tcW w:w="2263" w:type="dxa"/>
          </w:tcPr>
          <w:p w14:paraId="07F87865" w14:textId="0985F89B" w:rsidR="006A3AA1" w:rsidRDefault="006A3AA1" w:rsidP="008B3D0E">
            <w:pPr>
              <w:jc w:val="both"/>
              <w:rPr>
                <w:rFonts w:ascii="Arial" w:eastAsia="Calibri" w:hAnsi="Arial" w:cs="Times New Roman"/>
                <w:sz w:val="20"/>
                <w:szCs w:val="20"/>
              </w:rPr>
            </w:pPr>
            <w:r>
              <w:rPr>
                <w:rFonts w:ascii="Arial" w:eastAsia="Calibri" w:hAnsi="Arial" w:cs="Times New Roman"/>
                <w:sz w:val="20"/>
                <w:szCs w:val="20"/>
              </w:rPr>
              <w:t>MGRT in ostali deležniki</w:t>
            </w:r>
            <w:r w:rsidR="00C93F4A">
              <w:rPr>
                <w:rFonts w:ascii="Arial" w:eastAsia="Calibri" w:hAnsi="Arial" w:cs="Times New Roman"/>
                <w:sz w:val="20"/>
                <w:szCs w:val="20"/>
              </w:rPr>
              <w:t>, maj 2022</w:t>
            </w:r>
          </w:p>
        </w:tc>
      </w:tr>
      <w:tr w:rsidR="006A3AA1" w14:paraId="5707CED6" w14:textId="77777777" w:rsidTr="006A3AA1">
        <w:tc>
          <w:tcPr>
            <w:tcW w:w="6799" w:type="dxa"/>
          </w:tcPr>
          <w:p w14:paraId="514BD1A9" w14:textId="77777777" w:rsidR="006A3AA1" w:rsidRDefault="006A3AA1" w:rsidP="008B3D0E">
            <w:pPr>
              <w:jc w:val="both"/>
              <w:rPr>
                <w:rFonts w:ascii="Arial" w:eastAsia="Calibri" w:hAnsi="Arial" w:cs="Times New Roman"/>
                <w:sz w:val="20"/>
                <w:szCs w:val="20"/>
              </w:rPr>
            </w:pPr>
            <w:r>
              <w:rPr>
                <w:rFonts w:ascii="Arial" w:eastAsia="Calibri" w:hAnsi="Arial" w:cs="Times New Roman"/>
                <w:sz w:val="20"/>
                <w:szCs w:val="20"/>
              </w:rPr>
              <w:t xml:space="preserve">Opredelitev: </w:t>
            </w:r>
          </w:p>
          <w:p w14:paraId="64B7332F" w14:textId="77777777" w:rsidR="006A3AA1" w:rsidRDefault="006A3AA1" w:rsidP="003445EF">
            <w:pPr>
              <w:pStyle w:val="Odstavekseznama"/>
              <w:numPr>
                <w:ilvl w:val="0"/>
                <w:numId w:val="10"/>
              </w:numPr>
              <w:jc w:val="both"/>
              <w:rPr>
                <w:rFonts w:ascii="Arial" w:eastAsia="Calibri" w:hAnsi="Arial" w:cs="Times New Roman"/>
                <w:sz w:val="20"/>
                <w:szCs w:val="20"/>
              </w:rPr>
            </w:pPr>
            <w:r>
              <w:rPr>
                <w:rFonts w:ascii="Arial" w:eastAsia="Calibri" w:hAnsi="Arial" w:cs="Times New Roman"/>
                <w:sz w:val="20"/>
                <w:szCs w:val="20"/>
              </w:rPr>
              <w:t>ciljev regulatornega peskovnika glede na področje obravnave</w:t>
            </w:r>
          </w:p>
          <w:p w14:paraId="63337667" w14:textId="77777777" w:rsidR="00105E3E" w:rsidRDefault="00105E3E" w:rsidP="003445EF">
            <w:pPr>
              <w:pStyle w:val="Odstavekseznama"/>
              <w:numPr>
                <w:ilvl w:val="0"/>
                <w:numId w:val="10"/>
              </w:numPr>
              <w:jc w:val="both"/>
              <w:rPr>
                <w:rFonts w:ascii="Arial" w:eastAsia="Calibri" w:hAnsi="Arial" w:cs="Times New Roman"/>
                <w:sz w:val="20"/>
                <w:szCs w:val="20"/>
              </w:rPr>
            </w:pPr>
            <w:r>
              <w:rPr>
                <w:rFonts w:ascii="Arial" w:eastAsia="Calibri" w:hAnsi="Arial" w:cs="Times New Roman"/>
                <w:sz w:val="20"/>
                <w:szCs w:val="20"/>
              </w:rPr>
              <w:t>kazalnikov in virov podatkov za evalvacije</w:t>
            </w:r>
          </w:p>
          <w:p w14:paraId="48522F93" w14:textId="77777777" w:rsidR="006A3AA1" w:rsidRDefault="006A3AA1" w:rsidP="003445EF">
            <w:pPr>
              <w:pStyle w:val="Odstavekseznama"/>
              <w:numPr>
                <w:ilvl w:val="0"/>
                <w:numId w:val="10"/>
              </w:numPr>
              <w:jc w:val="both"/>
              <w:rPr>
                <w:rFonts w:ascii="Arial" w:eastAsia="Calibri" w:hAnsi="Arial" w:cs="Times New Roman"/>
                <w:sz w:val="20"/>
                <w:szCs w:val="20"/>
              </w:rPr>
            </w:pPr>
            <w:r>
              <w:rPr>
                <w:rFonts w:ascii="Arial" w:eastAsia="Calibri" w:hAnsi="Arial" w:cs="Times New Roman"/>
                <w:sz w:val="20"/>
                <w:szCs w:val="20"/>
              </w:rPr>
              <w:t>pogoje</w:t>
            </w:r>
            <w:r w:rsidR="00105E3E">
              <w:rPr>
                <w:rFonts w:ascii="Arial" w:eastAsia="Calibri" w:hAnsi="Arial" w:cs="Times New Roman"/>
                <w:sz w:val="20"/>
                <w:szCs w:val="20"/>
              </w:rPr>
              <w:t>v</w:t>
            </w:r>
            <w:r>
              <w:rPr>
                <w:rFonts w:ascii="Arial" w:eastAsia="Calibri" w:hAnsi="Arial" w:cs="Times New Roman"/>
                <w:sz w:val="20"/>
                <w:szCs w:val="20"/>
              </w:rPr>
              <w:t xml:space="preserve"> in meril za vstop </w:t>
            </w:r>
            <w:r w:rsidR="00105E3E">
              <w:rPr>
                <w:rFonts w:ascii="Arial" w:eastAsia="Calibri" w:hAnsi="Arial" w:cs="Times New Roman"/>
                <w:sz w:val="20"/>
                <w:szCs w:val="20"/>
              </w:rPr>
              <w:t xml:space="preserve">podjetja/projekta </w:t>
            </w:r>
            <w:r>
              <w:rPr>
                <w:rFonts w:ascii="Arial" w:eastAsia="Calibri" w:hAnsi="Arial" w:cs="Times New Roman"/>
                <w:sz w:val="20"/>
                <w:szCs w:val="20"/>
              </w:rPr>
              <w:t>v regulatorni peskovnik</w:t>
            </w:r>
          </w:p>
          <w:p w14:paraId="13F7F24C" w14:textId="77777777" w:rsidR="006A3AA1" w:rsidRDefault="00105E3E" w:rsidP="003445EF">
            <w:pPr>
              <w:pStyle w:val="Odstavekseznama"/>
              <w:numPr>
                <w:ilvl w:val="0"/>
                <w:numId w:val="10"/>
              </w:numPr>
              <w:jc w:val="both"/>
              <w:rPr>
                <w:rFonts w:ascii="Arial" w:eastAsia="Calibri" w:hAnsi="Arial" w:cs="Times New Roman"/>
                <w:sz w:val="20"/>
                <w:szCs w:val="20"/>
              </w:rPr>
            </w:pPr>
            <w:r>
              <w:rPr>
                <w:rFonts w:ascii="Arial" w:eastAsia="Calibri" w:hAnsi="Arial" w:cs="Times New Roman"/>
                <w:sz w:val="20"/>
                <w:szCs w:val="20"/>
              </w:rPr>
              <w:t>okvirni čas trajanja testiranja</w:t>
            </w:r>
          </w:p>
          <w:p w14:paraId="2A17038F" w14:textId="77777777" w:rsidR="00105E3E" w:rsidRDefault="00105E3E" w:rsidP="003445EF">
            <w:pPr>
              <w:pStyle w:val="Odstavekseznama"/>
              <w:numPr>
                <w:ilvl w:val="0"/>
                <w:numId w:val="10"/>
              </w:numPr>
              <w:jc w:val="both"/>
              <w:rPr>
                <w:rFonts w:ascii="Arial" w:eastAsia="Calibri" w:hAnsi="Arial" w:cs="Times New Roman"/>
                <w:sz w:val="20"/>
                <w:szCs w:val="20"/>
              </w:rPr>
            </w:pPr>
            <w:r>
              <w:rPr>
                <w:rFonts w:ascii="Arial" w:eastAsia="Calibri" w:hAnsi="Arial" w:cs="Times New Roman"/>
                <w:sz w:val="20"/>
                <w:szCs w:val="20"/>
              </w:rPr>
              <w:t>pogoje za izhod iz regulatornega peskovnika</w:t>
            </w:r>
          </w:p>
          <w:p w14:paraId="4FF05665" w14:textId="77777777" w:rsidR="00105E3E" w:rsidRDefault="00105E3E" w:rsidP="003445EF">
            <w:pPr>
              <w:pStyle w:val="Odstavekseznama"/>
              <w:numPr>
                <w:ilvl w:val="0"/>
                <w:numId w:val="10"/>
              </w:numPr>
              <w:jc w:val="both"/>
              <w:rPr>
                <w:rFonts w:ascii="Arial" w:eastAsia="Calibri" w:hAnsi="Arial" w:cs="Times New Roman"/>
                <w:sz w:val="20"/>
                <w:szCs w:val="20"/>
              </w:rPr>
            </w:pPr>
            <w:r>
              <w:rPr>
                <w:rFonts w:ascii="Arial" w:eastAsia="Calibri" w:hAnsi="Arial" w:cs="Times New Roman"/>
                <w:sz w:val="20"/>
                <w:szCs w:val="20"/>
              </w:rPr>
              <w:t>ciljne in transparentne uporabe ugotovitev</w:t>
            </w:r>
          </w:p>
          <w:p w14:paraId="522F4B8A" w14:textId="77777777" w:rsidR="00477B97" w:rsidRPr="006A3AA1" w:rsidRDefault="00477B97" w:rsidP="003445EF">
            <w:pPr>
              <w:pStyle w:val="Odstavekseznama"/>
              <w:numPr>
                <w:ilvl w:val="0"/>
                <w:numId w:val="10"/>
              </w:numPr>
              <w:jc w:val="both"/>
              <w:rPr>
                <w:rFonts w:ascii="Arial" w:eastAsia="Calibri" w:hAnsi="Arial" w:cs="Times New Roman"/>
                <w:sz w:val="20"/>
                <w:szCs w:val="20"/>
              </w:rPr>
            </w:pPr>
            <w:r>
              <w:rPr>
                <w:rFonts w:ascii="Arial" w:eastAsia="Calibri" w:hAnsi="Arial" w:cs="Times New Roman"/>
                <w:sz w:val="20"/>
                <w:szCs w:val="20"/>
              </w:rPr>
              <w:t>opredelitev o prenehanju delovanja regulatornega peskovnika</w:t>
            </w:r>
          </w:p>
        </w:tc>
        <w:tc>
          <w:tcPr>
            <w:tcW w:w="2263" w:type="dxa"/>
          </w:tcPr>
          <w:p w14:paraId="7B71C7B8" w14:textId="68456DFA" w:rsidR="006A3AA1" w:rsidRDefault="00105E3E" w:rsidP="00105E3E">
            <w:pPr>
              <w:rPr>
                <w:rFonts w:ascii="Arial" w:eastAsia="Calibri" w:hAnsi="Arial" w:cs="Times New Roman"/>
                <w:sz w:val="20"/>
                <w:szCs w:val="20"/>
              </w:rPr>
            </w:pPr>
            <w:r>
              <w:rPr>
                <w:rFonts w:ascii="Arial" w:eastAsia="Calibri" w:hAnsi="Arial" w:cs="Times New Roman"/>
                <w:sz w:val="20"/>
                <w:szCs w:val="20"/>
              </w:rPr>
              <w:t>Vsi sodelujoči deležniki v regulatornem peskovniku</w:t>
            </w:r>
            <w:r w:rsidR="00C93F4A">
              <w:rPr>
                <w:rFonts w:ascii="Arial" w:eastAsia="Calibri" w:hAnsi="Arial" w:cs="Times New Roman"/>
                <w:sz w:val="20"/>
                <w:szCs w:val="20"/>
              </w:rPr>
              <w:t>, maj-junij 2022 za prvi regulatorni peskovnik in potem smiselno glede na dinamiko izvajanja</w:t>
            </w:r>
          </w:p>
        </w:tc>
      </w:tr>
    </w:tbl>
    <w:p w14:paraId="6196BE48" w14:textId="1D6D1EA1" w:rsidR="006A3AA1" w:rsidRDefault="006A3AA1" w:rsidP="008B3D0E">
      <w:pPr>
        <w:spacing w:after="0" w:line="240" w:lineRule="auto"/>
        <w:jc w:val="both"/>
        <w:rPr>
          <w:rFonts w:ascii="Arial" w:eastAsia="Calibri" w:hAnsi="Arial" w:cs="Times New Roman"/>
          <w:sz w:val="20"/>
          <w:szCs w:val="20"/>
        </w:rPr>
      </w:pPr>
    </w:p>
    <w:p w14:paraId="7E3CCE0B" w14:textId="5D1A1D3E" w:rsidR="00E845DF" w:rsidRDefault="00E845DF" w:rsidP="008B3D0E">
      <w:pPr>
        <w:spacing w:after="0" w:line="240" w:lineRule="auto"/>
        <w:jc w:val="both"/>
        <w:rPr>
          <w:rFonts w:ascii="Arial" w:eastAsia="Calibri" w:hAnsi="Arial" w:cs="Times New Roman"/>
          <w:sz w:val="20"/>
          <w:szCs w:val="20"/>
        </w:rPr>
      </w:pPr>
      <w:r>
        <w:rPr>
          <w:rFonts w:ascii="Arial" w:eastAsia="Calibri" w:hAnsi="Arial" w:cs="Times New Roman"/>
          <w:sz w:val="20"/>
          <w:szCs w:val="20"/>
        </w:rPr>
        <w:t>Vrednost projekta: 2.000.000,00 EUR</w:t>
      </w:r>
    </w:p>
    <w:p w14:paraId="6F0EC87D" w14:textId="77777777" w:rsidR="00105E3E" w:rsidRDefault="00105E3E" w:rsidP="008B3D0E">
      <w:pPr>
        <w:spacing w:after="0" w:line="240" w:lineRule="auto"/>
        <w:jc w:val="both"/>
        <w:rPr>
          <w:rFonts w:ascii="Arial" w:eastAsia="Calibri" w:hAnsi="Arial" w:cs="Times New Roman"/>
          <w:sz w:val="20"/>
          <w:szCs w:val="20"/>
        </w:rPr>
      </w:pPr>
    </w:p>
    <w:p w14:paraId="252E58AD" w14:textId="77777777" w:rsidR="00105E3E" w:rsidRDefault="00105E3E" w:rsidP="008B3D0E">
      <w:pPr>
        <w:spacing w:after="0" w:line="240" w:lineRule="auto"/>
        <w:jc w:val="both"/>
        <w:rPr>
          <w:rFonts w:ascii="Arial" w:eastAsia="Calibri" w:hAnsi="Arial" w:cs="Times New Roman"/>
          <w:sz w:val="20"/>
          <w:szCs w:val="20"/>
        </w:rPr>
      </w:pPr>
      <w:r w:rsidRPr="00145F79">
        <w:rPr>
          <w:rFonts w:ascii="Arial" w:eastAsia="Calibri" w:hAnsi="Arial" w:cs="Times New Roman"/>
          <w:b/>
          <w:i/>
          <w:sz w:val="20"/>
          <w:szCs w:val="20"/>
        </w:rPr>
        <w:t>Predstavitev procesa vzpostavitve testnega laboratorija za energetsko učinkovitost v gospodarstvu</w:t>
      </w:r>
      <w:r>
        <w:rPr>
          <w:rFonts w:ascii="Arial" w:eastAsia="Calibri" w:hAnsi="Arial" w:cs="Times New Roman"/>
          <w:sz w:val="20"/>
          <w:szCs w:val="20"/>
        </w:rPr>
        <w:t xml:space="preserve">: </w:t>
      </w:r>
    </w:p>
    <w:p w14:paraId="64A57B72" w14:textId="77777777" w:rsidR="00222A37" w:rsidRDefault="00222A37" w:rsidP="00222A37">
      <w:pPr>
        <w:pStyle w:val="Odstavekseznama"/>
        <w:numPr>
          <w:ilvl w:val="0"/>
          <w:numId w:val="41"/>
        </w:numPr>
        <w:spacing w:after="0" w:line="240" w:lineRule="auto"/>
        <w:jc w:val="both"/>
        <w:rPr>
          <w:rFonts w:ascii="Arial" w:eastAsia="Calibri" w:hAnsi="Arial" w:cs="Times New Roman"/>
          <w:sz w:val="20"/>
          <w:szCs w:val="20"/>
        </w:rPr>
      </w:pPr>
      <w:r w:rsidRPr="00222A37">
        <w:rPr>
          <w:rFonts w:ascii="Arial" w:eastAsia="Calibri" w:hAnsi="Arial" w:cs="Times New Roman"/>
          <w:sz w:val="20"/>
          <w:szCs w:val="20"/>
        </w:rPr>
        <w:t xml:space="preserve">Identifikacija možnih deležnikov:  </w:t>
      </w:r>
    </w:p>
    <w:p w14:paraId="17232A80" w14:textId="77777777" w:rsidR="00222A37" w:rsidRDefault="00222A37" w:rsidP="00222A37">
      <w:pPr>
        <w:pStyle w:val="Odstavekseznama"/>
        <w:spacing w:after="0" w:line="240" w:lineRule="auto"/>
        <w:jc w:val="both"/>
        <w:rPr>
          <w:rFonts w:ascii="Arial" w:eastAsia="Calibri" w:hAnsi="Arial" w:cs="Times New Roman"/>
          <w:sz w:val="20"/>
          <w:szCs w:val="20"/>
        </w:rPr>
      </w:pPr>
      <w:r w:rsidRPr="00222A37">
        <w:rPr>
          <w:rFonts w:ascii="Arial" w:eastAsia="Calibri" w:hAnsi="Arial" w:cs="Times New Roman"/>
          <w:sz w:val="20"/>
          <w:szCs w:val="20"/>
        </w:rPr>
        <w:t xml:space="preserve">- ministrstva (MGRT, MZI, MOP, SDP) </w:t>
      </w:r>
    </w:p>
    <w:p w14:paraId="780BB123" w14:textId="77777777" w:rsidR="00222A37" w:rsidRDefault="00222A37" w:rsidP="00222A37">
      <w:pPr>
        <w:pStyle w:val="Odstavekseznama"/>
        <w:spacing w:after="0" w:line="240" w:lineRule="auto"/>
        <w:jc w:val="both"/>
        <w:rPr>
          <w:rFonts w:ascii="Arial" w:eastAsia="Calibri" w:hAnsi="Arial" w:cs="Times New Roman"/>
          <w:sz w:val="20"/>
          <w:szCs w:val="20"/>
        </w:rPr>
      </w:pPr>
      <w:r w:rsidRPr="00222A37">
        <w:rPr>
          <w:rFonts w:ascii="Arial" w:eastAsia="Calibri" w:hAnsi="Arial" w:cs="Times New Roman"/>
          <w:sz w:val="20"/>
          <w:szCs w:val="20"/>
        </w:rPr>
        <w:t xml:space="preserve">- regulatorji s področja elektroindustrije, okolja </w:t>
      </w:r>
    </w:p>
    <w:p w14:paraId="506DAB3D" w14:textId="61403A5B" w:rsidR="00222A37" w:rsidRPr="00222A37" w:rsidRDefault="00222A37" w:rsidP="00222A37">
      <w:pPr>
        <w:pStyle w:val="Odstavekseznama"/>
        <w:spacing w:after="0" w:line="240" w:lineRule="auto"/>
        <w:jc w:val="both"/>
        <w:rPr>
          <w:rFonts w:ascii="Arial" w:eastAsia="Calibri" w:hAnsi="Arial" w:cs="Times New Roman"/>
          <w:sz w:val="20"/>
          <w:szCs w:val="20"/>
        </w:rPr>
      </w:pPr>
      <w:r w:rsidRPr="00222A37">
        <w:rPr>
          <w:rFonts w:ascii="Arial" w:eastAsia="Calibri" w:hAnsi="Arial" w:cs="Times New Roman"/>
          <w:sz w:val="20"/>
          <w:szCs w:val="20"/>
        </w:rPr>
        <w:t>- podjetja in raziskovalne institucije (fakultete, IJS)</w:t>
      </w:r>
    </w:p>
    <w:p w14:paraId="1A4F2159" w14:textId="77777777" w:rsidR="00222A37" w:rsidRPr="00222A37" w:rsidRDefault="00222A37" w:rsidP="00222A37">
      <w:pPr>
        <w:pStyle w:val="Odstavekseznama"/>
        <w:numPr>
          <w:ilvl w:val="0"/>
          <w:numId w:val="41"/>
        </w:numPr>
        <w:spacing w:after="0" w:line="240" w:lineRule="auto"/>
        <w:jc w:val="both"/>
        <w:rPr>
          <w:rFonts w:ascii="Arial" w:eastAsia="Calibri" w:hAnsi="Arial" w:cs="Times New Roman"/>
          <w:sz w:val="20"/>
          <w:szCs w:val="20"/>
        </w:rPr>
      </w:pPr>
      <w:r w:rsidRPr="00222A37">
        <w:rPr>
          <w:rFonts w:ascii="Arial" w:eastAsia="Calibri" w:hAnsi="Arial" w:cs="Times New Roman"/>
          <w:sz w:val="20"/>
          <w:szCs w:val="20"/>
        </w:rPr>
        <w:t>Povabilo MGRT deležnikom k sodelovanju v regulatornem peskovniku in institucionalizacija regulatornega peskovnika (imenovanje deležnikov, sporazum o sodelovanju z mrežami podjetij in raziskovalnih organizacij)</w:t>
      </w:r>
    </w:p>
    <w:p w14:paraId="68BF132B" w14:textId="77777777" w:rsidR="00222A37" w:rsidRPr="00222A37" w:rsidRDefault="00222A37" w:rsidP="00222A37">
      <w:pPr>
        <w:pStyle w:val="Odstavekseznama"/>
        <w:numPr>
          <w:ilvl w:val="0"/>
          <w:numId w:val="41"/>
        </w:numPr>
        <w:spacing w:after="0" w:line="240" w:lineRule="auto"/>
        <w:jc w:val="both"/>
        <w:rPr>
          <w:rFonts w:ascii="Arial" w:eastAsia="Calibri" w:hAnsi="Arial" w:cs="Times New Roman"/>
          <w:sz w:val="20"/>
          <w:szCs w:val="20"/>
        </w:rPr>
      </w:pPr>
      <w:r w:rsidRPr="00222A37">
        <w:rPr>
          <w:rFonts w:ascii="Arial" w:eastAsia="Calibri" w:hAnsi="Arial" w:cs="Times New Roman"/>
          <w:sz w:val="20"/>
          <w:szCs w:val="20"/>
        </w:rPr>
        <w:t>Opredelitev ciljev testnega laboratorija na za testiranje inovativnih tehnoloških rešitev z uporabo naprednih digitalnih tehnologij, tehnologij za proizvodnjo in uporabo vodika, za shranjevanje ogljika</w:t>
      </w:r>
    </w:p>
    <w:p w14:paraId="7E0CA2A9" w14:textId="054F4F89" w:rsidR="00105E3E" w:rsidRPr="0096460F" w:rsidRDefault="00222A37" w:rsidP="00222A37">
      <w:pPr>
        <w:pStyle w:val="Odstavekseznama"/>
        <w:numPr>
          <w:ilvl w:val="0"/>
          <w:numId w:val="41"/>
        </w:numPr>
        <w:spacing w:after="0" w:line="240" w:lineRule="auto"/>
        <w:jc w:val="both"/>
        <w:rPr>
          <w:rFonts w:ascii="Arial" w:eastAsia="Calibri" w:hAnsi="Arial" w:cs="Times New Roman"/>
          <w:sz w:val="20"/>
          <w:szCs w:val="20"/>
        </w:rPr>
      </w:pPr>
      <w:r w:rsidRPr="00222A37">
        <w:rPr>
          <w:rFonts w:ascii="Arial" w:eastAsia="Calibri" w:hAnsi="Arial" w:cs="Times New Roman"/>
          <w:sz w:val="20"/>
          <w:szCs w:val="20"/>
        </w:rPr>
        <w:t>Opredelitev pogojev in meril za vstop podjetja/projekta v regulatorni peskovnik, okvirnega časa trajanja testiranja, pogojev za izhod iz regulatornega peskovnika ter postopke za morebitno spremembo zakonodaje</w:t>
      </w:r>
    </w:p>
    <w:p w14:paraId="45C927FA" w14:textId="09D8E2D0" w:rsidR="00145F79" w:rsidRDefault="00145F79" w:rsidP="008B3D0E">
      <w:pPr>
        <w:spacing w:after="0" w:line="240" w:lineRule="auto"/>
        <w:jc w:val="both"/>
        <w:rPr>
          <w:rFonts w:ascii="Arial" w:eastAsia="Calibri" w:hAnsi="Arial" w:cs="Times New Roman"/>
          <w:sz w:val="20"/>
          <w:szCs w:val="20"/>
        </w:rPr>
      </w:pPr>
    </w:p>
    <w:p w14:paraId="510F81F4" w14:textId="77777777" w:rsidR="00145F79" w:rsidRPr="00145F79" w:rsidRDefault="00145F79" w:rsidP="00145F79">
      <w:pPr>
        <w:rPr>
          <w:rFonts w:ascii="Arial" w:eastAsia="Calibri" w:hAnsi="Arial" w:cs="Times New Roman"/>
          <w:sz w:val="20"/>
          <w:szCs w:val="20"/>
        </w:rPr>
      </w:pPr>
    </w:p>
    <w:p w14:paraId="5AF94934" w14:textId="771790E7" w:rsidR="00145F79" w:rsidRDefault="00145F79" w:rsidP="00145F79">
      <w:pPr>
        <w:rPr>
          <w:rFonts w:ascii="Arial" w:eastAsia="Calibri" w:hAnsi="Arial" w:cs="Times New Roman"/>
          <w:sz w:val="20"/>
          <w:szCs w:val="20"/>
        </w:rPr>
      </w:pPr>
    </w:p>
    <w:p w14:paraId="5E1EDA0A" w14:textId="77777777" w:rsidR="00D44340" w:rsidRDefault="00D44340" w:rsidP="00145F79">
      <w:pPr>
        <w:rPr>
          <w:rFonts w:ascii="Arial" w:eastAsia="Calibri" w:hAnsi="Arial" w:cs="Times New Roman"/>
          <w:sz w:val="20"/>
          <w:szCs w:val="20"/>
        </w:rPr>
      </w:pPr>
    </w:p>
    <w:p w14:paraId="287A2862" w14:textId="77777777" w:rsidR="00145F79" w:rsidRPr="00D44340" w:rsidRDefault="00145F79" w:rsidP="00D44340">
      <w:pPr>
        <w:pStyle w:val="Naslov3"/>
        <w:rPr>
          <w:rFonts w:ascii="Arial" w:eastAsia="Calibri" w:hAnsi="Arial" w:cs="Arial"/>
          <w:b/>
          <w:color w:val="70AD47" w:themeColor="accent6"/>
        </w:rPr>
      </w:pPr>
      <w:bookmarkStart w:id="42" w:name="_Toc102741405"/>
      <w:r w:rsidRPr="00D44340">
        <w:rPr>
          <w:rFonts w:ascii="Arial" w:eastAsia="Calibri" w:hAnsi="Arial" w:cs="Arial"/>
          <w:b/>
          <w:color w:val="70AD47" w:themeColor="accent6"/>
        </w:rPr>
        <w:t>IV.4.4.  Proces testiranja in evalvacije inovativne tehnološke rešitve v testnem laboratoriju (sandbox-u)</w:t>
      </w:r>
      <w:bookmarkEnd w:id="42"/>
    </w:p>
    <w:p w14:paraId="716BFEEE" w14:textId="77777777" w:rsidR="008B3D0E" w:rsidRDefault="008B3D0E" w:rsidP="00145F79">
      <w:pPr>
        <w:rPr>
          <w:rFonts w:ascii="Arial" w:eastAsia="Calibri" w:hAnsi="Arial" w:cs="Times New Roman"/>
          <w:sz w:val="20"/>
          <w:szCs w:val="20"/>
        </w:rPr>
      </w:pPr>
    </w:p>
    <w:p w14:paraId="571FEDAA" w14:textId="77777777" w:rsidR="007C1CE5" w:rsidRDefault="007C1CE5" w:rsidP="00145F79">
      <w:pPr>
        <w:rPr>
          <w:rFonts w:ascii="Arial" w:eastAsia="Calibri" w:hAnsi="Arial" w:cs="Times New Roman"/>
          <w:sz w:val="20"/>
          <w:szCs w:val="20"/>
        </w:rPr>
      </w:pPr>
      <w:r>
        <w:rPr>
          <w:rFonts w:ascii="Arial" w:eastAsia="Calibri" w:hAnsi="Arial" w:cs="Times New Roman"/>
          <w:sz w:val="20"/>
          <w:szCs w:val="20"/>
        </w:rPr>
        <w:t xml:space="preserve">Po vzpostavitvi testnega laboratorija deležniki oblikujejo pogoje in merila za vstop prijavitelja in potek njegovega testiranja. Najava vzpostavitve testnega laboratorija oziroma regulatornega peskovnika je javna in transparentna, objavljena mora biti na spletnih straneh ministrstva. </w:t>
      </w:r>
    </w:p>
    <w:p w14:paraId="7EED80AD" w14:textId="77777777" w:rsidR="007C1CE5" w:rsidRDefault="007C1CE5" w:rsidP="007C1CE5">
      <w:pPr>
        <w:jc w:val="both"/>
        <w:rPr>
          <w:rFonts w:ascii="Arial" w:eastAsia="Calibri" w:hAnsi="Arial" w:cs="Times New Roman"/>
          <w:sz w:val="20"/>
          <w:szCs w:val="20"/>
        </w:rPr>
      </w:pPr>
      <w:r>
        <w:rPr>
          <w:rFonts w:ascii="Arial" w:eastAsia="Calibri" w:hAnsi="Arial" w:cs="Times New Roman"/>
          <w:sz w:val="20"/>
          <w:szCs w:val="20"/>
        </w:rPr>
        <w:t>Poleg najave vzpostavitve se na spletnih straneh ministrstva objavijo tudi pogoji in merila za kandidiranje za vstop v testni laboratorij. Pri tem se objavijo</w:t>
      </w:r>
      <w:r w:rsidR="0010329F">
        <w:rPr>
          <w:rFonts w:ascii="Arial" w:eastAsia="Calibri" w:hAnsi="Arial" w:cs="Times New Roman"/>
          <w:sz w:val="20"/>
          <w:szCs w:val="20"/>
        </w:rPr>
        <w:t xml:space="preserve"> najmanj</w:t>
      </w:r>
      <w:r>
        <w:rPr>
          <w:rFonts w:ascii="Arial" w:eastAsia="Calibri" w:hAnsi="Arial" w:cs="Times New Roman"/>
          <w:sz w:val="20"/>
          <w:szCs w:val="20"/>
        </w:rPr>
        <w:t xml:space="preserve">: </w:t>
      </w:r>
    </w:p>
    <w:p w14:paraId="786E5897" w14:textId="77777777" w:rsidR="007C1CE5" w:rsidRDefault="007C1CE5" w:rsidP="003445EF">
      <w:pPr>
        <w:pStyle w:val="Odstavekseznama"/>
        <w:numPr>
          <w:ilvl w:val="0"/>
          <w:numId w:val="27"/>
        </w:numPr>
        <w:jc w:val="both"/>
        <w:rPr>
          <w:rFonts w:ascii="Arial" w:eastAsia="Calibri" w:hAnsi="Arial" w:cs="Times New Roman"/>
          <w:sz w:val="20"/>
          <w:szCs w:val="20"/>
        </w:rPr>
      </w:pPr>
      <w:r>
        <w:rPr>
          <w:rFonts w:ascii="Arial" w:eastAsia="Calibri" w:hAnsi="Arial" w:cs="Times New Roman"/>
          <w:sz w:val="20"/>
          <w:szCs w:val="20"/>
        </w:rPr>
        <w:t>splošni pogoji za vstop v regulatorni peskovnik in pogoji za zagotavljanje skladnosti z zahtevami testiranja</w:t>
      </w:r>
    </w:p>
    <w:p w14:paraId="3C49A0DA" w14:textId="77777777" w:rsidR="007C1CE5" w:rsidRDefault="007C1CE5" w:rsidP="003445EF">
      <w:pPr>
        <w:pStyle w:val="Odstavekseznama"/>
        <w:numPr>
          <w:ilvl w:val="0"/>
          <w:numId w:val="27"/>
        </w:numPr>
        <w:jc w:val="both"/>
        <w:rPr>
          <w:rFonts w:ascii="Arial" w:eastAsia="Calibri" w:hAnsi="Arial" w:cs="Times New Roman"/>
          <w:sz w:val="20"/>
          <w:szCs w:val="20"/>
        </w:rPr>
      </w:pPr>
      <w:r>
        <w:rPr>
          <w:rFonts w:ascii="Arial" w:eastAsia="Calibri" w:hAnsi="Arial" w:cs="Times New Roman"/>
          <w:sz w:val="20"/>
          <w:szCs w:val="20"/>
        </w:rPr>
        <w:t>posebni pogoji in merila za vstop v regulatorni peskovnik in za zagotavljanje skladnosti z zahtevami testiranja (vključno z zavarovanjem odgovornosti)</w:t>
      </w:r>
    </w:p>
    <w:p w14:paraId="6FAC98BE" w14:textId="77777777" w:rsidR="007C1CE5" w:rsidRDefault="007C1CE5" w:rsidP="003445EF">
      <w:pPr>
        <w:pStyle w:val="Odstavekseznama"/>
        <w:numPr>
          <w:ilvl w:val="0"/>
          <w:numId w:val="27"/>
        </w:numPr>
        <w:jc w:val="both"/>
        <w:rPr>
          <w:rFonts w:ascii="Arial" w:eastAsia="Calibri" w:hAnsi="Arial" w:cs="Times New Roman"/>
          <w:sz w:val="20"/>
          <w:szCs w:val="20"/>
        </w:rPr>
      </w:pPr>
      <w:r>
        <w:rPr>
          <w:rFonts w:ascii="Arial" w:eastAsia="Calibri" w:hAnsi="Arial" w:cs="Times New Roman"/>
          <w:sz w:val="20"/>
          <w:szCs w:val="20"/>
        </w:rPr>
        <w:t>okvirni postopek izvedbe testiranja</w:t>
      </w:r>
    </w:p>
    <w:p w14:paraId="4B6CB127" w14:textId="77777777" w:rsidR="007C1CE5" w:rsidRDefault="007C1CE5" w:rsidP="003445EF">
      <w:pPr>
        <w:pStyle w:val="Odstavekseznama"/>
        <w:numPr>
          <w:ilvl w:val="0"/>
          <w:numId w:val="27"/>
        </w:numPr>
        <w:jc w:val="both"/>
        <w:rPr>
          <w:rFonts w:ascii="Arial" w:eastAsia="Calibri" w:hAnsi="Arial" w:cs="Times New Roman"/>
          <w:sz w:val="20"/>
          <w:szCs w:val="20"/>
        </w:rPr>
      </w:pPr>
      <w:r>
        <w:rPr>
          <w:rFonts w:ascii="Arial" w:eastAsia="Calibri" w:hAnsi="Arial" w:cs="Times New Roman"/>
          <w:sz w:val="20"/>
          <w:szCs w:val="20"/>
        </w:rPr>
        <w:t>predvideni časovni okvir za izvedbo testiranja</w:t>
      </w:r>
    </w:p>
    <w:p w14:paraId="23D4F006" w14:textId="77777777" w:rsidR="007C1CE5" w:rsidRDefault="007C1CE5" w:rsidP="003445EF">
      <w:pPr>
        <w:pStyle w:val="Odstavekseznama"/>
        <w:numPr>
          <w:ilvl w:val="0"/>
          <w:numId w:val="27"/>
        </w:numPr>
        <w:jc w:val="both"/>
        <w:rPr>
          <w:rFonts w:ascii="Arial" w:eastAsia="Calibri" w:hAnsi="Arial" w:cs="Times New Roman"/>
          <w:sz w:val="20"/>
          <w:szCs w:val="20"/>
        </w:rPr>
      </w:pPr>
      <w:r>
        <w:rPr>
          <w:rFonts w:ascii="Arial" w:eastAsia="Calibri" w:hAnsi="Arial" w:cs="Times New Roman"/>
          <w:sz w:val="20"/>
          <w:szCs w:val="20"/>
        </w:rPr>
        <w:t xml:space="preserve">zahteve ob izhodu podjetja/projekta iz faze testiranja (še posebej v zvezi z zagotavljanjem </w:t>
      </w:r>
      <w:r w:rsidR="0010329F">
        <w:rPr>
          <w:rFonts w:ascii="Arial" w:eastAsia="Calibri" w:hAnsi="Arial" w:cs="Times New Roman"/>
          <w:sz w:val="20"/>
          <w:szCs w:val="20"/>
        </w:rPr>
        <w:t>transparentnosti pri obveščanju javnosti)</w:t>
      </w:r>
    </w:p>
    <w:p w14:paraId="3B08DB44" w14:textId="77777777" w:rsidR="0010329F" w:rsidRDefault="0010329F" w:rsidP="003445EF">
      <w:pPr>
        <w:pStyle w:val="Odstavekseznama"/>
        <w:numPr>
          <w:ilvl w:val="0"/>
          <w:numId w:val="27"/>
        </w:numPr>
        <w:jc w:val="both"/>
        <w:rPr>
          <w:rFonts w:ascii="Arial" w:eastAsia="Calibri" w:hAnsi="Arial" w:cs="Times New Roman"/>
          <w:sz w:val="20"/>
          <w:szCs w:val="20"/>
        </w:rPr>
      </w:pPr>
      <w:r>
        <w:rPr>
          <w:rFonts w:ascii="Arial" w:eastAsia="Calibri" w:hAnsi="Arial" w:cs="Times New Roman"/>
          <w:sz w:val="20"/>
          <w:szCs w:val="20"/>
        </w:rPr>
        <w:t xml:space="preserve">postopek posredovanja vloge za vstop v testni laboratorij </w:t>
      </w:r>
    </w:p>
    <w:p w14:paraId="5DD0854F" w14:textId="18709563" w:rsidR="0010329F" w:rsidRDefault="0010329F" w:rsidP="003445EF">
      <w:pPr>
        <w:pStyle w:val="Odstavekseznama"/>
        <w:numPr>
          <w:ilvl w:val="0"/>
          <w:numId w:val="27"/>
        </w:numPr>
        <w:jc w:val="both"/>
        <w:rPr>
          <w:rFonts w:ascii="Arial" w:eastAsia="Calibri" w:hAnsi="Arial" w:cs="Times New Roman"/>
          <w:sz w:val="20"/>
          <w:szCs w:val="20"/>
        </w:rPr>
      </w:pPr>
      <w:r>
        <w:rPr>
          <w:rFonts w:ascii="Arial" w:eastAsia="Calibri" w:hAnsi="Arial" w:cs="Times New Roman"/>
          <w:sz w:val="20"/>
          <w:szCs w:val="20"/>
        </w:rPr>
        <w:t>ostale določbe v skladu z zahtevami, vezanimi na vir financiranja</w:t>
      </w:r>
    </w:p>
    <w:p w14:paraId="761A960F" w14:textId="77777777" w:rsidR="00222A37" w:rsidRPr="00222A37" w:rsidRDefault="00222A37" w:rsidP="00222A37">
      <w:pPr>
        <w:jc w:val="both"/>
        <w:rPr>
          <w:rFonts w:ascii="Arial" w:eastAsia="Calibri" w:hAnsi="Arial" w:cs="Times New Roman"/>
          <w:sz w:val="20"/>
          <w:szCs w:val="20"/>
        </w:rPr>
      </w:pPr>
      <w:r w:rsidRPr="00222A37">
        <w:rPr>
          <w:rFonts w:ascii="Arial" w:eastAsia="Calibri" w:hAnsi="Arial" w:cs="Times New Roman"/>
          <w:sz w:val="20"/>
          <w:szCs w:val="20"/>
        </w:rPr>
        <w:t xml:space="preserve">Primer osnovnih elementov vloge v primeru regulatornega peskovnika na FinTech (napredne digitalne finančne tehnologije): </w:t>
      </w:r>
    </w:p>
    <w:p w14:paraId="74FBA991" w14:textId="57B1C5BE" w:rsidR="00222A37" w:rsidRPr="00222A37" w:rsidRDefault="00222A37" w:rsidP="00222A37">
      <w:pPr>
        <w:pStyle w:val="Odstavekseznama"/>
        <w:numPr>
          <w:ilvl w:val="0"/>
          <w:numId w:val="42"/>
        </w:numPr>
        <w:jc w:val="both"/>
        <w:rPr>
          <w:rFonts w:ascii="Arial" w:eastAsia="Calibri" w:hAnsi="Arial" w:cs="Times New Roman"/>
          <w:sz w:val="20"/>
          <w:szCs w:val="20"/>
        </w:rPr>
      </w:pPr>
      <w:r w:rsidRPr="00222A37">
        <w:rPr>
          <w:rFonts w:ascii="Arial" w:eastAsia="Calibri" w:hAnsi="Arial" w:cs="Times New Roman"/>
          <w:sz w:val="20"/>
          <w:szCs w:val="20"/>
        </w:rPr>
        <w:t>navedite podrobne podatke svoje organizacije (profil organizacije, organizacijska struktura, pretekli dosežke oziroma reference, kadrovske kapacitete, finančno stanje, regulatorni status)</w:t>
      </w:r>
    </w:p>
    <w:p w14:paraId="75A52412" w14:textId="4E4B167D" w:rsidR="00222A37" w:rsidRPr="00222A37" w:rsidRDefault="00222A37" w:rsidP="00222A37">
      <w:pPr>
        <w:pStyle w:val="Odstavekseznama"/>
        <w:numPr>
          <w:ilvl w:val="0"/>
          <w:numId w:val="42"/>
        </w:numPr>
        <w:jc w:val="both"/>
        <w:rPr>
          <w:rFonts w:ascii="Arial" w:eastAsia="Calibri" w:hAnsi="Arial" w:cs="Times New Roman"/>
          <w:sz w:val="20"/>
          <w:szCs w:val="20"/>
        </w:rPr>
      </w:pPr>
      <w:r w:rsidRPr="00222A37">
        <w:rPr>
          <w:rFonts w:ascii="Arial" w:eastAsia="Calibri" w:hAnsi="Arial" w:cs="Times New Roman"/>
          <w:sz w:val="20"/>
          <w:szCs w:val="20"/>
        </w:rPr>
        <w:t>navedite podrobne podatke o finančni storitvi, ki jo predlagate za eksperimentiranje in testiranje v regulatornem peskovniku (opis problema, predvidene koristi storitve – še posebej tiste, ki danes ne obstajajo, poslovni model, tehnična arhitektura in rešitev, podrobnosti tehnologije in inovativnega načina njene uporabe, primerjava s podobnimi obstoječimi rešitvami, pripravljenost na razvoj prototipa)</w:t>
      </w:r>
    </w:p>
    <w:p w14:paraId="5B65C53E" w14:textId="6693DFA5" w:rsidR="00222A37" w:rsidRPr="00222A37" w:rsidRDefault="00222A37" w:rsidP="00222A37">
      <w:pPr>
        <w:pStyle w:val="Odstavekseznama"/>
        <w:numPr>
          <w:ilvl w:val="0"/>
          <w:numId w:val="42"/>
        </w:numPr>
        <w:jc w:val="both"/>
        <w:rPr>
          <w:rFonts w:ascii="Arial" w:eastAsia="Calibri" w:hAnsi="Arial" w:cs="Times New Roman"/>
          <w:sz w:val="20"/>
          <w:szCs w:val="20"/>
        </w:rPr>
      </w:pPr>
      <w:r w:rsidRPr="00222A37">
        <w:rPr>
          <w:rFonts w:ascii="Arial" w:eastAsia="Calibri" w:hAnsi="Arial" w:cs="Times New Roman"/>
          <w:sz w:val="20"/>
          <w:szCs w:val="20"/>
        </w:rPr>
        <w:t>navedite podrobne uporabne zakonodajne oziroma regulatorne zahteve (splošne in posebne)</w:t>
      </w:r>
    </w:p>
    <w:p w14:paraId="6A4CBB5B" w14:textId="7591D69F" w:rsidR="00222A37" w:rsidRPr="00222A37" w:rsidRDefault="00222A37" w:rsidP="00222A37">
      <w:pPr>
        <w:pStyle w:val="Odstavekseznama"/>
        <w:numPr>
          <w:ilvl w:val="0"/>
          <w:numId w:val="42"/>
        </w:numPr>
        <w:jc w:val="both"/>
        <w:rPr>
          <w:rFonts w:ascii="Arial" w:eastAsia="Calibri" w:hAnsi="Arial" w:cs="Times New Roman"/>
          <w:sz w:val="20"/>
          <w:szCs w:val="20"/>
        </w:rPr>
      </w:pPr>
      <w:r w:rsidRPr="00222A37">
        <w:rPr>
          <w:rFonts w:ascii="Arial" w:eastAsia="Calibri" w:hAnsi="Arial" w:cs="Times New Roman"/>
          <w:sz w:val="20"/>
          <w:szCs w:val="20"/>
        </w:rPr>
        <w:t xml:space="preserve">navedite elemente regulatornega peskovnika (posebne pogoje testiranja uporabe tehnologije, za vsak eksperiment navedite kazalnik in njegovo pripadajočo vrednost, obstoječe omejitve, tveganja in način nadzora, vključno s preprečevanjem pranja denarja), </w:t>
      </w:r>
    </w:p>
    <w:p w14:paraId="1CBC781D" w14:textId="50B1B6D3" w:rsidR="00222A37" w:rsidRPr="00222A37" w:rsidRDefault="00222A37" w:rsidP="00222A37">
      <w:pPr>
        <w:pStyle w:val="Odstavekseznama"/>
        <w:numPr>
          <w:ilvl w:val="0"/>
          <w:numId w:val="42"/>
        </w:numPr>
        <w:jc w:val="both"/>
        <w:rPr>
          <w:rFonts w:ascii="Arial" w:eastAsia="Calibri" w:hAnsi="Arial" w:cs="Times New Roman"/>
          <w:sz w:val="20"/>
          <w:szCs w:val="20"/>
        </w:rPr>
      </w:pPr>
      <w:r w:rsidRPr="00222A37">
        <w:rPr>
          <w:rFonts w:ascii="Arial" w:eastAsia="Calibri" w:hAnsi="Arial" w:cs="Times New Roman"/>
          <w:sz w:val="20"/>
          <w:szCs w:val="20"/>
        </w:rPr>
        <w:t>opišite načrt izhoda in poslovanje po izstopu iz regulatornega peskovnika</w:t>
      </w:r>
    </w:p>
    <w:p w14:paraId="0558B326" w14:textId="77777777" w:rsidR="00222A37" w:rsidRPr="00222A37" w:rsidRDefault="00222A37" w:rsidP="00222A37">
      <w:pPr>
        <w:jc w:val="both"/>
        <w:rPr>
          <w:rFonts w:ascii="Arial" w:eastAsia="Calibri" w:hAnsi="Arial" w:cs="Times New Roman"/>
          <w:sz w:val="20"/>
          <w:szCs w:val="20"/>
        </w:rPr>
      </w:pPr>
    </w:p>
    <w:p w14:paraId="36DD7EA4" w14:textId="77777777" w:rsidR="00222A37" w:rsidRPr="00222A37" w:rsidRDefault="00222A37" w:rsidP="00222A37">
      <w:pPr>
        <w:jc w:val="both"/>
        <w:rPr>
          <w:rFonts w:ascii="Arial" w:eastAsia="Calibri" w:hAnsi="Arial" w:cs="Times New Roman"/>
          <w:sz w:val="20"/>
          <w:szCs w:val="20"/>
        </w:rPr>
      </w:pPr>
      <w:r w:rsidRPr="00222A37">
        <w:rPr>
          <w:rFonts w:ascii="Arial" w:eastAsia="Calibri" w:hAnsi="Arial" w:cs="Times New Roman"/>
          <w:sz w:val="20"/>
          <w:szCs w:val="20"/>
        </w:rPr>
        <w:t xml:space="preserve">Primer meril v primeru regulatornega peskovnika na FinTech (napredne digitalne finančne tehnologije): </w:t>
      </w:r>
    </w:p>
    <w:p w14:paraId="6A501824" w14:textId="3D90B648" w:rsidR="00222A37" w:rsidRPr="00222A37" w:rsidRDefault="00222A37" w:rsidP="00222A37">
      <w:pPr>
        <w:pStyle w:val="Odstavekseznama"/>
        <w:numPr>
          <w:ilvl w:val="0"/>
          <w:numId w:val="43"/>
        </w:numPr>
        <w:jc w:val="both"/>
        <w:rPr>
          <w:rFonts w:ascii="Arial" w:eastAsia="Calibri" w:hAnsi="Arial" w:cs="Times New Roman"/>
          <w:sz w:val="20"/>
          <w:szCs w:val="20"/>
        </w:rPr>
      </w:pPr>
      <w:r w:rsidRPr="00222A37">
        <w:rPr>
          <w:rFonts w:ascii="Arial" w:eastAsia="Calibri" w:hAnsi="Arial" w:cs="Times New Roman"/>
          <w:sz w:val="20"/>
          <w:szCs w:val="20"/>
        </w:rPr>
        <w:t>predlagana finančna storitev vključuje nove ali nastajajoče tehnologije ali uporablja obstoječe tehnologije na nov, inovativen način</w:t>
      </w:r>
    </w:p>
    <w:p w14:paraId="1DBB109F" w14:textId="21FCC4A9" w:rsidR="00222A37" w:rsidRPr="00222A37" w:rsidRDefault="00222A37" w:rsidP="00222A37">
      <w:pPr>
        <w:pStyle w:val="Odstavekseznama"/>
        <w:numPr>
          <w:ilvl w:val="0"/>
          <w:numId w:val="43"/>
        </w:numPr>
        <w:jc w:val="both"/>
        <w:rPr>
          <w:rFonts w:ascii="Arial" w:eastAsia="Calibri" w:hAnsi="Arial" w:cs="Times New Roman"/>
          <w:sz w:val="20"/>
          <w:szCs w:val="20"/>
        </w:rPr>
      </w:pPr>
      <w:r w:rsidRPr="00222A37">
        <w:rPr>
          <w:rFonts w:ascii="Arial" w:eastAsia="Calibri" w:hAnsi="Arial" w:cs="Times New Roman"/>
          <w:sz w:val="20"/>
          <w:szCs w:val="20"/>
        </w:rPr>
        <w:t>predlagana finančna storitev ustrezno naslavlja problem oziroma pomeni prednosti in koristi za potrošnike oziroma kupce ali industrijo</w:t>
      </w:r>
    </w:p>
    <w:p w14:paraId="2C795AB0" w14:textId="12F40676" w:rsidR="00222A37" w:rsidRPr="00222A37" w:rsidRDefault="00222A37" w:rsidP="00222A37">
      <w:pPr>
        <w:pStyle w:val="Odstavekseznama"/>
        <w:numPr>
          <w:ilvl w:val="0"/>
          <w:numId w:val="43"/>
        </w:numPr>
        <w:jc w:val="both"/>
        <w:rPr>
          <w:rFonts w:ascii="Arial" w:eastAsia="Calibri" w:hAnsi="Arial" w:cs="Times New Roman"/>
          <w:sz w:val="20"/>
          <w:szCs w:val="20"/>
        </w:rPr>
      </w:pPr>
      <w:r w:rsidRPr="00222A37">
        <w:rPr>
          <w:rFonts w:ascii="Arial" w:eastAsia="Calibri" w:hAnsi="Arial" w:cs="Times New Roman"/>
          <w:sz w:val="20"/>
          <w:szCs w:val="20"/>
        </w:rPr>
        <w:t xml:space="preserve">prijavitelj ima namen in je sposoben uporabiti storitev v širšem obsegu na določenem območju </w:t>
      </w:r>
    </w:p>
    <w:p w14:paraId="4698CAE2" w14:textId="1832E87A" w:rsidR="00222A37" w:rsidRPr="00222A37" w:rsidRDefault="00222A37" w:rsidP="00222A37">
      <w:pPr>
        <w:pStyle w:val="Odstavekseznama"/>
        <w:numPr>
          <w:ilvl w:val="0"/>
          <w:numId w:val="43"/>
        </w:numPr>
        <w:jc w:val="both"/>
        <w:rPr>
          <w:rFonts w:ascii="Arial" w:eastAsia="Calibri" w:hAnsi="Arial" w:cs="Times New Roman"/>
          <w:sz w:val="20"/>
          <w:szCs w:val="20"/>
        </w:rPr>
      </w:pPr>
      <w:r w:rsidRPr="00222A37">
        <w:rPr>
          <w:rFonts w:ascii="Arial" w:eastAsia="Calibri" w:hAnsi="Arial" w:cs="Times New Roman"/>
          <w:sz w:val="20"/>
          <w:szCs w:val="20"/>
        </w:rPr>
        <w:t>scenariji testiranja in pričakovani rezultati so jasno definirani in varujejo pravice potrošnikov ter zagotavljajo jasnost in transparentnost postopkov</w:t>
      </w:r>
    </w:p>
    <w:p w14:paraId="6EAC1BBD" w14:textId="1602B27C" w:rsidR="00222A37" w:rsidRPr="00222A37" w:rsidRDefault="00222A37" w:rsidP="00222A37">
      <w:pPr>
        <w:pStyle w:val="Odstavekseznama"/>
        <w:numPr>
          <w:ilvl w:val="0"/>
          <w:numId w:val="43"/>
        </w:numPr>
        <w:jc w:val="both"/>
        <w:rPr>
          <w:rFonts w:ascii="Arial" w:eastAsia="Calibri" w:hAnsi="Arial" w:cs="Times New Roman"/>
          <w:sz w:val="20"/>
          <w:szCs w:val="20"/>
        </w:rPr>
      </w:pPr>
      <w:r w:rsidRPr="00222A37">
        <w:rPr>
          <w:rFonts w:ascii="Arial" w:eastAsia="Calibri" w:hAnsi="Arial" w:cs="Times New Roman"/>
          <w:sz w:val="20"/>
          <w:szCs w:val="20"/>
        </w:rPr>
        <w:t>tveganja, povezana s storitvijo, so jasno ocenjena in pripravljen je načrt zmanjšanja tveganj</w:t>
      </w:r>
    </w:p>
    <w:p w14:paraId="4FDEFCAA" w14:textId="1BC3F659" w:rsidR="00222A37" w:rsidRDefault="00222A37" w:rsidP="00222A37">
      <w:pPr>
        <w:pStyle w:val="Odstavekseznama"/>
        <w:numPr>
          <w:ilvl w:val="0"/>
          <w:numId w:val="43"/>
        </w:numPr>
        <w:jc w:val="both"/>
        <w:rPr>
          <w:rFonts w:ascii="Arial" w:eastAsia="Calibri" w:hAnsi="Arial" w:cs="Times New Roman"/>
          <w:sz w:val="20"/>
          <w:szCs w:val="20"/>
        </w:rPr>
      </w:pPr>
      <w:r w:rsidRPr="00222A37">
        <w:rPr>
          <w:rFonts w:ascii="Arial" w:eastAsia="Calibri" w:hAnsi="Arial" w:cs="Times New Roman"/>
          <w:sz w:val="20"/>
          <w:szCs w:val="20"/>
        </w:rPr>
        <w:t>strategija izhoda je jasno opredeljena</w:t>
      </w:r>
    </w:p>
    <w:p w14:paraId="47CE6D6D" w14:textId="61F2A964" w:rsidR="00222A37" w:rsidRPr="00222A37" w:rsidRDefault="00222A37" w:rsidP="00222A37">
      <w:pPr>
        <w:jc w:val="both"/>
        <w:rPr>
          <w:rFonts w:ascii="Arial" w:eastAsia="Calibri" w:hAnsi="Arial" w:cs="Times New Roman"/>
          <w:sz w:val="20"/>
          <w:szCs w:val="20"/>
        </w:rPr>
      </w:pPr>
      <w:r>
        <w:rPr>
          <w:rFonts w:ascii="Arial" w:eastAsia="Calibri" w:hAnsi="Arial" w:cs="Times New Roman"/>
          <w:sz w:val="20"/>
          <w:szCs w:val="20"/>
        </w:rPr>
        <w:t xml:space="preserve">Postopek: </w:t>
      </w:r>
    </w:p>
    <w:p w14:paraId="3261BDE4" w14:textId="1C78CB08" w:rsidR="00222A37" w:rsidRPr="00222A37" w:rsidRDefault="00222A37" w:rsidP="00222A37">
      <w:pPr>
        <w:pStyle w:val="Odstavekseznama"/>
        <w:numPr>
          <w:ilvl w:val="0"/>
          <w:numId w:val="45"/>
        </w:numPr>
        <w:jc w:val="both"/>
        <w:rPr>
          <w:rFonts w:ascii="Arial" w:eastAsia="Calibri" w:hAnsi="Arial" w:cs="Times New Roman"/>
          <w:sz w:val="20"/>
          <w:szCs w:val="20"/>
        </w:rPr>
      </w:pPr>
      <w:r w:rsidRPr="00222A37">
        <w:rPr>
          <w:rFonts w:ascii="Arial" w:eastAsia="Calibri" w:hAnsi="Arial" w:cs="Times New Roman"/>
          <w:sz w:val="20"/>
          <w:szCs w:val="20"/>
        </w:rPr>
        <w:t xml:space="preserve">Faza prijave </w:t>
      </w:r>
    </w:p>
    <w:p w14:paraId="6ABEAEDD" w14:textId="6CEDFBB0" w:rsidR="00222A37" w:rsidRPr="00222A37" w:rsidRDefault="00222A37" w:rsidP="00222A37">
      <w:pPr>
        <w:pStyle w:val="Odstavekseznama"/>
        <w:numPr>
          <w:ilvl w:val="0"/>
          <w:numId w:val="43"/>
        </w:numPr>
        <w:jc w:val="both"/>
        <w:rPr>
          <w:rFonts w:ascii="Arial" w:eastAsia="Calibri" w:hAnsi="Arial" w:cs="Times New Roman"/>
          <w:sz w:val="20"/>
          <w:szCs w:val="20"/>
        </w:rPr>
      </w:pPr>
      <w:r w:rsidRPr="00222A37">
        <w:rPr>
          <w:rFonts w:ascii="Arial" w:eastAsia="Calibri" w:hAnsi="Arial" w:cs="Times New Roman"/>
          <w:sz w:val="20"/>
          <w:szCs w:val="20"/>
        </w:rPr>
        <w:t>oddaja vloge za vstop v testni laboratorij</w:t>
      </w:r>
    </w:p>
    <w:p w14:paraId="304748BA" w14:textId="4A0F5B97" w:rsidR="00222A37" w:rsidRPr="00222A37" w:rsidRDefault="00222A37" w:rsidP="00222A37">
      <w:pPr>
        <w:pStyle w:val="Odstavekseznama"/>
        <w:numPr>
          <w:ilvl w:val="0"/>
          <w:numId w:val="43"/>
        </w:numPr>
        <w:jc w:val="both"/>
        <w:rPr>
          <w:rFonts w:ascii="Arial" w:eastAsia="Calibri" w:hAnsi="Arial" w:cs="Times New Roman"/>
          <w:sz w:val="20"/>
          <w:szCs w:val="20"/>
        </w:rPr>
      </w:pPr>
      <w:r w:rsidRPr="00222A37">
        <w:rPr>
          <w:rFonts w:ascii="Arial" w:eastAsia="Calibri" w:hAnsi="Arial" w:cs="Times New Roman"/>
          <w:sz w:val="20"/>
          <w:szCs w:val="20"/>
        </w:rPr>
        <w:t>ocena potencialne ustreznosti eksperimenta</w:t>
      </w:r>
    </w:p>
    <w:p w14:paraId="39BDC563" w14:textId="41C2F418" w:rsidR="00222A37" w:rsidRPr="00222A37" w:rsidRDefault="00222A37" w:rsidP="00222A37">
      <w:pPr>
        <w:jc w:val="both"/>
        <w:rPr>
          <w:rFonts w:ascii="Arial" w:eastAsia="Calibri" w:hAnsi="Arial" w:cs="Times New Roman"/>
          <w:sz w:val="20"/>
          <w:szCs w:val="20"/>
        </w:rPr>
      </w:pPr>
      <w:r>
        <w:rPr>
          <w:rFonts w:ascii="Arial" w:eastAsia="Calibri" w:hAnsi="Arial" w:cs="Times New Roman"/>
          <w:sz w:val="20"/>
          <w:szCs w:val="20"/>
        </w:rPr>
        <w:t xml:space="preserve">2. </w:t>
      </w:r>
      <w:r w:rsidRPr="00222A37">
        <w:rPr>
          <w:rFonts w:ascii="Arial" w:eastAsia="Calibri" w:hAnsi="Arial" w:cs="Times New Roman"/>
          <w:sz w:val="20"/>
          <w:szCs w:val="20"/>
        </w:rPr>
        <w:t>Faza evalvacije:</w:t>
      </w:r>
    </w:p>
    <w:p w14:paraId="0DEAE151" w14:textId="47F66AC6" w:rsidR="00222A37" w:rsidRPr="00222A37" w:rsidRDefault="00222A37" w:rsidP="00222A37">
      <w:pPr>
        <w:pStyle w:val="Odstavekseznama"/>
        <w:numPr>
          <w:ilvl w:val="0"/>
          <w:numId w:val="46"/>
        </w:numPr>
        <w:jc w:val="both"/>
        <w:rPr>
          <w:rFonts w:ascii="Arial" w:eastAsia="Calibri" w:hAnsi="Arial" w:cs="Times New Roman"/>
          <w:sz w:val="20"/>
          <w:szCs w:val="20"/>
        </w:rPr>
      </w:pPr>
      <w:r w:rsidRPr="00222A37">
        <w:rPr>
          <w:rFonts w:ascii="Arial" w:eastAsia="Calibri" w:hAnsi="Arial" w:cs="Times New Roman"/>
          <w:sz w:val="20"/>
          <w:szCs w:val="20"/>
        </w:rPr>
        <w:t>aplikacija ustreza zahteva</w:t>
      </w:r>
      <w:r w:rsidRPr="00222A37">
        <w:rPr>
          <w:rFonts w:ascii="Arial" w:eastAsia="Calibri" w:hAnsi="Arial" w:cs="Times New Roman"/>
          <w:sz w:val="20"/>
          <w:szCs w:val="20"/>
        </w:rPr>
        <w:t xml:space="preserve">m regulatornega peskovnika ali </w:t>
      </w:r>
    </w:p>
    <w:p w14:paraId="7ACD5A34" w14:textId="4EC3293A" w:rsidR="00222A37" w:rsidRPr="00222A37" w:rsidRDefault="00222A37" w:rsidP="00222A37">
      <w:pPr>
        <w:pStyle w:val="Odstavekseznama"/>
        <w:numPr>
          <w:ilvl w:val="0"/>
          <w:numId w:val="46"/>
        </w:numPr>
        <w:jc w:val="both"/>
        <w:rPr>
          <w:rFonts w:ascii="Arial" w:eastAsia="Calibri" w:hAnsi="Arial" w:cs="Times New Roman"/>
          <w:sz w:val="20"/>
          <w:szCs w:val="20"/>
        </w:rPr>
      </w:pPr>
      <w:r w:rsidRPr="00222A37">
        <w:rPr>
          <w:rFonts w:ascii="Arial" w:eastAsia="Calibri" w:hAnsi="Arial" w:cs="Times New Roman"/>
          <w:sz w:val="20"/>
          <w:szCs w:val="20"/>
        </w:rPr>
        <w:t>aplikacija ni ustrezna</w:t>
      </w:r>
    </w:p>
    <w:p w14:paraId="330A7ED1" w14:textId="09266BB1" w:rsidR="00222A37" w:rsidRPr="00222A37" w:rsidRDefault="00222A37" w:rsidP="00222A37">
      <w:pPr>
        <w:jc w:val="both"/>
        <w:rPr>
          <w:rFonts w:ascii="Arial" w:eastAsia="Calibri" w:hAnsi="Arial" w:cs="Times New Roman"/>
          <w:sz w:val="20"/>
          <w:szCs w:val="20"/>
        </w:rPr>
      </w:pPr>
      <w:r>
        <w:rPr>
          <w:rFonts w:ascii="Arial" w:eastAsia="Calibri" w:hAnsi="Arial" w:cs="Times New Roman"/>
          <w:sz w:val="20"/>
          <w:szCs w:val="20"/>
        </w:rPr>
        <w:t xml:space="preserve">3. </w:t>
      </w:r>
      <w:r w:rsidRPr="00222A37">
        <w:rPr>
          <w:rFonts w:ascii="Arial" w:eastAsia="Calibri" w:hAnsi="Arial" w:cs="Times New Roman"/>
          <w:sz w:val="20"/>
          <w:szCs w:val="20"/>
        </w:rPr>
        <w:t>Faza eksperimentiranja</w:t>
      </w:r>
    </w:p>
    <w:p w14:paraId="34AFF091" w14:textId="4625495E" w:rsidR="00222A37" w:rsidRPr="00222A37" w:rsidRDefault="00222A37" w:rsidP="00222A37">
      <w:pPr>
        <w:pStyle w:val="Odstavekseznama"/>
        <w:numPr>
          <w:ilvl w:val="0"/>
          <w:numId w:val="47"/>
        </w:numPr>
        <w:jc w:val="both"/>
        <w:rPr>
          <w:rFonts w:ascii="Arial" w:eastAsia="Calibri" w:hAnsi="Arial" w:cs="Times New Roman"/>
          <w:sz w:val="20"/>
          <w:szCs w:val="20"/>
        </w:rPr>
      </w:pPr>
      <w:r w:rsidRPr="00222A37">
        <w:rPr>
          <w:rFonts w:ascii="Arial" w:eastAsia="Calibri" w:hAnsi="Arial" w:cs="Times New Roman"/>
          <w:sz w:val="20"/>
          <w:szCs w:val="20"/>
        </w:rPr>
        <w:t xml:space="preserve">uporaba v večjem obsegu ali  </w:t>
      </w:r>
    </w:p>
    <w:p w14:paraId="617900F1" w14:textId="70D0DC73" w:rsidR="00222A37" w:rsidRPr="00222A37" w:rsidRDefault="00222A37" w:rsidP="00222A37">
      <w:pPr>
        <w:pStyle w:val="Odstavekseznama"/>
        <w:numPr>
          <w:ilvl w:val="0"/>
          <w:numId w:val="47"/>
        </w:numPr>
        <w:jc w:val="both"/>
        <w:rPr>
          <w:rFonts w:ascii="Arial" w:eastAsia="Calibri" w:hAnsi="Arial" w:cs="Times New Roman"/>
          <w:sz w:val="20"/>
          <w:szCs w:val="20"/>
        </w:rPr>
      </w:pPr>
      <w:r w:rsidRPr="00222A37">
        <w:rPr>
          <w:rFonts w:ascii="Arial" w:eastAsia="Calibri" w:hAnsi="Arial" w:cs="Times New Roman"/>
          <w:sz w:val="20"/>
          <w:szCs w:val="20"/>
        </w:rPr>
        <w:t>peskovnik se neuspešno zaključi</w:t>
      </w:r>
    </w:p>
    <w:p w14:paraId="1025CCEE" w14:textId="6E14416D" w:rsidR="00BC1259" w:rsidRDefault="00BC1259" w:rsidP="0010329F">
      <w:pPr>
        <w:jc w:val="both"/>
        <w:rPr>
          <w:rFonts w:ascii="Arial" w:eastAsia="Calibri" w:hAnsi="Arial" w:cs="Times New Roman"/>
          <w:sz w:val="20"/>
          <w:szCs w:val="20"/>
        </w:rPr>
      </w:pPr>
    </w:p>
    <w:p w14:paraId="1A1EEE9B" w14:textId="42782420" w:rsidR="00222A37" w:rsidRDefault="00222A37" w:rsidP="0010329F">
      <w:pPr>
        <w:jc w:val="both"/>
        <w:rPr>
          <w:rFonts w:ascii="Arial" w:eastAsia="Calibri" w:hAnsi="Arial" w:cs="Times New Roman"/>
          <w:sz w:val="20"/>
          <w:szCs w:val="20"/>
        </w:rPr>
      </w:pPr>
    </w:p>
    <w:p w14:paraId="160EBAD1" w14:textId="3730A86D" w:rsidR="00222A37" w:rsidRDefault="00222A37" w:rsidP="0010329F">
      <w:pPr>
        <w:jc w:val="both"/>
        <w:rPr>
          <w:rFonts w:ascii="Arial" w:eastAsia="Calibri" w:hAnsi="Arial" w:cs="Times New Roman"/>
          <w:sz w:val="20"/>
          <w:szCs w:val="20"/>
        </w:rPr>
      </w:pPr>
    </w:p>
    <w:p w14:paraId="60BA3D48" w14:textId="1B1788B1" w:rsidR="00222A37" w:rsidRDefault="00222A37" w:rsidP="0010329F">
      <w:pPr>
        <w:jc w:val="both"/>
        <w:rPr>
          <w:rFonts w:ascii="Arial" w:eastAsia="Calibri" w:hAnsi="Arial" w:cs="Times New Roman"/>
          <w:sz w:val="20"/>
          <w:szCs w:val="20"/>
        </w:rPr>
      </w:pPr>
    </w:p>
    <w:p w14:paraId="70E3AD76" w14:textId="2F6AC308" w:rsidR="00222A37" w:rsidRDefault="00222A37" w:rsidP="0010329F">
      <w:pPr>
        <w:jc w:val="both"/>
        <w:rPr>
          <w:rFonts w:ascii="Arial" w:eastAsia="Calibri" w:hAnsi="Arial" w:cs="Times New Roman"/>
          <w:sz w:val="20"/>
          <w:szCs w:val="20"/>
        </w:rPr>
      </w:pPr>
    </w:p>
    <w:p w14:paraId="2DC8D908" w14:textId="2149B136" w:rsidR="00222A37" w:rsidRDefault="00222A37" w:rsidP="0010329F">
      <w:pPr>
        <w:jc w:val="both"/>
        <w:rPr>
          <w:rFonts w:ascii="Arial" w:eastAsia="Calibri" w:hAnsi="Arial" w:cs="Times New Roman"/>
          <w:sz w:val="20"/>
          <w:szCs w:val="20"/>
        </w:rPr>
      </w:pPr>
    </w:p>
    <w:p w14:paraId="23201FD0" w14:textId="0D3BAE76" w:rsidR="00222A37" w:rsidRDefault="00222A37" w:rsidP="0010329F">
      <w:pPr>
        <w:jc w:val="both"/>
        <w:rPr>
          <w:rFonts w:ascii="Arial" w:eastAsia="Calibri" w:hAnsi="Arial" w:cs="Times New Roman"/>
          <w:sz w:val="20"/>
          <w:szCs w:val="20"/>
        </w:rPr>
      </w:pPr>
    </w:p>
    <w:p w14:paraId="45A09C64" w14:textId="150CC4CB" w:rsidR="00222A37" w:rsidRDefault="00222A37" w:rsidP="0010329F">
      <w:pPr>
        <w:jc w:val="both"/>
        <w:rPr>
          <w:rFonts w:ascii="Arial" w:eastAsia="Calibri" w:hAnsi="Arial" w:cs="Times New Roman"/>
          <w:sz w:val="20"/>
          <w:szCs w:val="20"/>
        </w:rPr>
      </w:pPr>
    </w:p>
    <w:p w14:paraId="25E64B9F" w14:textId="12314C80" w:rsidR="00222A37" w:rsidRDefault="00222A37" w:rsidP="0010329F">
      <w:pPr>
        <w:jc w:val="both"/>
        <w:rPr>
          <w:rFonts w:ascii="Arial" w:eastAsia="Calibri" w:hAnsi="Arial" w:cs="Times New Roman"/>
          <w:sz w:val="20"/>
          <w:szCs w:val="20"/>
        </w:rPr>
      </w:pPr>
    </w:p>
    <w:p w14:paraId="0850944F" w14:textId="72562A7E" w:rsidR="00222A37" w:rsidRDefault="00222A37" w:rsidP="0010329F">
      <w:pPr>
        <w:jc w:val="both"/>
        <w:rPr>
          <w:rFonts w:ascii="Arial" w:eastAsia="Calibri" w:hAnsi="Arial" w:cs="Times New Roman"/>
          <w:sz w:val="20"/>
          <w:szCs w:val="20"/>
        </w:rPr>
      </w:pPr>
    </w:p>
    <w:p w14:paraId="6EA90A6C" w14:textId="6980FBC8" w:rsidR="00222A37" w:rsidRDefault="00222A37" w:rsidP="0010329F">
      <w:pPr>
        <w:jc w:val="both"/>
        <w:rPr>
          <w:rFonts w:ascii="Arial" w:eastAsia="Calibri" w:hAnsi="Arial" w:cs="Times New Roman"/>
          <w:sz w:val="20"/>
          <w:szCs w:val="20"/>
        </w:rPr>
      </w:pPr>
    </w:p>
    <w:p w14:paraId="144815F4" w14:textId="7FBF2E0E" w:rsidR="00222A37" w:rsidRDefault="00222A37" w:rsidP="0010329F">
      <w:pPr>
        <w:jc w:val="both"/>
        <w:rPr>
          <w:rFonts w:ascii="Arial" w:eastAsia="Calibri" w:hAnsi="Arial" w:cs="Times New Roman"/>
          <w:sz w:val="20"/>
          <w:szCs w:val="20"/>
        </w:rPr>
      </w:pPr>
    </w:p>
    <w:p w14:paraId="6456CD6A" w14:textId="4B3C70E1" w:rsidR="00222A37" w:rsidRDefault="00222A37" w:rsidP="0010329F">
      <w:pPr>
        <w:jc w:val="both"/>
        <w:rPr>
          <w:rFonts w:ascii="Arial" w:eastAsia="Calibri" w:hAnsi="Arial" w:cs="Times New Roman"/>
          <w:sz w:val="20"/>
          <w:szCs w:val="20"/>
        </w:rPr>
      </w:pPr>
    </w:p>
    <w:p w14:paraId="68C34C84" w14:textId="2D6848C4" w:rsidR="00222A37" w:rsidRDefault="00222A37" w:rsidP="0010329F">
      <w:pPr>
        <w:jc w:val="both"/>
        <w:rPr>
          <w:rFonts w:ascii="Arial" w:eastAsia="Calibri" w:hAnsi="Arial" w:cs="Times New Roman"/>
          <w:sz w:val="20"/>
          <w:szCs w:val="20"/>
        </w:rPr>
      </w:pPr>
    </w:p>
    <w:p w14:paraId="14BC59B4" w14:textId="77B70810" w:rsidR="00222A37" w:rsidRDefault="00222A37" w:rsidP="0010329F">
      <w:pPr>
        <w:jc w:val="both"/>
        <w:rPr>
          <w:rFonts w:ascii="Arial" w:eastAsia="Calibri" w:hAnsi="Arial" w:cs="Times New Roman"/>
          <w:sz w:val="20"/>
          <w:szCs w:val="20"/>
        </w:rPr>
      </w:pPr>
    </w:p>
    <w:p w14:paraId="43BD48D8" w14:textId="540E8AF7" w:rsidR="00222A37" w:rsidRDefault="00222A37" w:rsidP="0010329F">
      <w:pPr>
        <w:jc w:val="both"/>
        <w:rPr>
          <w:rFonts w:ascii="Arial" w:eastAsia="Calibri" w:hAnsi="Arial" w:cs="Times New Roman"/>
          <w:sz w:val="20"/>
          <w:szCs w:val="20"/>
        </w:rPr>
      </w:pPr>
    </w:p>
    <w:p w14:paraId="4CF618BF" w14:textId="77777777" w:rsidR="00222A37" w:rsidRDefault="00222A37" w:rsidP="0010329F">
      <w:pPr>
        <w:jc w:val="both"/>
        <w:rPr>
          <w:rFonts w:ascii="Arial" w:eastAsia="Calibri" w:hAnsi="Arial" w:cs="Times New Roman"/>
          <w:sz w:val="20"/>
          <w:szCs w:val="20"/>
        </w:rPr>
      </w:pPr>
    </w:p>
    <w:p w14:paraId="7629B7B5" w14:textId="77777777" w:rsidR="005D1702" w:rsidRDefault="00BC1259" w:rsidP="00BC2EE0">
      <w:pPr>
        <w:jc w:val="both"/>
        <w:rPr>
          <w:rFonts w:ascii="Arial" w:eastAsia="Calibri" w:hAnsi="Arial" w:cs="Times New Roman"/>
          <w:sz w:val="20"/>
        </w:rPr>
      </w:pPr>
      <w:r>
        <w:rPr>
          <w:rFonts w:ascii="Arial" w:eastAsia="Calibri" w:hAnsi="Arial" w:cs="Times New Roman"/>
          <w:sz w:val="20"/>
          <w:szCs w:val="20"/>
        </w:rPr>
        <w:t xml:space="preserve">Priloga 1: Akcijski načrt </w:t>
      </w:r>
      <w:r w:rsidR="00BC2EE0" w:rsidRPr="00BC2EE0">
        <w:rPr>
          <w:rFonts w:ascii="Arial" w:eastAsia="Calibri" w:hAnsi="Arial" w:cs="Times New Roman"/>
          <w:sz w:val="20"/>
          <w:szCs w:val="20"/>
        </w:rPr>
        <w:t>za vzpostavitev modela upravljanja z obnovljivimi viri energije na strani ponudbe in povpraševanja</w:t>
      </w:r>
    </w:p>
    <w:tbl>
      <w:tblPr>
        <w:tblStyle w:val="Tabelamrea1"/>
        <w:tblW w:w="0" w:type="auto"/>
        <w:tblLook w:val="04A0" w:firstRow="1" w:lastRow="0" w:firstColumn="1" w:lastColumn="0" w:noHBand="0" w:noVBand="1"/>
      </w:tblPr>
      <w:tblGrid>
        <w:gridCol w:w="1608"/>
        <w:gridCol w:w="1522"/>
        <w:gridCol w:w="981"/>
        <w:gridCol w:w="2263"/>
        <w:gridCol w:w="1178"/>
        <w:gridCol w:w="1491"/>
      </w:tblGrid>
      <w:tr w:rsidR="00E9370D" w:rsidRPr="005D1702" w14:paraId="28102C9D" w14:textId="77777777" w:rsidTr="00222A37">
        <w:trPr>
          <w:tblHeader/>
        </w:trPr>
        <w:tc>
          <w:tcPr>
            <w:tcW w:w="1608" w:type="dxa"/>
          </w:tcPr>
          <w:p w14:paraId="3979800F" w14:textId="77777777" w:rsidR="005D1702" w:rsidRPr="005D1702" w:rsidRDefault="005D1702" w:rsidP="005D1702">
            <w:pPr>
              <w:autoSpaceDE w:val="0"/>
              <w:autoSpaceDN w:val="0"/>
              <w:adjustRightInd w:val="0"/>
              <w:jc w:val="both"/>
              <w:rPr>
                <w:rFonts w:ascii="Arial" w:hAnsi="Arial" w:cs="Arial"/>
                <w:color w:val="000000"/>
                <w:sz w:val="16"/>
                <w:szCs w:val="16"/>
              </w:rPr>
            </w:pPr>
            <w:r w:rsidRPr="005D1702">
              <w:rPr>
                <w:rFonts w:ascii="Arial" w:hAnsi="Arial" w:cs="Arial"/>
                <w:color w:val="000000"/>
                <w:sz w:val="16"/>
                <w:szCs w:val="16"/>
              </w:rPr>
              <w:t>Strateška usmeritev</w:t>
            </w:r>
          </w:p>
        </w:tc>
        <w:tc>
          <w:tcPr>
            <w:tcW w:w="1522" w:type="dxa"/>
          </w:tcPr>
          <w:p w14:paraId="0532891C" w14:textId="77777777" w:rsidR="005D1702" w:rsidRPr="005D1702" w:rsidRDefault="005D1702" w:rsidP="005D1702">
            <w:pPr>
              <w:autoSpaceDE w:val="0"/>
              <w:autoSpaceDN w:val="0"/>
              <w:adjustRightInd w:val="0"/>
              <w:jc w:val="both"/>
              <w:rPr>
                <w:rFonts w:ascii="Arial" w:hAnsi="Arial" w:cs="Arial"/>
                <w:color w:val="000000"/>
                <w:sz w:val="16"/>
                <w:szCs w:val="16"/>
              </w:rPr>
            </w:pPr>
            <w:r w:rsidRPr="005D1702">
              <w:rPr>
                <w:rFonts w:ascii="Arial" w:hAnsi="Arial" w:cs="Arial"/>
                <w:color w:val="000000"/>
                <w:sz w:val="16"/>
                <w:szCs w:val="16"/>
              </w:rPr>
              <w:t>Kazalnik /vir/ izhodiščna vrednost</w:t>
            </w:r>
          </w:p>
        </w:tc>
        <w:tc>
          <w:tcPr>
            <w:tcW w:w="981" w:type="dxa"/>
          </w:tcPr>
          <w:p w14:paraId="7EC2997C" w14:textId="77777777" w:rsidR="005D1702" w:rsidRPr="005D1702" w:rsidRDefault="005D1702" w:rsidP="005D1702">
            <w:pPr>
              <w:autoSpaceDE w:val="0"/>
              <w:autoSpaceDN w:val="0"/>
              <w:adjustRightInd w:val="0"/>
              <w:jc w:val="both"/>
              <w:rPr>
                <w:rFonts w:ascii="Arial" w:hAnsi="Arial" w:cs="Arial"/>
                <w:color w:val="000000"/>
                <w:sz w:val="16"/>
                <w:szCs w:val="16"/>
              </w:rPr>
            </w:pPr>
            <w:r w:rsidRPr="005D1702">
              <w:rPr>
                <w:rFonts w:ascii="Arial" w:hAnsi="Arial" w:cs="Arial"/>
                <w:color w:val="000000"/>
                <w:sz w:val="16"/>
                <w:szCs w:val="16"/>
              </w:rPr>
              <w:t>Izhodiščna vrednost (leto)</w:t>
            </w:r>
          </w:p>
        </w:tc>
        <w:tc>
          <w:tcPr>
            <w:tcW w:w="2263" w:type="dxa"/>
          </w:tcPr>
          <w:p w14:paraId="0A873199" w14:textId="77777777" w:rsidR="005D1702" w:rsidRPr="005D1702" w:rsidRDefault="005D1702" w:rsidP="005D1702">
            <w:pPr>
              <w:autoSpaceDE w:val="0"/>
              <w:autoSpaceDN w:val="0"/>
              <w:adjustRightInd w:val="0"/>
              <w:jc w:val="both"/>
              <w:rPr>
                <w:rFonts w:ascii="Arial" w:hAnsi="Arial" w:cs="Arial"/>
                <w:color w:val="000000"/>
                <w:sz w:val="16"/>
                <w:szCs w:val="16"/>
              </w:rPr>
            </w:pPr>
            <w:r w:rsidRPr="005D1702">
              <w:rPr>
                <w:rFonts w:ascii="Arial" w:hAnsi="Arial" w:cs="Arial"/>
                <w:color w:val="000000"/>
                <w:sz w:val="16"/>
                <w:szCs w:val="16"/>
              </w:rPr>
              <w:t>Cilj (opisno in ciljna vrednost)</w:t>
            </w:r>
          </w:p>
        </w:tc>
        <w:tc>
          <w:tcPr>
            <w:tcW w:w="1178" w:type="dxa"/>
          </w:tcPr>
          <w:p w14:paraId="7F865E52" w14:textId="77777777" w:rsidR="005D1702" w:rsidRPr="005D1702" w:rsidRDefault="005D1702" w:rsidP="005D1702">
            <w:pPr>
              <w:autoSpaceDE w:val="0"/>
              <w:autoSpaceDN w:val="0"/>
              <w:adjustRightInd w:val="0"/>
              <w:jc w:val="both"/>
              <w:rPr>
                <w:rFonts w:ascii="Arial" w:hAnsi="Arial" w:cs="Arial"/>
                <w:color w:val="000000"/>
                <w:sz w:val="16"/>
                <w:szCs w:val="16"/>
              </w:rPr>
            </w:pPr>
            <w:r w:rsidRPr="005D1702">
              <w:rPr>
                <w:rFonts w:ascii="Arial" w:hAnsi="Arial" w:cs="Arial"/>
                <w:color w:val="000000"/>
                <w:sz w:val="16"/>
                <w:szCs w:val="16"/>
              </w:rPr>
              <w:t xml:space="preserve">Časovnica </w:t>
            </w:r>
          </w:p>
        </w:tc>
        <w:tc>
          <w:tcPr>
            <w:tcW w:w="1491" w:type="dxa"/>
          </w:tcPr>
          <w:p w14:paraId="60DD6247" w14:textId="77777777" w:rsidR="005D1702" w:rsidRPr="005D1702" w:rsidRDefault="005D1702" w:rsidP="005D1702">
            <w:pPr>
              <w:autoSpaceDE w:val="0"/>
              <w:autoSpaceDN w:val="0"/>
              <w:adjustRightInd w:val="0"/>
              <w:jc w:val="both"/>
              <w:rPr>
                <w:rFonts w:ascii="Arial" w:hAnsi="Arial" w:cs="Arial"/>
                <w:color w:val="000000"/>
                <w:sz w:val="16"/>
                <w:szCs w:val="16"/>
              </w:rPr>
            </w:pPr>
            <w:r w:rsidRPr="005D1702">
              <w:rPr>
                <w:rFonts w:ascii="Arial" w:hAnsi="Arial" w:cs="Arial"/>
                <w:color w:val="000000"/>
                <w:sz w:val="16"/>
                <w:szCs w:val="16"/>
              </w:rPr>
              <w:t>Odgovorni organ/sodelujoči deležniki</w:t>
            </w:r>
          </w:p>
        </w:tc>
      </w:tr>
      <w:tr w:rsidR="00E9370D" w:rsidRPr="00E9370D" w14:paraId="76B23E29" w14:textId="77777777" w:rsidTr="005374CE">
        <w:tc>
          <w:tcPr>
            <w:tcW w:w="1608" w:type="dxa"/>
          </w:tcPr>
          <w:p w14:paraId="0F8C4F51" w14:textId="77777777" w:rsidR="005D1702" w:rsidRPr="00E9370D" w:rsidRDefault="005D1702" w:rsidP="00E9370D">
            <w:pPr>
              <w:autoSpaceDE w:val="0"/>
              <w:autoSpaceDN w:val="0"/>
              <w:adjustRightInd w:val="0"/>
              <w:rPr>
                <w:rFonts w:ascii="Arial" w:hAnsi="Arial" w:cs="Arial"/>
                <w:color w:val="000000"/>
                <w:sz w:val="16"/>
                <w:szCs w:val="16"/>
              </w:rPr>
            </w:pPr>
            <w:r w:rsidRPr="00E9370D">
              <w:rPr>
                <w:rFonts w:ascii="Arial" w:hAnsi="Arial" w:cs="Arial"/>
                <w:sz w:val="16"/>
                <w:szCs w:val="16"/>
              </w:rPr>
              <w:t>Podpora podjetjem na poti k doseganju večje energetske učinkovitosti s transformacijo procesov na način, da jih prilagodijo z namenom dostopa in vstopa na tržnico energije iz obnovljivih virov energije.</w:t>
            </w:r>
          </w:p>
        </w:tc>
        <w:tc>
          <w:tcPr>
            <w:tcW w:w="1522" w:type="dxa"/>
          </w:tcPr>
          <w:p w14:paraId="14CB8675" w14:textId="77777777" w:rsidR="005D1702" w:rsidRPr="00E9370D" w:rsidRDefault="00E9370D" w:rsidP="00E9370D">
            <w:pPr>
              <w:autoSpaceDE w:val="0"/>
              <w:autoSpaceDN w:val="0"/>
              <w:adjustRightInd w:val="0"/>
              <w:rPr>
                <w:rFonts w:ascii="Arial" w:hAnsi="Arial" w:cs="Arial"/>
                <w:color w:val="000000"/>
                <w:sz w:val="16"/>
                <w:szCs w:val="16"/>
              </w:rPr>
            </w:pPr>
            <w:r>
              <w:rPr>
                <w:rFonts w:ascii="Arial" w:hAnsi="Arial" w:cs="Arial"/>
                <w:color w:val="000000"/>
                <w:sz w:val="16"/>
                <w:szCs w:val="16"/>
              </w:rPr>
              <w:t>Število podjetij, posameznikov, vključenih v energetsko tržnico OVE</w:t>
            </w:r>
          </w:p>
        </w:tc>
        <w:tc>
          <w:tcPr>
            <w:tcW w:w="981" w:type="dxa"/>
          </w:tcPr>
          <w:p w14:paraId="5EF1FA8A" w14:textId="77777777" w:rsidR="005D1702" w:rsidRPr="00E9370D" w:rsidRDefault="00E9370D" w:rsidP="005D1702">
            <w:pPr>
              <w:autoSpaceDE w:val="0"/>
              <w:autoSpaceDN w:val="0"/>
              <w:adjustRightInd w:val="0"/>
              <w:jc w:val="both"/>
              <w:rPr>
                <w:rFonts w:ascii="Arial" w:hAnsi="Arial" w:cs="Arial"/>
                <w:color w:val="000000"/>
                <w:sz w:val="16"/>
                <w:szCs w:val="16"/>
              </w:rPr>
            </w:pPr>
            <w:r>
              <w:rPr>
                <w:rFonts w:ascii="Arial" w:hAnsi="Arial" w:cs="Arial"/>
                <w:color w:val="000000"/>
                <w:sz w:val="16"/>
                <w:szCs w:val="16"/>
              </w:rPr>
              <w:t xml:space="preserve">n.p. </w:t>
            </w:r>
          </w:p>
        </w:tc>
        <w:tc>
          <w:tcPr>
            <w:tcW w:w="2263" w:type="dxa"/>
          </w:tcPr>
          <w:p w14:paraId="04255747" w14:textId="77777777" w:rsidR="005D1702" w:rsidRPr="00E9370D" w:rsidRDefault="005374CE" w:rsidP="005374CE">
            <w:pPr>
              <w:autoSpaceDE w:val="0"/>
              <w:autoSpaceDN w:val="0"/>
              <w:adjustRightInd w:val="0"/>
              <w:rPr>
                <w:rFonts w:ascii="Arial" w:hAnsi="Arial" w:cs="Arial"/>
                <w:color w:val="000000"/>
                <w:sz w:val="16"/>
                <w:szCs w:val="16"/>
              </w:rPr>
            </w:pPr>
            <w:r w:rsidRPr="005374CE">
              <w:rPr>
                <w:rFonts w:ascii="Arial" w:hAnsi="Arial" w:cs="Arial"/>
                <w:color w:val="000000"/>
                <w:sz w:val="16"/>
                <w:szCs w:val="16"/>
              </w:rPr>
              <w:t>Do leta 2030 vsaj 50% podjetij, ki proizvajajo ali uporabljajo električno energijo iz OVE za izmenjavo vrednosti energije uporabljajo storitev energetske tržnice</w:t>
            </w:r>
          </w:p>
        </w:tc>
        <w:tc>
          <w:tcPr>
            <w:tcW w:w="1178" w:type="dxa"/>
          </w:tcPr>
          <w:p w14:paraId="2791FBC9" w14:textId="77777777" w:rsidR="005D1702" w:rsidRPr="00E9370D" w:rsidRDefault="005374CE" w:rsidP="005D1702">
            <w:pPr>
              <w:autoSpaceDE w:val="0"/>
              <w:autoSpaceDN w:val="0"/>
              <w:adjustRightInd w:val="0"/>
              <w:jc w:val="both"/>
              <w:rPr>
                <w:rFonts w:ascii="Arial" w:hAnsi="Arial" w:cs="Arial"/>
                <w:color w:val="000000"/>
                <w:sz w:val="16"/>
                <w:szCs w:val="16"/>
              </w:rPr>
            </w:pPr>
            <w:r>
              <w:rPr>
                <w:rFonts w:ascii="Arial" w:hAnsi="Arial" w:cs="Arial"/>
                <w:color w:val="000000"/>
                <w:sz w:val="16"/>
                <w:szCs w:val="16"/>
              </w:rPr>
              <w:t>2030</w:t>
            </w:r>
          </w:p>
        </w:tc>
        <w:tc>
          <w:tcPr>
            <w:tcW w:w="1491" w:type="dxa"/>
          </w:tcPr>
          <w:p w14:paraId="26752251" w14:textId="77777777" w:rsidR="005D1702" w:rsidRPr="00E9370D" w:rsidRDefault="005374CE" w:rsidP="005374CE">
            <w:pPr>
              <w:autoSpaceDE w:val="0"/>
              <w:autoSpaceDN w:val="0"/>
              <w:adjustRightInd w:val="0"/>
              <w:rPr>
                <w:rFonts w:ascii="Arial" w:hAnsi="Arial" w:cs="Arial"/>
                <w:color w:val="000000"/>
                <w:sz w:val="16"/>
                <w:szCs w:val="16"/>
              </w:rPr>
            </w:pPr>
            <w:r>
              <w:rPr>
                <w:rFonts w:ascii="Arial" w:hAnsi="Arial" w:cs="Arial"/>
                <w:color w:val="000000"/>
                <w:sz w:val="16"/>
                <w:szCs w:val="16"/>
              </w:rPr>
              <w:t>MGRT v sodelovanju z MZI in regulatorji</w:t>
            </w:r>
          </w:p>
        </w:tc>
      </w:tr>
      <w:tr w:rsidR="00E9370D" w:rsidRPr="00E9370D" w14:paraId="39FD1013" w14:textId="77777777" w:rsidTr="005374CE">
        <w:tc>
          <w:tcPr>
            <w:tcW w:w="1608" w:type="dxa"/>
            <w:vMerge w:val="restart"/>
          </w:tcPr>
          <w:p w14:paraId="2F07A8B3" w14:textId="77777777" w:rsidR="005D1702" w:rsidRPr="00E9370D" w:rsidRDefault="005D1702" w:rsidP="00E9370D">
            <w:pPr>
              <w:autoSpaceDE w:val="0"/>
              <w:autoSpaceDN w:val="0"/>
              <w:adjustRightInd w:val="0"/>
              <w:rPr>
                <w:rFonts w:ascii="Arial" w:hAnsi="Arial" w:cs="Arial"/>
                <w:sz w:val="16"/>
                <w:szCs w:val="16"/>
              </w:rPr>
            </w:pPr>
            <w:r w:rsidRPr="00E9370D">
              <w:rPr>
                <w:rFonts w:ascii="Arial" w:hAnsi="Arial" w:cs="Arial"/>
                <w:sz w:val="16"/>
                <w:szCs w:val="16"/>
              </w:rPr>
              <w:t>Intenzivno uvajanje energetskega upravljanja v podjetjih, in sicer: (i) opredelitev funkcije energetskega managerja, (ii) upravljanje procesov za doseganje večje energetske učinkovitosti, (iii) opredelitev kazalnikov za merjenje doseganja energetske učinkovitosti in ozaveščanje zaposlenih</w:t>
            </w:r>
          </w:p>
        </w:tc>
        <w:tc>
          <w:tcPr>
            <w:tcW w:w="1522" w:type="dxa"/>
          </w:tcPr>
          <w:p w14:paraId="53DFB3F7" w14:textId="77777777" w:rsidR="005D1702" w:rsidRPr="00E9370D" w:rsidRDefault="00E9370D" w:rsidP="00E9370D">
            <w:pPr>
              <w:autoSpaceDE w:val="0"/>
              <w:autoSpaceDN w:val="0"/>
              <w:adjustRightInd w:val="0"/>
              <w:rPr>
                <w:rFonts w:ascii="Arial" w:hAnsi="Arial" w:cs="Arial"/>
                <w:color w:val="000000"/>
                <w:sz w:val="16"/>
                <w:szCs w:val="16"/>
              </w:rPr>
            </w:pPr>
            <w:r>
              <w:rPr>
                <w:rFonts w:ascii="Arial" w:hAnsi="Arial" w:cs="Arial"/>
                <w:sz w:val="16"/>
                <w:szCs w:val="16"/>
              </w:rPr>
              <w:t>Število energetskih managerjev v podjetjih</w:t>
            </w:r>
          </w:p>
        </w:tc>
        <w:tc>
          <w:tcPr>
            <w:tcW w:w="981" w:type="dxa"/>
          </w:tcPr>
          <w:p w14:paraId="4807FBDF" w14:textId="77777777" w:rsidR="005D1702" w:rsidRPr="00E9370D" w:rsidRDefault="00E9370D" w:rsidP="005D1702">
            <w:pPr>
              <w:autoSpaceDE w:val="0"/>
              <w:autoSpaceDN w:val="0"/>
              <w:adjustRightInd w:val="0"/>
              <w:jc w:val="both"/>
              <w:rPr>
                <w:rFonts w:ascii="Arial" w:hAnsi="Arial" w:cs="Arial"/>
                <w:color w:val="000000"/>
                <w:sz w:val="16"/>
                <w:szCs w:val="16"/>
              </w:rPr>
            </w:pPr>
            <w:r>
              <w:rPr>
                <w:rFonts w:ascii="Arial" w:hAnsi="Arial" w:cs="Arial"/>
                <w:color w:val="000000"/>
                <w:sz w:val="16"/>
                <w:szCs w:val="16"/>
              </w:rPr>
              <w:t xml:space="preserve">n.p. </w:t>
            </w:r>
          </w:p>
        </w:tc>
        <w:tc>
          <w:tcPr>
            <w:tcW w:w="2263" w:type="dxa"/>
          </w:tcPr>
          <w:p w14:paraId="75567E7D" w14:textId="77777777" w:rsidR="005374CE" w:rsidRPr="005374CE" w:rsidRDefault="005374CE" w:rsidP="005374CE">
            <w:pPr>
              <w:contextualSpacing/>
              <w:rPr>
                <w:sz w:val="16"/>
                <w:szCs w:val="16"/>
              </w:rPr>
            </w:pPr>
            <w:r w:rsidRPr="005374CE">
              <w:rPr>
                <w:rFonts w:ascii="Arial" w:eastAsia="+mn-ea" w:hAnsi="Arial" w:cs="Arial"/>
                <w:color w:val="000000"/>
                <w:sz w:val="16"/>
                <w:szCs w:val="16"/>
              </w:rPr>
              <w:t>Do leta 2030 vsaj 50% podjetij z uvedenim celovitim energetskim upravljanjem</w:t>
            </w:r>
          </w:p>
          <w:p w14:paraId="123F7182" w14:textId="77777777" w:rsidR="005D1702" w:rsidRPr="00E9370D" w:rsidRDefault="005D1702" w:rsidP="005D1702">
            <w:pPr>
              <w:autoSpaceDE w:val="0"/>
              <w:autoSpaceDN w:val="0"/>
              <w:adjustRightInd w:val="0"/>
              <w:jc w:val="both"/>
              <w:rPr>
                <w:rFonts w:ascii="Arial" w:hAnsi="Arial" w:cs="Arial"/>
                <w:color w:val="000000"/>
                <w:sz w:val="16"/>
                <w:szCs w:val="16"/>
              </w:rPr>
            </w:pPr>
          </w:p>
        </w:tc>
        <w:tc>
          <w:tcPr>
            <w:tcW w:w="1178" w:type="dxa"/>
          </w:tcPr>
          <w:p w14:paraId="26F23184" w14:textId="77777777" w:rsidR="005D1702" w:rsidRPr="00E9370D" w:rsidRDefault="005374CE" w:rsidP="005D1702">
            <w:pPr>
              <w:autoSpaceDE w:val="0"/>
              <w:autoSpaceDN w:val="0"/>
              <w:adjustRightInd w:val="0"/>
              <w:jc w:val="both"/>
              <w:rPr>
                <w:rFonts w:ascii="Arial" w:hAnsi="Arial" w:cs="Arial"/>
                <w:color w:val="000000"/>
                <w:sz w:val="16"/>
                <w:szCs w:val="16"/>
              </w:rPr>
            </w:pPr>
            <w:r>
              <w:rPr>
                <w:rFonts w:ascii="Arial" w:hAnsi="Arial" w:cs="Arial"/>
                <w:color w:val="000000"/>
                <w:sz w:val="16"/>
                <w:szCs w:val="16"/>
              </w:rPr>
              <w:t>2030</w:t>
            </w:r>
          </w:p>
        </w:tc>
        <w:tc>
          <w:tcPr>
            <w:tcW w:w="1491" w:type="dxa"/>
          </w:tcPr>
          <w:p w14:paraId="34624BA7" w14:textId="77777777" w:rsidR="005D1702" w:rsidRPr="00E9370D" w:rsidRDefault="005374CE" w:rsidP="005374CE">
            <w:pPr>
              <w:autoSpaceDE w:val="0"/>
              <w:autoSpaceDN w:val="0"/>
              <w:adjustRightInd w:val="0"/>
              <w:rPr>
                <w:rFonts w:ascii="Arial" w:hAnsi="Arial" w:cs="Arial"/>
                <w:color w:val="000000"/>
                <w:sz w:val="16"/>
                <w:szCs w:val="16"/>
              </w:rPr>
            </w:pPr>
            <w:r>
              <w:rPr>
                <w:rFonts w:ascii="Arial" w:hAnsi="Arial" w:cs="Arial"/>
                <w:color w:val="000000"/>
                <w:sz w:val="16"/>
                <w:szCs w:val="16"/>
              </w:rPr>
              <w:t>MGRT v sodelovanju z MZI, regulatorji, SIST in deležniki na trgu</w:t>
            </w:r>
          </w:p>
        </w:tc>
      </w:tr>
      <w:tr w:rsidR="00E9370D" w:rsidRPr="00E9370D" w14:paraId="64CFBAE9" w14:textId="77777777" w:rsidTr="005374CE">
        <w:tc>
          <w:tcPr>
            <w:tcW w:w="1608" w:type="dxa"/>
            <w:vMerge/>
          </w:tcPr>
          <w:p w14:paraId="3C5E6A8A" w14:textId="77777777" w:rsidR="005D1702" w:rsidRPr="00E9370D" w:rsidRDefault="005D1702" w:rsidP="005D1702">
            <w:pPr>
              <w:autoSpaceDE w:val="0"/>
              <w:autoSpaceDN w:val="0"/>
              <w:adjustRightInd w:val="0"/>
              <w:jc w:val="both"/>
              <w:rPr>
                <w:rFonts w:ascii="Arial" w:hAnsi="Arial" w:cs="Arial"/>
                <w:sz w:val="16"/>
                <w:szCs w:val="16"/>
              </w:rPr>
            </w:pPr>
          </w:p>
        </w:tc>
        <w:tc>
          <w:tcPr>
            <w:tcW w:w="1522" w:type="dxa"/>
          </w:tcPr>
          <w:p w14:paraId="0D2A0E79" w14:textId="77777777" w:rsidR="005D1702" w:rsidRPr="00E9370D" w:rsidRDefault="00E9370D" w:rsidP="005374CE">
            <w:pPr>
              <w:autoSpaceDE w:val="0"/>
              <w:autoSpaceDN w:val="0"/>
              <w:adjustRightInd w:val="0"/>
              <w:rPr>
                <w:rFonts w:ascii="Arial" w:hAnsi="Arial" w:cs="Arial"/>
                <w:color w:val="000000"/>
                <w:sz w:val="16"/>
                <w:szCs w:val="16"/>
              </w:rPr>
            </w:pPr>
            <w:r>
              <w:rPr>
                <w:rFonts w:ascii="Arial" w:hAnsi="Arial" w:cs="Arial"/>
                <w:sz w:val="16"/>
                <w:szCs w:val="16"/>
              </w:rPr>
              <w:t>Število podjetij z uvedenim sistemom energetskega managementa (EMS)</w:t>
            </w:r>
            <w:r w:rsidR="005374CE">
              <w:rPr>
                <w:rFonts w:ascii="Arial" w:hAnsi="Arial" w:cs="Arial"/>
                <w:sz w:val="16"/>
                <w:szCs w:val="16"/>
              </w:rPr>
              <w:t xml:space="preserve"> oz. število podjetij z uvedenim standardom ISO 50001</w:t>
            </w:r>
          </w:p>
        </w:tc>
        <w:tc>
          <w:tcPr>
            <w:tcW w:w="981" w:type="dxa"/>
          </w:tcPr>
          <w:p w14:paraId="2179DF5F" w14:textId="77777777" w:rsidR="005D1702" w:rsidRPr="00E9370D" w:rsidRDefault="005374CE" w:rsidP="005D1702">
            <w:pPr>
              <w:autoSpaceDE w:val="0"/>
              <w:autoSpaceDN w:val="0"/>
              <w:adjustRightInd w:val="0"/>
              <w:jc w:val="both"/>
              <w:rPr>
                <w:rFonts w:ascii="Arial" w:hAnsi="Arial" w:cs="Arial"/>
                <w:color w:val="000000"/>
                <w:sz w:val="16"/>
                <w:szCs w:val="16"/>
              </w:rPr>
            </w:pPr>
            <w:r>
              <w:rPr>
                <w:rFonts w:ascii="Arial" w:hAnsi="Arial" w:cs="Arial"/>
                <w:color w:val="000000"/>
                <w:sz w:val="16"/>
                <w:szCs w:val="16"/>
              </w:rPr>
              <w:t>30</w:t>
            </w:r>
            <w:r>
              <w:rPr>
                <w:rStyle w:val="Sprotnaopomba-sklic"/>
                <w:rFonts w:ascii="Arial" w:hAnsi="Arial" w:cs="Arial"/>
                <w:color w:val="000000"/>
                <w:sz w:val="16"/>
                <w:szCs w:val="16"/>
              </w:rPr>
              <w:footnoteReference w:id="14"/>
            </w:r>
          </w:p>
        </w:tc>
        <w:tc>
          <w:tcPr>
            <w:tcW w:w="2263" w:type="dxa"/>
          </w:tcPr>
          <w:p w14:paraId="5B7B07D1" w14:textId="77777777" w:rsidR="005D1702" w:rsidRPr="00E9370D" w:rsidRDefault="005374CE" w:rsidP="005374CE">
            <w:pPr>
              <w:autoSpaceDE w:val="0"/>
              <w:autoSpaceDN w:val="0"/>
              <w:adjustRightInd w:val="0"/>
              <w:rPr>
                <w:rFonts w:ascii="Arial" w:hAnsi="Arial" w:cs="Arial"/>
                <w:color w:val="000000"/>
                <w:sz w:val="16"/>
                <w:szCs w:val="16"/>
              </w:rPr>
            </w:pPr>
            <w:r>
              <w:rPr>
                <w:rFonts w:ascii="Arial" w:hAnsi="Arial" w:cs="Arial"/>
                <w:color w:val="000000"/>
                <w:sz w:val="16"/>
                <w:szCs w:val="16"/>
              </w:rPr>
              <w:t>Vsaj 200 podjetij z uvedenim sistemom energetskega managementa (EMS) oz. standarda ISO 50001</w:t>
            </w:r>
          </w:p>
        </w:tc>
        <w:tc>
          <w:tcPr>
            <w:tcW w:w="1178" w:type="dxa"/>
          </w:tcPr>
          <w:p w14:paraId="19E7C1A2" w14:textId="77777777" w:rsidR="005D1702" w:rsidRPr="00E9370D" w:rsidRDefault="005374CE" w:rsidP="005D1702">
            <w:pPr>
              <w:autoSpaceDE w:val="0"/>
              <w:autoSpaceDN w:val="0"/>
              <w:adjustRightInd w:val="0"/>
              <w:jc w:val="both"/>
              <w:rPr>
                <w:rFonts w:ascii="Arial" w:hAnsi="Arial" w:cs="Arial"/>
                <w:color w:val="000000"/>
                <w:sz w:val="16"/>
                <w:szCs w:val="16"/>
              </w:rPr>
            </w:pPr>
            <w:r>
              <w:rPr>
                <w:rFonts w:ascii="Arial" w:hAnsi="Arial" w:cs="Arial"/>
                <w:color w:val="000000"/>
                <w:sz w:val="16"/>
                <w:szCs w:val="16"/>
              </w:rPr>
              <w:t>2025</w:t>
            </w:r>
          </w:p>
        </w:tc>
        <w:tc>
          <w:tcPr>
            <w:tcW w:w="1491" w:type="dxa"/>
          </w:tcPr>
          <w:p w14:paraId="6AFC1C1F" w14:textId="77777777" w:rsidR="005D1702" w:rsidRPr="00E9370D" w:rsidRDefault="005D1702" w:rsidP="005D1702">
            <w:pPr>
              <w:autoSpaceDE w:val="0"/>
              <w:autoSpaceDN w:val="0"/>
              <w:adjustRightInd w:val="0"/>
              <w:jc w:val="both"/>
              <w:rPr>
                <w:rFonts w:ascii="Arial" w:hAnsi="Arial" w:cs="Arial"/>
                <w:color w:val="000000"/>
                <w:sz w:val="16"/>
                <w:szCs w:val="16"/>
              </w:rPr>
            </w:pPr>
          </w:p>
        </w:tc>
      </w:tr>
      <w:tr w:rsidR="00E9370D" w:rsidRPr="00E9370D" w14:paraId="3FDB439F" w14:textId="77777777" w:rsidTr="005374CE">
        <w:tc>
          <w:tcPr>
            <w:tcW w:w="1608" w:type="dxa"/>
            <w:vMerge/>
          </w:tcPr>
          <w:p w14:paraId="10425AFC" w14:textId="77777777" w:rsidR="005D1702" w:rsidRPr="00E9370D" w:rsidRDefault="005D1702" w:rsidP="005D1702">
            <w:pPr>
              <w:autoSpaceDE w:val="0"/>
              <w:autoSpaceDN w:val="0"/>
              <w:adjustRightInd w:val="0"/>
              <w:jc w:val="both"/>
              <w:rPr>
                <w:rFonts w:ascii="Arial" w:hAnsi="Arial" w:cs="Arial"/>
                <w:sz w:val="16"/>
                <w:szCs w:val="16"/>
              </w:rPr>
            </w:pPr>
          </w:p>
        </w:tc>
        <w:tc>
          <w:tcPr>
            <w:tcW w:w="1522" w:type="dxa"/>
          </w:tcPr>
          <w:p w14:paraId="5CA91CF5" w14:textId="77777777" w:rsidR="005D1702" w:rsidRPr="00E9370D" w:rsidRDefault="00E9370D" w:rsidP="00E9370D">
            <w:pPr>
              <w:autoSpaceDE w:val="0"/>
              <w:autoSpaceDN w:val="0"/>
              <w:adjustRightInd w:val="0"/>
              <w:rPr>
                <w:rFonts w:ascii="Arial" w:hAnsi="Arial" w:cs="Arial"/>
                <w:color w:val="000000"/>
                <w:sz w:val="16"/>
                <w:szCs w:val="16"/>
              </w:rPr>
            </w:pPr>
            <w:r>
              <w:rPr>
                <w:rFonts w:ascii="Arial" w:hAnsi="Arial" w:cs="Arial"/>
                <w:color w:val="000000"/>
                <w:sz w:val="16"/>
                <w:szCs w:val="16"/>
              </w:rPr>
              <w:t>Število novo razvitih kazalnikov za merjenje energetske učinkovitosti v podjetjih</w:t>
            </w:r>
          </w:p>
        </w:tc>
        <w:tc>
          <w:tcPr>
            <w:tcW w:w="981" w:type="dxa"/>
          </w:tcPr>
          <w:p w14:paraId="5EC8D1AC" w14:textId="77777777" w:rsidR="005D1702" w:rsidRPr="00E9370D" w:rsidRDefault="005374CE" w:rsidP="005D1702">
            <w:pPr>
              <w:autoSpaceDE w:val="0"/>
              <w:autoSpaceDN w:val="0"/>
              <w:adjustRightInd w:val="0"/>
              <w:jc w:val="both"/>
              <w:rPr>
                <w:rFonts w:ascii="Arial" w:hAnsi="Arial" w:cs="Arial"/>
                <w:color w:val="000000"/>
                <w:sz w:val="16"/>
                <w:szCs w:val="16"/>
              </w:rPr>
            </w:pPr>
            <w:r>
              <w:rPr>
                <w:rFonts w:ascii="Arial" w:hAnsi="Arial" w:cs="Arial"/>
                <w:color w:val="000000"/>
                <w:sz w:val="16"/>
                <w:szCs w:val="16"/>
              </w:rPr>
              <w:t>-</w:t>
            </w:r>
          </w:p>
        </w:tc>
        <w:tc>
          <w:tcPr>
            <w:tcW w:w="2263" w:type="dxa"/>
          </w:tcPr>
          <w:p w14:paraId="59209830" w14:textId="77777777" w:rsidR="005D1702" w:rsidRPr="00E9370D" w:rsidRDefault="005374CE" w:rsidP="005D1702">
            <w:pPr>
              <w:autoSpaceDE w:val="0"/>
              <w:autoSpaceDN w:val="0"/>
              <w:adjustRightInd w:val="0"/>
              <w:jc w:val="both"/>
              <w:rPr>
                <w:rFonts w:ascii="Arial" w:hAnsi="Arial" w:cs="Arial"/>
                <w:color w:val="000000"/>
                <w:sz w:val="16"/>
                <w:szCs w:val="16"/>
              </w:rPr>
            </w:pPr>
            <w:r>
              <w:rPr>
                <w:rFonts w:ascii="Arial" w:hAnsi="Arial" w:cs="Arial"/>
                <w:color w:val="000000"/>
                <w:sz w:val="16"/>
                <w:szCs w:val="16"/>
              </w:rPr>
              <w:t>3 novo razviti kazalniki</w:t>
            </w:r>
          </w:p>
        </w:tc>
        <w:tc>
          <w:tcPr>
            <w:tcW w:w="1178" w:type="dxa"/>
          </w:tcPr>
          <w:p w14:paraId="527B4812" w14:textId="77777777" w:rsidR="005D1702" w:rsidRPr="00E9370D" w:rsidRDefault="005374CE" w:rsidP="005D1702">
            <w:pPr>
              <w:autoSpaceDE w:val="0"/>
              <w:autoSpaceDN w:val="0"/>
              <w:adjustRightInd w:val="0"/>
              <w:jc w:val="both"/>
              <w:rPr>
                <w:rFonts w:ascii="Arial" w:hAnsi="Arial" w:cs="Arial"/>
                <w:color w:val="000000"/>
                <w:sz w:val="16"/>
                <w:szCs w:val="16"/>
              </w:rPr>
            </w:pPr>
            <w:r>
              <w:rPr>
                <w:rFonts w:ascii="Arial" w:hAnsi="Arial" w:cs="Arial"/>
                <w:color w:val="000000"/>
                <w:sz w:val="16"/>
                <w:szCs w:val="16"/>
              </w:rPr>
              <w:t>2025</w:t>
            </w:r>
          </w:p>
        </w:tc>
        <w:tc>
          <w:tcPr>
            <w:tcW w:w="1491" w:type="dxa"/>
          </w:tcPr>
          <w:p w14:paraId="5E88C430" w14:textId="77777777" w:rsidR="005D1702" w:rsidRPr="00E9370D" w:rsidRDefault="005374CE" w:rsidP="005374CE">
            <w:pPr>
              <w:autoSpaceDE w:val="0"/>
              <w:autoSpaceDN w:val="0"/>
              <w:adjustRightInd w:val="0"/>
              <w:rPr>
                <w:rFonts w:ascii="Arial" w:hAnsi="Arial" w:cs="Arial"/>
                <w:color w:val="000000"/>
                <w:sz w:val="16"/>
                <w:szCs w:val="16"/>
              </w:rPr>
            </w:pPr>
            <w:r w:rsidRPr="005374CE">
              <w:rPr>
                <w:rFonts w:ascii="Arial" w:hAnsi="Arial" w:cs="Arial"/>
                <w:color w:val="000000"/>
                <w:sz w:val="16"/>
                <w:szCs w:val="16"/>
              </w:rPr>
              <w:t>MGRT v sodel</w:t>
            </w:r>
            <w:r>
              <w:rPr>
                <w:rFonts w:ascii="Arial" w:hAnsi="Arial" w:cs="Arial"/>
                <w:color w:val="000000"/>
                <w:sz w:val="16"/>
                <w:szCs w:val="16"/>
              </w:rPr>
              <w:t xml:space="preserve">ovanju z MZI, regulatorji </w:t>
            </w:r>
            <w:r w:rsidRPr="005374CE">
              <w:rPr>
                <w:rFonts w:ascii="Arial" w:hAnsi="Arial" w:cs="Arial"/>
                <w:color w:val="000000"/>
                <w:sz w:val="16"/>
                <w:szCs w:val="16"/>
              </w:rPr>
              <w:t>in deležniki na trgu</w:t>
            </w:r>
          </w:p>
        </w:tc>
      </w:tr>
      <w:tr w:rsidR="005374CE" w:rsidRPr="00E9370D" w14:paraId="4A191540" w14:textId="77777777" w:rsidTr="005374CE">
        <w:tc>
          <w:tcPr>
            <w:tcW w:w="1608" w:type="dxa"/>
            <w:vMerge w:val="restart"/>
          </w:tcPr>
          <w:p w14:paraId="59BE10F6" w14:textId="77777777" w:rsidR="005374CE" w:rsidRPr="00E9370D" w:rsidRDefault="005374CE" w:rsidP="005374CE">
            <w:pPr>
              <w:autoSpaceDE w:val="0"/>
              <w:autoSpaceDN w:val="0"/>
              <w:adjustRightInd w:val="0"/>
              <w:rPr>
                <w:rFonts w:ascii="Arial" w:hAnsi="Arial" w:cs="Arial"/>
                <w:sz w:val="16"/>
                <w:szCs w:val="16"/>
              </w:rPr>
            </w:pPr>
            <w:r w:rsidRPr="00E9370D">
              <w:rPr>
                <w:rFonts w:ascii="Arial" w:hAnsi="Arial" w:cs="Arial"/>
                <w:sz w:val="16"/>
                <w:szCs w:val="16"/>
              </w:rPr>
              <w:t>Uporaba energetske izkaznice v podjetjih (minimalni nabor podatkov) z opredelitvijo: vira zajemanja podatkov, tehnologije za zapis in prenos podatkov, spremljanje izboljšav na področju energetske učinkovitosti v podjetjih</w:t>
            </w:r>
          </w:p>
        </w:tc>
        <w:tc>
          <w:tcPr>
            <w:tcW w:w="1522" w:type="dxa"/>
            <w:vMerge w:val="restart"/>
          </w:tcPr>
          <w:p w14:paraId="6B9DA447" w14:textId="77777777" w:rsidR="005374CE" w:rsidRPr="00E9370D" w:rsidRDefault="005374CE" w:rsidP="005D1702">
            <w:pPr>
              <w:autoSpaceDE w:val="0"/>
              <w:autoSpaceDN w:val="0"/>
              <w:adjustRightInd w:val="0"/>
              <w:jc w:val="both"/>
              <w:rPr>
                <w:rFonts w:ascii="Arial" w:hAnsi="Arial" w:cs="Arial"/>
                <w:color w:val="000000"/>
                <w:sz w:val="16"/>
                <w:szCs w:val="16"/>
              </w:rPr>
            </w:pPr>
            <w:r>
              <w:rPr>
                <w:rFonts w:ascii="Arial" w:hAnsi="Arial" w:cs="Arial"/>
                <w:color w:val="000000"/>
                <w:sz w:val="16"/>
                <w:szCs w:val="16"/>
              </w:rPr>
              <w:t>Število podjetij z energetsko izkaznico</w:t>
            </w:r>
          </w:p>
        </w:tc>
        <w:tc>
          <w:tcPr>
            <w:tcW w:w="981" w:type="dxa"/>
            <w:vMerge w:val="restart"/>
          </w:tcPr>
          <w:p w14:paraId="19B41BC0" w14:textId="77777777" w:rsidR="005374CE" w:rsidRPr="00B90DDA" w:rsidRDefault="00B90DDA" w:rsidP="00B90DDA">
            <w:pPr>
              <w:autoSpaceDE w:val="0"/>
              <w:autoSpaceDN w:val="0"/>
              <w:adjustRightInd w:val="0"/>
              <w:rPr>
                <w:rFonts w:ascii="Arial" w:hAnsi="Arial" w:cs="Arial"/>
                <w:color w:val="000000"/>
                <w:sz w:val="16"/>
                <w:szCs w:val="16"/>
              </w:rPr>
            </w:pPr>
            <w:r>
              <w:rPr>
                <w:rFonts w:ascii="Arial" w:hAnsi="Arial" w:cs="Arial"/>
                <w:color w:val="000000"/>
                <w:sz w:val="16"/>
                <w:szCs w:val="16"/>
              </w:rPr>
              <w:t>-</w:t>
            </w:r>
          </w:p>
        </w:tc>
        <w:tc>
          <w:tcPr>
            <w:tcW w:w="2263" w:type="dxa"/>
          </w:tcPr>
          <w:p w14:paraId="2D995437" w14:textId="77777777" w:rsidR="005374CE" w:rsidRPr="00E9370D" w:rsidRDefault="005374CE" w:rsidP="005D1702">
            <w:pPr>
              <w:autoSpaceDE w:val="0"/>
              <w:autoSpaceDN w:val="0"/>
              <w:adjustRightInd w:val="0"/>
              <w:jc w:val="both"/>
              <w:rPr>
                <w:rFonts w:ascii="Arial" w:hAnsi="Arial" w:cs="Arial"/>
                <w:color w:val="000000"/>
                <w:sz w:val="16"/>
                <w:szCs w:val="16"/>
              </w:rPr>
            </w:pPr>
            <w:r w:rsidRPr="005374CE">
              <w:rPr>
                <w:rFonts w:ascii="Arial" w:hAnsi="Arial" w:cs="Arial"/>
                <w:color w:val="000000"/>
                <w:sz w:val="16"/>
                <w:szCs w:val="16"/>
              </w:rPr>
              <w:t>Do leta 2022 (q2 2022) vsaj 20 podjetij z energetsko izkaznico podjetja</w:t>
            </w:r>
          </w:p>
        </w:tc>
        <w:tc>
          <w:tcPr>
            <w:tcW w:w="1178" w:type="dxa"/>
          </w:tcPr>
          <w:p w14:paraId="6E40960C" w14:textId="77777777" w:rsidR="005374CE" w:rsidRPr="00E9370D" w:rsidRDefault="005374CE" w:rsidP="005D1702">
            <w:pPr>
              <w:autoSpaceDE w:val="0"/>
              <w:autoSpaceDN w:val="0"/>
              <w:adjustRightInd w:val="0"/>
              <w:jc w:val="both"/>
              <w:rPr>
                <w:rFonts w:ascii="Arial" w:hAnsi="Arial" w:cs="Arial"/>
                <w:color w:val="000000"/>
                <w:sz w:val="16"/>
                <w:szCs w:val="16"/>
              </w:rPr>
            </w:pPr>
            <w:r>
              <w:rPr>
                <w:rFonts w:ascii="Arial" w:hAnsi="Arial" w:cs="Arial"/>
                <w:color w:val="000000"/>
                <w:sz w:val="16"/>
                <w:szCs w:val="16"/>
              </w:rPr>
              <w:t>Q2 2022</w:t>
            </w:r>
          </w:p>
        </w:tc>
        <w:tc>
          <w:tcPr>
            <w:tcW w:w="1491" w:type="dxa"/>
          </w:tcPr>
          <w:p w14:paraId="3EC942EB" w14:textId="77777777" w:rsidR="005374CE" w:rsidRPr="00E9370D" w:rsidRDefault="005374CE" w:rsidP="005374CE">
            <w:pPr>
              <w:autoSpaceDE w:val="0"/>
              <w:autoSpaceDN w:val="0"/>
              <w:adjustRightInd w:val="0"/>
              <w:rPr>
                <w:rFonts w:ascii="Arial" w:hAnsi="Arial" w:cs="Arial"/>
                <w:color w:val="000000"/>
                <w:sz w:val="16"/>
                <w:szCs w:val="16"/>
              </w:rPr>
            </w:pPr>
            <w:r w:rsidRPr="005374CE">
              <w:rPr>
                <w:rFonts w:ascii="Arial" w:hAnsi="Arial" w:cs="Arial"/>
                <w:color w:val="000000"/>
                <w:sz w:val="16"/>
                <w:szCs w:val="16"/>
              </w:rPr>
              <w:t>MGRT v sodelovanju z MZI, regulatorji in deležniki na trgu</w:t>
            </w:r>
          </w:p>
        </w:tc>
      </w:tr>
      <w:tr w:rsidR="005374CE" w:rsidRPr="00E9370D" w14:paraId="33A84688" w14:textId="77777777" w:rsidTr="005374CE">
        <w:tc>
          <w:tcPr>
            <w:tcW w:w="1608" w:type="dxa"/>
            <w:vMerge/>
          </w:tcPr>
          <w:p w14:paraId="3F5116F6" w14:textId="77777777" w:rsidR="005374CE" w:rsidRPr="00E9370D" w:rsidRDefault="005374CE" w:rsidP="005374CE">
            <w:pPr>
              <w:autoSpaceDE w:val="0"/>
              <w:autoSpaceDN w:val="0"/>
              <w:adjustRightInd w:val="0"/>
              <w:rPr>
                <w:rFonts w:ascii="Arial" w:hAnsi="Arial" w:cs="Arial"/>
                <w:sz w:val="16"/>
                <w:szCs w:val="16"/>
              </w:rPr>
            </w:pPr>
          </w:p>
        </w:tc>
        <w:tc>
          <w:tcPr>
            <w:tcW w:w="1522" w:type="dxa"/>
            <w:vMerge/>
          </w:tcPr>
          <w:p w14:paraId="24EAA5A0" w14:textId="77777777" w:rsidR="005374CE" w:rsidRPr="00E9370D" w:rsidRDefault="005374CE" w:rsidP="005D1702">
            <w:pPr>
              <w:autoSpaceDE w:val="0"/>
              <w:autoSpaceDN w:val="0"/>
              <w:adjustRightInd w:val="0"/>
              <w:jc w:val="both"/>
              <w:rPr>
                <w:rFonts w:ascii="Arial" w:hAnsi="Arial" w:cs="Arial"/>
                <w:color w:val="000000"/>
                <w:sz w:val="16"/>
                <w:szCs w:val="16"/>
              </w:rPr>
            </w:pPr>
          </w:p>
        </w:tc>
        <w:tc>
          <w:tcPr>
            <w:tcW w:w="981" w:type="dxa"/>
            <w:vMerge/>
          </w:tcPr>
          <w:p w14:paraId="58E09ED3" w14:textId="77777777" w:rsidR="005374CE" w:rsidRPr="00E9370D" w:rsidRDefault="005374CE" w:rsidP="005D1702">
            <w:pPr>
              <w:autoSpaceDE w:val="0"/>
              <w:autoSpaceDN w:val="0"/>
              <w:adjustRightInd w:val="0"/>
              <w:jc w:val="both"/>
              <w:rPr>
                <w:rFonts w:ascii="Arial" w:hAnsi="Arial" w:cs="Arial"/>
                <w:color w:val="000000"/>
                <w:sz w:val="16"/>
                <w:szCs w:val="16"/>
              </w:rPr>
            </w:pPr>
          </w:p>
        </w:tc>
        <w:tc>
          <w:tcPr>
            <w:tcW w:w="2263" w:type="dxa"/>
          </w:tcPr>
          <w:p w14:paraId="3C39EB3B" w14:textId="77777777" w:rsidR="005374CE" w:rsidRPr="00E9370D" w:rsidRDefault="005374CE" w:rsidP="005374CE">
            <w:pPr>
              <w:autoSpaceDE w:val="0"/>
              <w:autoSpaceDN w:val="0"/>
              <w:adjustRightInd w:val="0"/>
              <w:rPr>
                <w:rFonts w:ascii="Arial" w:hAnsi="Arial" w:cs="Arial"/>
                <w:color w:val="000000"/>
                <w:sz w:val="16"/>
                <w:szCs w:val="16"/>
              </w:rPr>
            </w:pPr>
            <w:r w:rsidRPr="005374CE">
              <w:rPr>
                <w:rFonts w:ascii="Arial" w:hAnsi="Arial" w:cs="Arial"/>
                <w:color w:val="000000"/>
                <w:sz w:val="16"/>
                <w:szCs w:val="16"/>
              </w:rPr>
              <w:t>Dol leta 2025 vsaj 10% podjetij z energetsko izkaznico podjetja in uporabnikov storitve hibridnega oblaka (HO)</w:t>
            </w:r>
          </w:p>
        </w:tc>
        <w:tc>
          <w:tcPr>
            <w:tcW w:w="1178" w:type="dxa"/>
          </w:tcPr>
          <w:p w14:paraId="15020376" w14:textId="77777777" w:rsidR="005374CE" w:rsidRPr="00E9370D" w:rsidRDefault="005374CE" w:rsidP="005D1702">
            <w:pPr>
              <w:autoSpaceDE w:val="0"/>
              <w:autoSpaceDN w:val="0"/>
              <w:adjustRightInd w:val="0"/>
              <w:jc w:val="both"/>
              <w:rPr>
                <w:rFonts w:ascii="Arial" w:hAnsi="Arial" w:cs="Arial"/>
                <w:color w:val="000000"/>
                <w:sz w:val="16"/>
                <w:szCs w:val="16"/>
              </w:rPr>
            </w:pPr>
            <w:r>
              <w:rPr>
                <w:rFonts w:ascii="Arial" w:hAnsi="Arial" w:cs="Arial"/>
                <w:color w:val="000000"/>
                <w:sz w:val="16"/>
                <w:szCs w:val="16"/>
              </w:rPr>
              <w:t>2025</w:t>
            </w:r>
          </w:p>
        </w:tc>
        <w:tc>
          <w:tcPr>
            <w:tcW w:w="1491" w:type="dxa"/>
          </w:tcPr>
          <w:p w14:paraId="094B9538" w14:textId="77777777" w:rsidR="005374CE" w:rsidRPr="00E9370D" w:rsidRDefault="005374CE" w:rsidP="005374CE">
            <w:pPr>
              <w:autoSpaceDE w:val="0"/>
              <w:autoSpaceDN w:val="0"/>
              <w:adjustRightInd w:val="0"/>
              <w:rPr>
                <w:rFonts w:ascii="Arial" w:hAnsi="Arial" w:cs="Arial"/>
                <w:color w:val="000000"/>
                <w:sz w:val="16"/>
                <w:szCs w:val="16"/>
              </w:rPr>
            </w:pPr>
            <w:r w:rsidRPr="005374CE">
              <w:rPr>
                <w:rFonts w:ascii="Arial" w:hAnsi="Arial" w:cs="Arial"/>
                <w:color w:val="000000"/>
                <w:sz w:val="16"/>
                <w:szCs w:val="16"/>
              </w:rPr>
              <w:t>MGRT v sodel</w:t>
            </w:r>
            <w:r>
              <w:rPr>
                <w:rFonts w:ascii="Arial" w:hAnsi="Arial" w:cs="Arial"/>
                <w:color w:val="000000"/>
                <w:sz w:val="16"/>
                <w:szCs w:val="16"/>
              </w:rPr>
              <w:t xml:space="preserve">ovanju z MZI, regulatorji </w:t>
            </w:r>
            <w:r w:rsidRPr="005374CE">
              <w:rPr>
                <w:rFonts w:ascii="Arial" w:hAnsi="Arial" w:cs="Arial"/>
                <w:color w:val="000000"/>
                <w:sz w:val="16"/>
                <w:szCs w:val="16"/>
              </w:rPr>
              <w:t>in deležniki na trgu</w:t>
            </w:r>
          </w:p>
        </w:tc>
      </w:tr>
      <w:tr w:rsidR="005374CE" w:rsidRPr="00E9370D" w14:paraId="337D2182" w14:textId="77777777" w:rsidTr="005374CE">
        <w:tc>
          <w:tcPr>
            <w:tcW w:w="1608" w:type="dxa"/>
            <w:vMerge/>
          </w:tcPr>
          <w:p w14:paraId="59A6AA4B" w14:textId="77777777" w:rsidR="005374CE" w:rsidRPr="00E9370D" w:rsidRDefault="005374CE" w:rsidP="005374CE">
            <w:pPr>
              <w:autoSpaceDE w:val="0"/>
              <w:autoSpaceDN w:val="0"/>
              <w:adjustRightInd w:val="0"/>
              <w:rPr>
                <w:rFonts w:ascii="Arial" w:hAnsi="Arial" w:cs="Arial"/>
                <w:sz w:val="16"/>
                <w:szCs w:val="16"/>
              </w:rPr>
            </w:pPr>
          </w:p>
        </w:tc>
        <w:tc>
          <w:tcPr>
            <w:tcW w:w="1522" w:type="dxa"/>
            <w:vMerge/>
          </w:tcPr>
          <w:p w14:paraId="69DFE5BF" w14:textId="77777777" w:rsidR="005374CE" w:rsidRPr="00E9370D" w:rsidRDefault="005374CE" w:rsidP="005D1702">
            <w:pPr>
              <w:autoSpaceDE w:val="0"/>
              <w:autoSpaceDN w:val="0"/>
              <w:adjustRightInd w:val="0"/>
              <w:jc w:val="both"/>
              <w:rPr>
                <w:rFonts w:ascii="Arial" w:hAnsi="Arial" w:cs="Arial"/>
                <w:color w:val="000000"/>
                <w:sz w:val="16"/>
                <w:szCs w:val="16"/>
              </w:rPr>
            </w:pPr>
          </w:p>
        </w:tc>
        <w:tc>
          <w:tcPr>
            <w:tcW w:w="981" w:type="dxa"/>
            <w:vMerge/>
          </w:tcPr>
          <w:p w14:paraId="4D7DBCCF" w14:textId="77777777" w:rsidR="005374CE" w:rsidRPr="00E9370D" w:rsidRDefault="005374CE" w:rsidP="005D1702">
            <w:pPr>
              <w:autoSpaceDE w:val="0"/>
              <w:autoSpaceDN w:val="0"/>
              <w:adjustRightInd w:val="0"/>
              <w:jc w:val="both"/>
              <w:rPr>
                <w:rFonts w:ascii="Arial" w:hAnsi="Arial" w:cs="Arial"/>
                <w:color w:val="000000"/>
                <w:sz w:val="16"/>
                <w:szCs w:val="16"/>
              </w:rPr>
            </w:pPr>
          </w:p>
        </w:tc>
        <w:tc>
          <w:tcPr>
            <w:tcW w:w="2263" w:type="dxa"/>
          </w:tcPr>
          <w:p w14:paraId="6BC124AB" w14:textId="77777777" w:rsidR="005374CE" w:rsidRPr="00E9370D" w:rsidRDefault="005374CE" w:rsidP="005374CE">
            <w:pPr>
              <w:autoSpaceDE w:val="0"/>
              <w:autoSpaceDN w:val="0"/>
              <w:adjustRightInd w:val="0"/>
              <w:rPr>
                <w:rFonts w:ascii="Arial" w:hAnsi="Arial" w:cs="Arial"/>
                <w:color w:val="000000"/>
                <w:sz w:val="16"/>
                <w:szCs w:val="16"/>
              </w:rPr>
            </w:pPr>
            <w:r w:rsidRPr="005374CE">
              <w:rPr>
                <w:rFonts w:ascii="Arial" w:hAnsi="Arial" w:cs="Arial"/>
                <w:color w:val="000000"/>
                <w:sz w:val="16"/>
                <w:szCs w:val="16"/>
              </w:rPr>
              <w:t>Do leta 2030 vsaj 50% podjetij z energetsko izkaznico podjetij in uporabo storitve hibridnega oblaka</w:t>
            </w:r>
          </w:p>
        </w:tc>
        <w:tc>
          <w:tcPr>
            <w:tcW w:w="1178" w:type="dxa"/>
          </w:tcPr>
          <w:p w14:paraId="6BA89B4C" w14:textId="77777777" w:rsidR="005374CE" w:rsidRPr="00E9370D" w:rsidRDefault="005374CE" w:rsidP="005D1702">
            <w:pPr>
              <w:autoSpaceDE w:val="0"/>
              <w:autoSpaceDN w:val="0"/>
              <w:adjustRightInd w:val="0"/>
              <w:jc w:val="both"/>
              <w:rPr>
                <w:rFonts w:ascii="Arial" w:hAnsi="Arial" w:cs="Arial"/>
                <w:color w:val="000000"/>
                <w:sz w:val="16"/>
                <w:szCs w:val="16"/>
              </w:rPr>
            </w:pPr>
            <w:r>
              <w:rPr>
                <w:rFonts w:ascii="Arial" w:hAnsi="Arial" w:cs="Arial"/>
                <w:color w:val="000000"/>
                <w:sz w:val="16"/>
                <w:szCs w:val="16"/>
              </w:rPr>
              <w:t>2030</w:t>
            </w:r>
          </w:p>
        </w:tc>
        <w:tc>
          <w:tcPr>
            <w:tcW w:w="1491" w:type="dxa"/>
          </w:tcPr>
          <w:p w14:paraId="3E5A9118" w14:textId="77777777" w:rsidR="005374CE" w:rsidRPr="00E9370D" w:rsidRDefault="005374CE" w:rsidP="005374CE">
            <w:pPr>
              <w:autoSpaceDE w:val="0"/>
              <w:autoSpaceDN w:val="0"/>
              <w:adjustRightInd w:val="0"/>
              <w:rPr>
                <w:rFonts w:ascii="Arial" w:hAnsi="Arial" w:cs="Arial"/>
                <w:color w:val="000000"/>
                <w:sz w:val="16"/>
                <w:szCs w:val="16"/>
              </w:rPr>
            </w:pPr>
            <w:r w:rsidRPr="005374CE">
              <w:rPr>
                <w:rFonts w:ascii="Arial" w:hAnsi="Arial" w:cs="Arial"/>
                <w:color w:val="000000"/>
                <w:sz w:val="16"/>
                <w:szCs w:val="16"/>
              </w:rPr>
              <w:t>MGRT v sodel</w:t>
            </w:r>
            <w:r>
              <w:rPr>
                <w:rFonts w:ascii="Arial" w:hAnsi="Arial" w:cs="Arial"/>
                <w:color w:val="000000"/>
                <w:sz w:val="16"/>
                <w:szCs w:val="16"/>
              </w:rPr>
              <w:t xml:space="preserve">ovanju z MZI, regulatorji </w:t>
            </w:r>
            <w:r w:rsidRPr="005374CE">
              <w:rPr>
                <w:rFonts w:ascii="Arial" w:hAnsi="Arial" w:cs="Arial"/>
                <w:color w:val="000000"/>
                <w:sz w:val="16"/>
                <w:szCs w:val="16"/>
              </w:rPr>
              <w:t>in deležniki na trgu</w:t>
            </w:r>
          </w:p>
        </w:tc>
      </w:tr>
      <w:tr w:rsidR="00E9370D" w:rsidRPr="00E9370D" w14:paraId="7E087522" w14:textId="77777777" w:rsidTr="005374CE">
        <w:tc>
          <w:tcPr>
            <w:tcW w:w="1608" w:type="dxa"/>
          </w:tcPr>
          <w:p w14:paraId="627B3F42" w14:textId="77777777" w:rsidR="005D1702" w:rsidRPr="00E9370D" w:rsidRDefault="005D1702" w:rsidP="00B90DDA">
            <w:pPr>
              <w:jc w:val="both"/>
              <w:rPr>
                <w:rFonts w:ascii="Arial" w:hAnsi="Arial" w:cs="Arial"/>
                <w:sz w:val="16"/>
                <w:szCs w:val="16"/>
              </w:rPr>
            </w:pPr>
            <w:r w:rsidRPr="00E9370D">
              <w:rPr>
                <w:rFonts w:ascii="Arial" w:hAnsi="Arial" w:cs="Arial"/>
                <w:sz w:val="16"/>
                <w:szCs w:val="16"/>
              </w:rPr>
              <w:t>Spodbujanje inovativnih rešitev razvoja in uporabe naprednih digitalnih tehnologij v sklopu testnega laboratorija (sandbox-a)</w:t>
            </w:r>
          </w:p>
        </w:tc>
        <w:tc>
          <w:tcPr>
            <w:tcW w:w="1522" w:type="dxa"/>
          </w:tcPr>
          <w:p w14:paraId="2D36A84F" w14:textId="77777777" w:rsidR="005D1702" w:rsidRPr="00E9370D" w:rsidRDefault="005374CE" w:rsidP="005374CE">
            <w:pPr>
              <w:autoSpaceDE w:val="0"/>
              <w:autoSpaceDN w:val="0"/>
              <w:adjustRightInd w:val="0"/>
              <w:rPr>
                <w:rFonts w:ascii="Arial" w:hAnsi="Arial" w:cs="Arial"/>
                <w:color w:val="000000"/>
                <w:sz w:val="16"/>
                <w:szCs w:val="16"/>
              </w:rPr>
            </w:pPr>
            <w:r>
              <w:rPr>
                <w:rFonts w:ascii="Arial" w:hAnsi="Arial" w:cs="Arial"/>
                <w:color w:val="000000"/>
                <w:sz w:val="16"/>
                <w:szCs w:val="16"/>
              </w:rPr>
              <w:t>Število pilotnih rešitev v sklopu testnega laboratorija (sandboxa)</w:t>
            </w:r>
          </w:p>
        </w:tc>
        <w:tc>
          <w:tcPr>
            <w:tcW w:w="981" w:type="dxa"/>
          </w:tcPr>
          <w:p w14:paraId="24E3B6AB" w14:textId="77777777" w:rsidR="005D1702" w:rsidRPr="00E9370D" w:rsidRDefault="005374CE" w:rsidP="005D1702">
            <w:pPr>
              <w:autoSpaceDE w:val="0"/>
              <w:autoSpaceDN w:val="0"/>
              <w:adjustRightInd w:val="0"/>
              <w:jc w:val="both"/>
              <w:rPr>
                <w:rFonts w:ascii="Arial" w:hAnsi="Arial" w:cs="Arial"/>
                <w:color w:val="000000"/>
                <w:sz w:val="16"/>
                <w:szCs w:val="16"/>
              </w:rPr>
            </w:pPr>
            <w:r>
              <w:rPr>
                <w:rFonts w:ascii="Arial" w:hAnsi="Arial" w:cs="Arial"/>
                <w:color w:val="000000"/>
                <w:sz w:val="16"/>
                <w:szCs w:val="16"/>
              </w:rPr>
              <w:t>-</w:t>
            </w:r>
          </w:p>
        </w:tc>
        <w:tc>
          <w:tcPr>
            <w:tcW w:w="2263" w:type="dxa"/>
          </w:tcPr>
          <w:p w14:paraId="4EE37B0A" w14:textId="77777777" w:rsidR="005D1702" w:rsidRPr="00E9370D" w:rsidRDefault="005374CE" w:rsidP="005D1702">
            <w:pPr>
              <w:autoSpaceDE w:val="0"/>
              <w:autoSpaceDN w:val="0"/>
              <w:adjustRightInd w:val="0"/>
              <w:jc w:val="both"/>
              <w:rPr>
                <w:rFonts w:ascii="Arial" w:hAnsi="Arial" w:cs="Arial"/>
                <w:color w:val="000000"/>
                <w:sz w:val="16"/>
                <w:szCs w:val="16"/>
              </w:rPr>
            </w:pPr>
            <w:r>
              <w:rPr>
                <w:rFonts w:ascii="Arial" w:hAnsi="Arial" w:cs="Arial"/>
                <w:color w:val="000000"/>
                <w:sz w:val="16"/>
                <w:szCs w:val="16"/>
              </w:rPr>
              <w:t>Do leta 2022 vsaj 2 pilotni rešitvi v okviru testnega laboratorija</w:t>
            </w:r>
          </w:p>
        </w:tc>
        <w:tc>
          <w:tcPr>
            <w:tcW w:w="1178" w:type="dxa"/>
          </w:tcPr>
          <w:p w14:paraId="07F3FBF6" w14:textId="77777777" w:rsidR="005D1702" w:rsidRPr="00E9370D" w:rsidRDefault="00B90DDA" w:rsidP="005D1702">
            <w:pPr>
              <w:autoSpaceDE w:val="0"/>
              <w:autoSpaceDN w:val="0"/>
              <w:adjustRightInd w:val="0"/>
              <w:jc w:val="both"/>
              <w:rPr>
                <w:rFonts w:ascii="Arial" w:hAnsi="Arial" w:cs="Arial"/>
                <w:color w:val="000000"/>
                <w:sz w:val="16"/>
                <w:szCs w:val="16"/>
              </w:rPr>
            </w:pPr>
            <w:r>
              <w:rPr>
                <w:rFonts w:ascii="Arial" w:hAnsi="Arial" w:cs="Arial"/>
                <w:color w:val="000000"/>
                <w:sz w:val="16"/>
                <w:szCs w:val="16"/>
              </w:rPr>
              <w:t>Q4 2022</w:t>
            </w:r>
          </w:p>
        </w:tc>
        <w:tc>
          <w:tcPr>
            <w:tcW w:w="1491" w:type="dxa"/>
          </w:tcPr>
          <w:p w14:paraId="3615D13A" w14:textId="77777777" w:rsidR="005D1702" w:rsidRPr="00E9370D" w:rsidRDefault="005374CE" w:rsidP="005374CE">
            <w:pPr>
              <w:autoSpaceDE w:val="0"/>
              <w:autoSpaceDN w:val="0"/>
              <w:adjustRightInd w:val="0"/>
              <w:rPr>
                <w:rFonts w:ascii="Arial" w:hAnsi="Arial" w:cs="Arial"/>
                <w:color w:val="000000"/>
                <w:sz w:val="16"/>
                <w:szCs w:val="16"/>
              </w:rPr>
            </w:pPr>
            <w:r w:rsidRPr="005374CE">
              <w:rPr>
                <w:rFonts w:ascii="Arial" w:hAnsi="Arial" w:cs="Arial"/>
                <w:color w:val="000000"/>
                <w:sz w:val="16"/>
                <w:szCs w:val="16"/>
              </w:rPr>
              <w:t>MGRT v sodel</w:t>
            </w:r>
            <w:r>
              <w:rPr>
                <w:rFonts w:ascii="Arial" w:hAnsi="Arial" w:cs="Arial"/>
                <w:color w:val="000000"/>
                <w:sz w:val="16"/>
                <w:szCs w:val="16"/>
              </w:rPr>
              <w:t xml:space="preserve">ovanju z MZI, regulatorji </w:t>
            </w:r>
            <w:r w:rsidRPr="005374CE">
              <w:rPr>
                <w:rFonts w:ascii="Arial" w:hAnsi="Arial" w:cs="Arial"/>
                <w:color w:val="000000"/>
                <w:sz w:val="16"/>
                <w:szCs w:val="16"/>
              </w:rPr>
              <w:t>in deležniki na trgu</w:t>
            </w:r>
          </w:p>
        </w:tc>
      </w:tr>
    </w:tbl>
    <w:p w14:paraId="25829C1A" w14:textId="77777777" w:rsidR="005D1702" w:rsidRDefault="005D1702" w:rsidP="00B2774C">
      <w:pPr>
        <w:spacing w:after="0" w:line="240" w:lineRule="auto"/>
        <w:jc w:val="both"/>
        <w:rPr>
          <w:rFonts w:ascii="Arial" w:eastAsia="Calibri" w:hAnsi="Arial" w:cs="Times New Roman"/>
          <w:sz w:val="20"/>
        </w:rPr>
      </w:pPr>
    </w:p>
    <w:p w14:paraId="1EAB69F0" w14:textId="77777777" w:rsidR="005D1702" w:rsidRDefault="005D1702" w:rsidP="00B2774C">
      <w:pPr>
        <w:spacing w:after="0" w:line="240" w:lineRule="auto"/>
        <w:jc w:val="both"/>
        <w:rPr>
          <w:rFonts w:ascii="Arial" w:eastAsia="Calibri" w:hAnsi="Arial" w:cs="Times New Roman"/>
          <w:sz w:val="20"/>
        </w:rPr>
      </w:pPr>
    </w:p>
    <w:p w14:paraId="310BE385" w14:textId="77777777" w:rsidR="00B2774C" w:rsidRDefault="00B2774C" w:rsidP="00B2774C">
      <w:pPr>
        <w:spacing w:after="0" w:line="240" w:lineRule="auto"/>
        <w:jc w:val="both"/>
        <w:rPr>
          <w:rFonts w:ascii="Arial" w:eastAsia="Calibri" w:hAnsi="Arial" w:cs="Times New Roman"/>
          <w:sz w:val="20"/>
        </w:rPr>
      </w:pPr>
    </w:p>
    <w:p w14:paraId="30243C29" w14:textId="77777777" w:rsidR="00B2774C" w:rsidRDefault="00B2774C" w:rsidP="00B2774C">
      <w:pPr>
        <w:spacing w:after="0" w:line="240" w:lineRule="auto"/>
        <w:jc w:val="both"/>
        <w:rPr>
          <w:rFonts w:ascii="Arial" w:eastAsia="Calibri" w:hAnsi="Arial" w:cs="Times New Roman"/>
          <w:sz w:val="20"/>
        </w:rPr>
      </w:pPr>
    </w:p>
    <w:p w14:paraId="7924B85F" w14:textId="77777777" w:rsidR="00B2774C" w:rsidRDefault="00BC2EE0" w:rsidP="00BC1259">
      <w:pPr>
        <w:rPr>
          <w:rFonts w:ascii="Arial" w:eastAsia="Calibri" w:hAnsi="Arial" w:cs="Times New Roman"/>
          <w:sz w:val="20"/>
          <w:szCs w:val="20"/>
        </w:rPr>
      </w:pPr>
      <w:r>
        <w:rPr>
          <w:rFonts w:ascii="Arial" w:eastAsia="Calibri" w:hAnsi="Arial" w:cs="Times New Roman"/>
          <w:sz w:val="20"/>
          <w:szCs w:val="20"/>
        </w:rPr>
        <w:t>P</w:t>
      </w:r>
      <w:r w:rsidR="00B2774C">
        <w:rPr>
          <w:rFonts w:ascii="Arial" w:eastAsia="Calibri" w:hAnsi="Arial" w:cs="Times New Roman"/>
          <w:sz w:val="20"/>
          <w:szCs w:val="20"/>
        </w:rPr>
        <w:t xml:space="preserve">riloga 2: Akcijski načrt </w:t>
      </w:r>
      <w:r w:rsidRPr="00BC2EE0">
        <w:rPr>
          <w:rFonts w:ascii="Arial" w:eastAsia="Calibri" w:hAnsi="Arial" w:cs="Times New Roman"/>
          <w:sz w:val="20"/>
          <w:szCs w:val="20"/>
        </w:rPr>
        <w:t xml:space="preserve">za pripravo tehnološke rešitve / orodja za register ETS za podjetja, vključena v sistem ETS </w:t>
      </w:r>
      <w:r w:rsidR="00B2774C">
        <w:rPr>
          <w:rFonts w:ascii="Arial" w:eastAsia="Calibri" w:hAnsi="Arial" w:cs="Times New Roman"/>
          <w:sz w:val="20"/>
          <w:szCs w:val="20"/>
        </w:rPr>
        <w:t xml:space="preserve"> </w:t>
      </w:r>
    </w:p>
    <w:tbl>
      <w:tblPr>
        <w:tblStyle w:val="Tabelamrea1"/>
        <w:tblW w:w="0" w:type="auto"/>
        <w:tblLook w:val="04A0" w:firstRow="1" w:lastRow="0" w:firstColumn="1" w:lastColumn="0" w:noHBand="0" w:noVBand="1"/>
      </w:tblPr>
      <w:tblGrid>
        <w:gridCol w:w="1608"/>
        <w:gridCol w:w="1522"/>
        <w:gridCol w:w="981"/>
        <w:gridCol w:w="2263"/>
        <w:gridCol w:w="1178"/>
        <w:gridCol w:w="1491"/>
      </w:tblGrid>
      <w:tr w:rsidR="00BC2EE0" w:rsidRPr="00BC2EE0" w14:paraId="4F5B9402" w14:textId="77777777" w:rsidTr="00222A37">
        <w:trPr>
          <w:tblHeader/>
        </w:trPr>
        <w:tc>
          <w:tcPr>
            <w:tcW w:w="1608" w:type="dxa"/>
          </w:tcPr>
          <w:p w14:paraId="10C21FA8" w14:textId="77777777" w:rsidR="00BC2EE0" w:rsidRPr="00BC2EE0" w:rsidRDefault="00BC2EE0" w:rsidP="006E6F8C">
            <w:pPr>
              <w:autoSpaceDE w:val="0"/>
              <w:autoSpaceDN w:val="0"/>
              <w:adjustRightInd w:val="0"/>
              <w:jc w:val="both"/>
              <w:rPr>
                <w:rFonts w:ascii="Arial" w:hAnsi="Arial" w:cs="Arial"/>
                <w:color w:val="000000"/>
                <w:sz w:val="16"/>
                <w:szCs w:val="16"/>
              </w:rPr>
            </w:pPr>
            <w:r w:rsidRPr="00BC2EE0">
              <w:rPr>
                <w:rFonts w:ascii="Arial" w:hAnsi="Arial" w:cs="Arial"/>
                <w:color w:val="000000"/>
                <w:sz w:val="16"/>
                <w:szCs w:val="16"/>
              </w:rPr>
              <w:t>Strateška usmeritev</w:t>
            </w:r>
          </w:p>
        </w:tc>
        <w:tc>
          <w:tcPr>
            <w:tcW w:w="1522" w:type="dxa"/>
          </w:tcPr>
          <w:p w14:paraId="02452F5A" w14:textId="77777777" w:rsidR="00BC2EE0" w:rsidRPr="00BC2EE0" w:rsidRDefault="00BC2EE0" w:rsidP="006E6F8C">
            <w:pPr>
              <w:autoSpaceDE w:val="0"/>
              <w:autoSpaceDN w:val="0"/>
              <w:adjustRightInd w:val="0"/>
              <w:jc w:val="both"/>
              <w:rPr>
                <w:rFonts w:ascii="Arial" w:hAnsi="Arial" w:cs="Arial"/>
                <w:color w:val="000000"/>
                <w:sz w:val="16"/>
                <w:szCs w:val="16"/>
              </w:rPr>
            </w:pPr>
            <w:r w:rsidRPr="00BC2EE0">
              <w:rPr>
                <w:rFonts w:ascii="Arial" w:hAnsi="Arial" w:cs="Arial"/>
                <w:color w:val="000000"/>
                <w:sz w:val="16"/>
                <w:szCs w:val="16"/>
              </w:rPr>
              <w:t>Kazalnik /vir/ izhodiščna vrednost</w:t>
            </w:r>
          </w:p>
        </w:tc>
        <w:tc>
          <w:tcPr>
            <w:tcW w:w="981" w:type="dxa"/>
          </w:tcPr>
          <w:p w14:paraId="33362F77" w14:textId="77777777" w:rsidR="00BC2EE0" w:rsidRPr="00BC2EE0" w:rsidRDefault="00BC2EE0" w:rsidP="006E6F8C">
            <w:pPr>
              <w:autoSpaceDE w:val="0"/>
              <w:autoSpaceDN w:val="0"/>
              <w:adjustRightInd w:val="0"/>
              <w:jc w:val="both"/>
              <w:rPr>
                <w:rFonts w:ascii="Arial" w:hAnsi="Arial" w:cs="Arial"/>
                <w:color w:val="000000"/>
                <w:sz w:val="16"/>
                <w:szCs w:val="16"/>
              </w:rPr>
            </w:pPr>
            <w:r w:rsidRPr="00BC2EE0">
              <w:rPr>
                <w:rFonts w:ascii="Arial" w:hAnsi="Arial" w:cs="Arial"/>
                <w:color w:val="000000"/>
                <w:sz w:val="16"/>
                <w:szCs w:val="16"/>
              </w:rPr>
              <w:t>Izhodiščna vrednost (leto)</w:t>
            </w:r>
          </w:p>
        </w:tc>
        <w:tc>
          <w:tcPr>
            <w:tcW w:w="2263" w:type="dxa"/>
          </w:tcPr>
          <w:p w14:paraId="40C7C2AC" w14:textId="77777777" w:rsidR="00BC2EE0" w:rsidRPr="00BC2EE0" w:rsidRDefault="00BC2EE0" w:rsidP="006E6F8C">
            <w:pPr>
              <w:autoSpaceDE w:val="0"/>
              <w:autoSpaceDN w:val="0"/>
              <w:adjustRightInd w:val="0"/>
              <w:jc w:val="both"/>
              <w:rPr>
                <w:rFonts w:ascii="Arial" w:hAnsi="Arial" w:cs="Arial"/>
                <w:color w:val="000000"/>
                <w:sz w:val="16"/>
                <w:szCs w:val="16"/>
              </w:rPr>
            </w:pPr>
            <w:r w:rsidRPr="00BC2EE0">
              <w:rPr>
                <w:rFonts w:ascii="Arial" w:hAnsi="Arial" w:cs="Arial"/>
                <w:color w:val="000000"/>
                <w:sz w:val="16"/>
                <w:szCs w:val="16"/>
              </w:rPr>
              <w:t>Cilj (opisno in ciljna vrednost)</w:t>
            </w:r>
          </w:p>
        </w:tc>
        <w:tc>
          <w:tcPr>
            <w:tcW w:w="1178" w:type="dxa"/>
          </w:tcPr>
          <w:p w14:paraId="4A84142E" w14:textId="77777777" w:rsidR="00BC2EE0" w:rsidRPr="00BC2EE0" w:rsidRDefault="00BC2EE0" w:rsidP="006E6F8C">
            <w:pPr>
              <w:autoSpaceDE w:val="0"/>
              <w:autoSpaceDN w:val="0"/>
              <w:adjustRightInd w:val="0"/>
              <w:jc w:val="both"/>
              <w:rPr>
                <w:rFonts w:ascii="Arial" w:hAnsi="Arial" w:cs="Arial"/>
                <w:color w:val="000000"/>
                <w:sz w:val="16"/>
                <w:szCs w:val="16"/>
              </w:rPr>
            </w:pPr>
            <w:r w:rsidRPr="00BC2EE0">
              <w:rPr>
                <w:rFonts w:ascii="Arial" w:hAnsi="Arial" w:cs="Arial"/>
                <w:color w:val="000000"/>
                <w:sz w:val="16"/>
                <w:szCs w:val="16"/>
              </w:rPr>
              <w:t xml:space="preserve">Časovnica </w:t>
            </w:r>
          </w:p>
        </w:tc>
        <w:tc>
          <w:tcPr>
            <w:tcW w:w="1491" w:type="dxa"/>
          </w:tcPr>
          <w:p w14:paraId="4806FE6E" w14:textId="77777777" w:rsidR="00BC2EE0" w:rsidRPr="00BC2EE0" w:rsidRDefault="00BC2EE0" w:rsidP="006E6F8C">
            <w:pPr>
              <w:autoSpaceDE w:val="0"/>
              <w:autoSpaceDN w:val="0"/>
              <w:adjustRightInd w:val="0"/>
              <w:jc w:val="both"/>
              <w:rPr>
                <w:rFonts w:ascii="Arial" w:hAnsi="Arial" w:cs="Arial"/>
                <w:color w:val="000000"/>
                <w:sz w:val="16"/>
                <w:szCs w:val="16"/>
              </w:rPr>
            </w:pPr>
            <w:r w:rsidRPr="00BC2EE0">
              <w:rPr>
                <w:rFonts w:ascii="Arial" w:hAnsi="Arial" w:cs="Arial"/>
                <w:color w:val="000000"/>
                <w:sz w:val="16"/>
                <w:szCs w:val="16"/>
              </w:rPr>
              <w:t>Odgovorni organ/sodelujoči deležniki</w:t>
            </w:r>
          </w:p>
        </w:tc>
      </w:tr>
      <w:tr w:rsidR="00BC2EE0" w:rsidRPr="00BC2EE0" w14:paraId="5EA9F838" w14:textId="77777777" w:rsidTr="006E6F8C">
        <w:tc>
          <w:tcPr>
            <w:tcW w:w="1608" w:type="dxa"/>
          </w:tcPr>
          <w:p w14:paraId="0749E699" w14:textId="30DCA69C" w:rsidR="00BC2EE0" w:rsidRPr="00BC2EE0" w:rsidRDefault="00BC2EE0" w:rsidP="00BC2EE0">
            <w:pPr>
              <w:autoSpaceDE w:val="0"/>
              <w:autoSpaceDN w:val="0"/>
              <w:adjustRightInd w:val="0"/>
              <w:rPr>
                <w:rFonts w:ascii="Arial" w:hAnsi="Arial" w:cs="Arial"/>
                <w:color w:val="000000"/>
                <w:sz w:val="16"/>
                <w:szCs w:val="16"/>
              </w:rPr>
            </w:pPr>
            <w:r w:rsidRPr="00BC2EE0">
              <w:rPr>
                <w:rFonts w:ascii="Arial" w:hAnsi="Arial" w:cs="Arial"/>
                <w:sz w:val="16"/>
                <w:szCs w:val="16"/>
              </w:rPr>
              <w:t xml:space="preserve">Spodbujanje podjetij k implementaciji korakov za avtomatizirano zbiranje podatkov pri viru, spremljanje in sledenje podatkov v okviru posameznega podjetja v okviru registra ETS </w:t>
            </w:r>
            <w:r w:rsidR="0087587A">
              <w:rPr>
                <w:rFonts w:ascii="Arial" w:hAnsi="Arial" w:cs="Arial"/>
                <w:sz w:val="16"/>
                <w:szCs w:val="16"/>
              </w:rPr>
              <w:t xml:space="preserve">in tistih, ki še niso v sistemu poročanja </w:t>
            </w:r>
            <w:r w:rsidRPr="00BC2EE0">
              <w:rPr>
                <w:rFonts w:ascii="Arial" w:hAnsi="Arial" w:cs="Arial"/>
                <w:sz w:val="16"/>
                <w:szCs w:val="16"/>
              </w:rPr>
              <w:t>z namenom zmanjšanja izpustov CO2.</w:t>
            </w:r>
          </w:p>
        </w:tc>
        <w:tc>
          <w:tcPr>
            <w:tcW w:w="1522" w:type="dxa"/>
          </w:tcPr>
          <w:p w14:paraId="39203534" w14:textId="480F2214" w:rsidR="00BC2EE0" w:rsidRPr="00BC2EE0" w:rsidRDefault="00BC2EE0" w:rsidP="00BC2EE0">
            <w:pPr>
              <w:autoSpaceDE w:val="0"/>
              <w:autoSpaceDN w:val="0"/>
              <w:adjustRightInd w:val="0"/>
              <w:rPr>
                <w:rFonts w:ascii="Arial" w:hAnsi="Arial" w:cs="Arial"/>
                <w:color w:val="000000"/>
                <w:sz w:val="16"/>
                <w:szCs w:val="16"/>
              </w:rPr>
            </w:pPr>
            <w:r>
              <w:rPr>
                <w:rFonts w:ascii="Arial" w:hAnsi="Arial" w:cs="Arial"/>
                <w:color w:val="000000"/>
                <w:sz w:val="16"/>
                <w:szCs w:val="16"/>
              </w:rPr>
              <w:t>Število podjetij, ki uporabljajo avtomatizirano zbiranje in sledenje podatkov za namen registra ETS</w:t>
            </w:r>
            <w:r w:rsidR="0087587A">
              <w:rPr>
                <w:rFonts w:ascii="Arial" w:hAnsi="Arial" w:cs="Arial"/>
                <w:color w:val="000000"/>
                <w:sz w:val="16"/>
                <w:szCs w:val="16"/>
              </w:rPr>
              <w:t xml:space="preserve"> in tistih, ki še niso v sistemu poročanja</w:t>
            </w:r>
          </w:p>
        </w:tc>
        <w:tc>
          <w:tcPr>
            <w:tcW w:w="981" w:type="dxa"/>
          </w:tcPr>
          <w:p w14:paraId="23A5D985" w14:textId="77777777" w:rsidR="00BC2EE0" w:rsidRPr="00BC2EE0" w:rsidRDefault="00BC2EE0" w:rsidP="006E6F8C">
            <w:pPr>
              <w:autoSpaceDE w:val="0"/>
              <w:autoSpaceDN w:val="0"/>
              <w:adjustRightInd w:val="0"/>
              <w:jc w:val="both"/>
              <w:rPr>
                <w:rFonts w:ascii="Arial" w:hAnsi="Arial" w:cs="Arial"/>
                <w:color w:val="000000"/>
                <w:sz w:val="16"/>
                <w:szCs w:val="16"/>
              </w:rPr>
            </w:pPr>
            <w:r>
              <w:rPr>
                <w:rFonts w:ascii="Arial" w:hAnsi="Arial" w:cs="Arial"/>
                <w:color w:val="000000"/>
                <w:sz w:val="16"/>
                <w:szCs w:val="16"/>
              </w:rPr>
              <w:t>-</w:t>
            </w:r>
          </w:p>
        </w:tc>
        <w:tc>
          <w:tcPr>
            <w:tcW w:w="2263" w:type="dxa"/>
          </w:tcPr>
          <w:p w14:paraId="2C967DB0" w14:textId="125161F2" w:rsidR="00BC2EE0" w:rsidRPr="00BC2EE0" w:rsidRDefault="00BC2EE0" w:rsidP="00BC2EE0">
            <w:pPr>
              <w:autoSpaceDE w:val="0"/>
              <w:autoSpaceDN w:val="0"/>
              <w:adjustRightInd w:val="0"/>
              <w:rPr>
                <w:rFonts w:ascii="Arial" w:hAnsi="Arial" w:cs="Arial"/>
                <w:color w:val="000000"/>
                <w:sz w:val="16"/>
                <w:szCs w:val="16"/>
              </w:rPr>
            </w:pPr>
            <w:r w:rsidRPr="00BC2EE0">
              <w:rPr>
                <w:rFonts w:ascii="Arial" w:hAnsi="Arial" w:cs="Arial"/>
                <w:color w:val="000000"/>
                <w:sz w:val="16"/>
                <w:szCs w:val="16"/>
              </w:rPr>
              <w:t>Do leta 2030 vsaj 50</w:t>
            </w:r>
            <w:r w:rsidR="00421351">
              <w:rPr>
                <w:rFonts w:ascii="Arial" w:hAnsi="Arial" w:cs="Arial"/>
                <w:color w:val="000000"/>
                <w:sz w:val="16"/>
                <w:szCs w:val="16"/>
              </w:rPr>
              <w:t xml:space="preserve"> </w:t>
            </w:r>
            <w:r w:rsidRPr="00BC2EE0">
              <w:rPr>
                <w:rFonts w:ascii="Arial" w:hAnsi="Arial" w:cs="Arial"/>
                <w:color w:val="000000"/>
                <w:sz w:val="16"/>
                <w:szCs w:val="16"/>
              </w:rPr>
              <w:t>% podjetij, ki prostovoljno sodelujejo pri izravnavanju ogljika, od tega vsaj 50</w:t>
            </w:r>
            <w:r w:rsidR="00421351">
              <w:rPr>
                <w:rFonts w:ascii="Arial" w:hAnsi="Arial" w:cs="Arial"/>
                <w:color w:val="000000"/>
                <w:sz w:val="16"/>
                <w:szCs w:val="16"/>
              </w:rPr>
              <w:t xml:space="preserve"> </w:t>
            </w:r>
            <w:r w:rsidRPr="00BC2EE0">
              <w:rPr>
                <w:rFonts w:ascii="Arial" w:hAnsi="Arial" w:cs="Arial"/>
                <w:color w:val="000000"/>
                <w:sz w:val="16"/>
                <w:szCs w:val="16"/>
              </w:rPr>
              <w:t>% proizvajalcev energije iz OVE in vsaj 30% klasičnih industrij (prejemnikov kreditov)</w:t>
            </w:r>
          </w:p>
        </w:tc>
        <w:tc>
          <w:tcPr>
            <w:tcW w:w="1178" w:type="dxa"/>
          </w:tcPr>
          <w:p w14:paraId="24608F86" w14:textId="77777777" w:rsidR="00BC2EE0" w:rsidRPr="00BC2EE0" w:rsidRDefault="00BC2EE0" w:rsidP="006E6F8C">
            <w:pPr>
              <w:autoSpaceDE w:val="0"/>
              <w:autoSpaceDN w:val="0"/>
              <w:adjustRightInd w:val="0"/>
              <w:jc w:val="both"/>
              <w:rPr>
                <w:rFonts w:ascii="Arial" w:hAnsi="Arial" w:cs="Arial"/>
                <w:color w:val="000000"/>
                <w:sz w:val="16"/>
                <w:szCs w:val="16"/>
              </w:rPr>
            </w:pPr>
            <w:r>
              <w:rPr>
                <w:rFonts w:ascii="Arial" w:hAnsi="Arial" w:cs="Arial"/>
                <w:color w:val="000000"/>
                <w:sz w:val="16"/>
                <w:szCs w:val="16"/>
              </w:rPr>
              <w:t>2030</w:t>
            </w:r>
          </w:p>
        </w:tc>
        <w:tc>
          <w:tcPr>
            <w:tcW w:w="1491" w:type="dxa"/>
          </w:tcPr>
          <w:p w14:paraId="276EBF34" w14:textId="77777777" w:rsidR="00BC2EE0" w:rsidRPr="00BC2EE0" w:rsidRDefault="00BC2EE0" w:rsidP="00BC2EE0">
            <w:pPr>
              <w:autoSpaceDE w:val="0"/>
              <w:autoSpaceDN w:val="0"/>
              <w:adjustRightInd w:val="0"/>
              <w:rPr>
                <w:rFonts w:ascii="Arial" w:hAnsi="Arial" w:cs="Arial"/>
                <w:color w:val="000000"/>
                <w:sz w:val="16"/>
                <w:szCs w:val="16"/>
              </w:rPr>
            </w:pPr>
            <w:r w:rsidRPr="00BC2EE0">
              <w:rPr>
                <w:rFonts w:ascii="Arial" w:hAnsi="Arial" w:cs="Arial"/>
                <w:color w:val="000000"/>
                <w:sz w:val="16"/>
                <w:szCs w:val="16"/>
              </w:rPr>
              <w:t xml:space="preserve">MGRT v sodelovanju z MZI, </w:t>
            </w:r>
            <w:r>
              <w:rPr>
                <w:rFonts w:ascii="Arial" w:hAnsi="Arial" w:cs="Arial"/>
                <w:color w:val="000000"/>
                <w:sz w:val="16"/>
                <w:szCs w:val="16"/>
              </w:rPr>
              <w:t xml:space="preserve">MOP, </w:t>
            </w:r>
            <w:r w:rsidRPr="00BC2EE0">
              <w:rPr>
                <w:rFonts w:ascii="Arial" w:hAnsi="Arial" w:cs="Arial"/>
                <w:color w:val="000000"/>
                <w:sz w:val="16"/>
                <w:szCs w:val="16"/>
              </w:rPr>
              <w:t>regulatorji in deležniki na trgu</w:t>
            </w:r>
          </w:p>
        </w:tc>
      </w:tr>
      <w:tr w:rsidR="008C1AA2" w:rsidRPr="00BC2EE0" w14:paraId="26AB6BC2" w14:textId="77777777" w:rsidTr="006E6F8C">
        <w:tc>
          <w:tcPr>
            <w:tcW w:w="1608" w:type="dxa"/>
            <w:vMerge w:val="restart"/>
          </w:tcPr>
          <w:p w14:paraId="39A45D60" w14:textId="01D69C64" w:rsidR="008C1AA2" w:rsidRPr="00BC2EE0" w:rsidRDefault="008C1AA2" w:rsidP="00BC2EE0">
            <w:pPr>
              <w:autoSpaceDE w:val="0"/>
              <w:autoSpaceDN w:val="0"/>
              <w:adjustRightInd w:val="0"/>
              <w:rPr>
                <w:rFonts w:ascii="Arial" w:hAnsi="Arial" w:cs="Arial"/>
                <w:sz w:val="16"/>
                <w:szCs w:val="16"/>
              </w:rPr>
            </w:pPr>
            <w:r w:rsidRPr="00BC2EE0">
              <w:rPr>
                <w:rFonts w:ascii="Arial" w:hAnsi="Arial" w:cs="Arial"/>
                <w:sz w:val="16"/>
                <w:szCs w:val="16"/>
              </w:rPr>
              <w:t>Spodbujanje podjetij k prostovoljnemu angažiranju pri izravnavanju ogljika in poročanju z uporabo naprednih digitalnih tehnologij, pri čemer naslavljamo tako t.i. »imetnike kreditov«, kot tudi »prejemnike kreditov«</w:t>
            </w:r>
            <w:r w:rsidR="0087587A">
              <w:rPr>
                <w:rFonts w:ascii="Arial" w:hAnsi="Arial" w:cs="Arial"/>
                <w:sz w:val="16"/>
                <w:szCs w:val="16"/>
              </w:rPr>
              <w:t xml:space="preserve"> (npr. CER)</w:t>
            </w:r>
            <w:r w:rsidRPr="00BC2EE0">
              <w:rPr>
                <w:rFonts w:ascii="Arial" w:hAnsi="Arial" w:cs="Arial"/>
                <w:sz w:val="16"/>
                <w:szCs w:val="16"/>
              </w:rPr>
              <w:t>, na drugi strani pa spodbujanje tistih podjetij, ki so zakonsko zavezani k poročanju, k uvajanju avtomatiziranega merjenja, zapisovanja in sledenja izpustov</w:t>
            </w:r>
          </w:p>
        </w:tc>
        <w:tc>
          <w:tcPr>
            <w:tcW w:w="1522" w:type="dxa"/>
          </w:tcPr>
          <w:p w14:paraId="719F0E54" w14:textId="77777777" w:rsidR="008C1AA2" w:rsidRPr="00BC2EE0" w:rsidRDefault="008C1AA2" w:rsidP="008C1AA2">
            <w:pPr>
              <w:autoSpaceDE w:val="0"/>
              <w:autoSpaceDN w:val="0"/>
              <w:adjustRightInd w:val="0"/>
              <w:rPr>
                <w:rFonts w:ascii="Arial" w:hAnsi="Arial" w:cs="Arial"/>
                <w:color w:val="000000"/>
                <w:sz w:val="16"/>
                <w:szCs w:val="16"/>
              </w:rPr>
            </w:pPr>
            <w:r>
              <w:rPr>
                <w:rFonts w:ascii="Arial" w:hAnsi="Arial" w:cs="Arial"/>
                <w:color w:val="000000"/>
                <w:sz w:val="16"/>
                <w:szCs w:val="16"/>
              </w:rPr>
              <w:t>Število energetskih pregledov v podjetjih</w:t>
            </w:r>
          </w:p>
        </w:tc>
        <w:tc>
          <w:tcPr>
            <w:tcW w:w="981" w:type="dxa"/>
          </w:tcPr>
          <w:p w14:paraId="7DF5A047" w14:textId="77777777" w:rsidR="008C1AA2" w:rsidRPr="00BC2EE0" w:rsidRDefault="008C1AA2" w:rsidP="006E6F8C">
            <w:pPr>
              <w:autoSpaceDE w:val="0"/>
              <w:autoSpaceDN w:val="0"/>
              <w:adjustRightInd w:val="0"/>
              <w:jc w:val="both"/>
              <w:rPr>
                <w:rFonts w:ascii="Arial" w:hAnsi="Arial" w:cs="Arial"/>
                <w:color w:val="000000"/>
                <w:sz w:val="16"/>
                <w:szCs w:val="16"/>
              </w:rPr>
            </w:pPr>
            <w:r>
              <w:rPr>
                <w:rFonts w:ascii="Arial" w:hAnsi="Arial" w:cs="Arial"/>
                <w:color w:val="000000"/>
                <w:sz w:val="16"/>
                <w:szCs w:val="16"/>
              </w:rPr>
              <w:t>-</w:t>
            </w:r>
          </w:p>
        </w:tc>
        <w:tc>
          <w:tcPr>
            <w:tcW w:w="2263" w:type="dxa"/>
          </w:tcPr>
          <w:p w14:paraId="5312B60F" w14:textId="77777777" w:rsidR="008C1AA2" w:rsidRPr="00BC2EE0" w:rsidRDefault="008C1AA2" w:rsidP="008C1AA2">
            <w:pPr>
              <w:autoSpaceDE w:val="0"/>
              <w:autoSpaceDN w:val="0"/>
              <w:adjustRightInd w:val="0"/>
              <w:rPr>
                <w:rFonts w:ascii="Arial" w:hAnsi="Arial" w:cs="Arial"/>
                <w:color w:val="000000"/>
                <w:sz w:val="16"/>
                <w:szCs w:val="16"/>
              </w:rPr>
            </w:pPr>
            <w:r>
              <w:rPr>
                <w:rFonts w:ascii="Arial" w:hAnsi="Arial" w:cs="Arial"/>
                <w:color w:val="000000"/>
                <w:sz w:val="16"/>
                <w:szCs w:val="16"/>
              </w:rPr>
              <w:t>Do leta 2024</w:t>
            </w:r>
            <w:r w:rsidRPr="00BC2EE0">
              <w:rPr>
                <w:rFonts w:ascii="Arial" w:hAnsi="Arial" w:cs="Arial"/>
                <w:color w:val="000000"/>
                <w:sz w:val="16"/>
                <w:szCs w:val="16"/>
              </w:rPr>
              <w:t xml:space="preserve"> (q4 2024) povečan obseg implementacije priporočil iz energetskih pregledov za najmanj 10%</w:t>
            </w:r>
          </w:p>
        </w:tc>
        <w:tc>
          <w:tcPr>
            <w:tcW w:w="1178" w:type="dxa"/>
          </w:tcPr>
          <w:p w14:paraId="0FDF3771" w14:textId="77777777" w:rsidR="008C1AA2" w:rsidRPr="00BC2EE0" w:rsidRDefault="008C1AA2" w:rsidP="006E6F8C">
            <w:pPr>
              <w:autoSpaceDE w:val="0"/>
              <w:autoSpaceDN w:val="0"/>
              <w:adjustRightInd w:val="0"/>
              <w:jc w:val="both"/>
              <w:rPr>
                <w:rFonts w:ascii="Arial" w:hAnsi="Arial" w:cs="Arial"/>
                <w:color w:val="000000"/>
                <w:sz w:val="16"/>
                <w:szCs w:val="16"/>
              </w:rPr>
            </w:pPr>
            <w:r>
              <w:rPr>
                <w:rFonts w:ascii="Arial" w:hAnsi="Arial" w:cs="Arial"/>
                <w:color w:val="000000"/>
                <w:sz w:val="16"/>
                <w:szCs w:val="16"/>
              </w:rPr>
              <w:t>2024</w:t>
            </w:r>
          </w:p>
        </w:tc>
        <w:tc>
          <w:tcPr>
            <w:tcW w:w="1491" w:type="dxa"/>
          </w:tcPr>
          <w:p w14:paraId="015EA34D" w14:textId="77777777" w:rsidR="008C1AA2" w:rsidRPr="00BC2EE0" w:rsidRDefault="008C1AA2" w:rsidP="008C1AA2">
            <w:pPr>
              <w:autoSpaceDE w:val="0"/>
              <w:autoSpaceDN w:val="0"/>
              <w:adjustRightInd w:val="0"/>
              <w:rPr>
                <w:rFonts w:ascii="Arial" w:hAnsi="Arial" w:cs="Arial"/>
                <w:color w:val="000000"/>
                <w:sz w:val="16"/>
                <w:szCs w:val="16"/>
              </w:rPr>
            </w:pPr>
            <w:r w:rsidRPr="008C1AA2">
              <w:rPr>
                <w:rFonts w:ascii="Arial" w:hAnsi="Arial" w:cs="Arial"/>
                <w:color w:val="000000"/>
                <w:sz w:val="16"/>
                <w:szCs w:val="16"/>
              </w:rPr>
              <w:t xml:space="preserve">MGRT v sodelovanju z MZI, </w:t>
            </w:r>
            <w:r>
              <w:rPr>
                <w:rFonts w:ascii="Arial" w:hAnsi="Arial" w:cs="Arial"/>
                <w:color w:val="000000"/>
                <w:sz w:val="16"/>
                <w:szCs w:val="16"/>
              </w:rPr>
              <w:t>r</w:t>
            </w:r>
            <w:r w:rsidRPr="008C1AA2">
              <w:rPr>
                <w:rFonts w:ascii="Arial" w:hAnsi="Arial" w:cs="Arial"/>
                <w:color w:val="000000"/>
                <w:sz w:val="16"/>
                <w:szCs w:val="16"/>
              </w:rPr>
              <w:t>egulatorji in deležniki na trgu</w:t>
            </w:r>
          </w:p>
        </w:tc>
      </w:tr>
      <w:tr w:rsidR="008C1AA2" w:rsidRPr="00BC2EE0" w14:paraId="29938CE4" w14:textId="77777777" w:rsidTr="006E6F8C">
        <w:tc>
          <w:tcPr>
            <w:tcW w:w="1608" w:type="dxa"/>
            <w:vMerge/>
          </w:tcPr>
          <w:p w14:paraId="1951C074" w14:textId="77777777" w:rsidR="008C1AA2" w:rsidRPr="00BC2EE0" w:rsidRDefault="008C1AA2" w:rsidP="00BC2EE0">
            <w:pPr>
              <w:autoSpaceDE w:val="0"/>
              <w:autoSpaceDN w:val="0"/>
              <w:adjustRightInd w:val="0"/>
              <w:rPr>
                <w:rFonts w:ascii="Arial" w:hAnsi="Arial" w:cs="Arial"/>
                <w:sz w:val="16"/>
                <w:szCs w:val="16"/>
              </w:rPr>
            </w:pPr>
          </w:p>
        </w:tc>
        <w:tc>
          <w:tcPr>
            <w:tcW w:w="1522" w:type="dxa"/>
          </w:tcPr>
          <w:p w14:paraId="7050F259" w14:textId="77777777" w:rsidR="008C1AA2" w:rsidRDefault="008C1AA2" w:rsidP="008C1AA2">
            <w:pPr>
              <w:autoSpaceDE w:val="0"/>
              <w:autoSpaceDN w:val="0"/>
              <w:adjustRightInd w:val="0"/>
              <w:rPr>
                <w:rFonts w:ascii="Arial" w:hAnsi="Arial" w:cs="Arial"/>
                <w:color w:val="000000"/>
                <w:sz w:val="16"/>
                <w:szCs w:val="16"/>
              </w:rPr>
            </w:pPr>
            <w:r>
              <w:rPr>
                <w:rFonts w:ascii="Arial" w:hAnsi="Arial" w:cs="Arial"/>
                <w:color w:val="000000"/>
                <w:sz w:val="16"/>
                <w:szCs w:val="16"/>
              </w:rPr>
              <w:t>Število podjetij, vključenih v prostovoljno izravnavo in poročanje</w:t>
            </w:r>
          </w:p>
        </w:tc>
        <w:tc>
          <w:tcPr>
            <w:tcW w:w="981" w:type="dxa"/>
          </w:tcPr>
          <w:p w14:paraId="6C6E3E79" w14:textId="77777777" w:rsidR="008C1AA2" w:rsidRPr="00BC2EE0" w:rsidRDefault="008C1AA2" w:rsidP="006E6F8C">
            <w:pPr>
              <w:autoSpaceDE w:val="0"/>
              <w:autoSpaceDN w:val="0"/>
              <w:adjustRightInd w:val="0"/>
              <w:jc w:val="both"/>
              <w:rPr>
                <w:rFonts w:ascii="Arial" w:hAnsi="Arial" w:cs="Arial"/>
                <w:color w:val="000000"/>
                <w:sz w:val="16"/>
                <w:szCs w:val="16"/>
              </w:rPr>
            </w:pPr>
            <w:r>
              <w:rPr>
                <w:rFonts w:ascii="Arial" w:hAnsi="Arial" w:cs="Arial"/>
                <w:color w:val="000000"/>
                <w:sz w:val="16"/>
                <w:szCs w:val="16"/>
              </w:rPr>
              <w:t>-</w:t>
            </w:r>
          </w:p>
        </w:tc>
        <w:tc>
          <w:tcPr>
            <w:tcW w:w="2263" w:type="dxa"/>
          </w:tcPr>
          <w:p w14:paraId="5C5F8D09" w14:textId="77777777" w:rsidR="008C1AA2" w:rsidRPr="00BC2EE0" w:rsidRDefault="008C1AA2" w:rsidP="008C1AA2">
            <w:pPr>
              <w:autoSpaceDE w:val="0"/>
              <w:autoSpaceDN w:val="0"/>
              <w:adjustRightInd w:val="0"/>
              <w:rPr>
                <w:rFonts w:ascii="Arial" w:hAnsi="Arial" w:cs="Arial"/>
                <w:color w:val="000000"/>
                <w:sz w:val="16"/>
                <w:szCs w:val="16"/>
              </w:rPr>
            </w:pPr>
            <w:r>
              <w:rPr>
                <w:rFonts w:ascii="Arial" w:hAnsi="Arial" w:cs="Arial"/>
                <w:color w:val="000000"/>
                <w:sz w:val="16"/>
                <w:szCs w:val="16"/>
              </w:rPr>
              <w:t xml:space="preserve">Do leta 2025 vsaj 5% vključenih podjetij v prostovoljno izravnavo in poročanje </w:t>
            </w:r>
          </w:p>
        </w:tc>
        <w:tc>
          <w:tcPr>
            <w:tcW w:w="1178" w:type="dxa"/>
          </w:tcPr>
          <w:p w14:paraId="58B26D75" w14:textId="77777777" w:rsidR="008C1AA2" w:rsidRPr="00BC2EE0" w:rsidRDefault="008C1AA2" w:rsidP="006E6F8C">
            <w:pPr>
              <w:autoSpaceDE w:val="0"/>
              <w:autoSpaceDN w:val="0"/>
              <w:adjustRightInd w:val="0"/>
              <w:jc w:val="both"/>
              <w:rPr>
                <w:rFonts w:ascii="Arial" w:hAnsi="Arial" w:cs="Arial"/>
                <w:color w:val="000000"/>
                <w:sz w:val="16"/>
                <w:szCs w:val="16"/>
              </w:rPr>
            </w:pPr>
            <w:r>
              <w:rPr>
                <w:rFonts w:ascii="Arial" w:hAnsi="Arial" w:cs="Arial"/>
                <w:color w:val="000000"/>
                <w:sz w:val="16"/>
                <w:szCs w:val="16"/>
              </w:rPr>
              <w:t>2025</w:t>
            </w:r>
          </w:p>
        </w:tc>
        <w:tc>
          <w:tcPr>
            <w:tcW w:w="1491" w:type="dxa"/>
          </w:tcPr>
          <w:p w14:paraId="501DFD84" w14:textId="77777777" w:rsidR="008C1AA2" w:rsidRPr="00BC2EE0" w:rsidRDefault="008C1AA2" w:rsidP="008C1AA2">
            <w:pPr>
              <w:autoSpaceDE w:val="0"/>
              <w:autoSpaceDN w:val="0"/>
              <w:adjustRightInd w:val="0"/>
              <w:rPr>
                <w:rFonts w:ascii="Arial" w:hAnsi="Arial" w:cs="Arial"/>
                <w:color w:val="000000"/>
                <w:sz w:val="16"/>
                <w:szCs w:val="16"/>
              </w:rPr>
            </w:pPr>
            <w:r w:rsidRPr="008C1AA2">
              <w:rPr>
                <w:rFonts w:ascii="Arial" w:hAnsi="Arial" w:cs="Arial"/>
                <w:color w:val="000000"/>
                <w:sz w:val="16"/>
                <w:szCs w:val="16"/>
              </w:rPr>
              <w:t>MGRT v sodelovanju z MZI, MOP, regulatorji in deležniki na trgu</w:t>
            </w:r>
          </w:p>
        </w:tc>
      </w:tr>
      <w:tr w:rsidR="00BC2EE0" w:rsidRPr="00BC2EE0" w14:paraId="691BDEA5" w14:textId="77777777" w:rsidTr="006E6F8C">
        <w:tc>
          <w:tcPr>
            <w:tcW w:w="1608" w:type="dxa"/>
          </w:tcPr>
          <w:p w14:paraId="1C90DBCD" w14:textId="5F96EBC3" w:rsidR="00BC2EE0" w:rsidRPr="00BC2EE0" w:rsidRDefault="00BC2EE0" w:rsidP="0087587A">
            <w:pPr>
              <w:autoSpaceDE w:val="0"/>
              <w:autoSpaceDN w:val="0"/>
              <w:adjustRightInd w:val="0"/>
              <w:rPr>
                <w:rFonts w:ascii="Arial" w:hAnsi="Arial" w:cs="Arial"/>
                <w:sz w:val="16"/>
                <w:szCs w:val="16"/>
              </w:rPr>
            </w:pPr>
            <w:r w:rsidRPr="00BC2EE0">
              <w:rPr>
                <w:rFonts w:ascii="Arial" w:hAnsi="Arial" w:cs="Arial"/>
                <w:sz w:val="16"/>
                <w:szCs w:val="16"/>
              </w:rPr>
              <w:t>Pospešitev uporabe koncepta trajnostnega financiranja in hkrati povečanje privlačnosti za nov kapital, ki izhaja iz sinergij z drugimi sistemi (npr. informacija se uporabi za obveznice, povezane s trajnostjo, zelene obveznice ipd. za spodbujanje investicij)</w:t>
            </w:r>
          </w:p>
        </w:tc>
        <w:tc>
          <w:tcPr>
            <w:tcW w:w="1522" w:type="dxa"/>
          </w:tcPr>
          <w:p w14:paraId="7C4CFA32" w14:textId="77777777" w:rsidR="00BC2EE0" w:rsidRPr="00BC2EE0" w:rsidRDefault="008C1AA2" w:rsidP="008C1AA2">
            <w:pPr>
              <w:autoSpaceDE w:val="0"/>
              <w:autoSpaceDN w:val="0"/>
              <w:adjustRightInd w:val="0"/>
              <w:rPr>
                <w:rFonts w:ascii="Arial" w:hAnsi="Arial" w:cs="Arial"/>
                <w:color w:val="000000"/>
                <w:sz w:val="16"/>
                <w:szCs w:val="16"/>
              </w:rPr>
            </w:pPr>
            <w:r>
              <w:rPr>
                <w:rFonts w:ascii="Arial" w:hAnsi="Arial" w:cs="Arial"/>
                <w:color w:val="000000"/>
                <w:sz w:val="16"/>
                <w:szCs w:val="16"/>
              </w:rPr>
              <w:t>Število finančnih instrumentov trajnostnega financiranja</w:t>
            </w:r>
          </w:p>
        </w:tc>
        <w:tc>
          <w:tcPr>
            <w:tcW w:w="981" w:type="dxa"/>
          </w:tcPr>
          <w:p w14:paraId="30274F3E" w14:textId="77777777" w:rsidR="00BC2EE0" w:rsidRPr="00BC2EE0" w:rsidRDefault="008C1AA2" w:rsidP="006E6F8C">
            <w:pPr>
              <w:autoSpaceDE w:val="0"/>
              <w:autoSpaceDN w:val="0"/>
              <w:adjustRightInd w:val="0"/>
              <w:jc w:val="both"/>
              <w:rPr>
                <w:rFonts w:ascii="Arial" w:hAnsi="Arial" w:cs="Arial"/>
                <w:color w:val="000000"/>
                <w:sz w:val="16"/>
                <w:szCs w:val="16"/>
              </w:rPr>
            </w:pPr>
            <w:r>
              <w:rPr>
                <w:rFonts w:ascii="Arial" w:hAnsi="Arial" w:cs="Arial"/>
                <w:color w:val="000000"/>
                <w:sz w:val="16"/>
                <w:szCs w:val="16"/>
              </w:rPr>
              <w:t>-</w:t>
            </w:r>
          </w:p>
        </w:tc>
        <w:tc>
          <w:tcPr>
            <w:tcW w:w="2263" w:type="dxa"/>
          </w:tcPr>
          <w:p w14:paraId="6F17D9C2" w14:textId="77777777" w:rsidR="00BC2EE0" w:rsidRPr="00BC2EE0" w:rsidRDefault="00BC2EE0" w:rsidP="00BC2EE0">
            <w:pPr>
              <w:autoSpaceDE w:val="0"/>
              <w:autoSpaceDN w:val="0"/>
              <w:adjustRightInd w:val="0"/>
              <w:rPr>
                <w:rFonts w:ascii="Arial" w:hAnsi="Arial" w:cs="Arial"/>
                <w:color w:val="000000"/>
                <w:sz w:val="16"/>
                <w:szCs w:val="16"/>
              </w:rPr>
            </w:pPr>
            <w:r w:rsidRPr="00BC2EE0">
              <w:rPr>
                <w:rFonts w:ascii="Arial" w:hAnsi="Arial" w:cs="Arial"/>
                <w:color w:val="000000"/>
                <w:sz w:val="16"/>
                <w:szCs w:val="16"/>
              </w:rPr>
              <w:t>Do leta 2030 vsaj 5 razvitih finančnih instrumentov trajnostnega financiranja</w:t>
            </w:r>
          </w:p>
        </w:tc>
        <w:tc>
          <w:tcPr>
            <w:tcW w:w="1178" w:type="dxa"/>
          </w:tcPr>
          <w:p w14:paraId="0109D853" w14:textId="77777777" w:rsidR="00BC2EE0" w:rsidRPr="00BC2EE0" w:rsidRDefault="008C1AA2" w:rsidP="006E6F8C">
            <w:pPr>
              <w:autoSpaceDE w:val="0"/>
              <w:autoSpaceDN w:val="0"/>
              <w:adjustRightInd w:val="0"/>
              <w:jc w:val="both"/>
              <w:rPr>
                <w:rFonts w:ascii="Arial" w:hAnsi="Arial" w:cs="Arial"/>
                <w:color w:val="000000"/>
                <w:sz w:val="16"/>
                <w:szCs w:val="16"/>
              </w:rPr>
            </w:pPr>
            <w:r>
              <w:rPr>
                <w:rFonts w:ascii="Arial" w:hAnsi="Arial" w:cs="Arial"/>
                <w:color w:val="000000"/>
                <w:sz w:val="16"/>
                <w:szCs w:val="16"/>
              </w:rPr>
              <w:t>2030</w:t>
            </w:r>
          </w:p>
        </w:tc>
        <w:tc>
          <w:tcPr>
            <w:tcW w:w="1491" w:type="dxa"/>
          </w:tcPr>
          <w:p w14:paraId="71BC8A8B" w14:textId="77777777" w:rsidR="00BC2EE0" w:rsidRPr="00BC2EE0" w:rsidRDefault="008C1AA2" w:rsidP="008C1AA2">
            <w:pPr>
              <w:autoSpaceDE w:val="0"/>
              <w:autoSpaceDN w:val="0"/>
              <w:adjustRightInd w:val="0"/>
              <w:rPr>
                <w:rFonts w:ascii="Arial" w:hAnsi="Arial" w:cs="Arial"/>
                <w:color w:val="000000"/>
                <w:sz w:val="16"/>
                <w:szCs w:val="16"/>
              </w:rPr>
            </w:pPr>
            <w:r>
              <w:rPr>
                <w:rFonts w:ascii="Arial" w:hAnsi="Arial" w:cs="Arial"/>
                <w:color w:val="000000"/>
                <w:sz w:val="16"/>
                <w:szCs w:val="16"/>
              </w:rPr>
              <w:t>MGRT v sodelovanju z MZI, MF, SID banko in ostalimi deležniki</w:t>
            </w:r>
          </w:p>
        </w:tc>
      </w:tr>
      <w:tr w:rsidR="008C1AA2" w:rsidRPr="00BC2EE0" w14:paraId="17F2194D" w14:textId="77777777" w:rsidTr="006E6F8C">
        <w:tc>
          <w:tcPr>
            <w:tcW w:w="1608" w:type="dxa"/>
          </w:tcPr>
          <w:p w14:paraId="6D3957C0" w14:textId="77777777" w:rsidR="008C1AA2" w:rsidRPr="00BC2EE0" w:rsidRDefault="008C1AA2" w:rsidP="008C1AA2">
            <w:pPr>
              <w:autoSpaceDE w:val="0"/>
              <w:autoSpaceDN w:val="0"/>
              <w:adjustRightInd w:val="0"/>
              <w:jc w:val="both"/>
              <w:rPr>
                <w:rFonts w:ascii="Arial" w:hAnsi="Arial" w:cs="Arial"/>
                <w:sz w:val="16"/>
                <w:szCs w:val="16"/>
              </w:rPr>
            </w:pPr>
            <w:r w:rsidRPr="00BC2EE0">
              <w:rPr>
                <w:rFonts w:ascii="Arial" w:hAnsi="Arial" w:cs="Arial"/>
                <w:sz w:val="16"/>
                <w:szCs w:val="16"/>
              </w:rPr>
              <w:t>Spodbujanje inovativnih rešitev razvoja in uporabe naprednih digitalnih tehnologij v sklopu testnega laboratorija (sandbox-a)</w:t>
            </w:r>
          </w:p>
        </w:tc>
        <w:tc>
          <w:tcPr>
            <w:tcW w:w="1522" w:type="dxa"/>
          </w:tcPr>
          <w:p w14:paraId="4BE84B99" w14:textId="77777777" w:rsidR="008C1AA2" w:rsidRPr="008C1AA2" w:rsidRDefault="008C1AA2" w:rsidP="008C1AA2">
            <w:pPr>
              <w:rPr>
                <w:rFonts w:ascii="Arial" w:hAnsi="Arial" w:cs="Arial"/>
                <w:sz w:val="16"/>
                <w:szCs w:val="16"/>
              </w:rPr>
            </w:pPr>
            <w:r w:rsidRPr="008C1AA2">
              <w:rPr>
                <w:rFonts w:ascii="Arial" w:hAnsi="Arial" w:cs="Arial"/>
                <w:sz w:val="16"/>
                <w:szCs w:val="16"/>
              </w:rPr>
              <w:t>Število pilotnih rešitev v sklopu testnega laboratorija (sandboxa)</w:t>
            </w:r>
          </w:p>
        </w:tc>
        <w:tc>
          <w:tcPr>
            <w:tcW w:w="981" w:type="dxa"/>
          </w:tcPr>
          <w:p w14:paraId="29A90752" w14:textId="77777777" w:rsidR="008C1AA2" w:rsidRPr="008C1AA2" w:rsidRDefault="008C1AA2" w:rsidP="008C1AA2">
            <w:pPr>
              <w:rPr>
                <w:rFonts w:ascii="Arial" w:hAnsi="Arial" w:cs="Arial"/>
                <w:sz w:val="16"/>
                <w:szCs w:val="16"/>
              </w:rPr>
            </w:pPr>
            <w:r w:rsidRPr="008C1AA2">
              <w:rPr>
                <w:rFonts w:ascii="Arial" w:hAnsi="Arial" w:cs="Arial"/>
                <w:sz w:val="16"/>
                <w:szCs w:val="16"/>
              </w:rPr>
              <w:t>-</w:t>
            </w:r>
          </w:p>
        </w:tc>
        <w:tc>
          <w:tcPr>
            <w:tcW w:w="2263" w:type="dxa"/>
          </w:tcPr>
          <w:p w14:paraId="548AAD5A" w14:textId="77777777" w:rsidR="008C1AA2" w:rsidRPr="008C1AA2" w:rsidRDefault="008C1AA2" w:rsidP="008C1AA2">
            <w:pPr>
              <w:rPr>
                <w:rFonts w:ascii="Arial" w:hAnsi="Arial" w:cs="Arial"/>
                <w:sz w:val="16"/>
                <w:szCs w:val="16"/>
              </w:rPr>
            </w:pPr>
            <w:r w:rsidRPr="008C1AA2">
              <w:rPr>
                <w:rFonts w:ascii="Arial" w:hAnsi="Arial" w:cs="Arial"/>
                <w:sz w:val="16"/>
                <w:szCs w:val="16"/>
              </w:rPr>
              <w:t>Do leta 2022 vsaj 2 pilotni rešitvi v okviru testnega laboratorija</w:t>
            </w:r>
          </w:p>
        </w:tc>
        <w:tc>
          <w:tcPr>
            <w:tcW w:w="1178" w:type="dxa"/>
          </w:tcPr>
          <w:p w14:paraId="67294A5B" w14:textId="77777777" w:rsidR="008C1AA2" w:rsidRPr="008C1AA2" w:rsidRDefault="008C1AA2" w:rsidP="008C1AA2">
            <w:pPr>
              <w:rPr>
                <w:rFonts w:ascii="Arial" w:hAnsi="Arial" w:cs="Arial"/>
                <w:sz w:val="16"/>
                <w:szCs w:val="16"/>
              </w:rPr>
            </w:pPr>
            <w:r w:rsidRPr="008C1AA2">
              <w:rPr>
                <w:rFonts w:ascii="Arial" w:hAnsi="Arial" w:cs="Arial"/>
                <w:sz w:val="16"/>
                <w:szCs w:val="16"/>
              </w:rPr>
              <w:t>Q4 2022</w:t>
            </w:r>
          </w:p>
        </w:tc>
        <w:tc>
          <w:tcPr>
            <w:tcW w:w="1491" w:type="dxa"/>
          </w:tcPr>
          <w:p w14:paraId="36167E25" w14:textId="77777777" w:rsidR="008C1AA2" w:rsidRPr="008C1AA2" w:rsidRDefault="008C1AA2" w:rsidP="008C1AA2">
            <w:pPr>
              <w:rPr>
                <w:rFonts w:ascii="Arial" w:hAnsi="Arial" w:cs="Arial"/>
                <w:sz w:val="16"/>
                <w:szCs w:val="16"/>
              </w:rPr>
            </w:pPr>
            <w:r w:rsidRPr="008C1AA2">
              <w:rPr>
                <w:rFonts w:ascii="Arial" w:hAnsi="Arial" w:cs="Arial"/>
                <w:sz w:val="16"/>
                <w:szCs w:val="16"/>
              </w:rPr>
              <w:t>MGRT v sodelovanju z MZI, regulatorji in deležniki na trgu</w:t>
            </w:r>
          </w:p>
        </w:tc>
      </w:tr>
    </w:tbl>
    <w:p w14:paraId="3DC159DE" w14:textId="77777777" w:rsidR="00BC2EE0" w:rsidRDefault="00BC2EE0" w:rsidP="00BC1259">
      <w:pPr>
        <w:rPr>
          <w:rFonts w:ascii="Arial" w:eastAsia="Calibri" w:hAnsi="Arial" w:cs="Times New Roman"/>
          <w:sz w:val="20"/>
          <w:szCs w:val="20"/>
        </w:rPr>
      </w:pPr>
    </w:p>
    <w:p w14:paraId="3DA16AA5" w14:textId="77777777" w:rsidR="00BC2EE0" w:rsidRDefault="00BC2EE0" w:rsidP="00BC1259">
      <w:pPr>
        <w:rPr>
          <w:rFonts w:ascii="Arial" w:eastAsia="Calibri" w:hAnsi="Arial" w:cs="Times New Roman"/>
          <w:sz w:val="20"/>
          <w:szCs w:val="20"/>
        </w:rPr>
      </w:pPr>
    </w:p>
    <w:p w14:paraId="74852357" w14:textId="77777777" w:rsidR="00B2774C" w:rsidRDefault="00BC2EE0" w:rsidP="00BC1259">
      <w:pPr>
        <w:rPr>
          <w:rFonts w:ascii="Arial" w:eastAsia="Calibri" w:hAnsi="Arial" w:cs="Times New Roman"/>
          <w:sz w:val="20"/>
          <w:szCs w:val="20"/>
        </w:rPr>
      </w:pPr>
      <w:r>
        <w:rPr>
          <w:rFonts w:ascii="Arial" w:eastAsia="Calibri" w:hAnsi="Arial" w:cs="Times New Roman"/>
          <w:sz w:val="20"/>
          <w:szCs w:val="20"/>
        </w:rPr>
        <w:t xml:space="preserve">Priloga 3: </w:t>
      </w:r>
      <w:r w:rsidRPr="00BC2EE0">
        <w:rPr>
          <w:rFonts w:ascii="Arial" w:eastAsia="Calibri" w:hAnsi="Arial" w:cs="Times New Roman"/>
          <w:sz w:val="20"/>
          <w:szCs w:val="20"/>
        </w:rPr>
        <w:t>Akcijski načrt uvedbe in uporabe digitalizacije v gradbeništvu</w:t>
      </w:r>
      <w:r w:rsidR="00B2774C">
        <w:rPr>
          <w:rFonts w:ascii="Arial" w:eastAsia="Calibri" w:hAnsi="Arial" w:cs="Times New Roman"/>
          <w:sz w:val="20"/>
          <w:szCs w:val="20"/>
        </w:rPr>
        <w:t xml:space="preserve">: </w:t>
      </w:r>
    </w:p>
    <w:tbl>
      <w:tblPr>
        <w:tblStyle w:val="Tabelamrea1"/>
        <w:tblW w:w="0" w:type="auto"/>
        <w:tblLook w:val="04A0" w:firstRow="1" w:lastRow="0" w:firstColumn="1" w:lastColumn="0" w:noHBand="0" w:noVBand="1"/>
      </w:tblPr>
      <w:tblGrid>
        <w:gridCol w:w="1608"/>
        <w:gridCol w:w="1522"/>
        <w:gridCol w:w="981"/>
        <w:gridCol w:w="2263"/>
        <w:gridCol w:w="1178"/>
        <w:gridCol w:w="1491"/>
      </w:tblGrid>
      <w:tr w:rsidR="009A367F" w:rsidRPr="009A367F" w14:paraId="410F34CD" w14:textId="77777777" w:rsidTr="00222A37">
        <w:trPr>
          <w:tblHeader/>
        </w:trPr>
        <w:tc>
          <w:tcPr>
            <w:tcW w:w="1608" w:type="dxa"/>
          </w:tcPr>
          <w:p w14:paraId="32A9B3EC" w14:textId="77777777" w:rsidR="009A367F" w:rsidRPr="009A367F" w:rsidRDefault="009A367F" w:rsidP="006E6F8C">
            <w:pPr>
              <w:autoSpaceDE w:val="0"/>
              <w:autoSpaceDN w:val="0"/>
              <w:adjustRightInd w:val="0"/>
              <w:jc w:val="both"/>
              <w:rPr>
                <w:rFonts w:ascii="Arial" w:hAnsi="Arial" w:cs="Arial"/>
                <w:color w:val="000000"/>
                <w:sz w:val="16"/>
                <w:szCs w:val="16"/>
              </w:rPr>
            </w:pPr>
            <w:r w:rsidRPr="009A367F">
              <w:rPr>
                <w:rFonts w:ascii="Arial" w:hAnsi="Arial" w:cs="Arial"/>
                <w:color w:val="000000"/>
                <w:sz w:val="16"/>
                <w:szCs w:val="16"/>
              </w:rPr>
              <w:t>Strateška usmeritev</w:t>
            </w:r>
          </w:p>
        </w:tc>
        <w:tc>
          <w:tcPr>
            <w:tcW w:w="1522" w:type="dxa"/>
          </w:tcPr>
          <w:p w14:paraId="33682D31" w14:textId="77777777" w:rsidR="009A367F" w:rsidRPr="009A367F" w:rsidRDefault="009A367F" w:rsidP="006E6F8C">
            <w:pPr>
              <w:autoSpaceDE w:val="0"/>
              <w:autoSpaceDN w:val="0"/>
              <w:adjustRightInd w:val="0"/>
              <w:jc w:val="both"/>
              <w:rPr>
                <w:rFonts w:ascii="Arial" w:hAnsi="Arial" w:cs="Arial"/>
                <w:color w:val="000000"/>
                <w:sz w:val="16"/>
                <w:szCs w:val="16"/>
              </w:rPr>
            </w:pPr>
            <w:r w:rsidRPr="009A367F">
              <w:rPr>
                <w:rFonts w:ascii="Arial" w:hAnsi="Arial" w:cs="Arial"/>
                <w:color w:val="000000"/>
                <w:sz w:val="16"/>
                <w:szCs w:val="16"/>
              </w:rPr>
              <w:t>Kazalnik /vir/ izhodiščna vrednost</w:t>
            </w:r>
          </w:p>
        </w:tc>
        <w:tc>
          <w:tcPr>
            <w:tcW w:w="981" w:type="dxa"/>
          </w:tcPr>
          <w:p w14:paraId="3E9A7D14" w14:textId="77777777" w:rsidR="009A367F" w:rsidRPr="009A367F" w:rsidRDefault="009A367F" w:rsidP="006E6F8C">
            <w:pPr>
              <w:autoSpaceDE w:val="0"/>
              <w:autoSpaceDN w:val="0"/>
              <w:adjustRightInd w:val="0"/>
              <w:jc w:val="both"/>
              <w:rPr>
                <w:rFonts w:ascii="Arial" w:hAnsi="Arial" w:cs="Arial"/>
                <w:color w:val="000000"/>
                <w:sz w:val="16"/>
                <w:szCs w:val="16"/>
              </w:rPr>
            </w:pPr>
            <w:r w:rsidRPr="009A367F">
              <w:rPr>
                <w:rFonts w:ascii="Arial" w:hAnsi="Arial" w:cs="Arial"/>
                <w:color w:val="000000"/>
                <w:sz w:val="16"/>
                <w:szCs w:val="16"/>
              </w:rPr>
              <w:t>Izhodiščna vrednost (leto)</w:t>
            </w:r>
          </w:p>
        </w:tc>
        <w:tc>
          <w:tcPr>
            <w:tcW w:w="2263" w:type="dxa"/>
          </w:tcPr>
          <w:p w14:paraId="47BD3EA8" w14:textId="77777777" w:rsidR="009A367F" w:rsidRPr="009A367F" w:rsidRDefault="009A367F" w:rsidP="006E6F8C">
            <w:pPr>
              <w:autoSpaceDE w:val="0"/>
              <w:autoSpaceDN w:val="0"/>
              <w:adjustRightInd w:val="0"/>
              <w:jc w:val="both"/>
              <w:rPr>
                <w:rFonts w:ascii="Arial" w:hAnsi="Arial" w:cs="Arial"/>
                <w:color w:val="000000"/>
                <w:sz w:val="16"/>
                <w:szCs w:val="16"/>
              </w:rPr>
            </w:pPr>
            <w:r w:rsidRPr="009A367F">
              <w:rPr>
                <w:rFonts w:ascii="Arial" w:hAnsi="Arial" w:cs="Arial"/>
                <w:color w:val="000000"/>
                <w:sz w:val="16"/>
                <w:szCs w:val="16"/>
              </w:rPr>
              <w:t>Cilj (opisno in ciljna vrednost)</w:t>
            </w:r>
          </w:p>
        </w:tc>
        <w:tc>
          <w:tcPr>
            <w:tcW w:w="1178" w:type="dxa"/>
          </w:tcPr>
          <w:p w14:paraId="42199D6E" w14:textId="77777777" w:rsidR="009A367F" w:rsidRPr="009A367F" w:rsidRDefault="009A367F" w:rsidP="006E6F8C">
            <w:pPr>
              <w:autoSpaceDE w:val="0"/>
              <w:autoSpaceDN w:val="0"/>
              <w:adjustRightInd w:val="0"/>
              <w:jc w:val="both"/>
              <w:rPr>
                <w:rFonts w:ascii="Arial" w:hAnsi="Arial" w:cs="Arial"/>
                <w:color w:val="000000"/>
                <w:sz w:val="16"/>
                <w:szCs w:val="16"/>
              </w:rPr>
            </w:pPr>
            <w:r w:rsidRPr="009A367F">
              <w:rPr>
                <w:rFonts w:ascii="Arial" w:hAnsi="Arial" w:cs="Arial"/>
                <w:color w:val="000000"/>
                <w:sz w:val="16"/>
                <w:szCs w:val="16"/>
              </w:rPr>
              <w:t xml:space="preserve">Časovnica </w:t>
            </w:r>
          </w:p>
        </w:tc>
        <w:tc>
          <w:tcPr>
            <w:tcW w:w="1491" w:type="dxa"/>
          </w:tcPr>
          <w:p w14:paraId="6BB95C1A" w14:textId="77777777" w:rsidR="009A367F" w:rsidRPr="009A367F" w:rsidRDefault="009A367F" w:rsidP="006E6F8C">
            <w:pPr>
              <w:autoSpaceDE w:val="0"/>
              <w:autoSpaceDN w:val="0"/>
              <w:adjustRightInd w:val="0"/>
              <w:jc w:val="both"/>
              <w:rPr>
                <w:rFonts w:ascii="Arial" w:hAnsi="Arial" w:cs="Arial"/>
                <w:color w:val="000000"/>
                <w:sz w:val="16"/>
                <w:szCs w:val="16"/>
              </w:rPr>
            </w:pPr>
            <w:r w:rsidRPr="009A367F">
              <w:rPr>
                <w:rFonts w:ascii="Arial" w:hAnsi="Arial" w:cs="Arial"/>
                <w:color w:val="000000"/>
                <w:sz w:val="16"/>
                <w:szCs w:val="16"/>
              </w:rPr>
              <w:t>Odgovorni organ/sodelujoči deležniki</w:t>
            </w:r>
          </w:p>
        </w:tc>
      </w:tr>
      <w:tr w:rsidR="009A367F" w:rsidRPr="009A367F" w14:paraId="743C39AC" w14:textId="77777777" w:rsidTr="006E6F8C">
        <w:tc>
          <w:tcPr>
            <w:tcW w:w="1608" w:type="dxa"/>
          </w:tcPr>
          <w:p w14:paraId="7F6970EA" w14:textId="77777777" w:rsidR="009A367F" w:rsidRPr="009A367F" w:rsidRDefault="009A367F" w:rsidP="009A367F">
            <w:pPr>
              <w:autoSpaceDE w:val="0"/>
              <w:autoSpaceDN w:val="0"/>
              <w:adjustRightInd w:val="0"/>
              <w:rPr>
                <w:rFonts w:ascii="Arial" w:hAnsi="Arial" w:cs="Arial"/>
                <w:color w:val="000000"/>
                <w:sz w:val="16"/>
                <w:szCs w:val="16"/>
              </w:rPr>
            </w:pPr>
            <w:r w:rsidRPr="009A367F">
              <w:rPr>
                <w:rFonts w:ascii="Arial" w:hAnsi="Arial" w:cs="Arial"/>
                <w:sz w:val="16"/>
                <w:szCs w:val="16"/>
              </w:rPr>
              <w:t>Spodbujanje podjetij v gradbeni verigi vrednosti k digitalizaciji postopkov, procesov in izvedbe del z uporabo napredne digitalne tehnologije z namenom povečanja snovne in energetske učinkovitosti</w:t>
            </w:r>
          </w:p>
        </w:tc>
        <w:tc>
          <w:tcPr>
            <w:tcW w:w="1522" w:type="dxa"/>
          </w:tcPr>
          <w:p w14:paraId="0B1DB60D" w14:textId="77777777" w:rsidR="009A367F" w:rsidRPr="009A367F" w:rsidRDefault="009A367F" w:rsidP="009A367F">
            <w:pPr>
              <w:autoSpaceDE w:val="0"/>
              <w:autoSpaceDN w:val="0"/>
              <w:adjustRightInd w:val="0"/>
              <w:rPr>
                <w:rFonts w:ascii="Arial" w:hAnsi="Arial" w:cs="Arial"/>
                <w:color w:val="000000"/>
                <w:sz w:val="16"/>
                <w:szCs w:val="16"/>
              </w:rPr>
            </w:pPr>
            <w:r>
              <w:rPr>
                <w:rFonts w:ascii="Arial" w:hAnsi="Arial" w:cs="Arial"/>
                <w:color w:val="000000"/>
                <w:sz w:val="16"/>
                <w:szCs w:val="16"/>
              </w:rPr>
              <w:t>Število podjetij, ki uporablja metodo BIM v kombinaciji z naprednimi digitalnimi tehnologijami</w:t>
            </w:r>
          </w:p>
        </w:tc>
        <w:tc>
          <w:tcPr>
            <w:tcW w:w="981" w:type="dxa"/>
          </w:tcPr>
          <w:p w14:paraId="0DDDB9B6" w14:textId="77777777" w:rsidR="009A367F" w:rsidRPr="009A367F" w:rsidRDefault="009A367F" w:rsidP="006E6F8C">
            <w:pPr>
              <w:autoSpaceDE w:val="0"/>
              <w:autoSpaceDN w:val="0"/>
              <w:adjustRightInd w:val="0"/>
              <w:jc w:val="both"/>
              <w:rPr>
                <w:rFonts w:ascii="Arial" w:hAnsi="Arial" w:cs="Arial"/>
                <w:color w:val="000000"/>
                <w:sz w:val="16"/>
                <w:szCs w:val="16"/>
              </w:rPr>
            </w:pPr>
            <w:r>
              <w:rPr>
                <w:rFonts w:ascii="Arial" w:hAnsi="Arial" w:cs="Arial"/>
                <w:color w:val="000000"/>
                <w:sz w:val="16"/>
                <w:szCs w:val="16"/>
              </w:rPr>
              <w:t>-</w:t>
            </w:r>
          </w:p>
        </w:tc>
        <w:tc>
          <w:tcPr>
            <w:tcW w:w="2263" w:type="dxa"/>
          </w:tcPr>
          <w:p w14:paraId="0E2A3C4F" w14:textId="77777777" w:rsidR="009A367F" w:rsidRPr="009A367F" w:rsidRDefault="009A367F" w:rsidP="009A367F">
            <w:pPr>
              <w:autoSpaceDE w:val="0"/>
              <w:autoSpaceDN w:val="0"/>
              <w:adjustRightInd w:val="0"/>
              <w:rPr>
                <w:rFonts w:ascii="Arial" w:hAnsi="Arial" w:cs="Arial"/>
                <w:color w:val="000000"/>
                <w:sz w:val="16"/>
                <w:szCs w:val="16"/>
              </w:rPr>
            </w:pPr>
            <w:r w:rsidRPr="009A367F">
              <w:rPr>
                <w:rFonts w:ascii="Arial" w:hAnsi="Arial" w:cs="Arial"/>
                <w:color w:val="000000"/>
                <w:sz w:val="16"/>
                <w:szCs w:val="16"/>
              </w:rPr>
              <w:t>Do leta 2030 vsaj 50% podjetij iz verige vrednosti v gradbenem sektorju, ki uporablja BIM metodo v kombinaciji z naprednimi digitalnimi tehnologijami</w:t>
            </w:r>
          </w:p>
        </w:tc>
        <w:tc>
          <w:tcPr>
            <w:tcW w:w="1178" w:type="dxa"/>
          </w:tcPr>
          <w:p w14:paraId="0558573A" w14:textId="77777777" w:rsidR="009A367F" w:rsidRPr="009A367F" w:rsidRDefault="009A367F" w:rsidP="006E6F8C">
            <w:pPr>
              <w:autoSpaceDE w:val="0"/>
              <w:autoSpaceDN w:val="0"/>
              <w:adjustRightInd w:val="0"/>
              <w:jc w:val="both"/>
              <w:rPr>
                <w:rFonts w:ascii="Arial" w:hAnsi="Arial" w:cs="Arial"/>
                <w:color w:val="000000"/>
                <w:sz w:val="16"/>
                <w:szCs w:val="16"/>
              </w:rPr>
            </w:pPr>
            <w:r>
              <w:rPr>
                <w:rFonts w:ascii="Arial" w:hAnsi="Arial" w:cs="Arial"/>
                <w:color w:val="000000"/>
                <w:sz w:val="16"/>
                <w:szCs w:val="16"/>
              </w:rPr>
              <w:t>2030</w:t>
            </w:r>
          </w:p>
        </w:tc>
        <w:tc>
          <w:tcPr>
            <w:tcW w:w="1491" w:type="dxa"/>
          </w:tcPr>
          <w:p w14:paraId="29170C36" w14:textId="77777777" w:rsidR="009A367F" w:rsidRPr="009A367F" w:rsidRDefault="009A367F" w:rsidP="009A367F">
            <w:pPr>
              <w:autoSpaceDE w:val="0"/>
              <w:autoSpaceDN w:val="0"/>
              <w:adjustRightInd w:val="0"/>
              <w:rPr>
                <w:rFonts w:ascii="Arial" w:hAnsi="Arial" w:cs="Arial"/>
                <w:color w:val="000000"/>
                <w:sz w:val="16"/>
                <w:szCs w:val="16"/>
              </w:rPr>
            </w:pPr>
            <w:r w:rsidRPr="009A367F">
              <w:rPr>
                <w:rFonts w:ascii="Arial" w:hAnsi="Arial" w:cs="Arial"/>
                <w:color w:val="000000"/>
                <w:sz w:val="16"/>
                <w:szCs w:val="16"/>
              </w:rPr>
              <w:t>MGRT v sodelovanju z MZI,</w:t>
            </w:r>
            <w:r>
              <w:rPr>
                <w:rFonts w:ascii="Arial" w:hAnsi="Arial" w:cs="Arial"/>
                <w:color w:val="000000"/>
                <w:sz w:val="16"/>
                <w:szCs w:val="16"/>
              </w:rPr>
              <w:t xml:space="preserve"> MOP,</w:t>
            </w:r>
            <w:r w:rsidRPr="009A367F">
              <w:rPr>
                <w:rFonts w:ascii="Arial" w:hAnsi="Arial" w:cs="Arial"/>
                <w:color w:val="000000"/>
                <w:sz w:val="16"/>
                <w:szCs w:val="16"/>
              </w:rPr>
              <w:t xml:space="preserve"> regulatorji in deležniki na trgu</w:t>
            </w:r>
          </w:p>
        </w:tc>
      </w:tr>
      <w:tr w:rsidR="009A367F" w:rsidRPr="009A367F" w14:paraId="65A0475F" w14:textId="77777777" w:rsidTr="006E6F8C">
        <w:tc>
          <w:tcPr>
            <w:tcW w:w="1608" w:type="dxa"/>
          </w:tcPr>
          <w:p w14:paraId="457D7551" w14:textId="77777777" w:rsidR="009A367F" w:rsidRPr="009A367F" w:rsidRDefault="009A367F" w:rsidP="009A367F">
            <w:pPr>
              <w:jc w:val="both"/>
              <w:rPr>
                <w:rFonts w:ascii="Arial" w:hAnsi="Arial" w:cs="Arial"/>
                <w:sz w:val="16"/>
                <w:szCs w:val="16"/>
              </w:rPr>
            </w:pPr>
            <w:r w:rsidRPr="009A367F">
              <w:rPr>
                <w:rFonts w:ascii="Arial" w:hAnsi="Arial" w:cs="Arial"/>
                <w:sz w:val="16"/>
                <w:szCs w:val="16"/>
              </w:rPr>
              <w:t>Spodbujanje krožnega gradbeništva z implementacijo BIM tehnologije in njeno konvergenco z naprednimi digitalnimi tehnologijami, ob hkratnem uvajanju novi modelov (npr. Bauhaus)</w:t>
            </w:r>
          </w:p>
          <w:p w14:paraId="790A8BC0" w14:textId="77777777" w:rsidR="009A367F" w:rsidRPr="009A367F" w:rsidRDefault="009A367F" w:rsidP="006E6F8C">
            <w:pPr>
              <w:autoSpaceDE w:val="0"/>
              <w:autoSpaceDN w:val="0"/>
              <w:adjustRightInd w:val="0"/>
              <w:jc w:val="both"/>
              <w:rPr>
                <w:rFonts w:ascii="Arial" w:hAnsi="Arial" w:cs="Arial"/>
                <w:sz w:val="16"/>
                <w:szCs w:val="16"/>
              </w:rPr>
            </w:pPr>
          </w:p>
        </w:tc>
        <w:tc>
          <w:tcPr>
            <w:tcW w:w="1522" w:type="dxa"/>
          </w:tcPr>
          <w:p w14:paraId="24A03119" w14:textId="77777777" w:rsidR="009A367F" w:rsidRPr="009A367F" w:rsidRDefault="009A367F" w:rsidP="009A367F">
            <w:pPr>
              <w:autoSpaceDE w:val="0"/>
              <w:autoSpaceDN w:val="0"/>
              <w:adjustRightInd w:val="0"/>
              <w:rPr>
                <w:rFonts w:ascii="Arial" w:hAnsi="Arial" w:cs="Arial"/>
                <w:color w:val="000000"/>
                <w:sz w:val="16"/>
                <w:szCs w:val="16"/>
              </w:rPr>
            </w:pPr>
            <w:r>
              <w:rPr>
                <w:rFonts w:ascii="Arial" w:hAnsi="Arial" w:cs="Arial"/>
                <w:color w:val="000000"/>
                <w:sz w:val="16"/>
                <w:szCs w:val="16"/>
              </w:rPr>
              <w:t>Število podjetij, vključenih v platformo</w:t>
            </w:r>
          </w:p>
        </w:tc>
        <w:tc>
          <w:tcPr>
            <w:tcW w:w="981" w:type="dxa"/>
          </w:tcPr>
          <w:p w14:paraId="308858BC" w14:textId="77777777" w:rsidR="009A367F" w:rsidRPr="009A367F" w:rsidRDefault="009A367F" w:rsidP="006E6F8C">
            <w:pPr>
              <w:autoSpaceDE w:val="0"/>
              <w:autoSpaceDN w:val="0"/>
              <w:adjustRightInd w:val="0"/>
              <w:jc w:val="both"/>
              <w:rPr>
                <w:rFonts w:ascii="Arial" w:hAnsi="Arial" w:cs="Arial"/>
                <w:color w:val="000000"/>
                <w:sz w:val="16"/>
                <w:szCs w:val="16"/>
              </w:rPr>
            </w:pPr>
            <w:r>
              <w:rPr>
                <w:rFonts w:ascii="Arial" w:hAnsi="Arial" w:cs="Arial"/>
                <w:color w:val="000000"/>
                <w:sz w:val="16"/>
                <w:szCs w:val="16"/>
              </w:rPr>
              <w:t>-</w:t>
            </w:r>
          </w:p>
        </w:tc>
        <w:tc>
          <w:tcPr>
            <w:tcW w:w="2263" w:type="dxa"/>
          </w:tcPr>
          <w:p w14:paraId="79C0F72A" w14:textId="77777777" w:rsidR="009A367F" w:rsidRPr="009A367F" w:rsidRDefault="009A367F" w:rsidP="009A367F">
            <w:pPr>
              <w:autoSpaceDE w:val="0"/>
              <w:autoSpaceDN w:val="0"/>
              <w:adjustRightInd w:val="0"/>
              <w:rPr>
                <w:rFonts w:ascii="Arial" w:hAnsi="Arial" w:cs="Arial"/>
                <w:color w:val="000000"/>
                <w:sz w:val="16"/>
                <w:szCs w:val="16"/>
              </w:rPr>
            </w:pPr>
            <w:r w:rsidRPr="009A367F">
              <w:rPr>
                <w:rFonts w:ascii="Arial" w:hAnsi="Arial" w:cs="Arial"/>
                <w:color w:val="000000"/>
                <w:sz w:val="16"/>
                <w:szCs w:val="16"/>
              </w:rPr>
              <w:t>Do leta 2025 vsaj 50% podjetij vklučenih v platformo z namenom uporabe storitve hibridnega oblaka</w:t>
            </w:r>
          </w:p>
        </w:tc>
        <w:tc>
          <w:tcPr>
            <w:tcW w:w="1178" w:type="dxa"/>
          </w:tcPr>
          <w:p w14:paraId="7AD70269" w14:textId="77777777" w:rsidR="009A367F" w:rsidRPr="009A367F" w:rsidRDefault="009A367F" w:rsidP="006E6F8C">
            <w:pPr>
              <w:autoSpaceDE w:val="0"/>
              <w:autoSpaceDN w:val="0"/>
              <w:adjustRightInd w:val="0"/>
              <w:jc w:val="both"/>
              <w:rPr>
                <w:rFonts w:ascii="Arial" w:hAnsi="Arial" w:cs="Arial"/>
                <w:color w:val="000000"/>
                <w:sz w:val="16"/>
                <w:szCs w:val="16"/>
              </w:rPr>
            </w:pPr>
            <w:r>
              <w:rPr>
                <w:rFonts w:ascii="Arial" w:hAnsi="Arial" w:cs="Arial"/>
                <w:color w:val="000000"/>
                <w:sz w:val="16"/>
                <w:szCs w:val="16"/>
              </w:rPr>
              <w:t>2025</w:t>
            </w:r>
          </w:p>
        </w:tc>
        <w:tc>
          <w:tcPr>
            <w:tcW w:w="1491" w:type="dxa"/>
          </w:tcPr>
          <w:p w14:paraId="25847599" w14:textId="77777777" w:rsidR="009A367F" w:rsidRPr="009A367F" w:rsidRDefault="009A367F" w:rsidP="009A367F">
            <w:pPr>
              <w:autoSpaceDE w:val="0"/>
              <w:autoSpaceDN w:val="0"/>
              <w:adjustRightInd w:val="0"/>
              <w:rPr>
                <w:rFonts w:ascii="Arial" w:hAnsi="Arial" w:cs="Arial"/>
                <w:color w:val="000000"/>
                <w:sz w:val="16"/>
                <w:szCs w:val="16"/>
              </w:rPr>
            </w:pPr>
            <w:r w:rsidRPr="009A367F">
              <w:rPr>
                <w:rFonts w:ascii="Arial" w:hAnsi="Arial" w:cs="Arial"/>
                <w:color w:val="000000"/>
                <w:sz w:val="16"/>
                <w:szCs w:val="16"/>
              </w:rPr>
              <w:t>MGRT v sodelovanju z MZI, MOP, regulatorji in deležniki na trgu</w:t>
            </w:r>
          </w:p>
        </w:tc>
      </w:tr>
      <w:tr w:rsidR="009A367F" w:rsidRPr="009A367F" w14:paraId="0D93FD58" w14:textId="77777777" w:rsidTr="006E6F8C">
        <w:tc>
          <w:tcPr>
            <w:tcW w:w="1608" w:type="dxa"/>
          </w:tcPr>
          <w:p w14:paraId="50DEEAB7" w14:textId="77777777" w:rsidR="009A367F" w:rsidRPr="009A367F" w:rsidRDefault="009A367F" w:rsidP="009A367F">
            <w:pPr>
              <w:autoSpaceDE w:val="0"/>
              <w:autoSpaceDN w:val="0"/>
              <w:adjustRightInd w:val="0"/>
              <w:rPr>
                <w:rFonts w:ascii="Arial" w:hAnsi="Arial" w:cs="Arial"/>
                <w:sz w:val="16"/>
                <w:szCs w:val="16"/>
              </w:rPr>
            </w:pPr>
            <w:r w:rsidRPr="009A367F">
              <w:rPr>
                <w:rFonts w:ascii="Arial" w:hAnsi="Arial" w:cs="Arial"/>
                <w:sz w:val="16"/>
                <w:szCs w:val="16"/>
              </w:rPr>
              <w:t>Spodbujanje uporabe tehnologij za sledenje podatkom, procesom in materialom za doseganje večje snovne in energetske učinkovitosti z uporabo digitalnega potnega lista materialov</w:t>
            </w:r>
          </w:p>
        </w:tc>
        <w:tc>
          <w:tcPr>
            <w:tcW w:w="1522" w:type="dxa"/>
          </w:tcPr>
          <w:p w14:paraId="12DF5B34" w14:textId="77777777" w:rsidR="009A367F" w:rsidRPr="009A367F" w:rsidRDefault="009A367F" w:rsidP="006E6F8C">
            <w:pPr>
              <w:autoSpaceDE w:val="0"/>
              <w:autoSpaceDN w:val="0"/>
              <w:adjustRightInd w:val="0"/>
              <w:jc w:val="both"/>
              <w:rPr>
                <w:rFonts w:ascii="Arial" w:hAnsi="Arial" w:cs="Arial"/>
                <w:color w:val="000000"/>
                <w:sz w:val="16"/>
                <w:szCs w:val="16"/>
              </w:rPr>
            </w:pPr>
            <w:r>
              <w:rPr>
                <w:rFonts w:ascii="Arial" w:hAnsi="Arial" w:cs="Arial"/>
                <w:color w:val="000000"/>
                <w:sz w:val="16"/>
                <w:szCs w:val="16"/>
              </w:rPr>
              <w:t>Število podjetij z digitalnim potnim listom za sledenje materialom</w:t>
            </w:r>
          </w:p>
        </w:tc>
        <w:tc>
          <w:tcPr>
            <w:tcW w:w="981" w:type="dxa"/>
          </w:tcPr>
          <w:p w14:paraId="1DBAA2E0" w14:textId="77777777" w:rsidR="009A367F" w:rsidRPr="009A367F" w:rsidRDefault="009A367F" w:rsidP="006E6F8C">
            <w:pPr>
              <w:autoSpaceDE w:val="0"/>
              <w:autoSpaceDN w:val="0"/>
              <w:adjustRightInd w:val="0"/>
              <w:jc w:val="both"/>
              <w:rPr>
                <w:rFonts w:ascii="Arial" w:hAnsi="Arial" w:cs="Arial"/>
                <w:color w:val="000000"/>
                <w:sz w:val="16"/>
                <w:szCs w:val="16"/>
              </w:rPr>
            </w:pPr>
            <w:r>
              <w:rPr>
                <w:rFonts w:ascii="Arial" w:hAnsi="Arial" w:cs="Arial"/>
                <w:color w:val="000000"/>
                <w:sz w:val="16"/>
                <w:szCs w:val="16"/>
              </w:rPr>
              <w:t>-</w:t>
            </w:r>
          </w:p>
        </w:tc>
        <w:tc>
          <w:tcPr>
            <w:tcW w:w="2263" w:type="dxa"/>
          </w:tcPr>
          <w:p w14:paraId="1C071BB5" w14:textId="77777777" w:rsidR="009A367F" w:rsidRPr="009A367F" w:rsidRDefault="009A367F" w:rsidP="009A367F">
            <w:pPr>
              <w:autoSpaceDE w:val="0"/>
              <w:autoSpaceDN w:val="0"/>
              <w:adjustRightInd w:val="0"/>
              <w:rPr>
                <w:rFonts w:ascii="Arial" w:hAnsi="Arial" w:cs="Arial"/>
                <w:color w:val="000000"/>
                <w:sz w:val="16"/>
                <w:szCs w:val="16"/>
              </w:rPr>
            </w:pPr>
            <w:r w:rsidRPr="009A367F">
              <w:rPr>
                <w:rFonts w:ascii="Arial" w:hAnsi="Arial" w:cs="Arial"/>
                <w:color w:val="000000"/>
                <w:sz w:val="16"/>
                <w:szCs w:val="16"/>
              </w:rPr>
              <w:t>Do leta 2030 vsaj 50% podjetij iz verige vrednosti gradbenega sektorja, ki uporablja digitalni potni list</w:t>
            </w:r>
          </w:p>
        </w:tc>
        <w:tc>
          <w:tcPr>
            <w:tcW w:w="1178" w:type="dxa"/>
          </w:tcPr>
          <w:p w14:paraId="57BEA84C" w14:textId="77777777" w:rsidR="009A367F" w:rsidRPr="009A367F" w:rsidRDefault="009A367F" w:rsidP="006E6F8C">
            <w:pPr>
              <w:autoSpaceDE w:val="0"/>
              <w:autoSpaceDN w:val="0"/>
              <w:adjustRightInd w:val="0"/>
              <w:jc w:val="both"/>
              <w:rPr>
                <w:rFonts w:ascii="Arial" w:hAnsi="Arial" w:cs="Arial"/>
                <w:color w:val="000000"/>
                <w:sz w:val="16"/>
                <w:szCs w:val="16"/>
              </w:rPr>
            </w:pPr>
            <w:r w:rsidRPr="009A367F">
              <w:rPr>
                <w:rFonts w:ascii="Arial" w:hAnsi="Arial" w:cs="Arial"/>
                <w:color w:val="000000"/>
                <w:sz w:val="16"/>
                <w:szCs w:val="16"/>
              </w:rPr>
              <w:t>2030%</w:t>
            </w:r>
          </w:p>
        </w:tc>
        <w:tc>
          <w:tcPr>
            <w:tcW w:w="1491" w:type="dxa"/>
          </w:tcPr>
          <w:p w14:paraId="484B58A1" w14:textId="77777777" w:rsidR="009A367F" w:rsidRPr="009A367F" w:rsidRDefault="009A367F" w:rsidP="009A367F">
            <w:pPr>
              <w:autoSpaceDE w:val="0"/>
              <w:autoSpaceDN w:val="0"/>
              <w:adjustRightInd w:val="0"/>
              <w:rPr>
                <w:rFonts w:ascii="Arial" w:hAnsi="Arial" w:cs="Arial"/>
                <w:color w:val="000000"/>
                <w:sz w:val="16"/>
                <w:szCs w:val="16"/>
              </w:rPr>
            </w:pPr>
            <w:r w:rsidRPr="009A367F">
              <w:rPr>
                <w:rFonts w:ascii="Arial" w:hAnsi="Arial" w:cs="Arial"/>
                <w:color w:val="000000"/>
                <w:sz w:val="16"/>
                <w:szCs w:val="16"/>
              </w:rPr>
              <w:t>MGRT v sodelovanju z MZI, MOP, regulatorji in deležniki na trgu</w:t>
            </w:r>
          </w:p>
        </w:tc>
      </w:tr>
      <w:tr w:rsidR="009A367F" w:rsidRPr="009A367F" w14:paraId="387B65E1" w14:textId="77777777" w:rsidTr="006E6F8C">
        <w:tc>
          <w:tcPr>
            <w:tcW w:w="1608" w:type="dxa"/>
          </w:tcPr>
          <w:p w14:paraId="016ADF2E" w14:textId="77777777" w:rsidR="009A367F" w:rsidRPr="009A367F" w:rsidRDefault="009A367F" w:rsidP="009A367F">
            <w:pPr>
              <w:rPr>
                <w:rFonts w:ascii="Arial" w:hAnsi="Arial" w:cs="Arial"/>
                <w:sz w:val="16"/>
                <w:szCs w:val="16"/>
              </w:rPr>
            </w:pPr>
            <w:r w:rsidRPr="009A367F">
              <w:rPr>
                <w:rFonts w:ascii="Arial" w:hAnsi="Arial" w:cs="Arial"/>
                <w:sz w:val="16"/>
                <w:szCs w:val="16"/>
              </w:rPr>
              <w:t>Spodbujanje inovativnih rešitev razvoja in uporabe naprednih digitalnih tehnologij v sklopu testnega laboratorija (sandbox-a)</w:t>
            </w:r>
          </w:p>
          <w:p w14:paraId="7C00A2C0" w14:textId="77777777" w:rsidR="009A367F" w:rsidRPr="009A367F" w:rsidRDefault="009A367F" w:rsidP="009A367F">
            <w:pPr>
              <w:autoSpaceDE w:val="0"/>
              <w:autoSpaceDN w:val="0"/>
              <w:adjustRightInd w:val="0"/>
              <w:jc w:val="both"/>
              <w:rPr>
                <w:rFonts w:ascii="Arial" w:hAnsi="Arial" w:cs="Arial"/>
                <w:sz w:val="16"/>
                <w:szCs w:val="16"/>
              </w:rPr>
            </w:pPr>
          </w:p>
        </w:tc>
        <w:tc>
          <w:tcPr>
            <w:tcW w:w="1522" w:type="dxa"/>
          </w:tcPr>
          <w:p w14:paraId="3F70A50D" w14:textId="77777777" w:rsidR="009A367F" w:rsidRPr="009A367F" w:rsidRDefault="009A367F" w:rsidP="009A367F">
            <w:pPr>
              <w:rPr>
                <w:rFonts w:ascii="Arial" w:hAnsi="Arial" w:cs="Arial"/>
                <w:sz w:val="16"/>
                <w:szCs w:val="16"/>
              </w:rPr>
            </w:pPr>
            <w:r w:rsidRPr="009A367F">
              <w:rPr>
                <w:rFonts w:ascii="Arial" w:hAnsi="Arial" w:cs="Arial"/>
                <w:sz w:val="16"/>
                <w:szCs w:val="16"/>
              </w:rPr>
              <w:t>Število pilotnih rešitev v sklopu testnega laboratorija (sandboxa)</w:t>
            </w:r>
          </w:p>
        </w:tc>
        <w:tc>
          <w:tcPr>
            <w:tcW w:w="981" w:type="dxa"/>
          </w:tcPr>
          <w:p w14:paraId="5F78A821" w14:textId="77777777" w:rsidR="009A367F" w:rsidRPr="009A367F" w:rsidRDefault="009A367F" w:rsidP="009A367F">
            <w:pPr>
              <w:rPr>
                <w:rFonts w:ascii="Arial" w:hAnsi="Arial" w:cs="Arial"/>
                <w:sz w:val="16"/>
                <w:szCs w:val="16"/>
              </w:rPr>
            </w:pPr>
            <w:r w:rsidRPr="009A367F">
              <w:rPr>
                <w:rFonts w:ascii="Arial" w:hAnsi="Arial" w:cs="Arial"/>
                <w:sz w:val="16"/>
                <w:szCs w:val="16"/>
              </w:rPr>
              <w:t>-</w:t>
            </w:r>
          </w:p>
        </w:tc>
        <w:tc>
          <w:tcPr>
            <w:tcW w:w="2263" w:type="dxa"/>
          </w:tcPr>
          <w:p w14:paraId="32D6F3F9" w14:textId="77777777" w:rsidR="009A367F" w:rsidRPr="009A367F" w:rsidRDefault="009A367F" w:rsidP="009A367F">
            <w:pPr>
              <w:rPr>
                <w:rFonts w:ascii="Arial" w:hAnsi="Arial" w:cs="Arial"/>
                <w:sz w:val="16"/>
                <w:szCs w:val="16"/>
              </w:rPr>
            </w:pPr>
            <w:r w:rsidRPr="009A367F">
              <w:rPr>
                <w:rFonts w:ascii="Arial" w:hAnsi="Arial" w:cs="Arial"/>
                <w:sz w:val="16"/>
                <w:szCs w:val="16"/>
              </w:rPr>
              <w:t>Do leta 2022 vsaj 2 pilotni rešitvi v okviru testnega laboratorija</w:t>
            </w:r>
          </w:p>
        </w:tc>
        <w:tc>
          <w:tcPr>
            <w:tcW w:w="1178" w:type="dxa"/>
          </w:tcPr>
          <w:p w14:paraId="7B5A6634" w14:textId="77777777" w:rsidR="009A367F" w:rsidRPr="009A367F" w:rsidRDefault="009A367F" w:rsidP="009A367F">
            <w:pPr>
              <w:rPr>
                <w:rFonts w:ascii="Arial" w:hAnsi="Arial" w:cs="Arial"/>
                <w:sz w:val="16"/>
                <w:szCs w:val="16"/>
              </w:rPr>
            </w:pPr>
            <w:r w:rsidRPr="009A367F">
              <w:rPr>
                <w:rFonts w:ascii="Arial" w:hAnsi="Arial" w:cs="Arial"/>
                <w:sz w:val="16"/>
                <w:szCs w:val="16"/>
              </w:rPr>
              <w:t>Q4 2022</w:t>
            </w:r>
          </w:p>
        </w:tc>
        <w:tc>
          <w:tcPr>
            <w:tcW w:w="1491" w:type="dxa"/>
          </w:tcPr>
          <w:p w14:paraId="560FD56C" w14:textId="77777777" w:rsidR="009A367F" w:rsidRPr="009A367F" w:rsidRDefault="009A367F" w:rsidP="009A367F">
            <w:pPr>
              <w:rPr>
                <w:rFonts w:ascii="Arial" w:hAnsi="Arial" w:cs="Arial"/>
                <w:sz w:val="16"/>
                <w:szCs w:val="16"/>
              </w:rPr>
            </w:pPr>
            <w:r w:rsidRPr="009A367F">
              <w:rPr>
                <w:rFonts w:ascii="Arial" w:hAnsi="Arial" w:cs="Arial"/>
                <w:sz w:val="16"/>
                <w:szCs w:val="16"/>
              </w:rPr>
              <w:t>MGRT v sodelovanju z MZI, regulatorji in deležniki na trgu</w:t>
            </w:r>
          </w:p>
        </w:tc>
      </w:tr>
    </w:tbl>
    <w:p w14:paraId="710033D0" w14:textId="77777777" w:rsidR="00B2774C" w:rsidRDefault="00B2774C" w:rsidP="00B2774C">
      <w:pPr>
        <w:spacing w:after="0" w:line="240" w:lineRule="auto"/>
        <w:contextualSpacing/>
        <w:jc w:val="both"/>
        <w:rPr>
          <w:rFonts w:ascii="Arial" w:eastAsia="Calibri" w:hAnsi="Arial" w:cs="Arial"/>
          <w:sz w:val="20"/>
          <w:szCs w:val="20"/>
        </w:rPr>
      </w:pPr>
    </w:p>
    <w:p w14:paraId="2FD0B2EA" w14:textId="77777777" w:rsidR="00B2774C" w:rsidRDefault="00B2774C" w:rsidP="00B2774C">
      <w:pPr>
        <w:spacing w:after="0" w:line="240" w:lineRule="auto"/>
        <w:contextualSpacing/>
        <w:jc w:val="both"/>
        <w:rPr>
          <w:rFonts w:ascii="Arial" w:eastAsia="Calibri" w:hAnsi="Arial" w:cs="Arial"/>
          <w:sz w:val="20"/>
          <w:szCs w:val="20"/>
        </w:rPr>
      </w:pPr>
    </w:p>
    <w:p w14:paraId="746C9AB0" w14:textId="77777777" w:rsidR="00B2774C" w:rsidRDefault="00B2774C" w:rsidP="00B2774C">
      <w:pPr>
        <w:spacing w:after="0" w:line="240" w:lineRule="auto"/>
        <w:contextualSpacing/>
        <w:jc w:val="both"/>
        <w:rPr>
          <w:rFonts w:ascii="Arial" w:eastAsia="Calibri" w:hAnsi="Arial" w:cs="Arial"/>
          <w:sz w:val="20"/>
          <w:szCs w:val="20"/>
        </w:rPr>
      </w:pPr>
    </w:p>
    <w:p w14:paraId="0577506C" w14:textId="77777777" w:rsidR="00B2774C" w:rsidRDefault="00B2774C" w:rsidP="00B2774C">
      <w:pPr>
        <w:spacing w:after="0" w:line="240" w:lineRule="auto"/>
        <w:contextualSpacing/>
        <w:jc w:val="both"/>
        <w:rPr>
          <w:rFonts w:ascii="Arial" w:eastAsia="Calibri" w:hAnsi="Arial" w:cs="Arial"/>
          <w:sz w:val="20"/>
          <w:szCs w:val="20"/>
        </w:rPr>
      </w:pPr>
    </w:p>
    <w:p w14:paraId="4D54E3B9" w14:textId="77777777" w:rsidR="00B2774C" w:rsidRDefault="00B2774C" w:rsidP="00B2774C">
      <w:pPr>
        <w:spacing w:after="0" w:line="240" w:lineRule="auto"/>
        <w:contextualSpacing/>
        <w:jc w:val="both"/>
        <w:rPr>
          <w:rFonts w:ascii="Arial" w:eastAsia="Calibri" w:hAnsi="Arial" w:cs="Arial"/>
          <w:sz w:val="20"/>
          <w:szCs w:val="20"/>
        </w:rPr>
      </w:pPr>
    </w:p>
    <w:p w14:paraId="4CB11BA7" w14:textId="77777777" w:rsidR="00B2774C" w:rsidRDefault="00B2774C" w:rsidP="00B2774C">
      <w:pPr>
        <w:spacing w:after="0" w:line="240" w:lineRule="auto"/>
        <w:contextualSpacing/>
        <w:jc w:val="both"/>
        <w:rPr>
          <w:rFonts w:ascii="Arial" w:eastAsia="Calibri" w:hAnsi="Arial" w:cs="Arial"/>
          <w:sz w:val="20"/>
          <w:szCs w:val="20"/>
        </w:rPr>
      </w:pPr>
    </w:p>
    <w:p w14:paraId="417EC1A4" w14:textId="77777777" w:rsidR="00B2774C" w:rsidRDefault="00B2774C" w:rsidP="00B2774C">
      <w:pPr>
        <w:spacing w:after="0" w:line="240" w:lineRule="auto"/>
        <w:contextualSpacing/>
        <w:jc w:val="both"/>
        <w:rPr>
          <w:rFonts w:ascii="Arial" w:eastAsia="Calibri" w:hAnsi="Arial" w:cs="Arial"/>
          <w:sz w:val="20"/>
          <w:szCs w:val="20"/>
        </w:rPr>
      </w:pPr>
    </w:p>
    <w:p w14:paraId="36D7809A" w14:textId="77777777" w:rsidR="00B2774C" w:rsidRDefault="00B2774C" w:rsidP="00B2774C">
      <w:pPr>
        <w:spacing w:after="0" w:line="240" w:lineRule="auto"/>
        <w:contextualSpacing/>
        <w:jc w:val="both"/>
        <w:rPr>
          <w:rFonts w:ascii="Arial" w:eastAsia="Calibri" w:hAnsi="Arial" w:cs="Arial"/>
          <w:sz w:val="20"/>
          <w:szCs w:val="20"/>
        </w:rPr>
      </w:pPr>
    </w:p>
    <w:p w14:paraId="046D6D7D" w14:textId="77777777" w:rsidR="00B2774C" w:rsidRDefault="00B2774C" w:rsidP="00B2774C">
      <w:pPr>
        <w:spacing w:after="0" w:line="240" w:lineRule="auto"/>
        <w:contextualSpacing/>
        <w:jc w:val="both"/>
        <w:rPr>
          <w:rFonts w:ascii="Arial" w:eastAsia="Calibri" w:hAnsi="Arial" w:cs="Arial"/>
          <w:sz w:val="20"/>
          <w:szCs w:val="20"/>
        </w:rPr>
      </w:pPr>
    </w:p>
    <w:p w14:paraId="750E0A35" w14:textId="77777777" w:rsidR="00B2774C" w:rsidRDefault="00B2774C" w:rsidP="00B2774C">
      <w:pPr>
        <w:spacing w:after="0" w:line="240" w:lineRule="auto"/>
        <w:contextualSpacing/>
        <w:jc w:val="both"/>
        <w:rPr>
          <w:rFonts w:ascii="Arial" w:eastAsia="Calibri" w:hAnsi="Arial" w:cs="Arial"/>
          <w:sz w:val="20"/>
          <w:szCs w:val="20"/>
        </w:rPr>
      </w:pPr>
    </w:p>
    <w:p w14:paraId="36AA7D21" w14:textId="77777777" w:rsidR="00B2774C" w:rsidRDefault="00B2774C" w:rsidP="00B2774C">
      <w:pPr>
        <w:spacing w:after="0" w:line="240" w:lineRule="auto"/>
        <w:contextualSpacing/>
        <w:jc w:val="both"/>
        <w:rPr>
          <w:rFonts w:ascii="Arial" w:eastAsia="Calibri" w:hAnsi="Arial" w:cs="Arial"/>
          <w:sz w:val="20"/>
          <w:szCs w:val="20"/>
        </w:rPr>
      </w:pPr>
    </w:p>
    <w:p w14:paraId="458F27CA" w14:textId="77777777" w:rsidR="00B2774C" w:rsidRDefault="00B2774C" w:rsidP="00B2774C">
      <w:pPr>
        <w:spacing w:after="0" w:line="240" w:lineRule="auto"/>
        <w:contextualSpacing/>
        <w:jc w:val="both"/>
        <w:rPr>
          <w:rFonts w:ascii="Arial" w:eastAsia="Calibri" w:hAnsi="Arial" w:cs="Arial"/>
          <w:sz w:val="20"/>
          <w:szCs w:val="20"/>
        </w:rPr>
      </w:pPr>
    </w:p>
    <w:p w14:paraId="1FF65131" w14:textId="77777777" w:rsidR="00B2774C" w:rsidRDefault="00B2774C" w:rsidP="00B2774C">
      <w:pPr>
        <w:spacing w:after="0" w:line="240" w:lineRule="auto"/>
        <w:contextualSpacing/>
        <w:jc w:val="both"/>
        <w:rPr>
          <w:rFonts w:ascii="Arial" w:eastAsia="Calibri" w:hAnsi="Arial" w:cs="Arial"/>
          <w:sz w:val="20"/>
          <w:szCs w:val="20"/>
        </w:rPr>
      </w:pPr>
    </w:p>
    <w:p w14:paraId="4795925A" w14:textId="77777777" w:rsidR="00B2774C" w:rsidRPr="00A01EFA" w:rsidRDefault="00B2774C" w:rsidP="00B2774C">
      <w:pPr>
        <w:spacing w:after="0" w:line="240" w:lineRule="auto"/>
        <w:jc w:val="both"/>
        <w:rPr>
          <w:rFonts w:ascii="Arial" w:eastAsia="Calibri" w:hAnsi="Arial" w:cs="Times New Roman"/>
          <w:sz w:val="20"/>
          <w:szCs w:val="20"/>
        </w:rPr>
      </w:pPr>
    </w:p>
    <w:p w14:paraId="501C6075" w14:textId="77777777" w:rsidR="00B2774C" w:rsidRPr="00BC1259" w:rsidRDefault="00B2774C" w:rsidP="00BC1259">
      <w:pPr>
        <w:rPr>
          <w:rFonts w:ascii="Arial" w:eastAsia="Calibri" w:hAnsi="Arial" w:cs="Times New Roman"/>
          <w:sz w:val="20"/>
          <w:szCs w:val="20"/>
        </w:rPr>
      </w:pPr>
    </w:p>
    <w:sectPr w:rsidR="00B2774C" w:rsidRPr="00BC1259" w:rsidSect="002E441B">
      <w:footerReference w:type="default" r:id="rId9"/>
      <w:pgSz w:w="11906" w:h="16838"/>
      <w:pgMar w:top="1417" w:right="1417" w:bottom="1417" w:left="1417" w:header="708"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EFE75" w16cid:durableId="26113600"/>
  <w16cid:commentId w16cid:paraId="187A9DF7" w16cid:durableId="261110BC"/>
  <w16cid:commentId w16cid:paraId="682EFDB0" w16cid:durableId="260D1477"/>
  <w16cid:commentId w16cid:paraId="69249B59" w16cid:durableId="260CFFBB"/>
  <w16cid:commentId w16cid:paraId="0EE0E345" w16cid:durableId="2610626B"/>
  <w16cid:commentId w16cid:paraId="04DD41B4" w16cid:durableId="2610665D"/>
  <w16cid:commentId w16cid:paraId="126B0FE4" w16cid:durableId="260D01FD"/>
  <w16cid:commentId w16cid:paraId="216E1AE6" w16cid:durableId="260D0156"/>
  <w16cid:commentId w16cid:paraId="023B2320" w16cid:durableId="26111299"/>
  <w16cid:commentId w16cid:paraId="2BE0111A" w16cid:durableId="260D0309"/>
  <w16cid:commentId w16cid:paraId="79BD2709" w16cid:durableId="260D0406"/>
  <w16cid:commentId w16cid:paraId="66B8929F" w16cid:durableId="260D042E"/>
  <w16cid:commentId w16cid:paraId="21C790AC" w16cid:durableId="26106757"/>
  <w16cid:commentId w16cid:paraId="7D441C55" w16cid:durableId="261067A6"/>
  <w16cid:commentId w16cid:paraId="111A2CCC" w16cid:durableId="2610680F"/>
  <w16cid:commentId w16cid:paraId="4F796638" w16cid:durableId="26106974"/>
  <w16cid:commentId w16cid:paraId="11226D19" w16cid:durableId="2610699C"/>
  <w16cid:commentId w16cid:paraId="02829803" w16cid:durableId="261069AB"/>
  <w16cid:commentId w16cid:paraId="5F522EB2" w16cid:durableId="260D0BE3"/>
  <w16cid:commentId w16cid:paraId="57274612" w16cid:durableId="26111AA7"/>
  <w16cid:commentId w16cid:paraId="11149470" w16cid:durableId="26111B1E"/>
  <w16cid:commentId w16cid:paraId="22926A95" w16cid:durableId="26111B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3FC27" w14:textId="77777777" w:rsidR="00301F01" w:rsidRDefault="00301F01" w:rsidP="004F6C7E">
      <w:pPr>
        <w:spacing w:after="0" w:line="240" w:lineRule="auto"/>
      </w:pPr>
      <w:r>
        <w:separator/>
      </w:r>
    </w:p>
  </w:endnote>
  <w:endnote w:type="continuationSeparator" w:id="0">
    <w:p w14:paraId="5BEEC7B0" w14:textId="77777777" w:rsidR="00301F01" w:rsidRDefault="00301F01" w:rsidP="004F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949749"/>
      <w:docPartObj>
        <w:docPartGallery w:val="Page Numbers (Bottom of Page)"/>
        <w:docPartUnique/>
      </w:docPartObj>
    </w:sdtPr>
    <w:sdtContent>
      <w:p w14:paraId="3FCA17DA" w14:textId="1773705C" w:rsidR="00A15ADE" w:rsidRDefault="00A15ADE">
        <w:pPr>
          <w:pStyle w:val="Noga"/>
          <w:jc w:val="center"/>
        </w:pPr>
        <w:r>
          <w:fldChar w:fldCharType="begin"/>
        </w:r>
        <w:r>
          <w:instrText>PAGE   \* MERGEFORMAT</w:instrText>
        </w:r>
        <w:r>
          <w:fldChar w:fldCharType="separate"/>
        </w:r>
        <w:r w:rsidR="00222A37">
          <w:rPr>
            <w:noProof/>
          </w:rPr>
          <w:t>11</w:t>
        </w:r>
        <w:r>
          <w:fldChar w:fldCharType="end"/>
        </w:r>
      </w:p>
    </w:sdtContent>
  </w:sdt>
  <w:p w14:paraId="4701E6ED" w14:textId="77777777" w:rsidR="00A15ADE" w:rsidRDefault="00A15AD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C0A3F" w14:textId="77777777" w:rsidR="00301F01" w:rsidRDefault="00301F01" w:rsidP="004F6C7E">
      <w:pPr>
        <w:spacing w:after="0" w:line="240" w:lineRule="auto"/>
      </w:pPr>
      <w:r>
        <w:separator/>
      </w:r>
    </w:p>
  </w:footnote>
  <w:footnote w:type="continuationSeparator" w:id="0">
    <w:p w14:paraId="1DD25FAF" w14:textId="77777777" w:rsidR="00301F01" w:rsidRDefault="00301F01" w:rsidP="004F6C7E">
      <w:pPr>
        <w:spacing w:after="0" w:line="240" w:lineRule="auto"/>
      </w:pPr>
      <w:r>
        <w:continuationSeparator/>
      </w:r>
    </w:p>
  </w:footnote>
  <w:footnote w:id="1">
    <w:p w14:paraId="34E1ABAA" w14:textId="65C76B06" w:rsidR="00A15ADE" w:rsidRPr="00236053" w:rsidRDefault="00A15ADE">
      <w:pPr>
        <w:pStyle w:val="Sprotnaopomba-besedilo"/>
        <w:rPr>
          <w:rFonts w:ascii="Arial" w:hAnsi="Arial" w:cs="Arial"/>
          <w:sz w:val="16"/>
          <w:szCs w:val="16"/>
        </w:rPr>
      </w:pPr>
      <w:r w:rsidRPr="00236053">
        <w:rPr>
          <w:rStyle w:val="Sprotnaopomba-sklic"/>
          <w:rFonts w:ascii="Arial" w:hAnsi="Arial" w:cs="Arial"/>
          <w:sz w:val="16"/>
          <w:szCs w:val="16"/>
        </w:rPr>
        <w:footnoteRef/>
      </w:r>
      <w:r w:rsidRPr="00236053">
        <w:rPr>
          <w:rFonts w:ascii="Arial" w:hAnsi="Arial" w:cs="Arial"/>
          <w:sz w:val="16"/>
          <w:szCs w:val="16"/>
        </w:rPr>
        <w:t xml:space="preserve"> https://www.eu-skladi.si/sl/dokumenti/rrf/01_si-rrp_23-7-2021.pdf</w:t>
      </w:r>
    </w:p>
  </w:footnote>
  <w:footnote w:id="2">
    <w:p w14:paraId="3EE02360" w14:textId="3404A7E8" w:rsidR="00A15ADE" w:rsidRPr="005704B1" w:rsidRDefault="00A15ADE">
      <w:pPr>
        <w:pStyle w:val="Sprotnaopomba-besedilo"/>
        <w:rPr>
          <w:rFonts w:ascii="Arial" w:hAnsi="Arial" w:cs="Arial"/>
        </w:rPr>
      </w:pPr>
      <w:r w:rsidRPr="005704B1">
        <w:rPr>
          <w:rStyle w:val="Sprotnaopomba-sklic"/>
          <w:rFonts w:ascii="Arial" w:hAnsi="Arial" w:cs="Arial"/>
        </w:rPr>
        <w:footnoteRef/>
      </w:r>
      <w:r w:rsidRPr="005704B1">
        <w:rPr>
          <w:rFonts w:ascii="Arial" w:hAnsi="Arial" w:cs="Arial"/>
        </w:rPr>
        <w:t xml:space="preserve"> </w:t>
      </w:r>
      <w:r w:rsidRPr="005704B1">
        <w:rPr>
          <w:rFonts w:ascii="Arial" w:hAnsi="Arial" w:cs="Arial"/>
          <w:sz w:val="16"/>
          <w:szCs w:val="16"/>
        </w:rPr>
        <w:t>https://www.gzs.si/Portals/SN-informacije-Pomoc/Vsebine/GG/2019/2019-julij/39-56-energetika.pdf</w:t>
      </w:r>
    </w:p>
  </w:footnote>
  <w:footnote w:id="3">
    <w:p w14:paraId="17F04610" w14:textId="1332E9A3" w:rsidR="00A15ADE" w:rsidRPr="00447391" w:rsidRDefault="00A15ADE">
      <w:pPr>
        <w:pStyle w:val="Sprotnaopomba-besedilo"/>
        <w:rPr>
          <w:rFonts w:ascii="Arial" w:hAnsi="Arial" w:cs="Arial"/>
          <w:sz w:val="16"/>
          <w:szCs w:val="16"/>
        </w:rPr>
      </w:pPr>
      <w:r w:rsidRPr="00447391">
        <w:rPr>
          <w:rStyle w:val="Sprotnaopomba-sklic"/>
          <w:rFonts w:ascii="Arial" w:hAnsi="Arial" w:cs="Arial"/>
          <w:sz w:val="16"/>
          <w:szCs w:val="16"/>
        </w:rPr>
        <w:footnoteRef/>
      </w:r>
      <w:r w:rsidRPr="00447391">
        <w:rPr>
          <w:rFonts w:ascii="Arial" w:hAnsi="Arial" w:cs="Arial"/>
          <w:sz w:val="16"/>
          <w:szCs w:val="16"/>
        </w:rPr>
        <w:t xml:space="preserve"> http://www.pisrs.si/Pis.web/pregledPredpisa?id=URED7380</w:t>
      </w:r>
    </w:p>
  </w:footnote>
  <w:footnote w:id="4">
    <w:p w14:paraId="4E0010F0" w14:textId="07B75B7E" w:rsidR="00A15ADE" w:rsidRDefault="00A15ADE">
      <w:pPr>
        <w:pStyle w:val="Sprotnaopomba-besedilo"/>
      </w:pPr>
      <w:r>
        <w:rPr>
          <w:rStyle w:val="Sprotnaopomba-sklic"/>
        </w:rPr>
        <w:footnoteRef/>
      </w:r>
      <w:r>
        <w:t xml:space="preserve"> </w:t>
      </w:r>
      <w:r w:rsidRPr="00236053">
        <w:rPr>
          <w:rFonts w:ascii="Arial" w:eastAsia="Calibri" w:hAnsi="Arial" w:cs="Times New Roman"/>
          <w:sz w:val="16"/>
          <w:szCs w:val="16"/>
        </w:rPr>
        <w:t>https://www.agen-rs.si/obveza-za-velike-gospodarske-druzbe</w:t>
      </w:r>
    </w:p>
  </w:footnote>
  <w:footnote w:id="5">
    <w:p w14:paraId="437CFF60" w14:textId="77777777" w:rsidR="00A15ADE" w:rsidRPr="00236053" w:rsidRDefault="00A15ADE" w:rsidP="00BD2946">
      <w:pPr>
        <w:spacing w:after="0" w:line="240" w:lineRule="auto"/>
        <w:jc w:val="both"/>
        <w:rPr>
          <w:rFonts w:ascii="Arial" w:eastAsia="Calibri" w:hAnsi="Arial" w:cs="Times New Roman"/>
          <w:sz w:val="16"/>
          <w:szCs w:val="16"/>
        </w:rPr>
      </w:pPr>
      <w:r>
        <w:rPr>
          <w:rStyle w:val="Sprotnaopomba-sklic"/>
        </w:rPr>
        <w:footnoteRef/>
      </w:r>
      <w:r>
        <w:t xml:space="preserve"> </w:t>
      </w:r>
      <w:r w:rsidRPr="00236053">
        <w:rPr>
          <w:rFonts w:ascii="Arial" w:eastAsia="Calibri" w:hAnsi="Arial" w:cs="Times New Roman"/>
          <w:sz w:val="16"/>
          <w:szCs w:val="16"/>
        </w:rPr>
        <w:t>https://www.agen-rs.si/izvedba-energetskega-pregleda</w:t>
      </w:r>
    </w:p>
    <w:p w14:paraId="7A59C739" w14:textId="76D89286" w:rsidR="00A15ADE" w:rsidRDefault="00A15ADE">
      <w:pPr>
        <w:pStyle w:val="Sprotnaopomba-besedilo"/>
      </w:pPr>
    </w:p>
  </w:footnote>
  <w:footnote w:id="6">
    <w:p w14:paraId="6E87B2F8" w14:textId="77777777" w:rsidR="00A15ADE" w:rsidRDefault="00A15ADE" w:rsidP="007A59E0">
      <w:pPr>
        <w:pStyle w:val="Sprotnaopomba-besedilo"/>
      </w:pPr>
      <w:r>
        <w:rPr>
          <w:rStyle w:val="Sprotnaopomba-sklic"/>
        </w:rPr>
        <w:footnoteRef/>
      </w:r>
      <w:r>
        <w:t xml:space="preserve"> </w:t>
      </w:r>
      <w:r w:rsidRPr="00236053">
        <w:rPr>
          <w:rFonts w:ascii="Arial" w:eastAsia="Calibri" w:hAnsi="Arial" w:cs="Times New Roman"/>
          <w:sz w:val="16"/>
          <w:szCs w:val="16"/>
        </w:rPr>
        <w:t>https://www.agen-rs.si/porocanje-o-izvedenem-energetskem-pregledu</w:t>
      </w:r>
    </w:p>
  </w:footnote>
  <w:footnote w:id="7">
    <w:p w14:paraId="7315766D" w14:textId="77777777" w:rsidR="00A15ADE" w:rsidRDefault="00A15ADE">
      <w:pPr>
        <w:pStyle w:val="Sprotnaopomba-besedilo"/>
      </w:pPr>
      <w:r>
        <w:rPr>
          <w:rStyle w:val="Sprotnaopomba-sklic"/>
        </w:rPr>
        <w:footnoteRef/>
      </w:r>
      <w:r>
        <w:t xml:space="preserve"> </w:t>
      </w:r>
      <w:r w:rsidRPr="004F6C7E">
        <w:rPr>
          <w:rFonts w:ascii="Arial" w:hAnsi="Arial" w:cs="Arial"/>
          <w:sz w:val="16"/>
          <w:szCs w:val="16"/>
        </w:rPr>
        <w:t>https://www.gov.si/novice/2022-01-06-vlada-republike-slovenije-je-sprejela-strategijo-digitalne-transformacije-gospodarstva/</w:t>
      </w:r>
    </w:p>
  </w:footnote>
  <w:footnote w:id="8">
    <w:p w14:paraId="0382AB2B" w14:textId="78FE8920" w:rsidR="00A15ADE" w:rsidRDefault="00A15ADE">
      <w:pPr>
        <w:pStyle w:val="Sprotnaopomba-besedilo"/>
      </w:pPr>
      <w:r>
        <w:rPr>
          <w:rStyle w:val="Sprotnaopomba-sklic"/>
        </w:rPr>
        <w:footnoteRef/>
      </w:r>
      <w:r>
        <w:t xml:space="preserve"> </w:t>
      </w:r>
      <w:r w:rsidRPr="00236053">
        <w:rPr>
          <w:rFonts w:ascii="Arial" w:hAnsi="Arial" w:cs="Arial"/>
          <w:sz w:val="16"/>
          <w:szCs w:val="16"/>
        </w:rPr>
        <w:t>https://www.emissions-euets.com/taxonomy-sfdr-csdr</w:t>
      </w:r>
    </w:p>
  </w:footnote>
  <w:footnote w:id="9">
    <w:p w14:paraId="307DBF02" w14:textId="2F2D7646" w:rsidR="00A15ADE" w:rsidRDefault="00A15ADE">
      <w:pPr>
        <w:pStyle w:val="Sprotnaopomba-besedilo"/>
      </w:pPr>
      <w:r>
        <w:rPr>
          <w:rStyle w:val="Sprotnaopomba-sklic"/>
        </w:rPr>
        <w:footnoteRef/>
      </w:r>
      <w:r w:rsidRPr="00475C89">
        <w:rPr>
          <w:rFonts w:ascii="Arial" w:hAnsi="Arial" w:cs="Arial"/>
          <w:sz w:val="16"/>
          <w:szCs w:val="16"/>
        </w:rPr>
        <w:t xml:space="preserve"> https://www.eea.europa.eu/data-and-maps/data/european-union-emissions-trading-scheme-16</w:t>
      </w:r>
    </w:p>
  </w:footnote>
  <w:footnote w:id="10">
    <w:p w14:paraId="6D7D2D04" w14:textId="3CBE8D07" w:rsidR="00A15ADE" w:rsidRDefault="00A15ADE">
      <w:pPr>
        <w:pStyle w:val="Sprotnaopomba-besedilo"/>
      </w:pPr>
      <w:r>
        <w:rPr>
          <w:rStyle w:val="Sprotnaopomba-sklic"/>
        </w:rPr>
        <w:footnoteRef/>
      </w:r>
      <w:r>
        <w:t xml:space="preserve"> </w:t>
      </w:r>
      <w:r w:rsidRPr="00236053">
        <w:rPr>
          <w:rFonts w:ascii="Arial" w:hAnsi="Arial" w:cs="Arial"/>
          <w:sz w:val="16"/>
          <w:szCs w:val="16"/>
        </w:rPr>
        <w:t>https://www.forbes.com/sites/forbestechcouncil/2021/08/16/the-near-term-future-of-blockchain-tracking-carbon-offsets/?sh=a4aa9cc57901</w:t>
      </w:r>
    </w:p>
  </w:footnote>
  <w:footnote w:id="11">
    <w:p w14:paraId="25A3EE26" w14:textId="2F2CE01F" w:rsidR="00A15ADE" w:rsidRPr="00236053" w:rsidRDefault="00A15ADE">
      <w:pPr>
        <w:pStyle w:val="Sprotnaopomba-besedilo"/>
        <w:rPr>
          <w:rFonts w:ascii="Arial" w:hAnsi="Arial" w:cs="Arial"/>
          <w:sz w:val="16"/>
          <w:szCs w:val="16"/>
        </w:rPr>
      </w:pPr>
      <w:r>
        <w:rPr>
          <w:rStyle w:val="Sprotnaopomba-sklic"/>
        </w:rPr>
        <w:footnoteRef/>
      </w:r>
      <w:r>
        <w:t>h</w:t>
      </w:r>
      <w:r w:rsidRPr="00236053">
        <w:rPr>
          <w:rFonts w:ascii="Arial" w:hAnsi="Arial" w:cs="Arial"/>
          <w:sz w:val="16"/>
          <w:szCs w:val="16"/>
        </w:rPr>
        <w:t>ttps://www.researchgate.net/publication/328354712_Blockchain_and_the_EU_ETS_An_architecture_and_a_prototype_of_a_decentralized_emission_trading_system_based_on_smart_contracts</w:t>
      </w:r>
    </w:p>
  </w:footnote>
  <w:footnote w:id="12">
    <w:p w14:paraId="6D2E2734" w14:textId="77777777" w:rsidR="00A15ADE" w:rsidRDefault="00A15ADE">
      <w:pPr>
        <w:pStyle w:val="Sprotnaopomba-besedilo"/>
      </w:pPr>
      <w:r>
        <w:rPr>
          <w:rStyle w:val="Sprotnaopomba-sklic"/>
        </w:rPr>
        <w:footnoteRef/>
      </w:r>
      <w:r>
        <w:t xml:space="preserve"> </w:t>
      </w:r>
      <w:r w:rsidRPr="00CE55B3">
        <w:rPr>
          <w:rFonts w:ascii="Arial" w:hAnsi="Arial" w:cs="Arial"/>
          <w:sz w:val="16"/>
          <w:szCs w:val="16"/>
        </w:rPr>
        <w:t>https://www.gov.si/novice/2022-01-06-vlada-republike-slovenije-je-sprejela-strategijo-digitalne-transformacije-gospodarstva/</w:t>
      </w:r>
    </w:p>
  </w:footnote>
  <w:footnote w:id="13">
    <w:p w14:paraId="1EA2E3F6" w14:textId="77777777" w:rsidR="00A15ADE" w:rsidRDefault="00A15ADE">
      <w:pPr>
        <w:pStyle w:val="Sprotnaopomba-besedilo"/>
      </w:pPr>
      <w:r>
        <w:rPr>
          <w:rStyle w:val="Sprotnaopomba-sklic"/>
        </w:rPr>
        <w:footnoteRef/>
      </w:r>
      <w:r>
        <w:t xml:space="preserve"> </w:t>
      </w:r>
      <w:r w:rsidRPr="00341908">
        <w:rPr>
          <w:rFonts w:ascii="Arial" w:hAnsi="Arial" w:cs="Arial"/>
          <w:sz w:val="16"/>
          <w:szCs w:val="16"/>
        </w:rPr>
        <w:t>https://www.bmwi.de/Redaktion/EN/Publikationen/Digitale-Welt/handbook-regulatory-sandboxes.pdf?__blob=publicationFile&amp;v=2</w:t>
      </w:r>
    </w:p>
  </w:footnote>
  <w:footnote w:id="14">
    <w:p w14:paraId="6A1027C3" w14:textId="77777777" w:rsidR="00A15ADE" w:rsidRPr="005374CE" w:rsidRDefault="00A15ADE">
      <w:pPr>
        <w:pStyle w:val="Sprotnaopomba-besedilo"/>
        <w:rPr>
          <w:rFonts w:ascii="Arial" w:hAnsi="Arial" w:cs="Arial"/>
          <w:sz w:val="16"/>
          <w:szCs w:val="16"/>
        </w:rPr>
      </w:pPr>
      <w:r w:rsidRPr="005374CE">
        <w:rPr>
          <w:rStyle w:val="Sprotnaopomba-sklic"/>
          <w:rFonts w:ascii="Arial" w:hAnsi="Arial" w:cs="Arial"/>
          <w:sz w:val="16"/>
          <w:szCs w:val="16"/>
        </w:rPr>
        <w:footnoteRef/>
      </w:r>
      <w:r w:rsidRPr="005374CE">
        <w:rPr>
          <w:rFonts w:ascii="Arial" w:hAnsi="Arial" w:cs="Arial"/>
          <w:sz w:val="16"/>
          <w:szCs w:val="16"/>
        </w:rPr>
        <w:t xml:space="preserve"> https://www.zelenaslovenija.si/EOL/Clanek/2880/clanki-okolje/med-podjetji-se-premalo-interesa-za-sistematicno-upravljanje-z-energijo-eol-144-145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D5E"/>
    <w:multiLevelType w:val="hybridMultilevel"/>
    <w:tmpl w:val="2E8AC06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750C0F"/>
    <w:multiLevelType w:val="hybridMultilevel"/>
    <w:tmpl w:val="04FC867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7800D9"/>
    <w:multiLevelType w:val="hybridMultilevel"/>
    <w:tmpl w:val="276E20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3E14A1"/>
    <w:multiLevelType w:val="hybridMultilevel"/>
    <w:tmpl w:val="4B989CA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4506B8"/>
    <w:multiLevelType w:val="hybridMultilevel"/>
    <w:tmpl w:val="E0C0A5E2"/>
    <w:lvl w:ilvl="0" w:tplc="C91815D2">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0D743E"/>
    <w:multiLevelType w:val="hybridMultilevel"/>
    <w:tmpl w:val="F36E48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541E4C"/>
    <w:multiLevelType w:val="hybridMultilevel"/>
    <w:tmpl w:val="E200B08C"/>
    <w:lvl w:ilvl="0" w:tplc="C91815D2">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54095F"/>
    <w:multiLevelType w:val="hybridMultilevel"/>
    <w:tmpl w:val="B1545DA0"/>
    <w:lvl w:ilvl="0" w:tplc="7C3696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27B05E7"/>
    <w:multiLevelType w:val="hybridMultilevel"/>
    <w:tmpl w:val="AE54654C"/>
    <w:lvl w:ilvl="0" w:tplc="87C29856">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D915EF"/>
    <w:multiLevelType w:val="hybridMultilevel"/>
    <w:tmpl w:val="C9347C4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4661B7C"/>
    <w:multiLevelType w:val="hybridMultilevel"/>
    <w:tmpl w:val="FD567CC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852044C"/>
    <w:multiLevelType w:val="hybridMultilevel"/>
    <w:tmpl w:val="0D3062D4"/>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7F1B65"/>
    <w:multiLevelType w:val="hybridMultilevel"/>
    <w:tmpl w:val="D936927E"/>
    <w:lvl w:ilvl="0" w:tplc="63728E2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2FB14B56"/>
    <w:multiLevelType w:val="hybridMultilevel"/>
    <w:tmpl w:val="AF166F42"/>
    <w:lvl w:ilvl="0" w:tplc="04240011">
      <w:start w:val="1"/>
      <w:numFmt w:val="decimal"/>
      <w:lvlText w:val="%1)"/>
      <w:lvlJc w:val="left"/>
      <w:pPr>
        <w:ind w:left="720" w:hanging="360"/>
      </w:pPr>
      <w:rPr>
        <w:rFont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8730F6"/>
    <w:multiLevelType w:val="hybridMultilevel"/>
    <w:tmpl w:val="A47800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5E971D0"/>
    <w:multiLevelType w:val="hybridMultilevel"/>
    <w:tmpl w:val="3CAC0C6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75B54A0"/>
    <w:multiLevelType w:val="hybridMultilevel"/>
    <w:tmpl w:val="02A48D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A452285"/>
    <w:multiLevelType w:val="hybridMultilevel"/>
    <w:tmpl w:val="F0AA57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EC840C7"/>
    <w:multiLevelType w:val="hybridMultilevel"/>
    <w:tmpl w:val="572C89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EE10427"/>
    <w:multiLevelType w:val="hybridMultilevel"/>
    <w:tmpl w:val="CD6ACFC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1EE78CA"/>
    <w:multiLevelType w:val="hybridMultilevel"/>
    <w:tmpl w:val="62666C34"/>
    <w:lvl w:ilvl="0" w:tplc="C91815D2">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A1F5880"/>
    <w:multiLevelType w:val="hybridMultilevel"/>
    <w:tmpl w:val="CD0618E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AC51CAD"/>
    <w:multiLevelType w:val="hybridMultilevel"/>
    <w:tmpl w:val="683EA180"/>
    <w:lvl w:ilvl="0" w:tplc="66540D1C">
      <w:start w:val="1"/>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BF53170"/>
    <w:multiLevelType w:val="hybridMultilevel"/>
    <w:tmpl w:val="4B7E9EE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D55712D"/>
    <w:multiLevelType w:val="hybridMultilevel"/>
    <w:tmpl w:val="288CE5A4"/>
    <w:lvl w:ilvl="0" w:tplc="3FDADC68">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164248B"/>
    <w:multiLevelType w:val="hybridMultilevel"/>
    <w:tmpl w:val="26B2FE3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72C0ADE"/>
    <w:multiLevelType w:val="hybridMultilevel"/>
    <w:tmpl w:val="05A49D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D1942E1"/>
    <w:multiLevelType w:val="hybridMultilevel"/>
    <w:tmpl w:val="BCA0D8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4371B3"/>
    <w:multiLevelType w:val="hybridMultilevel"/>
    <w:tmpl w:val="C7FCA9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0417492"/>
    <w:multiLevelType w:val="hybridMultilevel"/>
    <w:tmpl w:val="81DAFA1E"/>
    <w:lvl w:ilvl="0" w:tplc="6D42F598">
      <w:start w:val="1"/>
      <w:numFmt w:val="decimal"/>
      <w:lvlText w:val="%1."/>
      <w:lvlJc w:val="left"/>
      <w:pPr>
        <w:ind w:left="720" w:hanging="360"/>
      </w:pPr>
      <w:rPr>
        <w:rFonts w:ascii="Arial" w:hAnsi="Arial" w:cs="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1107CE4"/>
    <w:multiLevelType w:val="hybridMultilevel"/>
    <w:tmpl w:val="88802A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4920B5C"/>
    <w:multiLevelType w:val="hybridMultilevel"/>
    <w:tmpl w:val="B802BA40"/>
    <w:lvl w:ilvl="0" w:tplc="88F83312">
      <w:start w:val="1"/>
      <w:numFmt w:val="lowerLetter"/>
      <w:lvlText w:val="%1)"/>
      <w:lvlJc w:val="left"/>
      <w:pPr>
        <w:ind w:left="1080" w:hanging="360"/>
      </w:pPr>
      <w:rPr>
        <w:rFonts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661322D4"/>
    <w:multiLevelType w:val="hybridMultilevel"/>
    <w:tmpl w:val="3C32B78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A7F64C4"/>
    <w:multiLevelType w:val="hybridMultilevel"/>
    <w:tmpl w:val="1B5A9B78"/>
    <w:lvl w:ilvl="0" w:tplc="8270AB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B7B1209"/>
    <w:multiLevelType w:val="hybridMultilevel"/>
    <w:tmpl w:val="390CFEE2"/>
    <w:lvl w:ilvl="0" w:tplc="C91815D2">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B945EE6"/>
    <w:multiLevelType w:val="hybridMultilevel"/>
    <w:tmpl w:val="95FC57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F572981"/>
    <w:multiLevelType w:val="hybridMultilevel"/>
    <w:tmpl w:val="020242CE"/>
    <w:lvl w:ilvl="0" w:tplc="C91815D2">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04723B1"/>
    <w:multiLevelType w:val="hybridMultilevel"/>
    <w:tmpl w:val="11241690"/>
    <w:lvl w:ilvl="0" w:tplc="8542CEE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8" w15:restartNumberingAfterBreak="0">
    <w:nsid w:val="73596CBF"/>
    <w:multiLevelType w:val="hybridMultilevel"/>
    <w:tmpl w:val="E572D2EE"/>
    <w:lvl w:ilvl="0" w:tplc="9802FE0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15:restartNumberingAfterBreak="0">
    <w:nsid w:val="7597629F"/>
    <w:multiLevelType w:val="hybridMultilevel"/>
    <w:tmpl w:val="8FDA40C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68B0287"/>
    <w:multiLevelType w:val="hybridMultilevel"/>
    <w:tmpl w:val="49F49862"/>
    <w:lvl w:ilvl="0" w:tplc="C91815D2">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7BD6052"/>
    <w:multiLevelType w:val="hybridMultilevel"/>
    <w:tmpl w:val="3A10CBAA"/>
    <w:lvl w:ilvl="0" w:tplc="3FDADC68">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273691"/>
    <w:multiLevelType w:val="hybridMultilevel"/>
    <w:tmpl w:val="3404E8B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8CB66D4"/>
    <w:multiLevelType w:val="hybridMultilevel"/>
    <w:tmpl w:val="070A8578"/>
    <w:lvl w:ilvl="0" w:tplc="CA8CD174">
      <w:start w:val="6"/>
      <w:numFmt w:val="bullet"/>
      <w:lvlText w:val="-"/>
      <w:lvlJc w:val="left"/>
      <w:pPr>
        <w:ind w:left="720" w:hanging="360"/>
      </w:pPr>
      <w:rPr>
        <w:rFonts w:ascii="Arial" w:eastAsia="Arial" w:hAnsi="Arial" w:cs="Arial" w:hint="default"/>
        <w:b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A210E10"/>
    <w:multiLevelType w:val="hybridMultilevel"/>
    <w:tmpl w:val="7BE21F1C"/>
    <w:lvl w:ilvl="0" w:tplc="C91815D2">
      <w:start w:val="2"/>
      <w:numFmt w:val="bullet"/>
      <w:lvlText w:val="-"/>
      <w:lvlJc w:val="left"/>
      <w:pPr>
        <w:ind w:left="720" w:hanging="360"/>
      </w:pPr>
      <w:rPr>
        <w:rFonts w:ascii="Calibri" w:eastAsia="Calibri" w:hAnsi="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DCC4F55"/>
    <w:multiLevelType w:val="hybridMultilevel"/>
    <w:tmpl w:val="D38656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ECA6A15"/>
    <w:multiLevelType w:val="hybridMultilevel"/>
    <w:tmpl w:val="E65CF878"/>
    <w:lvl w:ilvl="0" w:tplc="04240011">
      <w:start w:val="1"/>
      <w:numFmt w:val="decimal"/>
      <w:lvlText w:val="%1)"/>
      <w:lvlJc w:val="left"/>
      <w:pPr>
        <w:ind w:left="720" w:hanging="360"/>
      </w:pPr>
      <w:rPr>
        <w:rFonts w:hint="default"/>
        <w:b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1"/>
  </w:num>
  <w:num w:numId="2">
    <w:abstractNumId w:val="43"/>
  </w:num>
  <w:num w:numId="3">
    <w:abstractNumId w:val="39"/>
  </w:num>
  <w:num w:numId="4">
    <w:abstractNumId w:val="13"/>
  </w:num>
  <w:num w:numId="5">
    <w:abstractNumId w:val="46"/>
  </w:num>
  <w:num w:numId="6">
    <w:abstractNumId w:val="12"/>
  </w:num>
  <w:num w:numId="7">
    <w:abstractNumId w:val="31"/>
  </w:num>
  <w:num w:numId="8">
    <w:abstractNumId w:val="11"/>
  </w:num>
  <w:num w:numId="9">
    <w:abstractNumId w:val="8"/>
  </w:num>
  <w:num w:numId="10">
    <w:abstractNumId w:val="44"/>
  </w:num>
  <w:num w:numId="11">
    <w:abstractNumId w:val="7"/>
  </w:num>
  <w:num w:numId="12">
    <w:abstractNumId w:val="17"/>
  </w:num>
  <w:num w:numId="13">
    <w:abstractNumId w:val="5"/>
  </w:num>
  <w:num w:numId="14">
    <w:abstractNumId w:val="21"/>
  </w:num>
  <w:num w:numId="15">
    <w:abstractNumId w:val="25"/>
  </w:num>
  <w:num w:numId="16">
    <w:abstractNumId w:val="33"/>
  </w:num>
  <w:num w:numId="17">
    <w:abstractNumId w:val="32"/>
  </w:num>
  <w:num w:numId="18">
    <w:abstractNumId w:val="10"/>
  </w:num>
  <w:num w:numId="19">
    <w:abstractNumId w:val="24"/>
  </w:num>
  <w:num w:numId="20">
    <w:abstractNumId w:val="9"/>
  </w:num>
  <w:num w:numId="21">
    <w:abstractNumId w:val="0"/>
  </w:num>
  <w:num w:numId="22">
    <w:abstractNumId w:val="18"/>
  </w:num>
  <w:num w:numId="23">
    <w:abstractNumId w:val="15"/>
  </w:num>
  <w:num w:numId="24">
    <w:abstractNumId w:val="23"/>
  </w:num>
  <w:num w:numId="25">
    <w:abstractNumId w:val="19"/>
  </w:num>
  <w:num w:numId="26">
    <w:abstractNumId w:val="42"/>
  </w:num>
  <w:num w:numId="27">
    <w:abstractNumId w:val="16"/>
  </w:num>
  <w:num w:numId="28">
    <w:abstractNumId w:val="27"/>
  </w:num>
  <w:num w:numId="29">
    <w:abstractNumId w:val="1"/>
  </w:num>
  <w:num w:numId="30">
    <w:abstractNumId w:val="45"/>
  </w:num>
  <w:num w:numId="31">
    <w:abstractNumId w:val="22"/>
  </w:num>
  <w:num w:numId="32">
    <w:abstractNumId w:val="4"/>
  </w:num>
  <w:num w:numId="33">
    <w:abstractNumId w:val="36"/>
  </w:num>
  <w:num w:numId="34">
    <w:abstractNumId w:val="3"/>
  </w:num>
  <w:num w:numId="35">
    <w:abstractNumId w:val="37"/>
  </w:num>
  <w:num w:numId="36">
    <w:abstractNumId w:val="14"/>
  </w:num>
  <w:num w:numId="37">
    <w:abstractNumId w:val="38"/>
  </w:num>
  <w:num w:numId="38">
    <w:abstractNumId w:val="29"/>
  </w:num>
  <w:num w:numId="39">
    <w:abstractNumId w:val="26"/>
  </w:num>
  <w:num w:numId="40">
    <w:abstractNumId w:val="28"/>
  </w:num>
  <w:num w:numId="41">
    <w:abstractNumId w:val="35"/>
  </w:num>
  <w:num w:numId="42">
    <w:abstractNumId w:val="34"/>
  </w:num>
  <w:num w:numId="43">
    <w:abstractNumId w:val="40"/>
  </w:num>
  <w:num w:numId="44">
    <w:abstractNumId w:val="2"/>
  </w:num>
  <w:num w:numId="45">
    <w:abstractNumId w:val="30"/>
  </w:num>
  <w:num w:numId="46">
    <w:abstractNumId w:val="20"/>
  </w:num>
  <w:num w:numId="47">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41B"/>
    <w:rsid w:val="0001170B"/>
    <w:rsid w:val="0004490C"/>
    <w:rsid w:val="000508D1"/>
    <w:rsid w:val="000509C1"/>
    <w:rsid w:val="00066815"/>
    <w:rsid w:val="0007114A"/>
    <w:rsid w:val="0008263B"/>
    <w:rsid w:val="00091031"/>
    <w:rsid w:val="00095F67"/>
    <w:rsid w:val="000A55FA"/>
    <w:rsid w:val="000C192A"/>
    <w:rsid w:val="000C2C6E"/>
    <w:rsid w:val="000C46A9"/>
    <w:rsid w:val="000D21AE"/>
    <w:rsid w:val="000E14A2"/>
    <w:rsid w:val="000E6A43"/>
    <w:rsid w:val="000F4527"/>
    <w:rsid w:val="000F54DF"/>
    <w:rsid w:val="0010329F"/>
    <w:rsid w:val="00105E3E"/>
    <w:rsid w:val="00115040"/>
    <w:rsid w:val="00117763"/>
    <w:rsid w:val="00122176"/>
    <w:rsid w:val="00126987"/>
    <w:rsid w:val="00127398"/>
    <w:rsid w:val="00136D59"/>
    <w:rsid w:val="00145F79"/>
    <w:rsid w:val="00146BC9"/>
    <w:rsid w:val="00171100"/>
    <w:rsid w:val="001763F5"/>
    <w:rsid w:val="00176DD3"/>
    <w:rsid w:val="00177BD9"/>
    <w:rsid w:val="001856AD"/>
    <w:rsid w:val="001A0CEC"/>
    <w:rsid w:val="001A53B5"/>
    <w:rsid w:val="001A71FF"/>
    <w:rsid w:val="001B0D03"/>
    <w:rsid w:val="001B19E3"/>
    <w:rsid w:val="001C32C2"/>
    <w:rsid w:val="001C522A"/>
    <w:rsid w:val="001D000E"/>
    <w:rsid w:val="001D2C3C"/>
    <w:rsid w:val="001D60DD"/>
    <w:rsid w:val="001D7054"/>
    <w:rsid w:val="001E6E37"/>
    <w:rsid w:val="001F64B6"/>
    <w:rsid w:val="002026E9"/>
    <w:rsid w:val="0020527C"/>
    <w:rsid w:val="002078E7"/>
    <w:rsid w:val="00210E47"/>
    <w:rsid w:val="00211048"/>
    <w:rsid w:val="00212F43"/>
    <w:rsid w:val="00222A37"/>
    <w:rsid w:val="0022616C"/>
    <w:rsid w:val="00232C9A"/>
    <w:rsid w:val="00232EB3"/>
    <w:rsid w:val="002348FE"/>
    <w:rsid w:val="00236053"/>
    <w:rsid w:val="0024471C"/>
    <w:rsid w:val="002517B9"/>
    <w:rsid w:val="00254965"/>
    <w:rsid w:val="00263F35"/>
    <w:rsid w:val="00266DC7"/>
    <w:rsid w:val="0027697C"/>
    <w:rsid w:val="002B3358"/>
    <w:rsid w:val="002B5124"/>
    <w:rsid w:val="002B58B5"/>
    <w:rsid w:val="002B73E1"/>
    <w:rsid w:val="002E441B"/>
    <w:rsid w:val="002F79A7"/>
    <w:rsid w:val="002F7BB3"/>
    <w:rsid w:val="00301F01"/>
    <w:rsid w:val="003061D1"/>
    <w:rsid w:val="0031382D"/>
    <w:rsid w:val="00317C1C"/>
    <w:rsid w:val="00332F6F"/>
    <w:rsid w:val="00341908"/>
    <w:rsid w:val="003445EF"/>
    <w:rsid w:val="00346E22"/>
    <w:rsid w:val="00350008"/>
    <w:rsid w:val="00364C58"/>
    <w:rsid w:val="0037623E"/>
    <w:rsid w:val="00393041"/>
    <w:rsid w:val="0039477C"/>
    <w:rsid w:val="003A432F"/>
    <w:rsid w:val="003B064F"/>
    <w:rsid w:val="003C0A9D"/>
    <w:rsid w:val="003C13C3"/>
    <w:rsid w:val="003C1D09"/>
    <w:rsid w:val="003D0D9C"/>
    <w:rsid w:val="003D38F5"/>
    <w:rsid w:val="003E2C07"/>
    <w:rsid w:val="0040675F"/>
    <w:rsid w:val="00406A27"/>
    <w:rsid w:val="004115E3"/>
    <w:rsid w:val="00421351"/>
    <w:rsid w:val="0042461C"/>
    <w:rsid w:val="00425E3A"/>
    <w:rsid w:val="00426DAD"/>
    <w:rsid w:val="0043146D"/>
    <w:rsid w:val="0043725D"/>
    <w:rsid w:val="0044006B"/>
    <w:rsid w:val="0044226E"/>
    <w:rsid w:val="00447391"/>
    <w:rsid w:val="0045000B"/>
    <w:rsid w:val="00457C7E"/>
    <w:rsid w:val="0046230F"/>
    <w:rsid w:val="00467D58"/>
    <w:rsid w:val="00475C89"/>
    <w:rsid w:val="00477B97"/>
    <w:rsid w:val="004802E5"/>
    <w:rsid w:val="00484EA6"/>
    <w:rsid w:val="00496F1B"/>
    <w:rsid w:val="004C00EE"/>
    <w:rsid w:val="004D77DF"/>
    <w:rsid w:val="004E7D1C"/>
    <w:rsid w:val="004F6C7E"/>
    <w:rsid w:val="00500002"/>
    <w:rsid w:val="00500C13"/>
    <w:rsid w:val="00515F48"/>
    <w:rsid w:val="0052719C"/>
    <w:rsid w:val="00531956"/>
    <w:rsid w:val="00533F13"/>
    <w:rsid w:val="005359C3"/>
    <w:rsid w:val="005374CE"/>
    <w:rsid w:val="005441C8"/>
    <w:rsid w:val="005541D9"/>
    <w:rsid w:val="005578D1"/>
    <w:rsid w:val="005704B1"/>
    <w:rsid w:val="005833B3"/>
    <w:rsid w:val="0058542E"/>
    <w:rsid w:val="00591B1D"/>
    <w:rsid w:val="005A10BA"/>
    <w:rsid w:val="005A616B"/>
    <w:rsid w:val="005B6278"/>
    <w:rsid w:val="005C122A"/>
    <w:rsid w:val="005C73CB"/>
    <w:rsid w:val="005D1327"/>
    <w:rsid w:val="005D1702"/>
    <w:rsid w:val="005D1EDA"/>
    <w:rsid w:val="005E2ED1"/>
    <w:rsid w:val="005F0954"/>
    <w:rsid w:val="005F21FE"/>
    <w:rsid w:val="005F6A8A"/>
    <w:rsid w:val="00616872"/>
    <w:rsid w:val="00625DAE"/>
    <w:rsid w:val="00627B5D"/>
    <w:rsid w:val="006471B8"/>
    <w:rsid w:val="00662352"/>
    <w:rsid w:val="00672534"/>
    <w:rsid w:val="00672612"/>
    <w:rsid w:val="0067528B"/>
    <w:rsid w:val="00677D45"/>
    <w:rsid w:val="00680E26"/>
    <w:rsid w:val="00683513"/>
    <w:rsid w:val="006863CD"/>
    <w:rsid w:val="00686DDD"/>
    <w:rsid w:val="00690EC8"/>
    <w:rsid w:val="006A0696"/>
    <w:rsid w:val="006A24D5"/>
    <w:rsid w:val="006A329C"/>
    <w:rsid w:val="006A3AA1"/>
    <w:rsid w:val="006C14C0"/>
    <w:rsid w:val="006C6AEF"/>
    <w:rsid w:val="006C73D0"/>
    <w:rsid w:val="006E6F8C"/>
    <w:rsid w:val="006E7C96"/>
    <w:rsid w:val="006F1A70"/>
    <w:rsid w:val="006F1F04"/>
    <w:rsid w:val="006F3676"/>
    <w:rsid w:val="006F7C69"/>
    <w:rsid w:val="0070018E"/>
    <w:rsid w:val="007019D7"/>
    <w:rsid w:val="00701F8B"/>
    <w:rsid w:val="0070458D"/>
    <w:rsid w:val="00714E2D"/>
    <w:rsid w:val="0071541A"/>
    <w:rsid w:val="007236C4"/>
    <w:rsid w:val="00742015"/>
    <w:rsid w:val="00747BFE"/>
    <w:rsid w:val="007738C4"/>
    <w:rsid w:val="00783572"/>
    <w:rsid w:val="007901BE"/>
    <w:rsid w:val="007A4537"/>
    <w:rsid w:val="007A59E0"/>
    <w:rsid w:val="007B472D"/>
    <w:rsid w:val="007B61F4"/>
    <w:rsid w:val="007C1CE5"/>
    <w:rsid w:val="007D7B50"/>
    <w:rsid w:val="007E1F35"/>
    <w:rsid w:val="007F0B8A"/>
    <w:rsid w:val="007F34FE"/>
    <w:rsid w:val="007F658F"/>
    <w:rsid w:val="00807973"/>
    <w:rsid w:val="00807B25"/>
    <w:rsid w:val="008206F9"/>
    <w:rsid w:val="0082155F"/>
    <w:rsid w:val="008238B3"/>
    <w:rsid w:val="008374BD"/>
    <w:rsid w:val="00842FE6"/>
    <w:rsid w:val="00845946"/>
    <w:rsid w:val="00854498"/>
    <w:rsid w:val="00862480"/>
    <w:rsid w:val="008630EB"/>
    <w:rsid w:val="008718C2"/>
    <w:rsid w:val="008742A0"/>
    <w:rsid w:val="0087587A"/>
    <w:rsid w:val="00880C8A"/>
    <w:rsid w:val="00884D01"/>
    <w:rsid w:val="0088537B"/>
    <w:rsid w:val="0089340C"/>
    <w:rsid w:val="008A3B59"/>
    <w:rsid w:val="008A642F"/>
    <w:rsid w:val="008B3D0E"/>
    <w:rsid w:val="008C05AB"/>
    <w:rsid w:val="008C092A"/>
    <w:rsid w:val="008C1AA2"/>
    <w:rsid w:val="008D0B19"/>
    <w:rsid w:val="00907867"/>
    <w:rsid w:val="00911D49"/>
    <w:rsid w:val="00916535"/>
    <w:rsid w:val="00940762"/>
    <w:rsid w:val="009468DA"/>
    <w:rsid w:val="00955064"/>
    <w:rsid w:val="009560C8"/>
    <w:rsid w:val="00957E09"/>
    <w:rsid w:val="0096460F"/>
    <w:rsid w:val="009763CB"/>
    <w:rsid w:val="009871B8"/>
    <w:rsid w:val="009A367F"/>
    <w:rsid w:val="009B35ED"/>
    <w:rsid w:val="009B7654"/>
    <w:rsid w:val="009C661B"/>
    <w:rsid w:val="009D1BB6"/>
    <w:rsid w:val="009D5204"/>
    <w:rsid w:val="009E112A"/>
    <w:rsid w:val="00A01EFA"/>
    <w:rsid w:val="00A027CC"/>
    <w:rsid w:val="00A05641"/>
    <w:rsid w:val="00A064AD"/>
    <w:rsid w:val="00A14895"/>
    <w:rsid w:val="00A14F95"/>
    <w:rsid w:val="00A15ADE"/>
    <w:rsid w:val="00A25EA7"/>
    <w:rsid w:val="00A424FC"/>
    <w:rsid w:val="00A5475E"/>
    <w:rsid w:val="00A6064E"/>
    <w:rsid w:val="00A630E7"/>
    <w:rsid w:val="00A81006"/>
    <w:rsid w:val="00A81C05"/>
    <w:rsid w:val="00A8327D"/>
    <w:rsid w:val="00A8331D"/>
    <w:rsid w:val="00A8419C"/>
    <w:rsid w:val="00A85C99"/>
    <w:rsid w:val="00A87285"/>
    <w:rsid w:val="00A9348D"/>
    <w:rsid w:val="00AB2EB3"/>
    <w:rsid w:val="00AB3364"/>
    <w:rsid w:val="00AC71CC"/>
    <w:rsid w:val="00AD07BC"/>
    <w:rsid w:val="00AE2F80"/>
    <w:rsid w:val="00AE4D82"/>
    <w:rsid w:val="00B03BC9"/>
    <w:rsid w:val="00B12134"/>
    <w:rsid w:val="00B15C02"/>
    <w:rsid w:val="00B23DAE"/>
    <w:rsid w:val="00B27188"/>
    <w:rsid w:val="00B2774C"/>
    <w:rsid w:val="00B33546"/>
    <w:rsid w:val="00B3544C"/>
    <w:rsid w:val="00B46FA3"/>
    <w:rsid w:val="00B5660F"/>
    <w:rsid w:val="00B577E1"/>
    <w:rsid w:val="00B70A88"/>
    <w:rsid w:val="00B7410B"/>
    <w:rsid w:val="00B74921"/>
    <w:rsid w:val="00B755A0"/>
    <w:rsid w:val="00B75958"/>
    <w:rsid w:val="00B83391"/>
    <w:rsid w:val="00B90DDA"/>
    <w:rsid w:val="00B95534"/>
    <w:rsid w:val="00B95A72"/>
    <w:rsid w:val="00B95F61"/>
    <w:rsid w:val="00B97EFB"/>
    <w:rsid w:val="00BA207E"/>
    <w:rsid w:val="00BB021F"/>
    <w:rsid w:val="00BB24B4"/>
    <w:rsid w:val="00BC1259"/>
    <w:rsid w:val="00BC2EE0"/>
    <w:rsid w:val="00BC34E6"/>
    <w:rsid w:val="00BC57C4"/>
    <w:rsid w:val="00BC7421"/>
    <w:rsid w:val="00BD2946"/>
    <w:rsid w:val="00BF46B0"/>
    <w:rsid w:val="00C141C6"/>
    <w:rsid w:val="00C2377E"/>
    <w:rsid w:val="00C2644D"/>
    <w:rsid w:val="00C27510"/>
    <w:rsid w:val="00C42846"/>
    <w:rsid w:val="00C47608"/>
    <w:rsid w:val="00C50BCD"/>
    <w:rsid w:val="00C5282E"/>
    <w:rsid w:val="00C56801"/>
    <w:rsid w:val="00C6328E"/>
    <w:rsid w:val="00C725DB"/>
    <w:rsid w:val="00C93F4A"/>
    <w:rsid w:val="00CA2121"/>
    <w:rsid w:val="00CA38C6"/>
    <w:rsid w:val="00CB3383"/>
    <w:rsid w:val="00CB602E"/>
    <w:rsid w:val="00CC4A50"/>
    <w:rsid w:val="00CD155F"/>
    <w:rsid w:val="00CE55B3"/>
    <w:rsid w:val="00D10B7E"/>
    <w:rsid w:val="00D11952"/>
    <w:rsid w:val="00D135AB"/>
    <w:rsid w:val="00D21F86"/>
    <w:rsid w:val="00D251FE"/>
    <w:rsid w:val="00D31B51"/>
    <w:rsid w:val="00D41F2F"/>
    <w:rsid w:val="00D44340"/>
    <w:rsid w:val="00D449BA"/>
    <w:rsid w:val="00D515C6"/>
    <w:rsid w:val="00D579C0"/>
    <w:rsid w:val="00D62116"/>
    <w:rsid w:val="00D737FB"/>
    <w:rsid w:val="00D740DF"/>
    <w:rsid w:val="00D8104B"/>
    <w:rsid w:val="00D82DAB"/>
    <w:rsid w:val="00D9225C"/>
    <w:rsid w:val="00D936D7"/>
    <w:rsid w:val="00D96934"/>
    <w:rsid w:val="00DA415D"/>
    <w:rsid w:val="00DB3847"/>
    <w:rsid w:val="00DB3D8F"/>
    <w:rsid w:val="00DB54EA"/>
    <w:rsid w:val="00DB58DF"/>
    <w:rsid w:val="00DB6316"/>
    <w:rsid w:val="00DC65D3"/>
    <w:rsid w:val="00DD581B"/>
    <w:rsid w:val="00DE3971"/>
    <w:rsid w:val="00E06DBC"/>
    <w:rsid w:val="00E123F1"/>
    <w:rsid w:val="00E12677"/>
    <w:rsid w:val="00E14355"/>
    <w:rsid w:val="00E159D8"/>
    <w:rsid w:val="00E32672"/>
    <w:rsid w:val="00E36FB3"/>
    <w:rsid w:val="00E44755"/>
    <w:rsid w:val="00E53E63"/>
    <w:rsid w:val="00E61DF5"/>
    <w:rsid w:val="00E70632"/>
    <w:rsid w:val="00E845DF"/>
    <w:rsid w:val="00E901E7"/>
    <w:rsid w:val="00E9370D"/>
    <w:rsid w:val="00E951BA"/>
    <w:rsid w:val="00EC1F0A"/>
    <w:rsid w:val="00ED15F5"/>
    <w:rsid w:val="00ED5C0A"/>
    <w:rsid w:val="00EE0AF4"/>
    <w:rsid w:val="00EE2668"/>
    <w:rsid w:val="00EE33D9"/>
    <w:rsid w:val="00F06052"/>
    <w:rsid w:val="00F13CC0"/>
    <w:rsid w:val="00F2129A"/>
    <w:rsid w:val="00F25D1B"/>
    <w:rsid w:val="00F279AA"/>
    <w:rsid w:val="00F35317"/>
    <w:rsid w:val="00F47081"/>
    <w:rsid w:val="00F515A0"/>
    <w:rsid w:val="00F6472A"/>
    <w:rsid w:val="00F6526E"/>
    <w:rsid w:val="00F6596C"/>
    <w:rsid w:val="00F7069A"/>
    <w:rsid w:val="00F7083F"/>
    <w:rsid w:val="00F7270D"/>
    <w:rsid w:val="00F80520"/>
    <w:rsid w:val="00F91172"/>
    <w:rsid w:val="00F912F4"/>
    <w:rsid w:val="00F93F7F"/>
    <w:rsid w:val="00F94301"/>
    <w:rsid w:val="00F97D59"/>
    <w:rsid w:val="00FA2B98"/>
    <w:rsid w:val="00FA3E69"/>
    <w:rsid w:val="00FA5D24"/>
    <w:rsid w:val="00FB4864"/>
    <w:rsid w:val="00FC020C"/>
    <w:rsid w:val="00FC3C05"/>
    <w:rsid w:val="00FC5B89"/>
    <w:rsid w:val="00FD2749"/>
    <w:rsid w:val="00FE4BE0"/>
    <w:rsid w:val="00FF77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9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2EE0"/>
  </w:style>
  <w:style w:type="paragraph" w:styleId="Naslov1">
    <w:name w:val="heading 1"/>
    <w:basedOn w:val="Navaden"/>
    <w:next w:val="Navaden"/>
    <w:link w:val="Naslov1Znak"/>
    <w:uiPriority w:val="9"/>
    <w:qFormat/>
    <w:rsid w:val="007420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36D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B741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2E441B"/>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2E441B"/>
    <w:rPr>
      <w:rFonts w:eastAsiaTheme="minorEastAsia"/>
      <w:lang w:eastAsia="sl-SI"/>
    </w:rPr>
  </w:style>
  <w:style w:type="paragraph" w:styleId="Odstavekseznama">
    <w:name w:val="List Paragraph"/>
    <w:basedOn w:val="Navaden"/>
    <w:uiPriority w:val="34"/>
    <w:qFormat/>
    <w:rsid w:val="00FB4864"/>
    <w:pPr>
      <w:ind w:left="720"/>
      <w:contextualSpacing/>
    </w:pPr>
  </w:style>
  <w:style w:type="paragraph" w:styleId="Sprotnaopomba-besedilo">
    <w:name w:val="footnote text"/>
    <w:basedOn w:val="Navaden"/>
    <w:link w:val="Sprotnaopomba-besediloZnak"/>
    <w:uiPriority w:val="99"/>
    <w:semiHidden/>
    <w:unhideWhenUsed/>
    <w:rsid w:val="004F6C7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F6C7E"/>
    <w:rPr>
      <w:sz w:val="20"/>
      <w:szCs w:val="20"/>
    </w:rPr>
  </w:style>
  <w:style w:type="character" w:styleId="Sprotnaopomba-sklic">
    <w:name w:val="footnote reference"/>
    <w:basedOn w:val="Privzetapisavaodstavka"/>
    <w:uiPriority w:val="99"/>
    <w:semiHidden/>
    <w:unhideWhenUsed/>
    <w:rsid w:val="004F6C7E"/>
    <w:rPr>
      <w:vertAlign w:val="superscript"/>
    </w:rPr>
  </w:style>
  <w:style w:type="table" w:styleId="Tabelamrea">
    <w:name w:val="Table Grid"/>
    <w:basedOn w:val="Navadnatabela"/>
    <w:uiPriority w:val="39"/>
    <w:rsid w:val="00B1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95534"/>
    <w:pPr>
      <w:tabs>
        <w:tab w:val="center" w:pos="4536"/>
        <w:tab w:val="right" w:pos="9072"/>
      </w:tabs>
      <w:spacing w:after="0" w:line="240" w:lineRule="auto"/>
    </w:pPr>
  </w:style>
  <w:style w:type="character" w:customStyle="1" w:styleId="GlavaZnak">
    <w:name w:val="Glava Znak"/>
    <w:basedOn w:val="Privzetapisavaodstavka"/>
    <w:link w:val="Glava"/>
    <w:uiPriority w:val="99"/>
    <w:rsid w:val="00B95534"/>
  </w:style>
  <w:style w:type="paragraph" w:styleId="Noga">
    <w:name w:val="footer"/>
    <w:basedOn w:val="Navaden"/>
    <w:link w:val="NogaZnak"/>
    <w:uiPriority w:val="99"/>
    <w:unhideWhenUsed/>
    <w:rsid w:val="00B95534"/>
    <w:pPr>
      <w:tabs>
        <w:tab w:val="center" w:pos="4536"/>
        <w:tab w:val="right" w:pos="9072"/>
      </w:tabs>
      <w:spacing w:after="0" w:line="240" w:lineRule="auto"/>
    </w:pPr>
  </w:style>
  <w:style w:type="character" w:customStyle="1" w:styleId="NogaZnak">
    <w:name w:val="Noga Znak"/>
    <w:basedOn w:val="Privzetapisavaodstavka"/>
    <w:link w:val="Noga"/>
    <w:uiPriority w:val="99"/>
    <w:rsid w:val="00B95534"/>
  </w:style>
  <w:style w:type="table" w:customStyle="1" w:styleId="Tabelamrea1">
    <w:name w:val="Tabela – mreža1"/>
    <w:basedOn w:val="Navadnatabela"/>
    <w:next w:val="Tabelamrea"/>
    <w:uiPriority w:val="39"/>
    <w:rsid w:val="005D1702"/>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742015"/>
    <w:rPr>
      <w:rFonts w:asciiTheme="majorHAnsi" w:eastAsiaTheme="majorEastAsia" w:hAnsiTheme="majorHAnsi" w:cstheme="majorBidi"/>
      <w:color w:val="2E74B5" w:themeColor="accent1" w:themeShade="BF"/>
      <w:sz w:val="32"/>
      <w:szCs w:val="32"/>
    </w:rPr>
  </w:style>
  <w:style w:type="paragraph" w:styleId="NaslovTOC">
    <w:name w:val="TOC Heading"/>
    <w:basedOn w:val="Naslov1"/>
    <w:next w:val="Navaden"/>
    <w:uiPriority w:val="39"/>
    <w:unhideWhenUsed/>
    <w:qFormat/>
    <w:rsid w:val="00742015"/>
    <w:pPr>
      <w:outlineLvl w:val="9"/>
    </w:pPr>
    <w:rPr>
      <w:lang w:eastAsia="sl-SI"/>
    </w:rPr>
  </w:style>
  <w:style w:type="paragraph" w:styleId="Kazalovsebine2">
    <w:name w:val="toc 2"/>
    <w:basedOn w:val="Navaden"/>
    <w:next w:val="Navaden"/>
    <w:autoRedefine/>
    <w:uiPriority w:val="39"/>
    <w:unhideWhenUsed/>
    <w:rsid w:val="00742015"/>
    <w:pPr>
      <w:spacing w:after="100"/>
      <w:ind w:left="220"/>
    </w:pPr>
  </w:style>
  <w:style w:type="character" w:styleId="Hiperpovezava">
    <w:name w:val="Hyperlink"/>
    <w:basedOn w:val="Privzetapisavaodstavka"/>
    <w:uiPriority w:val="99"/>
    <w:unhideWhenUsed/>
    <w:rsid w:val="00742015"/>
    <w:rPr>
      <w:color w:val="0563C1" w:themeColor="hyperlink"/>
      <w:u w:val="single"/>
    </w:rPr>
  </w:style>
  <w:style w:type="paragraph" w:styleId="Kazalovsebine1">
    <w:name w:val="toc 1"/>
    <w:basedOn w:val="Navaden"/>
    <w:next w:val="Navaden"/>
    <w:autoRedefine/>
    <w:uiPriority w:val="39"/>
    <w:unhideWhenUsed/>
    <w:rsid w:val="00742015"/>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742015"/>
    <w:pPr>
      <w:spacing w:after="100"/>
      <w:ind w:left="440"/>
    </w:pPr>
    <w:rPr>
      <w:rFonts w:eastAsiaTheme="minorEastAsia" w:cs="Times New Roman"/>
      <w:lang w:eastAsia="sl-SI"/>
    </w:rPr>
  </w:style>
  <w:style w:type="character" w:customStyle="1" w:styleId="Naslov2Znak">
    <w:name w:val="Naslov 2 Znak"/>
    <w:basedOn w:val="Privzetapisavaodstavka"/>
    <w:link w:val="Naslov2"/>
    <w:uiPriority w:val="9"/>
    <w:rsid w:val="00136D59"/>
    <w:rPr>
      <w:rFonts w:asciiTheme="majorHAnsi" w:eastAsiaTheme="majorEastAsia" w:hAnsiTheme="majorHAnsi" w:cstheme="majorBidi"/>
      <w:color w:val="2E74B5" w:themeColor="accent1" w:themeShade="BF"/>
      <w:sz w:val="26"/>
      <w:szCs w:val="26"/>
    </w:rPr>
  </w:style>
  <w:style w:type="character" w:styleId="Pripombasklic">
    <w:name w:val="annotation reference"/>
    <w:basedOn w:val="Privzetapisavaodstavka"/>
    <w:uiPriority w:val="99"/>
    <w:semiHidden/>
    <w:unhideWhenUsed/>
    <w:rsid w:val="00146BC9"/>
    <w:rPr>
      <w:sz w:val="16"/>
      <w:szCs w:val="16"/>
    </w:rPr>
  </w:style>
  <w:style w:type="paragraph" w:styleId="Pripombabesedilo">
    <w:name w:val="annotation text"/>
    <w:basedOn w:val="Navaden"/>
    <w:link w:val="PripombabesediloZnak"/>
    <w:uiPriority w:val="99"/>
    <w:unhideWhenUsed/>
    <w:rsid w:val="00146BC9"/>
    <w:pPr>
      <w:spacing w:line="240" w:lineRule="auto"/>
    </w:pPr>
    <w:rPr>
      <w:sz w:val="20"/>
      <w:szCs w:val="20"/>
    </w:rPr>
  </w:style>
  <w:style w:type="character" w:customStyle="1" w:styleId="PripombabesediloZnak">
    <w:name w:val="Pripomba – besedilo Znak"/>
    <w:basedOn w:val="Privzetapisavaodstavka"/>
    <w:link w:val="Pripombabesedilo"/>
    <w:uiPriority w:val="99"/>
    <w:rsid w:val="00146BC9"/>
    <w:rPr>
      <w:sz w:val="20"/>
      <w:szCs w:val="20"/>
    </w:rPr>
  </w:style>
  <w:style w:type="paragraph" w:styleId="Zadevapripombe">
    <w:name w:val="annotation subject"/>
    <w:basedOn w:val="Pripombabesedilo"/>
    <w:next w:val="Pripombabesedilo"/>
    <w:link w:val="ZadevapripombeZnak"/>
    <w:uiPriority w:val="99"/>
    <w:semiHidden/>
    <w:unhideWhenUsed/>
    <w:rsid w:val="00146BC9"/>
    <w:rPr>
      <w:b/>
      <w:bCs/>
    </w:rPr>
  </w:style>
  <w:style w:type="character" w:customStyle="1" w:styleId="ZadevapripombeZnak">
    <w:name w:val="Zadeva pripombe Znak"/>
    <w:basedOn w:val="PripombabesediloZnak"/>
    <w:link w:val="Zadevapripombe"/>
    <w:uiPriority w:val="99"/>
    <w:semiHidden/>
    <w:rsid w:val="00146BC9"/>
    <w:rPr>
      <w:b/>
      <w:bCs/>
      <w:sz w:val="20"/>
      <w:szCs w:val="20"/>
    </w:rPr>
  </w:style>
  <w:style w:type="paragraph" w:styleId="Besedilooblaka">
    <w:name w:val="Balloon Text"/>
    <w:basedOn w:val="Navaden"/>
    <w:link w:val="BesedilooblakaZnak"/>
    <w:uiPriority w:val="99"/>
    <w:semiHidden/>
    <w:unhideWhenUsed/>
    <w:rsid w:val="00FA3E6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A3E69"/>
    <w:rPr>
      <w:rFonts w:ascii="Segoe UI" w:hAnsi="Segoe UI" w:cs="Segoe UI"/>
      <w:sz w:val="18"/>
      <w:szCs w:val="18"/>
    </w:rPr>
  </w:style>
  <w:style w:type="paragraph" w:styleId="Podnaslov">
    <w:name w:val="Subtitle"/>
    <w:basedOn w:val="Navaden"/>
    <w:next w:val="Navaden"/>
    <w:link w:val="PodnaslovZnak"/>
    <w:uiPriority w:val="11"/>
    <w:qFormat/>
    <w:rsid w:val="00B7410B"/>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B7410B"/>
    <w:rPr>
      <w:rFonts w:eastAsiaTheme="minorEastAsia"/>
      <w:color w:val="5A5A5A" w:themeColor="text1" w:themeTint="A5"/>
      <w:spacing w:val="15"/>
    </w:rPr>
  </w:style>
  <w:style w:type="character" w:customStyle="1" w:styleId="Naslov3Znak">
    <w:name w:val="Naslov 3 Znak"/>
    <w:basedOn w:val="Privzetapisavaodstavka"/>
    <w:link w:val="Naslov3"/>
    <w:uiPriority w:val="9"/>
    <w:rsid w:val="00B7410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42087">
      <w:bodyDiv w:val="1"/>
      <w:marLeft w:val="0"/>
      <w:marRight w:val="0"/>
      <w:marTop w:val="0"/>
      <w:marBottom w:val="0"/>
      <w:divBdr>
        <w:top w:val="none" w:sz="0" w:space="0" w:color="auto"/>
        <w:left w:val="none" w:sz="0" w:space="0" w:color="auto"/>
        <w:bottom w:val="none" w:sz="0" w:space="0" w:color="auto"/>
        <w:right w:val="none" w:sz="0" w:space="0" w:color="auto"/>
      </w:divBdr>
    </w:div>
    <w:div w:id="755171837">
      <w:bodyDiv w:val="1"/>
      <w:marLeft w:val="0"/>
      <w:marRight w:val="0"/>
      <w:marTop w:val="0"/>
      <w:marBottom w:val="0"/>
      <w:divBdr>
        <w:top w:val="none" w:sz="0" w:space="0" w:color="auto"/>
        <w:left w:val="none" w:sz="0" w:space="0" w:color="auto"/>
        <w:bottom w:val="none" w:sz="0" w:space="0" w:color="auto"/>
        <w:right w:val="none" w:sz="0" w:space="0" w:color="auto"/>
      </w:divBdr>
      <w:divsChild>
        <w:div w:id="642465294">
          <w:marLeft w:val="547"/>
          <w:marRight w:val="0"/>
          <w:marTop w:val="0"/>
          <w:marBottom w:val="0"/>
          <w:divBdr>
            <w:top w:val="none" w:sz="0" w:space="0" w:color="auto"/>
            <w:left w:val="none" w:sz="0" w:space="0" w:color="auto"/>
            <w:bottom w:val="none" w:sz="0" w:space="0" w:color="auto"/>
            <w:right w:val="none" w:sz="0" w:space="0" w:color="auto"/>
          </w:divBdr>
        </w:div>
      </w:divsChild>
    </w:div>
    <w:div w:id="76966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83"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237491-EAE1-423C-94C7-C220904D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16358</Words>
  <Characters>93247</Characters>
  <Application>Microsoft Office Word</Application>
  <DocSecurity>0</DocSecurity>
  <Lines>777</Lines>
  <Paragraphs>218</Paragraphs>
  <ScaleCrop>false</ScaleCrop>
  <HeadingPairs>
    <vt:vector size="4" baseType="variant">
      <vt:variant>
        <vt:lpstr>Naslov</vt:lpstr>
      </vt:variant>
      <vt:variant>
        <vt:i4>1</vt:i4>
      </vt:variant>
      <vt:variant>
        <vt:lpstr>Podnaslovi</vt:lpstr>
      </vt:variant>
      <vt:variant>
        <vt:i4>50</vt:i4>
      </vt:variant>
    </vt:vector>
  </HeadingPairs>
  <TitlesOfParts>
    <vt:vector size="51" baseType="lpstr">
      <vt:lpstr/>
      <vt:lpstr>IZHODIŠČA</vt:lpstr>
      <vt:lpstr>    </vt:lpstr>
      <vt:lpstr>    Strateška izhodišča za spodbujanje uporabe obnovljivih virov energije podrobneje</vt:lpstr>
      <vt:lpstr>    </vt:lpstr>
      <vt:lpstr>    Poleg tega strateška izhodišča tudi predvidevajo institucionalizacijo inovativne</vt:lpstr>
      <vt:lpstr>    </vt:lpstr>
      <vt:lpstr>    Priprava strateških izhodišč temelji na ugotovitvah in priporočilih, ki jih je E</vt:lpstr>
      <vt:lpstr>    </vt:lpstr>
      <vt:lpstr>    V CSR 2019 navaja: Ekonomsko politiko v zvezi z naložbami naj se osredotoči na r</vt:lpstr>
      <vt:lpstr>    </vt:lpstr>
      <vt:lpstr>    </vt:lpstr>
      <vt:lpstr>IZZIVI</vt:lpstr>
      <vt:lpstr>CILJI</vt:lpstr>
      <vt:lpstr>    </vt:lpstr>
      <vt:lpstr>    Za doseganje ambicioznih ciljev energetske in podnebne politike zasledujemo cilj</vt:lpstr>
      <vt:lpstr>    </vt:lpstr>
      <vt:lpstr>    V prvi skupini ukrepov je mogoče doseči cilje s pospešenim razvojem in posodobit</vt:lpstr>
      <vt:lpstr>    njegovo večjo jakost, odpornost proti motnjam in naprednost, </vt:lpstr>
      <vt:lpstr>    izkoriščanje prožnosti virov in bremen, saj takšno omrežje predstavlja temelj pr</vt:lpstr>
      <vt:lpstr>    pospešeno priključevanje toplotnih črpalk, </vt:lpstr>
      <vt:lpstr>    izpolnjevanje zahtev povezanih s pospešenim uvajanjem trajnostne in e-mobilnosti</vt:lpstr>
      <vt:lpstr>    pospešeno integracijo naprav za proizvodnjo energije iz OVE, </vt:lpstr>
      <vt:lpstr>    na področju daljinskih sistemov pa je priložnost v odpiranju daljinskih sistemov</vt:lpstr>
      <vt:lpstr>STRATEŠKA IZHODIŠČA KOT USMERITVE ZA REFORMO ENERGETSKE UČINKOVITOSTI V GOSPODAR</vt:lpstr>
      <vt:lpstr>    IV.1. Krepitev tržnega mehanizma za spodbujanje proizvodnje in uporabe OVE kot s</vt:lpstr>
      <vt:lpstr>        IV.1.1. Tržni mehanizem za povečanje dostopa na trg za ponudnike in povečanje do</vt:lpstr>
      <vt:lpstr>        IV.1.2. Podporni finančni mehanizem za reinvestiranje prihrankov zaradi doseganj</vt:lpstr>
      <vt:lpstr>        IV.1.3.  Priprava strategije energetskega upravljanja v podjetju kot eno od orod</vt:lpstr>
      <vt:lpstr>        IV.1.3.1  Podatki kot eden najpomembnejših elementov pri pripravi strategije ene</vt:lpstr>
      <vt:lpstr>        IV.1.4. Uporaba naprednih tehnologij s poudarkom na krepitvi učinkovitosti energ</vt:lpstr>
      <vt:lpstr>        IV.1.5. Strateška izhodišča, cilji in vrednost projekta</vt:lpstr>
      <vt:lpstr>    </vt:lpstr>
      <vt:lpstr>    </vt:lpstr>
      <vt:lpstr>    IV.2. Krepitev energetske učinkovitosti z vidika oblikovanja tehnološke rešitve </vt:lpstr>
      <vt:lpstr>        IV.2.1. Ozadje</vt:lpstr>
      <vt:lpstr>        IV.2.2. Napredne digitalne tehnologije kot orodje za zmanjšanje emisij toplogred</vt:lpstr>
      <vt:lpstr>        IV.2.3. Opredelitev modela – orodja za podporo registru kuponov za trgovanje z e</vt:lpstr>
      <vt:lpstr>        IV.2.4. Strateška izhodišča, cilji in vrednost projekta</vt:lpstr>
      <vt:lpstr>    IV.3. Krepitev energetske učinkovitosti v industriji, še posebej na področju inv</vt:lpstr>
      <vt:lpstr>        IV.3.1. Ozadje</vt:lpstr>
      <vt:lpstr>        IV.3.2. Napredne digitalne tehnologije kot orodje za učinkovito implementacijo m</vt:lpstr>
      <vt:lpstr>        IV.3.3. Opredelitev modela BIM v navezavi na napredne digitalne tehnologije za d</vt:lpstr>
      <vt:lpstr>        </vt:lpstr>
      <vt:lpstr>        IV.3.4. Strateška izhodišča, cilji in vrednost projekta</vt:lpstr>
      <vt:lpstr>    IV.4. Vzpostavitev testnega laboratorija za regulatorne rešitve za hitrejšo inte</vt:lpstr>
      <vt:lpstr>        IV.4.1  Okvir za vzpostavitev testnega laboratorija </vt:lpstr>
      <vt:lpstr>        IV.4.2  Cilji in načela testnega laboratorija </vt:lpstr>
      <vt:lpstr>        </vt:lpstr>
      <vt:lpstr>        IV.4.3.  Vzpostavitev testnega laboratorija </vt:lpstr>
      <vt:lpstr>        IV.4.4.  Proces testiranja in evalvacije inovativne tehnološke rešitve v testnem</vt:lpstr>
    </vt:vector>
  </TitlesOfParts>
  <LinksUpToDate>false</LinksUpToDate>
  <CharactersWithSpaces>109387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2022-12-13T12:05:00Z</dcterms:created>
  <dcterms:modified xsi:type="dcterms:W3CDTF">2022-12-13T12:05:00Z</dcterms:modified>
</cp:coreProperties>
</file>