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D9FE" w14:textId="77777777" w:rsidR="00290416" w:rsidRDefault="00290416" w:rsidP="00D10437">
      <w:pPr>
        <w:pStyle w:val="Naslov"/>
        <w:jc w:val="both"/>
        <w:rPr>
          <w:rFonts w:ascii="Arial" w:hAnsi="Arial" w:cs="Arial"/>
          <w:b/>
          <w:sz w:val="24"/>
          <w:szCs w:val="24"/>
        </w:rPr>
      </w:pPr>
      <w:r w:rsidRPr="00B52506">
        <w:rPr>
          <w:rFonts w:ascii="Arial" w:hAnsi="Arial" w:cs="Arial"/>
          <w:b/>
          <w:sz w:val="24"/>
          <w:szCs w:val="24"/>
        </w:rPr>
        <w:t>VPRAŠANJA IN ODGOVORI</w:t>
      </w:r>
    </w:p>
    <w:p w14:paraId="19F7BE29" w14:textId="77777777" w:rsidR="00C4148F" w:rsidRPr="00C4148F" w:rsidRDefault="00C4148F" w:rsidP="00D10437">
      <w:pPr>
        <w:spacing w:line="240" w:lineRule="auto"/>
      </w:pPr>
    </w:p>
    <w:p w14:paraId="544B9071" w14:textId="30732B27" w:rsidR="00A3129A" w:rsidRPr="00765861" w:rsidRDefault="00765861" w:rsidP="00D10437">
      <w:pPr>
        <w:spacing w:line="240" w:lineRule="auto"/>
        <w:jc w:val="both"/>
        <w:rPr>
          <w:rFonts w:cs="Arial"/>
          <w:b/>
          <w:sz w:val="22"/>
          <w:szCs w:val="28"/>
        </w:rPr>
      </w:pPr>
      <w:r w:rsidRPr="00765861">
        <w:rPr>
          <w:rFonts w:cs="Arial"/>
          <w:b/>
          <w:sz w:val="22"/>
          <w:szCs w:val="28"/>
        </w:rPr>
        <w:t>JAVNI RAZPIS ZA VZPOSTAVITEV IN DELOVANJE SLOVENSKEGA CENTRA ZA KROŽNO GOSPODARSTVO –</w:t>
      </w:r>
      <w:r>
        <w:rPr>
          <w:rFonts w:cs="Arial"/>
          <w:b/>
          <w:sz w:val="22"/>
          <w:szCs w:val="28"/>
        </w:rPr>
        <w:t xml:space="preserve"> </w:t>
      </w:r>
      <w:r w:rsidRPr="00765861">
        <w:rPr>
          <w:rFonts w:cs="Arial"/>
          <w:b/>
          <w:sz w:val="22"/>
          <w:szCs w:val="28"/>
        </w:rPr>
        <w:t>ZA ZELENI, USTVARJALNI IN PAMETNI RAZVOJ</w:t>
      </w:r>
    </w:p>
    <w:p w14:paraId="71F11165" w14:textId="77777777" w:rsidR="00260B9E" w:rsidRPr="00825410" w:rsidRDefault="00290416" w:rsidP="00D10437">
      <w:pPr>
        <w:spacing w:line="240" w:lineRule="auto"/>
        <w:jc w:val="both"/>
        <w:rPr>
          <w:rFonts w:cs="Arial"/>
          <w:szCs w:val="20"/>
        </w:rPr>
      </w:pPr>
      <w:r w:rsidRPr="00825410">
        <w:rPr>
          <w:rFonts w:cs="Arial"/>
          <w:szCs w:val="20"/>
        </w:rPr>
        <w:t>Opomba:</w:t>
      </w:r>
      <w:r w:rsidR="00085828" w:rsidRPr="00825410">
        <w:rPr>
          <w:rFonts w:cs="Arial"/>
          <w:szCs w:val="20"/>
        </w:rPr>
        <w:t xml:space="preserve"> </w:t>
      </w:r>
      <w:r w:rsidRPr="00825410">
        <w:rPr>
          <w:rFonts w:cs="Arial"/>
          <w:szCs w:val="20"/>
        </w:rPr>
        <w:t>V primeru, da se vprašanja potencialnih prijaviteljev podvajajo, bo odgovor podan le enkrat, zato vsem potencialnim prijaviteljem svetujemo, da redno spremljajo vprašanja in odgovore na tem mestu.</w:t>
      </w:r>
    </w:p>
    <w:p w14:paraId="4835416F" w14:textId="6B791495" w:rsidR="009D2B5D" w:rsidRPr="00825410" w:rsidRDefault="009D2B5D" w:rsidP="00D10437">
      <w:pPr>
        <w:pStyle w:val="Naslov1"/>
        <w:spacing w:line="240" w:lineRule="auto"/>
        <w:jc w:val="both"/>
        <w:rPr>
          <w:rFonts w:ascii="Arial" w:hAnsi="Arial" w:cs="Arial"/>
          <w:b/>
          <w:bCs/>
          <w:color w:val="auto"/>
          <w:sz w:val="20"/>
          <w:szCs w:val="20"/>
          <w:u w:val="single"/>
        </w:rPr>
      </w:pPr>
      <w:r w:rsidRPr="00825410">
        <w:rPr>
          <w:rFonts w:ascii="Arial" w:hAnsi="Arial" w:cs="Arial"/>
          <w:b/>
          <w:bCs/>
          <w:color w:val="auto"/>
          <w:sz w:val="20"/>
          <w:szCs w:val="20"/>
          <w:u w:val="single"/>
        </w:rPr>
        <w:t>Vprašanja in odgovori</w:t>
      </w:r>
      <w:r w:rsidR="00EC2915">
        <w:rPr>
          <w:rFonts w:ascii="Arial" w:hAnsi="Arial" w:cs="Arial"/>
          <w:b/>
          <w:bCs/>
          <w:color w:val="auto"/>
          <w:sz w:val="20"/>
          <w:szCs w:val="20"/>
          <w:u w:val="single"/>
        </w:rPr>
        <w:t>,</w:t>
      </w:r>
      <w:r w:rsidRPr="00825410">
        <w:rPr>
          <w:rFonts w:ascii="Arial" w:hAnsi="Arial" w:cs="Arial"/>
          <w:b/>
          <w:bCs/>
          <w:color w:val="auto"/>
          <w:sz w:val="20"/>
          <w:szCs w:val="20"/>
          <w:u w:val="single"/>
        </w:rPr>
        <w:t xml:space="preserve"> objavljeni na dan </w:t>
      </w:r>
      <w:r w:rsidR="00C4148F" w:rsidRPr="00825410">
        <w:rPr>
          <w:rFonts w:ascii="Arial" w:hAnsi="Arial" w:cs="Arial"/>
          <w:b/>
          <w:bCs/>
          <w:color w:val="auto"/>
          <w:sz w:val="20"/>
          <w:szCs w:val="20"/>
          <w:u w:val="single"/>
        </w:rPr>
        <w:t>1</w:t>
      </w:r>
      <w:r w:rsidR="0022070B">
        <w:rPr>
          <w:rFonts w:ascii="Arial" w:hAnsi="Arial" w:cs="Arial"/>
          <w:b/>
          <w:bCs/>
          <w:color w:val="auto"/>
          <w:sz w:val="20"/>
          <w:szCs w:val="20"/>
          <w:u w:val="single"/>
        </w:rPr>
        <w:t>5</w:t>
      </w:r>
      <w:r w:rsidRPr="00825410">
        <w:rPr>
          <w:rFonts w:ascii="Arial" w:hAnsi="Arial" w:cs="Arial"/>
          <w:b/>
          <w:bCs/>
          <w:color w:val="auto"/>
          <w:sz w:val="20"/>
          <w:szCs w:val="20"/>
          <w:u w:val="single"/>
        </w:rPr>
        <w:t xml:space="preserve">. </w:t>
      </w:r>
      <w:r w:rsidR="00765861">
        <w:rPr>
          <w:rFonts w:ascii="Arial" w:hAnsi="Arial" w:cs="Arial"/>
          <w:b/>
          <w:bCs/>
          <w:color w:val="auto"/>
          <w:sz w:val="20"/>
          <w:szCs w:val="20"/>
          <w:u w:val="single"/>
        </w:rPr>
        <w:t>5</w:t>
      </w:r>
      <w:r w:rsidRPr="00825410">
        <w:rPr>
          <w:rFonts w:ascii="Arial" w:hAnsi="Arial" w:cs="Arial"/>
          <w:b/>
          <w:bCs/>
          <w:color w:val="auto"/>
          <w:sz w:val="20"/>
          <w:szCs w:val="20"/>
          <w:u w:val="single"/>
        </w:rPr>
        <w:t>. 202</w:t>
      </w:r>
      <w:r w:rsidR="00C4148F" w:rsidRPr="00825410">
        <w:rPr>
          <w:rFonts w:ascii="Arial" w:hAnsi="Arial" w:cs="Arial"/>
          <w:b/>
          <w:bCs/>
          <w:color w:val="auto"/>
          <w:sz w:val="20"/>
          <w:szCs w:val="20"/>
          <w:u w:val="single"/>
        </w:rPr>
        <w:t>4</w:t>
      </w:r>
    </w:p>
    <w:p w14:paraId="3E1C0EF9" w14:textId="77777777" w:rsidR="009D2B5D" w:rsidRPr="00825410" w:rsidRDefault="009D2B5D" w:rsidP="00D10437">
      <w:pPr>
        <w:pStyle w:val="datumtevilka"/>
        <w:spacing w:line="240" w:lineRule="auto"/>
        <w:jc w:val="both"/>
        <w:rPr>
          <w:rFonts w:cs="Arial"/>
          <w:i/>
        </w:rPr>
      </w:pPr>
    </w:p>
    <w:p w14:paraId="04CB4CAD" w14:textId="6DEE0058" w:rsidR="00C4148F" w:rsidRPr="00765861" w:rsidRDefault="00765861" w:rsidP="00D10437">
      <w:pPr>
        <w:spacing w:line="240" w:lineRule="auto"/>
        <w:jc w:val="both"/>
        <w:rPr>
          <w:rFonts w:cs="Arial"/>
          <w:i/>
          <w:szCs w:val="20"/>
        </w:rPr>
      </w:pPr>
      <w:r w:rsidRPr="00765861">
        <w:rPr>
          <w:rFonts w:cs="Arial"/>
          <w:b/>
          <w:bCs/>
          <w:i/>
          <w:szCs w:val="20"/>
        </w:rPr>
        <w:t>1.</w:t>
      </w:r>
      <w:r>
        <w:rPr>
          <w:rFonts w:cs="Arial"/>
          <w:b/>
          <w:bCs/>
          <w:i/>
          <w:szCs w:val="20"/>
        </w:rPr>
        <w:t xml:space="preserve"> </w:t>
      </w:r>
      <w:r w:rsidR="00D32ED3" w:rsidRPr="00D32ED3">
        <w:rPr>
          <w:rFonts w:cs="Arial"/>
          <w:i/>
          <w:szCs w:val="20"/>
        </w:rPr>
        <w:t>»</w:t>
      </w:r>
      <w:r w:rsidRPr="00765861">
        <w:rPr>
          <w:rFonts w:cs="Arial"/>
          <w:i/>
          <w:szCs w:val="20"/>
        </w:rPr>
        <w:t xml:space="preserve">Zanima me ali obstaja kakšen projekt ali razpis za že obstoječa podjetja katera aktivno poslujejo v okviru krožnega gospodarstva?/…/Zato me zanima ali obstajajo kakšne vzpodbude (ministrstev, občine, </w:t>
      </w:r>
      <w:proofErr w:type="spellStart"/>
      <w:r w:rsidRPr="00765861">
        <w:rPr>
          <w:rFonts w:cs="Arial"/>
          <w:i/>
          <w:szCs w:val="20"/>
        </w:rPr>
        <w:t>ip</w:t>
      </w:r>
      <w:proofErr w:type="spellEnd"/>
      <w:r w:rsidRPr="00765861">
        <w:rPr>
          <w:rFonts w:cs="Arial"/>
          <w:i/>
          <w:szCs w:val="20"/>
        </w:rPr>
        <w:t>.) ali promocije tovrstnih posameznikov v naši podravski regiji?</w:t>
      </w:r>
      <w:r w:rsidR="00D32ED3">
        <w:rPr>
          <w:rFonts w:cs="Arial"/>
          <w:i/>
          <w:szCs w:val="20"/>
        </w:rPr>
        <w:t>«</w:t>
      </w:r>
    </w:p>
    <w:p w14:paraId="50D45728" w14:textId="77777777" w:rsidR="00765861" w:rsidRDefault="00765861" w:rsidP="00D10437">
      <w:pPr>
        <w:spacing w:line="240" w:lineRule="auto"/>
        <w:jc w:val="both"/>
        <w:rPr>
          <w:rFonts w:cs="Arial"/>
          <w:b/>
          <w:bCs/>
          <w:szCs w:val="20"/>
        </w:rPr>
      </w:pPr>
    </w:p>
    <w:p w14:paraId="4E128DB0" w14:textId="23F032AA" w:rsidR="00AA225C" w:rsidRDefault="00AA225C" w:rsidP="00D10437">
      <w:pPr>
        <w:spacing w:line="240" w:lineRule="auto"/>
        <w:jc w:val="both"/>
        <w:rPr>
          <w:rFonts w:cs="Arial"/>
          <w:b/>
          <w:bCs/>
          <w:szCs w:val="20"/>
        </w:rPr>
      </w:pPr>
      <w:r w:rsidRPr="00825410">
        <w:rPr>
          <w:rFonts w:cs="Arial"/>
          <w:b/>
          <w:bCs/>
          <w:szCs w:val="20"/>
        </w:rPr>
        <w:t>ODGOVOR:</w:t>
      </w:r>
    </w:p>
    <w:p w14:paraId="1E421218" w14:textId="77777777" w:rsidR="00765861" w:rsidRPr="00825410" w:rsidRDefault="00765861" w:rsidP="00D10437">
      <w:pPr>
        <w:spacing w:line="240" w:lineRule="auto"/>
        <w:jc w:val="both"/>
        <w:rPr>
          <w:rFonts w:cs="Arial"/>
          <w:b/>
          <w:bCs/>
          <w:szCs w:val="20"/>
        </w:rPr>
      </w:pPr>
    </w:p>
    <w:p w14:paraId="46A7C92B" w14:textId="77777777" w:rsidR="00765861" w:rsidRPr="00E314DD" w:rsidRDefault="00765861" w:rsidP="00D10437">
      <w:pPr>
        <w:pStyle w:val="Brezrazmikov"/>
        <w:shd w:val="clear" w:color="auto" w:fill="FFFFFF" w:themeFill="background1"/>
        <w:jc w:val="both"/>
        <w:rPr>
          <w:rFonts w:cs="Arial"/>
          <w:szCs w:val="20"/>
        </w:rPr>
      </w:pPr>
      <w:r w:rsidRPr="00E314DD">
        <w:rPr>
          <w:rFonts w:cs="Arial"/>
          <w:szCs w:val="20"/>
        </w:rPr>
        <w:t>V skladu z določili javnega razpisa glede varovanja osebnih podatkov in poslovnih skrivnosti vprašanja ne objavljamo v celoti, odgovor pa podajamo v nadaljevanju.</w:t>
      </w:r>
    </w:p>
    <w:p w14:paraId="47FC1646" w14:textId="77777777" w:rsidR="00CA1CA3" w:rsidRPr="00825410" w:rsidRDefault="00CA1CA3" w:rsidP="00D10437">
      <w:pPr>
        <w:spacing w:line="240" w:lineRule="auto"/>
        <w:jc w:val="both"/>
        <w:rPr>
          <w:rFonts w:cs="Arial"/>
          <w:b/>
          <w:bCs/>
          <w:szCs w:val="20"/>
        </w:rPr>
      </w:pPr>
    </w:p>
    <w:p w14:paraId="023C8F02" w14:textId="77777777" w:rsidR="00486824" w:rsidRDefault="00765861" w:rsidP="00D10437">
      <w:pPr>
        <w:pStyle w:val="Brezrazmikov"/>
        <w:shd w:val="clear" w:color="auto" w:fill="FFFFFF" w:themeFill="background1"/>
        <w:jc w:val="both"/>
        <w:rPr>
          <w:rFonts w:cs="Arial"/>
          <w:szCs w:val="20"/>
        </w:rPr>
      </w:pPr>
      <w:r w:rsidRPr="00765861">
        <w:rPr>
          <w:rFonts w:cs="Arial"/>
          <w:szCs w:val="20"/>
        </w:rPr>
        <w:t xml:space="preserve">Ministrstvo za gospodarstvo, turizem in šport je februarja letos objavilo </w:t>
      </w:r>
      <w:hyperlink r:id="rId8" w:history="1">
        <w:r w:rsidRPr="00615868">
          <w:rPr>
            <w:rStyle w:val="Hiperpovezava"/>
            <w:rFonts w:cs="Arial"/>
            <w:szCs w:val="20"/>
          </w:rPr>
          <w:t>Načrt razvojnih spodbud za leto 2024</w:t>
        </w:r>
      </w:hyperlink>
      <w:r w:rsidRPr="00765861">
        <w:rPr>
          <w:rFonts w:cs="Arial"/>
          <w:szCs w:val="20"/>
        </w:rPr>
        <w:t>, iz katerega so razvidne vse načrtovane spodbude, ki jih načrtujemo za letošnje leto, med drugim tudi za krožno gospodarstvo. Spodbude, ki jih načrtujemo in izvajamo, se večinoma izvajajo na nacionalni ravni, brez razlikovanja med regijami. Izjeme so nekateri ukrepi, ki se izvajajo za točno določene regije, kot so na primer načrtovani ukrepi iz naslova Sklada za pravični prehod, ki se osredotočajo na prestrukturiranje v Zasavski in SAŠA regiji.</w:t>
      </w:r>
      <w:r w:rsidR="00486824">
        <w:rPr>
          <w:rFonts w:cs="Arial"/>
          <w:szCs w:val="20"/>
        </w:rPr>
        <w:t xml:space="preserve"> </w:t>
      </w:r>
    </w:p>
    <w:p w14:paraId="3200B944" w14:textId="77777777" w:rsidR="00486824" w:rsidRDefault="00486824" w:rsidP="00D10437">
      <w:pPr>
        <w:pStyle w:val="Brezrazmikov"/>
        <w:shd w:val="clear" w:color="auto" w:fill="FFFFFF" w:themeFill="background1"/>
        <w:jc w:val="both"/>
        <w:rPr>
          <w:rFonts w:cs="Arial"/>
          <w:szCs w:val="20"/>
        </w:rPr>
      </w:pPr>
    </w:p>
    <w:p w14:paraId="5618329E" w14:textId="77777777" w:rsidR="00486824" w:rsidRDefault="00486824" w:rsidP="00D10437">
      <w:pPr>
        <w:pStyle w:val="Brezrazmikov"/>
        <w:shd w:val="clear" w:color="auto" w:fill="FFFFFF" w:themeFill="background1"/>
        <w:jc w:val="both"/>
        <w:rPr>
          <w:rFonts w:cs="Arial"/>
          <w:szCs w:val="20"/>
        </w:rPr>
      </w:pPr>
      <w:r>
        <w:rPr>
          <w:rFonts w:cs="Arial"/>
          <w:szCs w:val="20"/>
        </w:rPr>
        <w:t>Glede razpisov občin nimamo zbranih informacij. Predlagamo, da se obrnete na občino, kjer izvajate svojo dejavnost.</w:t>
      </w:r>
    </w:p>
    <w:p w14:paraId="4EA2B57A" w14:textId="2AA9FB3E" w:rsidR="00131182" w:rsidRPr="00825410" w:rsidRDefault="00486824" w:rsidP="00D10437">
      <w:pPr>
        <w:pStyle w:val="Brezrazmikov"/>
        <w:shd w:val="clear" w:color="auto" w:fill="FFFFFF" w:themeFill="background1"/>
        <w:jc w:val="both"/>
        <w:rPr>
          <w:rFonts w:eastAsiaTheme="minorHAnsi" w:cs="Arial"/>
          <w:szCs w:val="20"/>
        </w:rPr>
      </w:pPr>
      <w:r>
        <w:rPr>
          <w:rFonts w:cs="Arial"/>
          <w:szCs w:val="20"/>
        </w:rPr>
        <w:t xml:space="preserve"> </w:t>
      </w:r>
    </w:p>
    <w:p w14:paraId="77110DEE" w14:textId="77777777" w:rsidR="00CA1CA3" w:rsidRPr="00825410" w:rsidRDefault="00CA1CA3" w:rsidP="00D10437">
      <w:pPr>
        <w:pStyle w:val="Brezrazmikov"/>
        <w:shd w:val="clear" w:color="auto" w:fill="FFFFFF" w:themeFill="background1"/>
        <w:jc w:val="both"/>
        <w:rPr>
          <w:rFonts w:eastAsiaTheme="minorHAnsi" w:cs="Arial"/>
          <w:szCs w:val="20"/>
        </w:rPr>
      </w:pPr>
    </w:p>
    <w:p w14:paraId="6124796D" w14:textId="77777777" w:rsidR="00486824" w:rsidRDefault="00915BB4" w:rsidP="00D10437">
      <w:pPr>
        <w:autoSpaceDE w:val="0"/>
        <w:autoSpaceDN w:val="0"/>
        <w:adjustRightInd w:val="0"/>
        <w:spacing w:line="240" w:lineRule="auto"/>
        <w:jc w:val="both"/>
        <w:rPr>
          <w:rFonts w:cs="Arial"/>
          <w:b/>
          <w:bCs/>
          <w:i/>
          <w:szCs w:val="20"/>
        </w:rPr>
      </w:pPr>
      <w:r w:rsidRPr="00825410">
        <w:rPr>
          <w:rFonts w:cs="Arial"/>
          <w:b/>
          <w:bCs/>
          <w:i/>
          <w:szCs w:val="20"/>
        </w:rPr>
        <w:t xml:space="preserve">2. </w:t>
      </w:r>
    </w:p>
    <w:p w14:paraId="0551EFFE" w14:textId="11D2DAE7" w:rsidR="00765861" w:rsidRPr="00765861" w:rsidRDefault="00D32ED3" w:rsidP="00D10437">
      <w:pPr>
        <w:autoSpaceDE w:val="0"/>
        <w:autoSpaceDN w:val="0"/>
        <w:adjustRightInd w:val="0"/>
        <w:spacing w:line="240" w:lineRule="auto"/>
        <w:jc w:val="both"/>
        <w:rPr>
          <w:rFonts w:cs="Arial"/>
          <w:i/>
          <w:iCs/>
          <w:color w:val="000000"/>
          <w:szCs w:val="20"/>
        </w:rPr>
      </w:pPr>
      <w:r w:rsidRPr="00D32ED3">
        <w:rPr>
          <w:rFonts w:cs="Arial"/>
          <w:i/>
          <w:szCs w:val="20"/>
        </w:rPr>
        <w:t>»</w:t>
      </w:r>
      <w:r w:rsidR="00765861" w:rsidRPr="00765861">
        <w:rPr>
          <w:rFonts w:cs="Arial"/>
          <w:i/>
          <w:iCs/>
          <w:color w:val="000000"/>
          <w:szCs w:val="20"/>
        </w:rPr>
        <w:t xml:space="preserve">1. V sklopu aktivnosti F navajate »promocija in demonstracija </w:t>
      </w:r>
      <w:proofErr w:type="spellStart"/>
      <w:r w:rsidR="00765861" w:rsidRPr="00765861">
        <w:rPr>
          <w:rFonts w:cs="Arial"/>
          <w:i/>
          <w:iCs/>
          <w:color w:val="000000"/>
          <w:szCs w:val="20"/>
        </w:rPr>
        <w:t>nizkoogljičnih</w:t>
      </w:r>
      <w:proofErr w:type="spellEnd"/>
      <w:r w:rsidR="00765861" w:rsidRPr="00765861">
        <w:rPr>
          <w:rFonts w:cs="Arial"/>
          <w:i/>
          <w:iCs/>
          <w:color w:val="000000"/>
          <w:szCs w:val="20"/>
        </w:rPr>
        <w:t xml:space="preserve"> krožnih rešitev«. Kaj se smatra pod demonstracijo oz. kakšne naloge mora center izpolnjevati v tem oziru, saj kot tak ne bo razpolagal z infrastrukturo za demonstracijo? </w:t>
      </w:r>
    </w:p>
    <w:p w14:paraId="33709C72" w14:textId="77777777" w:rsidR="00765861" w:rsidRPr="00765861" w:rsidRDefault="00765861" w:rsidP="00D10437">
      <w:pPr>
        <w:autoSpaceDE w:val="0"/>
        <w:autoSpaceDN w:val="0"/>
        <w:adjustRightInd w:val="0"/>
        <w:spacing w:line="240" w:lineRule="auto"/>
        <w:jc w:val="both"/>
        <w:rPr>
          <w:rFonts w:cs="Arial"/>
          <w:i/>
          <w:iCs/>
          <w:color w:val="000000"/>
          <w:szCs w:val="20"/>
        </w:rPr>
      </w:pPr>
      <w:r w:rsidRPr="00765861">
        <w:rPr>
          <w:rFonts w:cs="Arial"/>
          <w:i/>
          <w:iCs/>
          <w:color w:val="000000"/>
          <w:szCs w:val="20"/>
        </w:rPr>
        <w:t xml:space="preserve">2. Sestava upravnega odbora: vključeni morajo biti predstavniki RO, NVO in podjetje. Ali zadostuje, če so to organizacije, ki so hkrati </w:t>
      </w:r>
      <w:proofErr w:type="spellStart"/>
      <w:r w:rsidRPr="00765861">
        <w:rPr>
          <w:rFonts w:cs="Arial"/>
          <w:i/>
          <w:iCs/>
          <w:color w:val="000000"/>
          <w:szCs w:val="20"/>
        </w:rPr>
        <w:t>konzorcijski</w:t>
      </w:r>
      <w:proofErr w:type="spellEnd"/>
      <w:r w:rsidRPr="00765861">
        <w:rPr>
          <w:rFonts w:cs="Arial"/>
          <w:i/>
          <w:iCs/>
          <w:color w:val="000000"/>
          <w:szCs w:val="20"/>
        </w:rPr>
        <w:t xml:space="preserve"> partnerji?</w:t>
      </w:r>
    </w:p>
    <w:p w14:paraId="022E8B99" w14:textId="77777777" w:rsidR="00765861" w:rsidRPr="00765861" w:rsidRDefault="00765861" w:rsidP="00D10437">
      <w:pPr>
        <w:autoSpaceDE w:val="0"/>
        <w:autoSpaceDN w:val="0"/>
        <w:adjustRightInd w:val="0"/>
        <w:spacing w:line="240" w:lineRule="auto"/>
        <w:jc w:val="both"/>
        <w:rPr>
          <w:rFonts w:cs="Arial"/>
          <w:i/>
          <w:iCs/>
          <w:color w:val="000000"/>
          <w:szCs w:val="20"/>
        </w:rPr>
      </w:pPr>
      <w:r w:rsidRPr="00765861">
        <w:rPr>
          <w:rFonts w:cs="Arial"/>
          <w:i/>
          <w:iCs/>
          <w:color w:val="000000"/>
          <w:szCs w:val="20"/>
        </w:rPr>
        <w:t>3. V sklopu D in med KPI piše »Število testiranj krožnih rešitev preko vzpostavljene mreže možnih ponudnikov«. Kakšna je predvidena vloga partnerjev v Centru z vidika doseganja tega KPI?</w:t>
      </w:r>
    </w:p>
    <w:p w14:paraId="4BD928DE" w14:textId="1750DE9E" w:rsidR="004E0872" w:rsidRDefault="00765861" w:rsidP="00D10437">
      <w:pPr>
        <w:autoSpaceDE w:val="0"/>
        <w:autoSpaceDN w:val="0"/>
        <w:adjustRightInd w:val="0"/>
        <w:spacing w:line="240" w:lineRule="auto"/>
        <w:jc w:val="both"/>
        <w:rPr>
          <w:rFonts w:cs="Arial"/>
          <w:i/>
          <w:iCs/>
          <w:color w:val="000000"/>
          <w:szCs w:val="20"/>
        </w:rPr>
      </w:pPr>
      <w:r w:rsidRPr="00765861">
        <w:rPr>
          <w:rFonts w:cs="Arial"/>
          <w:i/>
          <w:iCs/>
          <w:color w:val="000000"/>
          <w:szCs w:val="20"/>
        </w:rPr>
        <w:t>4. Za vsak slučaj vprašam: ali so lahko zunanji izvajalci tudi iz tujine?</w:t>
      </w:r>
      <w:r w:rsidR="00D32ED3">
        <w:rPr>
          <w:rFonts w:cs="Arial"/>
          <w:i/>
          <w:iCs/>
          <w:color w:val="000000"/>
          <w:szCs w:val="20"/>
        </w:rPr>
        <w:t>«</w:t>
      </w:r>
    </w:p>
    <w:p w14:paraId="1BA6A87F" w14:textId="77777777" w:rsidR="00765861" w:rsidRPr="00825410" w:rsidRDefault="00765861" w:rsidP="00D10437">
      <w:pPr>
        <w:autoSpaceDE w:val="0"/>
        <w:autoSpaceDN w:val="0"/>
        <w:adjustRightInd w:val="0"/>
        <w:spacing w:line="240" w:lineRule="auto"/>
        <w:jc w:val="both"/>
        <w:rPr>
          <w:rFonts w:eastAsiaTheme="minorHAnsi" w:cs="Arial"/>
          <w:i/>
          <w:iCs/>
          <w:szCs w:val="20"/>
        </w:rPr>
      </w:pPr>
    </w:p>
    <w:p w14:paraId="0E1562C9" w14:textId="77777777" w:rsidR="00915BB4" w:rsidRPr="00825410" w:rsidRDefault="00915BB4" w:rsidP="00D10437">
      <w:pPr>
        <w:spacing w:line="240" w:lineRule="auto"/>
        <w:jc w:val="both"/>
        <w:rPr>
          <w:rFonts w:cs="Arial"/>
          <w:b/>
          <w:bCs/>
          <w:szCs w:val="20"/>
        </w:rPr>
      </w:pPr>
      <w:r w:rsidRPr="00825410">
        <w:rPr>
          <w:rFonts w:cs="Arial"/>
          <w:b/>
          <w:bCs/>
          <w:szCs w:val="20"/>
        </w:rPr>
        <w:t>ODGOVOR:</w:t>
      </w:r>
    </w:p>
    <w:p w14:paraId="12EA886D" w14:textId="77777777" w:rsidR="00915BB4" w:rsidRPr="00825410" w:rsidRDefault="00915BB4" w:rsidP="00D10437">
      <w:pPr>
        <w:pStyle w:val="Brezrazmikov"/>
        <w:shd w:val="clear" w:color="auto" w:fill="FFFFFF" w:themeFill="background1"/>
        <w:jc w:val="both"/>
        <w:rPr>
          <w:rFonts w:eastAsiaTheme="minorHAnsi" w:cs="Arial"/>
          <w:i/>
          <w:iCs/>
          <w:szCs w:val="20"/>
        </w:rPr>
      </w:pPr>
    </w:p>
    <w:p w14:paraId="661D8B0D" w14:textId="0E28DCAD" w:rsidR="00765861" w:rsidRPr="00486824" w:rsidRDefault="00765861" w:rsidP="00D10437">
      <w:pPr>
        <w:pStyle w:val="Odstavekseznama"/>
        <w:numPr>
          <w:ilvl w:val="0"/>
          <w:numId w:val="24"/>
        </w:numPr>
        <w:spacing w:line="240" w:lineRule="auto"/>
        <w:jc w:val="both"/>
        <w:rPr>
          <w:rFonts w:cs="Arial"/>
          <w:szCs w:val="20"/>
        </w:rPr>
      </w:pPr>
      <w:r w:rsidRPr="00486824">
        <w:rPr>
          <w:rFonts w:cs="Arial"/>
          <w:szCs w:val="20"/>
        </w:rPr>
        <w:t>V sklopu aktivnosti F</w:t>
      </w:r>
      <w:r w:rsidR="00E1293F" w:rsidRPr="00486824">
        <w:rPr>
          <w:rFonts w:cs="Arial"/>
          <w:szCs w:val="20"/>
        </w:rPr>
        <w:t xml:space="preserve"> iz točke 2.2 besedila javnega razpisa, ki vzpostavlja Slovenski center za krožno gospodarstvo – za zeleni, ustvarjalni in pametni razvoj (v nadaljevanju: Center)</w:t>
      </w:r>
      <w:r w:rsidR="00D32ED3" w:rsidRPr="00486824">
        <w:rPr>
          <w:rFonts w:cs="Arial"/>
          <w:szCs w:val="20"/>
        </w:rPr>
        <w:t xml:space="preserve">, </w:t>
      </w:r>
      <w:r w:rsidR="00E1293F" w:rsidRPr="00486824">
        <w:rPr>
          <w:rFonts w:cs="Arial"/>
          <w:szCs w:val="20"/>
        </w:rPr>
        <w:t>z imenom</w:t>
      </w:r>
      <w:r w:rsidR="00D32ED3" w:rsidRPr="00486824">
        <w:rPr>
          <w:rFonts w:cs="Arial"/>
          <w:szCs w:val="20"/>
        </w:rPr>
        <w:t xml:space="preserve"> »Promocija na domači in tuji ravni«, </w:t>
      </w:r>
      <w:r w:rsidRPr="00486824">
        <w:rPr>
          <w:rFonts w:cs="Arial"/>
          <w:szCs w:val="20"/>
        </w:rPr>
        <w:t xml:space="preserve"> je med predlaganimi aktivnostmi navedena tudi </w:t>
      </w:r>
      <w:r w:rsidRPr="00486824">
        <w:rPr>
          <w:rFonts w:cs="Arial"/>
          <w:szCs w:val="20"/>
          <w:lang w:eastAsia="sl-SI"/>
        </w:rPr>
        <w:t xml:space="preserve">promocija in demonstracija </w:t>
      </w:r>
      <w:proofErr w:type="spellStart"/>
      <w:r w:rsidRPr="00486824">
        <w:rPr>
          <w:rFonts w:cs="Arial"/>
          <w:szCs w:val="20"/>
          <w:lang w:eastAsia="sl-SI"/>
        </w:rPr>
        <w:t>nizkoogljičnih</w:t>
      </w:r>
      <w:proofErr w:type="spellEnd"/>
      <w:r w:rsidRPr="00486824">
        <w:rPr>
          <w:rFonts w:cs="Arial"/>
          <w:szCs w:val="20"/>
          <w:lang w:eastAsia="sl-SI"/>
        </w:rPr>
        <w:t xml:space="preserve"> krožnih rešitev in tehnologij za spodbujanje inovacij. </w:t>
      </w:r>
      <w:r w:rsidR="005913EC" w:rsidRPr="00486824">
        <w:rPr>
          <w:rFonts w:cs="Arial"/>
          <w:szCs w:val="20"/>
          <w:lang w:eastAsia="sl-SI"/>
        </w:rPr>
        <w:t xml:space="preserve"> Demonstracija je v tem primeru lahko nazorno prikazovanje </w:t>
      </w:r>
      <w:proofErr w:type="spellStart"/>
      <w:r w:rsidR="005913EC" w:rsidRPr="00486824">
        <w:rPr>
          <w:rFonts w:cs="Arial"/>
          <w:szCs w:val="20"/>
          <w:lang w:eastAsia="sl-SI"/>
        </w:rPr>
        <w:t>nizkoogljičnih</w:t>
      </w:r>
      <w:proofErr w:type="spellEnd"/>
      <w:r w:rsidR="005913EC" w:rsidRPr="00486824">
        <w:rPr>
          <w:rFonts w:cs="Arial"/>
          <w:szCs w:val="20"/>
          <w:lang w:eastAsia="sl-SI"/>
        </w:rPr>
        <w:t xml:space="preserve"> krožnih rešitev v smislu praktičnih demonstracij, lahko pa gre za opisno prikazovanje rešitev</w:t>
      </w:r>
      <w:r w:rsidR="00615868" w:rsidRPr="00486824">
        <w:rPr>
          <w:rFonts w:cs="Arial"/>
          <w:szCs w:val="20"/>
          <w:lang w:eastAsia="sl-SI"/>
        </w:rPr>
        <w:t xml:space="preserve">, pri čemer </w:t>
      </w:r>
      <w:r w:rsidR="00E51035" w:rsidRPr="00486824">
        <w:rPr>
          <w:rFonts w:cs="Arial"/>
          <w:szCs w:val="20"/>
          <w:lang w:eastAsia="sl-SI"/>
        </w:rPr>
        <w:t>infrastruktura</w:t>
      </w:r>
      <w:r w:rsidR="00615868" w:rsidRPr="00486824">
        <w:rPr>
          <w:rFonts w:cs="Arial"/>
          <w:szCs w:val="20"/>
          <w:lang w:eastAsia="sl-SI"/>
        </w:rPr>
        <w:t xml:space="preserve"> za demonstracijo ni potrebna.</w:t>
      </w:r>
    </w:p>
    <w:p w14:paraId="3570D415" w14:textId="77777777" w:rsidR="005913EC" w:rsidRDefault="005913EC" w:rsidP="00D10437">
      <w:pPr>
        <w:spacing w:line="240" w:lineRule="auto"/>
        <w:jc w:val="both"/>
        <w:rPr>
          <w:rFonts w:cs="Arial"/>
          <w:szCs w:val="20"/>
          <w:lang w:eastAsia="sl-SI"/>
        </w:rPr>
      </w:pPr>
    </w:p>
    <w:p w14:paraId="7C4BC95F" w14:textId="1BE36820" w:rsidR="00D10437" w:rsidRPr="00D10437" w:rsidRDefault="00D10437" w:rsidP="00D10437">
      <w:pPr>
        <w:pStyle w:val="Odstavekseznama"/>
        <w:numPr>
          <w:ilvl w:val="0"/>
          <w:numId w:val="24"/>
        </w:numPr>
        <w:spacing w:line="240" w:lineRule="auto"/>
        <w:jc w:val="both"/>
        <w:rPr>
          <w:rFonts w:cs="Arial"/>
          <w:szCs w:val="20"/>
        </w:rPr>
      </w:pPr>
      <w:r w:rsidRPr="00D10437">
        <w:rPr>
          <w:rFonts w:cs="Arial"/>
          <w:szCs w:val="20"/>
        </w:rPr>
        <w:t xml:space="preserve">V preglednici točke 9. Pojasnil javnega razpisa je naveden tudi sledeči ključni kazalnik uspešnosti: »Imenovanje in začetek delovanja upravnega odbora Centra. Vsaj 20 % članov upravnega odbora Centra mora biti imenovanih s strani ministrstva. Imenovan mora biti tudi predstavnik: nevladnih organizacij, raziskovalnih organizacij in podjetja s področja krožnega gospodarstva.« </w:t>
      </w:r>
      <w:r>
        <w:rPr>
          <w:rFonts w:cs="Arial"/>
          <w:szCs w:val="20"/>
        </w:rPr>
        <w:t>Tako</w:t>
      </w:r>
      <w:r w:rsidRPr="00D10437">
        <w:rPr>
          <w:rFonts w:cs="Arial"/>
          <w:szCs w:val="20"/>
        </w:rPr>
        <w:t xml:space="preserve"> je pri imenovanju članov upravnega odbora </w:t>
      </w:r>
      <w:r w:rsidRPr="00D10437">
        <w:rPr>
          <w:rFonts w:cs="Arial"/>
          <w:szCs w:val="20"/>
        </w:rPr>
        <w:lastRenderedPageBreak/>
        <w:t xml:space="preserve">potrebno upoštevati </w:t>
      </w:r>
      <w:r>
        <w:rPr>
          <w:rFonts w:cs="Arial"/>
          <w:szCs w:val="20"/>
        </w:rPr>
        <w:t>tudi vsebino predhodno navedenega</w:t>
      </w:r>
      <w:r w:rsidRPr="00D10437">
        <w:rPr>
          <w:rFonts w:cs="Arial"/>
          <w:szCs w:val="20"/>
        </w:rPr>
        <w:t xml:space="preserve"> ključn</w:t>
      </w:r>
      <w:r>
        <w:rPr>
          <w:rFonts w:cs="Arial"/>
          <w:szCs w:val="20"/>
        </w:rPr>
        <w:t>ega</w:t>
      </w:r>
      <w:r w:rsidRPr="00D10437">
        <w:rPr>
          <w:rFonts w:cs="Arial"/>
          <w:szCs w:val="20"/>
        </w:rPr>
        <w:t xml:space="preserve"> kazalnik</w:t>
      </w:r>
      <w:r>
        <w:rPr>
          <w:rFonts w:cs="Arial"/>
          <w:szCs w:val="20"/>
        </w:rPr>
        <w:t>a</w:t>
      </w:r>
      <w:r w:rsidRPr="00D10437">
        <w:rPr>
          <w:rFonts w:cs="Arial"/>
          <w:szCs w:val="20"/>
        </w:rPr>
        <w:t xml:space="preserve"> uspešnosti. </w:t>
      </w:r>
    </w:p>
    <w:p w14:paraId="2097C9AE" w14:textId="073523A9" w:rsidR="00B46D1B" w:rsidRDefault="00B46D1B" w:rsidP="00D10437">
      <w:pPr>
        <w:spacing w:line="240" w:lineRule="auto"/>
        <w:jc w:val="both"/>
        <w:rPr>
          <w:rFonts w:cs="Arial"/>
          <w:szCs w:val="20"/>
        </w:rPr>
      </w:pPr>
    </w:p>
    <w:p w14:paraId="1120953F" w14:textId="42FBFEB6" w:rsidR="00B46D1B" w:rsidRPr="00486824" w:rsidRDefault="00B46D1B" w:rsidP="00D10437">
      <w:pPr>
        <w:pStyle w:val="Odstavekseznama"/>
        <w:numPr>
          <w:ilvl w:val="0"/>
          <w:numId w:val="24"/>
        </w:numPr>
        <w:spacing w:line="240" w:lineRule="auto"/>
        <w:jc w:val="both"/>
        <w:rPr>
          <w:rFonts w:cs="Arial"/>
          <w:szCs w:val="20"/>
        </w:rPr>
      </w:pPr>
      <w:r w:rsidRPr="00486824">
        <w:rPr>
          <w:rFonts w:cs="Arial"/>
          <w:szCs w:val="20"/>
        </w:rPr>
        <w:t>Kazalnik uspešnosti »Število testiranj krožnih rešitev preko vzpostavljene mreže možnih ponudnikov«, ki spada v sklop aktivnosti D »Poglobljena strokovna podpora«</w:t>
      </w:r>
      <w:r w:rsidR="00E51035" w:rsidRPr="00486824">
        <w:rPr>
          <w:rFonts w:cs="Arial"/>
          <w:szCs w:val="20"/>
        </w:rPr>
        <w:t xml:space="preserve"> iz točke 2.2 besedila javnega razpisa</w:t>
      </w:r>
      <w:r w:rsidRPr="00486824">
        <w:rPr>
          <w:rFonts w:cs="Arial"/>
          <w:szCs w:val="20"/>
        </w:rPr>
        <w:t>, se nanaša na sofinanciranje in spodbujanje testiranja krožnih rešitev</w:t>
      </w:r>
      <w:r w:rsidR="00191D2B" w:rsidRPr="00191D2B">
        <w:t xml:space="preserve"> </w:t>
      </w:r>
      <w:r w:rsidR="00191D2B" w:rsidRPr="00486824">
        <w:rPr>
          <w:rFonts w:cs="Arial"/>
          <w:szCs w:val="20"/>
        </w:rPr>
        <w:t>pri ponudnikih ustrezne infrastrukture. Evidenco</w:t>
      </w:r>
      <w:r w:rsidR="00486824">
        <w:rPr>
          <w:rFonts w:cs="Arial"/>
          <w:szCs w:val="20"/>
        </w:rPr>
        <w:t xml:space="preserve"> oz. mrežo</w:t>
      </w:r>
      <w:r w:rsidR="00191D2B" w:rsidRPr="00486824">
        <w:rPr>
          <w:rFonts w:cs="Arial"/>
          <w:szCs w:val="20"/>
        </w:rPr>
        <w:t xml:space="preserve"> ponudnikov bo preko svojih aktivnosti vzpostavil Center, ki bo tudi nudil informacije podjetjem, da bodo prišla do ustrezne infrastrukture za testiranje svojih krožnih rešitev</w:t>
      </w:r>
      <w:r w:rsidR="00486824">
        <w:rPr>
          <w:rFonts w:cs="Arial"/>
          <w:szCs w:val="20"/>
        </w:rPr>
        <w:t>, lahko pa tudi (delno) sofinanciral stroške testiranja.</w:t>
      </w:r>
    </w:p>
    <w:p w14:paraId="69DF9241" w14:textId="77777777" w:rsidR="00B46D1B" w:rsidRDefault="00B46D1B" w:rsidP="00D10437">
      <w:pPr>
        <w:spacing w:line="240" w:lineRule="auto"/>
        <w:jc w:val="both"/>
        <w:rPr>
          <w:rFonts w:cs="Arial"/>
          <w:szCs w:val="20"/>
        </w:rPr>
      </w:pPr>
    </w:p>
    <w:p w14:paraId="1DA89A39" w14:textId="0E78AD35" w:rsidR="00B46D1B" w:rsidRPr="00486824" w:rsidRDefault="00B46D1B" w:rsidP="00D10437">
      <w:pPr>
        <w:pStyle w:val="Odstavekseznama"/>
        <w:numPr>
          <w:ilvl w:val="0"/>
          <w:numId w:val="24"/>
        </w:numPr>
        <w:spacing w:line="240" w:lineRule="auto"/>
        <w:jc w:val="both"/>
        <w:rPr>
          <w:rFonts w:cs="Arial"/>
          <w:szCs w:val="20"/>
          <w:lang w:eastAsia="sl-SI"/>
        </w:rPr>
      </w:pPr>
      <w:r w:rsidRPr="00486824">
        <w:rPr>
          <w:rFonts w:cs="Arial"/>
          <w:szCs w:val="20"/>
        </w:rPr>
        <w:t>Uveljavljanje stroška zunanjih izvajalcev je omejeno s pravili, ki jih predpisuje Organ upravljanja</w:t>
      </w:r>
      <w:r w:rsidR="004361CF" w:rsidRPr="00486824">
        <w:rPr>
          <w:rFonts w:cs="Arial"/>
          <w:szCs w:val="20"/>
        </w:rPr>
        <w:t xml:space="preserve"> v okviru evropske kohezijske politike</w:t>
      </w:r>
      <w:r w:rsidRPr="00486824">
        <w:rPr>
          <w:rFonts w:cs="Arial"/>
          <w:szCs w:val="20"/>
        </w:rPr>
        <w:t>.</w:t>
      </w:r>
      <w:r w:rsidR="002D30AE" w:rsidRPr="00486824">
        <w:rPr>
          <w:rFonts w:cs="Arial"/>
          <w:szCs w:val="20"/>
        </w:rPr>
        <w:t xml:space="preserve"> Navodila za upravičene stroške, objavljena na strani </w:t>
      </w:r>
      <w:hyperlink r:id="rId9" w:history="1">
        <w:r w:rsidR="002D30AE" w:rsidRPr="00486824">
          <w:rPr>
            <w:rStyle w:val="Hiperpovezava"/>
            <w:rFonts w:cs="Arial"/>
            <w:szCs w:val="20"/>
          </w:rPr>
          <w:t>evropska</w:t>
        </w:r>
        <w:r w:rsidR="00DC6C96">
          <w:rPr>
            <w:rStyle w:val="Hiperpovezava"/>
            <w:rFonts w:cs="Arial"/>
            <w:szCs w:val="20"/>
          </w:rPr>
          <w:t xml:space="preserve"> </w:t>
        </w:r>
        <w:r w:rsidR="002D30AE" w:rsidRPr="00486824">
          <w:rPr>
            <w:rStyle w:val="Hiperpovezava"/>
            <w:rFonts w:cs="Arial"/>
            <w:szCs w:val="20"/>
          </w:rPr>
          <w:t>sredstva.si</w:t>
        </w:r>
      </w:hyperlink>
      <w:r w:rsidR="002D30AE" w:rsidRPr="00486824">
        <w:rPr>
          <w:rFonts w:cs="Arial"/>
          <w:szCs w:val="20"/>
        </w:rPr>
        <w:t>, je potrebno ažurno spremljati in upoštevati. V slednjih v tem trenutku ni omejitve izbire zunanjih izvajalcev iz tujine.</w:t>
      </w:r>
    </w:p>
    <w:p w14:paraId="02E2B507" w14:textId="166C500F" w:rsidR="00B81BFE" w:rsidRPr="00E314DD" w:rsidRDefault="00B81BFE" w:rsidP="00D10437">
      <w:pPr>
        <w:spacing w:line="240" w:lineRule="auto"/>
        <w:jc w:val="both"/>
        <w:rPr>
          <w:rFonts w:cs="Arial"/>
          <w:szCs w:val="20"/>
        </w:rPr>
      </w:pPr>
    </w:p>
    <w:p w14:paraId="1C836389" w14:textId="0F8458D0" w:rsidR="00915BB4" w:rsidRDefault="00915BB4" w:rsidP="00D10437">
      <w:pPr>
        <w:spacing w:line="240" w:lineRule="auto"/>
        <w:jc w:val="both"/>
        <w:rPr>
          <w:rFonts w:cs="Arial"/>
          <w:szCs w:val="20"/>
        </w:rPr>
      </w:pPr>
    </w:p>
    <w:p w14:paraId="66A88D5E" w14:textId="0C42A77A" w:rsidR="00881B82" w:rsidRDefault="00B46D1B" w:rsidP="00D10437">
      <w:pPr>
        <w:spacing w:line="240" w:lineRule="auto"/>
        <w:jc w:val="both"/>
        <w:rPr>
          <w:rFonts w:cs="Arial"/>
          <w:szCs w:val="20"/>
        </w:rPr>
      </w:pPr>
      <w:r w:rsidRPr="00D10437">
        <w:rPr>
          <w:rFonts w:cs="Arial"/>
          <w:b/>
          <w:bCs/>
          <w:szCs w:val="20"/>
        </w:rPr>
        <w:t>3.</w:t>
      </w:r>
      <w:r>
        <w:rPr>
          <w:rFonts w:cs="Arial"/>
          <w:szCs w:val="20"/>
        </w:rPr>
        <w:t xml:space="preserve"> »</w:t>
      </w:r>
      <w:r w:rsidRPr="00B46D1B">
        <w:rPr>
          <w:rFonts w:cs="Arial"/>
          <w:i/>
          <w:iCs/>
          <w:szCs w:val="20"/>
        </w:rPr>
        <w:t>Glede na razpis za vzpostavitev in delovanje Slovenskega centra za krožno gospodarstvo me zanima, kako lahko kot fizična oseba z znanjem ekologije sodelujem na projektu?</w:t>
      </w:r>
      <w:r>
        <w:rPr>
          <w:rFonts w:cs="Arial"/>
          <w:i/>
          <w:iCs/>
          <w:szCs w:val="20"/>
        </w:rPr>
        <w:t>«</w:t>
      </w:r>
    </w:p>
    <w:p w14:paraId="0A678D78" w14:textId="57B51F84" w:rsidR="00B46D1B" w:rsidRDefault="00B46D1B" w:rsidP="00D10437">
      <w:pPr>
        <w:spacing w:line="240" w:lineRule="auto"/>
        <w:jc w:val="both"/>
        <w:rPr>
          <w:rFonts w:cs="Arial"/>
          <w:szCs w:val="20"/>
        </w:rPr>
      </w:pPr>
    </w:p>
    <w:p w14:paraId="355DA752" w14:textId="77777777" w:rsidR="004361CF" w:rsidRPr="00825410" w:rsidRDefault="004361CF" w:rsidP="00D10437">
      <w:pPr>
        <w:spacing w:line="240" w:lineRule="auto"/>
        <w:jc w:val="both"/>
        <w:rPr>
          <w:rFonts w:cs="Arial"/>
          <w:b/>
          <w:bCs/>
          <w:szCs w:val="20"/>
        </w:rPr>
      </w:pPr>
      <w:r w:rsidRPr="00825410">
        <w:rPr>
          <w:rFonts w:cs="Arial"/>
          <w:b/>
          <w:bCs/>
          <w:szCs w:val="20"/>
        </w:rPr>
        <w:t>ODGOVOR:</w:t>
      </w:r>
    </w:p>
    <w:p w14:paraId="4E5DB56C" w14:textId="77777777" w:rsidR="004361CF" w:rsidRDefault="004361CF" w:rsidP="00D10437">
      <w:pPr>
        <w:autoSpaceDE w:val="0"/>
        <w:autoSpaceDN w:val="0"/>
        <w:adjustRightInd w:val="0"/>
        <w:spacing w:line="240" w:lineRule="auto"/>
        <w:jc w:val="both"/>
        <w:rPr>
          <w:rFonts w:cs="Arial"/>
          <w:szCs w:val="20"/>
        </w:rPr>
      </w:pPr>
    </w:p>
    <w:p w14:paraId="53AF67F6" w14:textId="0A241578" w:rsidR="00235DFB" w:rsidRPr="001319F2" w:rsidRDefault="00235DFB" w:rsidP="00D10437">
      <w:pPr>
        <w:autoSpaceDE w:val="0"/>
        <w:autoSpaceDN w:val="0"/>
        <w:adjustRightInd w:val="0"/>
        <w:spacing w:line="240" w:lineRule="auto"/>
        <w:jc w:val="both"/>
        <w:rPr>
          <w:rFonts w:cs="Arial"/>
          <w:szCs w:val="20"/>
        </w:rPr>
      </w:pPr>
      <w:r>
        <w:rPr>
          <w:rFonts w:cs="Arial"/>
          <w:szCs w:val="20"/>
        </w:rPr>
        <w:t xml:space="preserve">V 3. točki </w:t>
      </w:r>
      <w:r w:rsidR="004361CF">
        <w:rPr>
          <w:rFonts w:cs="Arial"/>
          <w:szCs w:val="20"/>
        </w:rPr>
        <w:t xml:space="preserve">besedila javnega razpisa je </w:t>
      </w:r>
      <w:r>
        <w:rPr>
          <w:rFonts w:cs="Arial"/>
          <w:szCs w:val="20"/>
        </w:rPr>
        <w:t xml:space="preserve">določeno, da morajo biti </w:t>
      </w:r>
      <w:proofErr w:type="spellStart"/>
      <w:r>
        <w:rPr>
          <w:rFonts w:cs="Arial"/>
          <w:szCs w:val="20"/>
        </w:rPr>
        <w:t>k</w:t>
      </w:r>
      <w:r w:rsidRPr="001319F2">
        <w:rPr>
          <w:rFonts w:cs="Arial"/>
          <w:szCs w:val="20"/>
        </w:rPr>
        <w:t>onzorcijski</w:t>
      </w:r>
      <w:proofErr w:type="spellEnd"/>
      <w:r w:rsidRPr="001319F2">
        <w:rPr>
          <w:rFonts w:cs="Arial"/>
          <w:szCs w:val="20"/>
        </w:rPr>
        <w:t xml:space="preserve"> partnerji pravne osebe javnega ali zasebnega prava, vpisane v Poslovni register Slovenije ali sodni register.  </w:t>
      </w:r>
      <w:r>
        <w:rPr>
          <w:rFonts w:cs="Arial"/>
          <w:szCs w:val="20"/>
        </w:rPr>
        <w:t xml:space="preserve">V primeru, da se entiteta v projekt ne umesti kot </w:t>
      </w:r>
      <w:proofErr w:type="spellStart"/>
      <w:r>
        <w:rPr>
          <w:rFonts w:cs="Arial"/>
          <w:szCs w:val="20"/>
        </w:rPr>
        <w:t>konzorcijski</w:t>
      </w:r>
      <w:proofErr w:type="spellEnd"/>
      <w:r>
        <w:rPr>
          <w:rFonts w:cs="Arial"/>
          <w:szCs w:val="20"/>
        </w:rPr>
        <w:t xml:space="preserve"> partner, lahko v projektu sodeluje tudi, če jo </w:t>
      </w:r>
      <w:proofErr w:type="spellStart"/>
      <w:r>
        <w:rPr>
          <w:rFonts w:cs="Arial"/>
          <w:szCs w:val="20"/>
        </w:rPr>
        <w:t>konzorcijski</w:t>
      </w:r>
      <w:proofErr w:type="spellEnd"/>
      <w:r>
        <w:rPr>
          <w:rFonts w:cs="Arial"/>
          <w:szCs w:val="20"/>
        </w:rPr>
        <w:t xml:space="preserve"> parterji izberejo kot zunanjega izvajalca. Pri tem opozarjamo na upoštevanje pravil, ki jih predpisuje Organ upravljanja, med drugim v navodilih za upravičene stroške</w:t>
      </w:r>
      <w:r w:rsidR="00486824">
        <w:rPr>
          <w:rFonts w:cs="Arial"/>
          <w:szCs w:val="20"/>
        </w:rPr>
        <w:t xml:space="preserve">, ter na določila glede stroškov zunanjih izvajalcev, </w:t>
      </w:r>
      <w:r w:rsidR="00996B05">
        <w:rPr>
          <w:rFonts w:cs="Arial"/>
          <w:szCs w:val="20"/>
        </w:rPr>
        <w:t xml:space="preserve">določena </w:t>
      </w:r>
      <w:r w:rsidR="00DC6C96">
        <w:rPr>
          <w:rFonts w:cs="Arial"/>
          <w:szCs w:val="20"/>
        </w:rPr>
        <w:t xml:space="preserve">v </w:t>
      </w:r>
      <w:r w:rsidR="00996B05">
        <w:rPr>
          <w:rFonts w:cs="Arial"/>
          <w:szCs w:val="20"/>
        </w:rPr>
        <w:t>razpisni dokumentaciji</w:t>
      </w:r>
      <w:r>
        <w:rPr>
          <w:rFonts w:cs="Arial"/>
          <w:szCs w:val="20"/>
        </w:rPr>
        <w:t>.</w:t>
      </w:r>
      <w:r w:rsidR="004361CF">
        <w:rPr>
          <w:rFonts w:cs="Arial"/>
          <w:szCs w:val="20"/>
        </w:rPr>
        <w:t xml:space="preserve"> </w:t>
      </w:r>
    </w:p>
    <w:p w14:paraId="3E7EEE63" w14:textId="4A579971" w:rsidR="00235DFB" w:rsidRDefault="00005692" w:rsidP="00D10437">
      <w:pPr>
        <w:spacing w:line="240" w:lineRule="auto"/>
        <w:jc w:val="both"/>
        <w:rPr>
          <w:rFonts w:cs="Arial"/>
          <w:szCs w:val="20"/>
        </w:rPr>
      </w:pPr>
      <w:r>
        <w:rPr>
          <w:rFonts w:cs="Arial"/>
          <w:szCs w:val="20"/>
        </w:rPr>
        <w:t>Poudarili bi tudi, da j</w:t>
      </w:r>
      <w:r w:rsidR="004361CF">
        <w:rPr>
          <w:rFonts w:cs="Arial"/>
          <w:szCs w:val="20"/>
        </w:rPr>
        <w:t>avni razpis med ciljne</w:t>
      </w:r>
      <w:r>
        <w:rPr>
          <w:rFonts w:cs="Arial"/>
          <w:szCs w:val="20"/>
        </w:rPr>
        <w:t xml:space="preserve"> </w:t>
      </w:r>
      <w:r w:rsidR="004361CF">
        <w:rPr>
          <w:rFonts w:cs="Arial"/>
          <w:szCs w:val="20"/>
        </w:rPr>
        <w:t>skupine uvršča tudi</w:t>
      </w:r>
      <w:r>
        <w:rPr>
          <w:rFonts w:cs="Arial"/>
          <w:szCs w:val="20"/>
        </w:rPr>
        <w:t xml:space="preserve"> prebivalstvo, ki bo </w:t>
      </w:r>
      <w:r w:rsidR="001828EE">
        <w:rPr>
          <w:rFonts w:cs="Arial"/>
          <w:szCs w:val="20"/>
        </w:rPr>
        <w:t xml:space="preserve">lahko </w:t>
      </w:r>
      <w:r w:rsidR="00996B05">
        <w:rPr>
          <w:rFonts w:cs="Arial"/>
          <w:szCs w:val="20"/>
        </w:rPr>
        <w:t xml:space="preserve">na primer preko Centra </w:t>
      </w:r>
      <w:r w:rsidR="001828EE">
        <w:rPr>
          <w:rFonts w:cs="Arial"/>
          <w:szCs w:val="20"/>
        </w:rPr>
        <w:t xml:space="preserve">prejelo nove informacije </w:t>
      </w:r>
      <w:r w:rsidR="00996B05">
        <w:rPr>
          <w:rFonts w:cs="Arial"/>
          <w:szCs w:val="20"/>
        </w:rPr>
        <w:t>ali</w:t>
      </w:r>
      <w:r w:rsidR="001828EE">
        <w:rPr>
          <w:rFonts w:cs="Arial"/>
          <w:szCs w:val="20"/>
        </w:rPr>
        <w:t xml:space="preserve"> se udeleževalo v aktivnostih Centra.</w:t>
      </w:r>
    </w:p>
    <w:p w14:paraId="678F936C" w14:textId="77777777" w:rsidR="00CC5A99" w:rsidRDefault="00CC5A99" w:rsidP="00D10437">
      <w:pPr>
        <w:spacing w:line="240" w:lineRule="auto"/>
        <w:jc w:val="both"/>
        <w:rPr>
          <w:rFonts w:cs="Arial"/>
          <w:szCs w:val="20"/>
        </w:rPr>
      </w:pPr>
    </w:p>
    <w:p w14:paraId="4F6146D0" w14:textId="2BBADD90" w:rsidR="00CB0996" w:rsidRPr="00825410" w:rsidRDefault="00CB0996" w:rsidP="00CB0996">
      <w:pPr>
        <w:pStyle w:val="Naslov1"/>
        <w:spacing w:line="276" w:lineRule="auto"/>
        <w:jc w:val="both"/>
        <w:rPr>
          <w:rFonts w:ascii="Arial" w:hAnsi="Arial" w:cs="Arial"/>
          <w:b/>
          <w:bCs/>
          <w:color w:val="auto"/>
          <w:sz w:val="20"/>
          <w:szCs w:val="20"/>
          <w:u w:val="single"/>
        </w:rPr>
      </w:pPr>
      <w:r w:rsidRPr="00825410">
        <w:rPr>
          <w:rFonts w:ascii="Arial" w:hAnsi="Arial" w:cs="Arial"/>
          <w:b/>
          <w:bCs/>
          <w:color w:val="auto"/>
          <w:sz w:val="20"/>
          <w:szCs w:val="20"/>
          <w:u w:val="single"/>
        </w:rPr>
        <w:t>Vprašanja in odgovori</w:t>
      </w:r>
      <w:r w:rsidR="00320DBE">
        <w:rPr>
          <w:rFonts w:ascii="Arial" w:hAnsi="Arial" w:cs="Arial"/>
          <w:b/>
          <w:bCs/>
          <w:color w:val="auto"/>
          <w:sz w:val="20"/>
          <w:szCs w:val="20"/>
          <w:u w:val="single"/>
        </w:rPr>
        <w:t>,</w:t>
      </w:r>
      <w:r w:rsidRPr="00825410">
        <w:rPr>
          <w:rFonts w:ascii="Arial" w:hAnsi="Arial" w:cs="Arial"/>
          <w:b/>
          <w:bCs/>
          <w:color w:val="auto"/>
          <w:sz w:val="20"/>
          <w:szCs w:val="20"/>
          <w:u w:val="single"/>
        </w:rPr>
        <w:t xml:space="preserve"> objavljeni na dan </w:t>
      </w:r>
      <w:r>
        <w:rPr>
          <w:rFonts w:ascii="Arial" w:hAnsi="Arial" w:cs="Arial"/>
          <w:b/>
          <w:bCs/>
          <w:color w:val="auto"/>
          <w:sz w:val="20"/>
          <w:szCs w:val="20"/>
          <w:u w:val="single"/>
        </w:rPr>
        <w:t>27</w:t>
      </w:r>
      <w:r w:rsidRPr="00825410">
        <w:rPr>
          <w:rFonts w:ascii="Arial" w:hAnsi="Arial" w:cs="Arial"/>
          <w:b/>
          <w:bCs/>
          <w:color w:val="auto"/>
          <w:sz w:val="20"/>
          <w:szCs w:val="20"/>
          <w:u w:val="single"/>
        </w:rPr>
        <w:t xml:space="preserve">. </w:t>
      </w:r>
      <w:r>
        <w:rPr>
          <w:rFonts w:ascii="Arial" w:hAnsi="Arial" w:cs="Arial"/>
          <w:b/>
          <w:bCs/>
          <w:color w:val="auto"/>
          <w:sz w:val="20"/>
          <w:szCs w:val="20"/>
          <w:u w:val="single"/>
        </w:rPr>
        <w:t>5</w:t>
      </w:r>
      <w:r w:rsidRPr="00825410">
        <w:rPr>
          <w:rFonts w:ascii="Arial" w:hAnsi="Arial" w:cs="Arial"/>
          <w:b/>
          <w:bCs/>
          <w:color w:val="auto"/>
          <w:sz w:val="20"/>
          <w:szCs w:val="20"/>
          <w:u w:val="single"/>
        </w:rPr>
        <w:t>. 2024</w:t>
      </w:r>
    </w:p>
    <w:p w14:paraId="0F7C7498" w14:textId="77777777" w:rsidR="00CB0996" w:rsidRDefault="00CB0996" w:rsidP="00D10437">
      <w:pPr>
        <w:spacing w:line="240" w:lineRule="auto"/>
        <w:jc w:val="both"/>
        <w:rPr>
          <w:rFonts w:cs="Arial"/>
          <w:szCs w:val="20"/>
        </w:rPr>
      </w:pPr>
    </w:p>
    <w:p w14:paraId="2AF39EB2" w14:textId="7B25B2D9" w:rsidR="00CC5A99" w:rsidRPr="00CC5A99" w:rsidRDefault="00CC5A99" w:rsidP="00CC5A99">
      <w:pPr>
        <w:spacing w:line="240" w:lineRule="auto"/>
        <w:jc w:val="both"/>
        <w:rPr>
          <w:rFonts w:cs="Arial"/>
          <w:i/>
          <w:iCs/>
          <w:szCs w:val="20"/>
        </w:rPr>
      </w:pPr>
      <w:r w:rsidRPr="00CC5A99">
        <w:rPr>
          <w:rFonts w:cs="Arial"/>
          <w:szCs w:val="20"/>
        </w:rPr>
        <w:t>4.</w:t>
      </w:r>
      <w:r>
        <w:rPr>
          <w:rFonts w:cs="Arial"/>
          <w:szCs w:val="20"/>
        </w:rPr>
        <w:t xml:space="preserve">  »-</w:t>
      </w:r>
      <w:r w:rsidRPr="00CC5A99">
        <w:rPr>
          <w:rFonts w:cs="Arial"/>
          <w:i/>
          <w:iCs/>
          <w:szCs w:val="20"/>
        </w:rPr>
        <w:t xml:space="preserve">Ali mogoče obstaja omejitev za sodelovanje javnega zavoda v vlogi podizvajalca več konzorcijem vezana na predmetni razpis in  </w:t>
      </w:r>
    </w:p>
    <w:p w14:paraId="34A8D532" w14:textId="34EC6487" w:rsidR="00CC5A99" w:rsidRDefault="00CC5A99" w:rsidP="00CC5A99">
      <w:pPr>
        <w:spacing w:line="240" w:lineRule="auto"/>
        <w:jc w:val="both"/>
        <w:rPr>
          <w:rFonts w:cs="Arial"/>
          <w:i/>
          <w:iCs/>
          <w:szCs w:val="20"/>
        </w:rPr>
      </w:pPr>
      <w:r w:rsidRPr="00CC5A99">
        <w:rPr>
          <w:rFonts w:cs="Arial"/>
          <w:i/>
          <w:iCs/>
          <w:szCs w:val="20"/>
        </w:rPr>
        <w:t xml:space="preserve">- Ali je Izjava o </w:t>
      </w:r>
      <w:proofErr w:type="spellStart"/>
      <w:r w:rsidRPr="00CC5A99">
        <w:rPr>
          <w:rFonts w:cs="Arial"/>
          <w:i/>
          <w:iCs/>
          <w:szCs w:val="20"/>
        </w:rPr>
        <w:t>podizvajalstvu</w:t>
      </w:r>
      <w:proofErr w:type="spellEnd"/>
      <w:r w:rsidRPr="00CC5A99">
        <w:rPr>
          <w:rFonts w:cs="Arial"/>
          <w:i/>
          <w:iCs/>
          <w:szCs w:val="20"/>
        </w:rPr>
        <w:t xml:space="preserve"> podlaga za sklenitev pogodbe o sodelovanju ali se pričakuje javno naročilo?«</w:t>
      </w:r>
    </w:p>
    <w:p w14:paraId="0A255C4E" w14:textId="77777777" w:rsidR="00CB0996" w:rsidRDefault="00CB0996" w:rsidP="00CB0996">
      <w:pPr>
        <w:spacing w:line="240" w:lineRule="auto"/>
        <w:jc w:val="both"/>
        <w:rPr>
          <w:rFonts w:cs="Arial"/>
          <w:szCs w:val="20"/>
        </w:rPr>
      </w:pPr>
    </w:p>
    <w:p w14:paraId="5652E0F8" w14:textId="77777777" w:rsidR="00CB0996" w:rsidRDefault="00CB0996" w:rsidP="00CB0996">
      <w:pPr>
        <w:spacing w:line="240" w:lineRule="auto"/>
        <w:jc w:val="both"/>
        <w:rPr>
          <w:rFonts w:cs="Arial"/>
          <w:b/>
          <w:bCs/>
          <w:szCs w:val="20"/>
        </w:rPr>
      </w:pPr>
      <w:r w:rsidRPr="00825410">
        <w:rPr>
          <w:rFonts w:cs="Arial"/>
          <w:b/>
          <w:bCs/>
          <w:szCs w:val="20"/>
        </w:rPr>
        <w:t>ODGOVOR:</w:t>
      </w:r>
    </w:p>
    <w:p w14:paraId="51C93FDB" w14:textId="77777777" w:rsidR="006873E3" w:rsidRPr="00825410" w:rsidRDefault="006873E3" w:rsidP="00CB0996">
      <w:pPr>
        <w:spacing w:line="240" w:lineRule="auto"/>
        <w:jc w:val="both"/>
        <w:rPr>
          <w:rFonts w:cs="Arial"/>
          <w:b/>
          <w:bCs/>
          <w:szCs w:val="20"/>
        </w:rPr>
      </w:pPr>
    </w:p>
    <w:p w14:paraId="2D9F16C0" w14:textId="085B2177" w:rsidR="00DC687F" w:rsidRDefault="00320DBE" w:rsidP="00DC687F">
      <w:pPr>
        <w:spacing w:line="240" w:lineRule="auto"/>
        <w:ind w:left="708"/>
        <w:jc w:val="both"/>
        <w:rPr>
          <w:rFonts w:cs="Arial"/>
          <w:szCs w:val="20"/>
        </w:rPr>
      </w:pPr>
      <w:r>
        <w:rPr>
          <w:rFonts w:cs="Arial"/>
          <w:szCs w:val="20"/>
        </w:rPr>
        <w:t xml:space="preserve">1. </w:t>
      </w:r>
      <w:r w:rsidR="00DC687F">
        <w:rPr>
          <w:rFonts w:cs="Arial"/>
          <w:szCs w:val="20"/>
        </w:rPr>
        <w:t xml:space="preserve">  </w:t>
      </w:r>
      <w:r>
        <w:rPr>
          <w:rFonts w:cs="Arial"/>
          <w:szCs w:val="20"/>
        </w:rPr>
        <w:t>Kot že odgovorjeno</w:t>
      </w:r>
      <w:r w:rsidR="00540C82">
        <w:rPr>
          <w:rFonts w:cs="Arial"/>
          <w:szCs w:val="20"/>
        </w:rPr>
        <w:t xml:space="preserve"> zgoraj</w:t>
      </w:r>
      <w:r>
        <w:rPr>
          <w:rFonts w:cs="Arial"/>
          <w:szCs w:val="20"/>
        </w:rPr>
        <w:t>, u</w:t>
      </w:r>
      <w:r w:rsidRPr="00486824">
        <w:rPr>
          <w:rFonts w:cs="Arial"/>
          <w:szCs w:val="20"/>
        </w:rPr>
        <w:t xml:space="preserve">veljavljanje stroška zunanjih izvajalcev je omejeno s pravili, ki jih predpisuje Organ upravljanja v okviru evropske kohezijske politike. Navodila za upravičene stroške, objavljena na strani </w:t>
      </w:r>
      <w:hyperlink r:id="rId10" w:history="1">
        <w:r w:rsidRPr="00486824">
          <w:rPr>
            <w:rStyle w:val="Hiperpovezava"/>
            <w:rFonts w:cs="Arial"/>
            <w:szCs w:val="20"/>
          </w:rPr>
          <w:t>evropska</w:t>
        </w:r>
        <w:r>
          <w:rPr>
            <w:rStyle w:val="Hiperpovezava"/>
            <w:rFonts w:cs="Arial"/>
            <w:szCs w:val="20"/>
          </w:rPr>
          <w:t xml:space="preserve"> </w:t>
        </w:r>
        <w:r w:rsidRPr="00486824">
          <w:rPr>
            <w:rStyle w:val="Hiperpovezava"/>
            <w:rFonts w:cs="Arial"/>
            <w:szCs w:val="20"/>
          </w:rPr>
          <w:t>sredstva.si</w:t>
        </w:r>
      </w:hyperlink>
      <w:r w:rsidRPr="00486824">
        <w:rPr>
          <w:rFonts w:cs="Arial"/>
          <w:szCs w:val="20"/>
        </w:rPr>
        <w:t>, je potrebno ažurno spremljati in upoštevati.</w:t>
      </w:r>
      <w:r w:rsidR="00DC687F">
        <w:rPr>
          <w:rFonts w:cs="Arial"/>
          <w:szCs w:val="20"/>
        </w:rPr>
        <w:t xml:space="preserve"> </w:t>
      </w:r>
    </w:p>
    <w:p w14:paraId="37D40ACC" w14:textId="050CEAE8" w:rsidR="00E45340" w:rsidRDefault="00E45340" w:rsidP="00DC687F">
      <w:pPr>
        <w:spacing w:line="240" w:lineRule="auto"/>
        <w:ind w:left="708"/>
        <w:jc w:val="both"/>
        <w:rPr>
          <w:rFonts w:cs="Arial"/>
          <w:szCs w:val="20"/>
        </w:rPr>
      </w:pPr>
      <w:r>
        <w:rPr>
          <w:rFonts w:cs="Arial"/>
          <w:szCs w:val="20"/>
        </w:rPr>
        <w:t>Upravičeni stroški so opredeljeni tudi v</w:t>
      </w:r>
      <w:r w:rsidR="008261FC">
        <w:rPr>
          <w:rFonts w:cs="Arial"/>
          <w:szCs w:val="20"/>
        </w:rPr>
        <w:t xml:space="preserve"> 10.</w:t>
      </w:r>
      <w:r>
        <w:rPr>
          <w:rFonts w:cs="Arial"/>
          <w:szCs w:val="20"/>
        </w:rPr>
        <w:t xml:space="preserve"> točki javnega razpisa in v </w:t>
      </w:r>
      <w:r w:rsidR="008261FC">
        <w:rPr>
          <w:rFonts w:cs="Arial"/>
          <w:szCs w:val="20"/>
        </w:rPr>
        <w:t xml:space="preserve">7. </w:t>
      </w:r>
      <w:r>
        <w:rPr>
          <w:rFonts w:cs="Arial"/>
          <w:szCs w:val="20"/>
        </w:rPr>
        <w:t>točki Pojasnil javnega razpisa. Javni razpis ne vsebuje omejitev glede sodelovanja javnega zavoda kot zunanjega izvajalca na več projektih.</w:t>
      </w:r>
    </w:p>
    <w:p w14:paraId="12E28D9F" w14:textId="77777777" w:rsidR="00DC687F" w:rsidRDefault="00DC687F" w:rsidP="00DC687F">
      <w:pPr>
        <w:spacing w:line="240" w:lineRule="auto"/>
        <w:ind w:left="708"/>
        <w:jc w:val="both"/>
        <w:rPr>
          <w:rFonts w:cs="Arial"/>
          <w:szCs w:val="20"/>
        </w:rPr>
      </w:pPr>
    </w:p>
    <w:p w14:paraId="09A844B1" w14:textId="77777777" w:rsidR="008261FC" w:rsidRDefault="00DC687F" w:rsidP="00DC687F">
      <w:pPr>
        <w:spacing w:line="240" w:lineRule="auto"/>
        <w:ind w:left="708"/>
        <w:jc w:val="both"/>
        <w:rPr>
          <w:rFonts w:cs="Arial"/>
          <w:szCs w:val="20"/>
        </w:rPr>
      </w:pPr>
      <w:r>
        <w:rPr>
          <w:rFonts w:cs="Arial"/>
          <w:szCs w:val="20"/>
        </w:rPr>
        <w:t xml:space="preserve">2.  </w:t>
      </w:r>
      <w:r w:rsidR="00DB1A9B">
        <w:rPr>
          <w:rFonts w:cs="Arial"/>
          <w:szCs w:val="20"/>
        </w:rPr>
        <w:t xml:space="preserve">Pojasnila javnega razpisa v točki 7.3 določajo sledeče: »Vsi </w:t>
      </w:r>
      <w:proofErr w:type="spellStart"/>
      <w:r w:rsidR="00DB1A9B" w:rsidRPr="00E0386F">
        <w:rPr>
          <w:rFonts w:cs="Arial"/>
          <w:szCs w:val="20"/>
        </w:rPr>
        <w:t>konzorcijski</w:t>
      </w:r>
      <w:proofErr w:type="spellEnd"/>
      <w:r w:rsidR="00DB1A9B" w:rsidRPr="00E0386F">
        <w:rPr>
          <w:rFonts w:cs="Arial"/>
          <w:szCs w:val="20"/>
        </w:rPr>
        <w:t xml:space="preserve"> partnerji morajo pri izboru zunanjih izvajalcev ravnati v skladu z načelom gospodarnosti in transparentnosti ter s pogodbo o financiranju.</w:t>
      </w:r>
      <w:r w:rsidR="008261FC" w:rsidRPr="008261FC">
        <w:t xml:space="preserve"> </w:t>
      </w:r>
      <w:proofErr w:type="spellStart"/>
      <w:r w:rsidR="008261FC" w:rsidRPr="008261FC">
        <w:rPr>
          <w:rFonts w:cs="Arial"/>
          <w:szCs w:val="20"/>
        </w:rPr>
        <w:t>Konzorcijski</w:t>
      </w:r>
      <w:proofErr w:type="spellEnd"/>
      <w:r w:rsidR="008261FC" w:rsidRPr="008261FC">
        <w:rPr>
          <w:rFonts w:cs="Arial"/>
          <w:szCs w:val="20"/>
        </w:rPr>
        <w:t xml:space="preserve"> partnerji, ki so zavezanci po Zakonu o javnem naročanju (Uradni list RS, št. 91/15, 14/18, 121/21, 10/22, 74/22 – </w:t>
      </w:r>
      <w:proofErr w:type="spellStart"/>
      <w:r w:rsidR="008261FC" w:rsidRPr="008261FC">
        <w:rPr>
          <w:rFonts w:cs="Arial"/>
          <w:szCs w:val="20"/>
        </w:rPr>
        <w:t>odl</w:t>
      </w:r>
      <w:proofErr w:type="spellEnd"/>
      <w:r w:rsidR="008261FC" w:rsidRPr="008261FC">
        <w:rPr>
          <w:rFonts w:cs="Arial"/>
          <w:szCs w:val="20"/>
        </w:rPr>
        <w:t>. US, 100/22 – ZNUZSZS, 28/23 in 88/23 – ZOPNN-F, v nadaljevanju: ZJN-3), morajo pri naročanju blaga in storitev ravnati skladno z določili ZJN-3.</w:t>
      </w:r>
      <w:r w:rsidR="00DB1A9B">
        <w:rPr>
          <w:rFonts w:cs="Arial"/>
          <w:szCs w:val="20"/>
        </w:rPr>
        <w:t xml:space="preserve">« </w:t>
      </w:r>
    </w:p>
    <w:p w14:paraId="06E12A0D" w14:textId="77777777" w:rsidR="008261FC" w:rsidRDefault="008261FC" w:rsidP="00DC687F">
      <w:pPr>
        <w:spacing w:line="240" w:lineRule="auto"/>
        <w:ind w:left="708"/>
        <w:jc w:val="both"/>
        <w:rPr>
          <w:rFonts w:cs="Arial"/>
          <w:szCs w:val="20"/>
        </w:rPr>
      </w:pPr>
    </w:p>
    <w:p w14:paraId="542AD475" w14:textId="2B1F88B4" w:rsidR="00CB0996" w:rsidRDefault="00DC687F" w:rsidP="00DC687F">
      <w:pPr>
        <w:spacing w:line="240" w:lineRule="auto"/>
        <w:ind w:left="708"/>
        <w:jc w:val="both"/>
      </w:pPr>
      <w:r>
        <w:rPr>
          <w:rFonts w:cs="Arial"/>
          <w:szCs w:val="20"/>
        </w:rPr>
        <w:t xml:space="preserve">Stroški za zunanjega izvajalca so </w:t>
      </w:r>
      <w:r w:rsidR="008261FC">
        <w:rPr>
          <w:rFonts w:cs="Arial"/>
          <w:szCs w:val="20"/>
        </w:rPr>
        <w:t xml:space="preserve">lahko </w:t>
      </w:r>
      <w:r>
        <w:rPr>
          <w:rFonts w:cs="Arial"/>
          <w:szCs w:val="20"/>
        </w:rPr>
        <w:t>upravičeni v primeru, da s</w:t>
      </w:r>
      <w:r w:rsidR="00DB1A9B">
        <w:rPr>
          <w:rFonts w:cs="Arial"/>
          <w:szCs w:val="20"/>
        </w:rPr>
        <w:t>ta</w:t>
      </w:r>
      <w:r>
        <w:rPr>
          <w:rFonts w:cs="Arial"/>
          <w:szCs w:val="20"/>
        </w:rPr>
        <w:t xml:space="preserve"> bil</w:t>
      </w:r>
      <w:r w:rsidR="00DB1A9B">
        <w:rPr>
          <w:rFonts w:cs="Arial"/>
          <w:szCs w:val="20"/>
        </w:rPr>
        <w:t>i</w:t>
      </w:r>
      <w:r>
        <w:rPr>
          <w:rFonts w:cs="Arial"/>
          <w:szCs w:val="20"/>
        </w:rPr>
        <w:t xml:space="preserve"> pri izbiri upoštevan</w:t>
      </w:r>
      <w:r w:rsidR="00DB1A9B">
        <w:rPr>
          <w:rFonts w:cs="Arial"/>
          <w:szCs w:val="20"/>
        </w:rPr>
        <w:t>i</w:t>
      </w:r>
      <w:r>
        <w:rPr>
          <w:rFonts w:cs="Arial"/>
          <w:szCs w:val="20"/>
        </w:rPr>
        <w:t xml:space="preserve"> načel</w:t>
      </w:r>
      <w:r w:rsidR="00DB1A9B">
        <w:rPr>
          <w:rFonts w:cs="Arial"/>
          <w:szCs w:val="20"/>
        </w:rPr>
        <w:t>i gospodarnosti in transparentnosti</w:t>
      </w:r>
      <w:r>
        <w:rPr>
          <w:rFonts w:cs="Arial"/>
          <w:szCs w:val="20"/>
        </w:rPr>
        <w:t>, ne glede na to, ali je sodelovanje potekalo na podlagi sklenjene pogodbe ali naročilnice.</w:t>
      </w:r>
      <w:r w:rsidR="00B00DAB">
        <w:rPr>
          <w:rFonts w:cs="Arial"/>
          <w:szCs w:val="20"/>
        </w:rPr>
        <w:t xml:space="preserve"> </w:t>
      </w:r>
      <w:r w:rsidR="008261FC">
        <w:rPr>
          <w:rFonts w:cs="Arial"/>
          <w:szCs w:val="20"/>
        </w:rPr>
        <w:t>U</w:t>
      </w:r>
      <w:r w:rsidR="00DB1A9B">
        <w:rPr>
          <w:rFonts w:cs="Arial"/>
          <w:szCs w:val="20"/>
        </w:rPr>
        <w:t xml:space="preserve">pravičenec </w:t>
      </w:r>
      <w:r w:rsidR="008261FC">
        <w:rPr>
          <w:rFonts w:cs="Arial"/>
          <w:szCs w:val="20"/>
        </w:rPr>
        <w:t xml:space="preserve">mora </w:t>
      </w:r>
      <w:r w:rsidR="00DB1A9B">
        <w:rPr>
          <w:rFonts w:cs="Arial"/>
          <w:szCs w:val="20"/>
        </w:rPr>
        <w:t xml:space="preserve">utemeljevati način izbora zunanjega izvajalca v skladu z veljavnimi pravili, </w:t>
      </w:r>
      <w:r w:rsidR="00DB1A9B" w:rsidRPr="00486824">
        <w:rPr>
          <w:rFonts w:cs="Arial"/>
          <w:szCs w:val="20"/>
        </w:rPr>
        <w:t xml:space="preserve">ki jih predpisuje Organ </w:t>
      </w:r>
      <w:r w:rsidR="00DB1A9B" w:rsidRPr="00486824">
        <w:rPr>
          <w:rFonts w:cs="Arial"/>
          <w:szCs w:val="20"/>
        </w:rPr>
        <w:lastRenderedPageBreak/>
        <w:t>upravljanja v okviru evropske kohezijske politike</w:t>
      </w:r>
      <w:r w:rsidR="008261FC">
        <w:rPr>
          <w:rFonts w:cs="Arial"/>
          <w:szCs w:val="20"/>
        </w:rPr>
        <w:t xml:space="preserve"> in ki jih predpisujejo določila razpisne dokumentacije</w:t>
      </w:r>
      <w:r w:rsidR="00DB1A9B">
        <w:rPr>
          <w:rFonts w:cs="Arial"/>
          <w:szCs w:val="20"/>
        </w:rPr>
        <w:t>, tako v primeru sklenitve pogodbe kot tudi na podlagi naročilnice.</w:t>
      </w:r>
      <w:r w:rsidR="008261FC" w:rsidRPr="008261FC">
        <w:t xml:space="preserve"> </w:t>
      </w:r>
    </w:p>
    <w:p w14:paraId="0F19DB50" w14:textId="77777777" w:rsidR="008261FC" w:rsidRDefault="008261FC" w:rsidP="00DC687F">
      <w:pPr>
        <w:spacing w:line="240" w:lineRule="auto"/>
        <w:ind w:left="708"/>
        <w:jc w:val="both"/>
      </w:pPr>
    </w:p>
    <w:p w14:paraId="2F255E0C" w14:textId="73CC3D40" w:rsidR="008261FC" w:rsidRDefault="008261FC" w:rsidP="00DC687F">
      <w:pPr>
        <w:spacing w:line="240" w:lineRule="auto"/>
        <w:ind w:left="708"/>
        <w:jc w:val="both"/>
        <w:rPr>
          <w:rFonts w:cs="Arial"/>
          <w:szCs w:val="20"/>
        </w:rPr>
      </w:pPr>
    </w:p>
    <w:p w14:paraId="5A862176" w14:textId="77777777" w:rsidR="009306E8" w:rsidRDefault="009306E8" w:rsidP="00DC687F">
      <w:pPr>
        <w:spacing w:line="240" w:lineRule="auto"/>
        <w:ind w:left="708"/>
        <w:jc w:val="both"/>
        <w:rPr>
          <w:rFonts w:cs="Arial"/>
          <w:szCs w:val="20"/>
        </w:rPr>
      </w:pPr>
    </w:p>
    <w:p w14:paraId="58B314A5" w14:textId="5F738470" w:rsidR="00424C9E" w:rsidRPr="00540C82" w:rsidRDefault="00540C82" w:rsidP="00424C9E">
      <w:pPr>
        <w:spacing w:line="240" w:lineRule="auto"/>
        <w:jc w:val="both"/>
        <w:rPr>
          <w:rFonts w:cs="Arial"/>
          <w:i/>
          <w:iCs/>
          <w:szCs w:val="20"/>
        </w:rPr>
      </w:pPr>
      <w:r w:rsidRPr="008A0ACA">
        <w:rPr>
          <w:rFonts w:cs="Arial"/>
          <w:b/>
          <w:bCs/>
          <w:szCs w:val="20"/>
        </w:rPr>
        <w:t>5.</w:t>
      </w:r>
      <w:r>
        <w:rPr>
          <w:rFonts w:cs="Arial"/>
          <w:szCs w:val="20"/>
        </w:rPr>
        <w:t xml:space="preserve"> »</w:t>
      </w:r>
      <w:r w:rsidR="00424C9E" w:rsidRPr="00424C9E">
        <w:rPr>
          <w:rFonts w:cs="Arial"/>
          <w:szCs w:val="20"/>
        </w:rPr>
        <w:t xml:space="preserve">1. </w:t>
      </w:r>
      <w:r w:rsidR="00424C9E" w:rsidRPr="00540C82">
        <w:rPr>
          <w:rFonts w:cs="Arial"/>
          <w:i/>
          <w:iCs/>
          <w:szCs w:val="20"/>
        </w:rPr>
        <w:t>v obrazcu 1, kjer moramo vpisati začetek projekta, so možnosti samo DA/NE – kaj izberemo oz. ali bo to popravljeno in bo naložen nov obrazec, popravimo sami?</w:t>
      </w:r>
    </w:p>
    <w:p w14:paraId="692BE737" w14:textId="77777777" w:rsidR="00424C9E" w:rsidRPr="00540C82" w:rsidRDefault="00424C9E" w:rsidP="00424C9E">
      <w:pPr>
        <w:spacing w:line="240" w:lineRule="auto"/>
        <w:jc w:val="both"/>
        <w:rPr>
          <w:rFonts w:cs="Arial"/>
          <w:i/>
          <w:iCs/>
          <w:szCs w:val="20"/>
        </w:rPr>
      </w:pPr>
      <w:r w:rsidRPr="00540C82">
        <w:rPr>
          <w:rFonts w:cs="Arial"/>
          <w:i/>
          <w:iCs/>
          <w:szCs w:val="20"/>
        </w:rPr>
        <w:t>2. V referencah je potrebno vpisati , nacionalne, EU in mednarodne dosežke. Pod mednarodne se smatra izven EU?</w:t>
      </w:r>
    </w:p>
    <w:p w14:paraId="54520AB0" w14:textId="77777777" w:rsidR="00424C9E" w:rsidRPr="00540C82" w:rsidRDefault="00424C9E" w:rsidP="00424C9E">
      <w:pPr>
        <w:spacing w:line="240" w:lineRule="auto"/>
        <w:jc w:val="both"/>
        <w:rPr>
          <w:rFonts w:cs="Arial"/>
          <w:i/>
          <w:iCs/>
          <w:szCs w:val="20"/>
        </w:rPr>
      </w:pPr>
      <w:r w:rsidRPr="00540C82">
        <w:rPr>
          <w:rFonts w:cs="Arial"/>
          <w:i/>
          <w:iCs/>
          <w:szCs w:val="20"/>
        </w:rPr>
        <w:t>3. Naziv projekta si izmislimo sami kot je npr. praksa na EU projektih ali se držimo dikcije »Slovenski center za krožno gospodarstvo – za zeleni, ustvarjalni in pametni razvoj«?</w:t>
      </w:r>
    </w:p>
    <w:p w14:paraId="6A70D661" w14:textId="77777777" w:rsidR="00424C9E" w:rsidRPr="00540C82" w:rsidRDefault="00424C9E" w:rsidP="00424C9E">
      <w:pPr>
        <w:spacing w:line="240" w:lineRule="auto"/>
        <w:jc w:val="both"/>
        <w:rPr>
          <w:rFonts w:cs="Arial"/>
          <w:i/>
          <w:iCs/>
          <w:szCs w:val="20"/>
        </w:rPr>
      </w:pPr>
      <w:r w:rsidRPr="00540C82">
        <w:rPr>
          <w:rFonts w:cs="Arial"/>
          <w:i/>
          <w:iCs/>
          <w:szCs w:val="20"/>
        </w:rPr>
        <w:t>4. Ali je predvidena indeksacija proračuna projekta, glede na visoko inflacijo, ki bo še prisotna v prihodnjih letih v Sloveniji?</w:t>
      </w:r>
    </w:p>
    <w:p w14:paraId="3541CC41" w14:textId="298C38C5" w:rsidR="009306E8" w:rsidRDefault="00424C9E" w:rsidP="00424C9E">
      <w:pPr>
        <w:spacing w:line="240" w:lineRule="auto"/>
        <w:jc w:val="both"/>
        <w:rPr>
          <w:rFonts w:cs="Arial"/>
          <w:szCs w:val="20"/>
        </w:rPr>
      </w:pPr>
      <w:r w:rsidRPr="00540C82">
        <w:rPr>
          <w:rFonts w:cs="Arial"/>
          <w:i/>
          <w:iCs/>
          <w:szCs w:val="20"/>
        </w:rPr>
        <w:t>5. Ali je lahko na CKG zaposlena oseba iz hčerinske družbe, katera ni registrirana v Sloveniji? Kako bi potekal postopek?</w:t>
      </w:r>
      <w:r w:rsidR="00540C82">
        <w:rPr>
          <w:rFonts w:cs="Arial"/>
          <w:szCs w:val="20"/>
        </w:rPr>
        <w:t>«</w:t>
      </w:r>
    </w:p>
    <w:p w14:paraId="11FC5FC8" w14:textId="77777777" w:rsidR="006873E3" w:rsidRDefault="006873E3" w:rsidP="00424C9E">
      <w:pPr>
        <w:spacing w:line="240" w:lineRule="auto"/>
        <w:jc w:val="both"/>
        <w:rPr>
          <w:rFonts w:cs="Arial"/>
          <w:szCs w:val="20"/>
        </w:rPr>
      </w:pPr>
    </w:p>
    <w:p w14:paraId="4C6CBE99" w14:textId="77777777" w:rsidR="006873E3" w:rsidRPr="00825410" w:rsidRDefault="006873E3" w:rsidP="006873E3">
      <w:pPr>
        <w:spacing w:line="240" w:lineRule="auto"/>
        <w:jc w:val="both"/>
        <w:rPr>
          <w:rFonts w:cs="Arial"/>
          <w:b/>
          <w:bCs/>
          <w:szCs w:val="20"/>
        </w:rPr>
      </w:pPr>
      <w:r w:rsidRPr="00825410">
        <w:rPr>
          <w:rFonts w:cs="Arial"/>
          <w:b/>
          <w:bCs/>
          <w:szCs w:val="20"/>
        </w:rPr>
        <w:t>ODGOVOR:</w:t>
      </w:r>
    </w:p>
    <w:p w14:paraId="2E1F5892" w14:textId="77777777" w:rsidR="00540C82" w:rsidRDefault="00540C82" w:rsidP="00424C9E">
      <w:pPr>
        <w:spacing w:line="240" w:lineRule="auto"/>
        <w:jc w:val="both"/>
        <w:rPr>
          <w:rFonts w:cs="Arial"/>
          <w:szCs w:val="20"/>
        </w:rPr>
      </w:pPr>
    </w:p>
    <w:p w14:paraId="03D81B8D" w14:textId="77777777" w:rsidR="00D11B5D" w:rsidRDefault="00D11B5D" w:rsidP="006873E3">
      <w:pPr>
        <w:spacing w:line="240" w:lineRule="auto"/>
        <w:ind w:left="708"/>
        <w:jc w:val="both"/>
        <w:rPr>
          <w:rFonts w:cs="Arial"/>
          <w:szCs w:val="20"/>
        </w:rPr>
      </w:pPr>
      <w:r>
        <w:rPr>
          <w:rFonts w:cs="Arial"/>
          <w:szCs w:val="20"/>
        </w:rPr>
        <w:t>1. Obrazec 1 je imel tehnično napako v polju za vpis začetka projekta. Napaka je bila vmes odpravljena, obrazec, objavljen na spletni strani, pa posodobljen. Za napako se opravičujemo.</w:t>
      </w:r>
    </w:p>
    <w:p w14:paraId="31076164" w14:textId="77777777" w:rsidR="00D11B5D" w:rsidRDefault="00D11B5D" w:rsidP="006873E3">
      <w:pPr>
        <w:spacing w:line="240" w:lineRule="auto"/>
        <w:ind w:left="708"/>
        <w:jc w:val="both"/>
        <w:rPr>
          <w:rFonts w:cs="Arial"/>
          <w:szCs w:val="20"/>
        </w:rPr>
      </w:pPr>
    </w:p>
    <w:p w14:paraId="1D4A7DF6" w14:textId="38626DB8" w:rsidR="00540C82" w:rsidRDefault="00D11B5D" w:rsidP="006873E3">
      <w:pPr>
        <w:spacing w:line="240" w:lineRule="auto"/>
        <w:ind w:left="708"/>
        <w:jc w:val="both"/>
        <w:rPr>
          <w:rFonts w:cs="Arial"/>
          <w:szCs w:val="20"/>
        </w:rPr>
      </w:pPr>
      <w:r>
        <w:rPr>
          <w:rFonts w:cs="Arial"/>
          <w:szCs w:val="20"/>
        </w:rPr>
        <w:t xml:space="preserve">2. Mednarodni dosežki lahko obsegajo tako dosežke na EU ravni kot tudi dosežke izven EU.  </w:t>
      </w:r>
    </w:p>
    <w:p w14:paraId="26EE41BB" w14:textId="77777777" w:rsidR="00D11B5D" w:rsidRDefault="00D11B5D" w:rsidP="006873E3">
      <w:pPr>
        <w:spacing w:line="240" w:lineRule="auto"/>
        <w:ind w:left="708"/>
        <w:jc w:val="both"/>
        <w:rPr>
          <w:rFonts w:cs="Arial"/>
          <w:szCs w:val="20"/>
        </w:rPr>
      </w:pPr>
    </w:p>
    <w:p w14:paraId="7E73BD63" w14:textId="7D56B49C" w:rsidR="00D11B5D" w:rsidRDefault="00D11B5D" w:rsidP="006873E3">
      <w:pPr>
        <w:spacing w:line="240" w:lineRule="auto"/>
        <w:ind w:left="708"/>
        <w:jc w:val="both"/>
        <w:rPr>
          <w:rFonts w:cs="Arial"/>
          <w:szCs w:val="20"/>
        </w:rPr>
      </w:pPr>
      <w:r>
        <w:rPr>
          <w:rFonts w:cs="Arial"/>
          <w:szCs w:val="20"/>
        </w:rPr>
        <w:t xml:space="preserve">3. Naziv projekta je določen v skladu z imenom </w:t>
      </w:r>
      <w:r w:rsidR="008261FC">
        <w:rPr>
          <w:rFonts w:cs="Arial"/>
          <w:szCs w:val="20"/>
        </w:rPr>
        <w:t xml:space="preserve">javnega </w:t>
      </w:r>
      <w:r>
        <w:rPr>
          <w:rFonts w:cs="Arial"/>
          <w:szCs w:val="20"/>
        </w:rPr>
        <w:t>razpisa in zapisan v Obrazcu 1</w:t>
      </w:r>
      <w:r w:rsidR="008261FC">
        <w:rPr>
          <w:rFonts w:cs="Arial"/>
          <w:szCs w:val="20"/>
        </w:rPr>
        <w:t xml:space="preserve">: </w:t>
      </w:r>
      <w:r>
        <w:rPr>
          <w:rFonts w:cs="Arial"/>
          <w:szCs w:val="20"/>
        </w:rPr>
        <w:t xml:space="preserve"> </w:t>
      </w:r>
      <w:r w:rsidR="008261FC">
        <w:rPr>
          <w:rFonts w:cs="Arial"/>
          <w:szCs w:val="20"/>
        </w:rPr>
        <w:t>»</w:t>
      </w:r>
      <w:r w:rsidRPr="00D11B5D">
        <w:rPr>
          <w:rFonts w:cs="Arial"/>
          <w:szCs w:val="20"/>
        </w:rPr>
        <w:t xml:space="preserve">Vzpostavitev in delovanje </w:t>
      </w:r>
      <w:r>
        <w:rPr>
          <w:rFonts w:cs="Arial"/>
          <w:szCs w:val="20"/>
        </w:rPr>
        <w:t xml:space="preserve">Slovenskega </w:t>
      </w:r>
      <w:r w:rsidRPr="00D11B5D">
        <w:rPr>
          <w:rFonts w:cs="Arial"/>
          <w:szCs w:val="20"/>
        </w:rPr>
        <w:t>Centra za krožno gospodarstvo - za zeleni, ustvarjalni in pametni razvoj</w:t>
      </w:r>
      <w:r w:rsidR="008261FC">
        <w:rPr>
          <w:rFonts w:cs="Arial"/>
          <w:szCs w:val="20"/>
        </w:rPr>
        <w:t>«</w:t>
      </w:r>
      <w:r>
        <w:rPr>
          <w:rFonts w:cs="Arial"/>
          <w:szCs w:val="20"/>
        </w:rPr>
        <w:t>.</w:t>
      </w:r>
    </w:p>
    <w:p w14:paraId="3A4E8B61" w14:textId="77777777" w:rsidR="00D11B5D" w:rsidRDefault="00D11B5D" w:rsidP="006873E3">
      <w:pPr>
        <w:spacing w:line="240" w:lineRule="auto"/>
        <w:ind w:left="708"/>
        <w:jc w:val="both"/>
        <w:rPr>
          <w:rFonts w:cs="Arial"/>
          <w:szCs w:val="20"/>
        </w:rPr>
      </w:pPr>
    </w:p>
    <w:p w14:paraId="246C8502" w14:textId="025BC853" w:rsidR="00A32887" w:rsidRPr="00A32887" w:rsidRDefault="00A32887" w:rsidP="006873E3">
      <w:pPr>
        <w:spacing w:line="240" w:lineRule="auto"/>
        <w:ind w:left="708"/>
        <w:jc w:val="both"/>
        <w:rPr>
          <w:rFonts w:cs="Arial"/>
          <w:szCs w:val="20"/>
        </w:rPr>
      </w:pPr>
      <w:r w:rsidRPr="00A32887">
        <w:rPr>
          <w:rFonts w:cs="Arial"/>
          <w:szCs w:val="20"/>
        </w:rPr>
        <w:t>4.</w:t>
      </w:r>
      <w:r>
        <w:rPr>
          <w:rFonts w:cs="Arial"/>
          <w:szCs w:val="20"/>
        </w:rPr>
        <w:t xml:space="preserve"> </w:t>
      </w:r>
      <w:r w:rsidR="00D11B5D" w:rsidRPr="00A32887">
        <w:rPr>
          <w:rFonts w:cs="Arial"/>
          <w:szCs w:val="20"/>
        </w:rPr>
        <w:t xml:space="preserve">Obseg sredstev samega projekta je vnaprej določen in odvisen od razreza evropskih kohezijskih  sredstev. V tem trenutku  spreminjanje sredstev na ravni celotnega  projekta ni predvideno niti se ne načrtuje v prihodnosti. </w:t>
      </w:r>
    </w:p>
    <w:p w14:paraId="5C6B4E65" w14:textId="77777777" w:rsidR="00A32887" w:rsidRDefault="00A32887" w:rsidP="006873E3">
      <w:pPr>
        <w:ind w:left="708"/>
      </w:pPr>
    </w:p>
    <w:p w14:paraId="28E91171" w14:textId="1620D12D" w:rsidR="00A04502" w:rsidRDefault="00D11B5D" w:rsidP="006873E3">
      <w:pPr>
        <w:ind w:left="708"/>
        <w:jc w:val="both"/>
        <w:rPr>
          <w:szCs w:val="20"/>
        </w:rPr>
      </w:pPr>
      <w:r w:rsidRPr="00A32887">
        <w:t>Izračun obsega stroška na enoto v okviru stroškov plač in povračil stroškov v zvezi z delom pa se bo posodabljal na 2 leti.</w:t>
      </w:r>
    </w:p>
    <w:p w14:paraId="2F4FB588" w14:textId="77777777" w:rsidR="00A04502" w:rsidRPr="00A32887" w:rsidRDefault="00A04502" w:rsidP="006873E3">
      <w:pPr>
        <w:ind w:left="708"/>
      </w:pPr>
    </w:p>
    <w:p w14:paraId="0D2229C4" w14:textId="29323BEC" w:rsidR="0029569A" w:rsidRPr="0029569A" w:rsidRDefault="00A04502" w:rsidP="006873E3">
      <w:pPr>
        <w:ind w:left="708"/>
        <w:jc w:val="both"/>
      </w:pPr>
      <w:r>
        <w:rPr>
          <w:szCs w:val="20"/>
        </w:rPr>
        <w:t>5.</w:t>
      </w:r>
      <w:r w:rsidR="00C013BD" w:rsidRPr="00A04502">
        <w:rPr>
          <w:szCs w:val="20"/>
        </w:rPr>
        <w:t xml:space="preserve"> </w:t>
      </w:r>
      <w:r w:rsidR="0029569A">
        <w:t>Točka 10.2. javnega razpisa določa, da bo f</w:t>
      </w:r>
      <w:r w:rsidR="0029569A" w:rsidRPr="0029569A">
        <w:t xml:space="preserve">inanciranje po javnem razpisu potekalo skladno s pravili evropske kohezijske politike, veljavno shemo de </w:t>
      </w:r>
      <w:proofErr w:type="spellStart"/>
      <w:r w:rsidR="0029569A" w:rsidRPr="0029569A">
        <w:t>minimis</w:t>
      </w:r>
      <w:proofErr w:type="spellEnd"/>
      <w:r w:rsidR="0029569A" w:rsidRPr="0029569A">
        <w:t>, veljavnimi Navodili organa upravljanja o upravičenih stroških za sredstva evropske kohezijske politike v programskem obdobju 2021-2027 in Smernicami o poenostavljenih možnostih obračunavanja stroškov, ki so bile izdane za obdobje 2014-2020, ki se jih lahko smiselno uporablja tudi za obdobje 2021-2027</w:t>
      </w:r>
      <w:r w:rsidR="0029569A">
        <w:t xml:space="preserve"> </w:t>
      </w:r>
      <w:r w:rsidR="0029569A" w:rsidRPr="0029569A">
        <w:t xml:space="preserve">Navodila organa upravljanja o upravičenih stroških za sredstva evropske kohezijske politike </w:t>
      </w:r>
    </w:p>
    <w:p w14:paraId="3354F010" w14:textId="5046E548" w:rsidR="0029569A" w:rsidRDefault="0029569A" w:rsidP="006873E3">
      <w:pPr>
        <w:spacing w:line="240" w:lineRule="auto"/>
        <w:ind w:left="708"/>
        <w:jc w:val="both"/>
        <w:rPr>
          <w:rFonts w:cs="Arial"/>
          <w:szCs w:val="20"/>
        </w:rPr>
      </w:pPr>
      <w:r w:rsidRPr="0029569A">
        <w:rPr>
          <w:rFonts w:cs="Arial"/>
          <w:szCs w:val="20"/>
        </w:rPr>
        <w:t>v programskem obdobju 2021-2027</w:t>
      </w:r>
      <w:r>
        <w:rPr>
          <w:rFonts w:cs="Arial"/>
          <w:szCs w:val="20"/>
        </w:rPr>
        <w:t xml:space="preserve"> v točki 3.3.1 določajo: »</w:t>
      </w:r>
      <w:r w:rsidRPr="0029569A">
        <w:rPr>
          <w:rFonts w:cs="Arial"/>
          <w:szCs w:val="20"/>
        </w:rPr>
        <w:t>Stroški plač ter druga povračila stroškov v zvezi z delom zaposlenih na operaciji so upravičeni do sofinanciranja. Kot zaposlene se razume osebe, ki so z upravičencem sklenile pogodbo o zaposlitvi.</w:t>
      </w:r>
      <w:r>
        <w:rPr>
          <w:rFonts w:cs="Arial"/>
          <w:szCs w:val="20"/>
        </w:rPr>
        <w:t>«</w:t>
      </w:r>
    </w:p>
    <w:p w14:paraId="032AC0C9" w14:textId="77777777" w:rsidR="0029569A" w:rsidRDefault="0029569A" w:rsidP="006873E3">
      <w:pPr>
        <w:spacing w:line="240" w:lineRule="auto"/>
        <w:ind w:left="708"/>
        <w:jc w:val="both"/>
        <w:rPr>
          <w:rFonts w:cs="Arial"/>
          <w:szCs w:val="20"/>
        </w:rPr>
      </w:pPr>
    </w:p>
    <w:p w14:paraId="103480D9" w14:textId="6DAEF990" w:rsidR="0022745A" w:rsidRPr="0022745A" w:rsidRDefault="0029569A" w:rsidP="0022745A">
      <w:pPr>
        <w:spacing w:line="240" w:lineRule="auto"/>
        <w:ind w:left="708"/>
        <w:jc w:val="both"/>
        <w:rPr>
          <w:rFonts w:cs="Arial"/>
          <w:szCs w:val="20"/>
        </w:rPr>
      </w:pPr>
      <w:r>
        <w:rPr>
          <w:rFonts w:cs="Arial"/>
          <w:szCs w:val="20"/>
        </w:rPr>
        <w:t>V okviru stroškov dela oz. plač se torej lahko na javnem razpisu uveljavlja samo stroške dela za osebe, zaposlene pri upravičencu (</w:t>
      </w:r>
      <w:proofErr w:type="spellStart"/>
      <w:r>
        <w:rPr>
          <w:rFonts w:cs="Arial"/>
          <w:szCs w:val="20"/>
        </w:rPr>
        <w:t>konzorcijskem</w:t>
      </w:r>
      <w:proofErr w:type="spellEnd"/>
      <w:r>
        <w:rPr>
          <w:rFonts w:cs="Arial"/>
          <w:szCs w:val="20"/>
        </w:rPr>
        <w:t xml:space="preserve"> partnerju), nikakor pa ne stroškov za zaposlene v </w:t>
      </w:r>
      <w:proofErr w:type="spellStart"/>
      <w:r>
        <w:rPr>
          <w:rFonts w:cs="Arial"/>
          <w:szCs w:val="20"/>
        </w:rPr>
        <w:t>drugih</w:t>
      </w:r>
      <w:r w:rsidR="00B02107">
        <w:rPr>
          <w:rFonts w:cs="Arial"/>
          <w:szCs w:val="20"/>
        </w:rPr>
        <w:t>,</w:t>
      </w:r>
      <w:r>
        <w:rPr>
          <w:rFonts w:cs="Arial"/>
          <w:szCs w:val="20"/>
        </w:rPr>
        <w:t>tudi</w:t>
      </w:r>
      <w:proofErr w:type="spellEnd"/>
      <w:r>
        <w:rPr>
          <w:rFonts w:cs="Arial"/>
          <w:szCs w:val="20"/>
        </w:rPr>
        <w:t xml:space="preserve"> hčerinskih</w:t>
      </w:r>
      <w:r w:rsidR="00B02107">
        <w:rPr>
          <w:rFonts w:cs="Arial"/>
          <w:szCs w:val="20"/>
        </w:rPr>
        <w:t>,</w:t>
      </w:r>
      <w:r>
        <w:rPr>
          <w:rFonts w:cs="Arial"/>
          <w:szCs w:val="20"/>
        </w:rPr>
        <w:t xml:space="preserve"> podjetjih).</w:t>
      </w:r>
      <w:r w:rsidR="0022745A">
        <w:rPr>
          <w:rFonts w:cs="Arial"/>
          <w:szCs w:val="20"/>
        </w:rPr>
        <w:t xml:space="preserve"> </w:t>
      </w:r>
      <w:proofErr w:type="spellStart"/>
      <w:r w:rsidR="0022745A" w:rsidRPr="0022745A">
        <w:rPr>
          <w:rFonts w:cs="Arial"/>
          <w:szCs w:val="20"/>
        </w:rPr>
        <w:t>Konzorcijski</w:t>
      </w:r>
      <w:proofErr w:type="spellEnd"/>
      <w:r w:rsidR="0022745A" w:rsidRPr="0022745A">
        <w:rPr>
          <w:rFonts w:cs="Arial"/>
          <w:szCs w:val="20"/>
        </w:rPr>
        <w:t xml:space="preserve"> partnerji morajo biti pravne osebe javnega ali zasebnega prava,  vpisane v Poslovni register Slovenije ali sodni register</w:t>
      </w:r>
      <w:r w:rsidR="0022745A">
        <w:rPr>
          <w:rFonts w:cs="Arial"/>
          <w:szCs w:val="20"/>
        </w:rPr>
        <w:t xml:space="preserve">, pri čemer je potrebno upoštevati določilo točke 2.3 javnega razpisa. </w:t>
      </w:r>
      <w:r w:rsidR="0022745A" w:rsidRPr="0022745A">
        <w:rPr>
          <w:rFonts w:cs="Arial"/>
          <w:szCs w:val="20"/>
        </w:rPr>
        <w:t xml:space="preserve">  </w:t>
      </w:r>
    </w:p>
    <w:p w14:paraId="40A90B86" w14:textId="493FC9EA" w:rsidR="0029569A" w:rsidRDefault="0029569A" w:rsidP="008A0ACA">
      <w:pPr>
        <w:spacing w:line="240" w:lineRule="auto"/>
        <w:jc w:val="both"/>
        <w:rPr>
          <w:rFonts w:cs="Arial"/>
          <w:szCs w:val="20"/>
        </w:rPr>
      </w:pPr>
    </w:p>
    <w:p w14:paraId="0884EDE5" w14:textId="77777777" w:rsidR="006F3D03" w:rsidRDefault="006F3D03" w:rsidP="008A0ACA">
      <w:pPr>
        <w:pStyle w:val="Naslov1"/>
        <w:spacing w:line="276" w:lineRule="auto"/>
        <w:jc w:val="both"/>
        <w:rPr>
          <w:rFonts w:ascii="Arial" w:hAnsi="Arial" w:cs="Arial"/>
          <w:b/>
          <w:bCs/>
          <w:color w:val="auto"/>
          <w:sz w:val="20"/>
          <w:szCs w:val="20"/>
          <w:u w:val="single"/>
        </w:rPr>
      </w:pPr>
    </w:p>
    <w:p w14:paraId="33690A55" w14:textId="6502CF62" w:rsidR="008A0ACA" w:rsidRDefault="008A0ACA" w:rsidP="008A0ACA">
      <w:pPr>
        <w:pStyle w:val="Naslov1"/>
        <w:spacing w:line="276" w:lineRule="auto"/>
        <w:jc w:val="both"/>
        <w:rPr>
          <w:rFonts w:ascii="Arial" w:hAnsi="Arial" w:cs="Arial"/>
          <w:b/>
          <w:bCs/>
          <w:color w:val="auto"/>
          <w:sz w:val="20"/>
          <w:szCs w:val="20"/>
          <w:u w:val="single"/>
        </w:rPr>
      </w:pPr>
      <w:r w:rsidRPr="00825410">
        <w:rPr>
          <w:rFonts w:ascii="Arial" w:hAnsi="Arial" w:cs="Arial"/>
          <w:b/>
          <w:bCs/>
          <w:color w:val="auto"/>
          <w:sz w:val="20"/>
          <w:szCs w:val="20"/>
          <w:u w:val="single"/>
        </w:rPr>
        <w:t>Vprašanja in odgovori</w:t>
      </w:r>
      <w:r>
        <w:rPr>
          <w:rFonts w:ascii="Arial" w:hAnsi="Arial" w:cs="Arial"/>
          <w:b/>
          <w:bCs/>
          <w:color w:val="auto"/>
          <w:sz w:val="20"/>
          <w:szCs w:val="20"/>
          <w:u w:val="single"/>
        </w:rPr>
        <w:t>,</w:t>
      </w:r>
      <w:r w:rsidRPr="00825410">
        <w:rPr>
          <w:rFonts w:ascii="Arial" w:hAnsi="Arial" w:cs="Arial"/>
          <w:b/>
          <w:bCs/>
          <w:color w:val="auto"/>
          <w:sz w:val="20"/>
          <w:szCs w:val="20"/>
          <w:u w:val="single"/>
        </w:rPr>
        <w:t xml:space="preserve"> objavljeni na dan </w:t>
      </w:r>
      <w:r>
        <w:rPr>
          <w:rFonts w:ascii="Arial" w:hAnsi="Arial" w:cs="Arial"/>
          <w:b/>
          <w:bCs/>
          <w:color w:val="auto"/>
          <w:sz w:val="20"/>
          <w:szCs w:val="20"/>
          <w:u w:val="single"/>
        </w:rPr>
        <w:t>7</w:t>
      </w:r>
      <w:r w:rsidRPr="00825410">
        <w:rPr>
          <w:rFonts w:ascii="Arial" w:hAnsi="Arial" w:cs="Arial"/>
          <w:b/>
          <w:bCs/>
          <w:color w:val="auto"/>
          <w:sz w:val="20"/>
          <w:szCs w:val="20"/>
          <w:u w:val="single"/>
        </w:rPr>
        <w:t xml:space="preserve">. </w:t>
      </w:r>
      <w:r w:rsidR="006F3D03">
        <w:rPr>
          <w:rFonts w:ascii="Arial" w:hAnsi="Arial" w:cs="Arial"/>
          <w:b/>
          <w:bCs/>
          <w:color w:val="auto"/>
          <w:sz w:val="20"/>
          <w:szCs w:val="20"/>
          <w:u w:val="single"/>
        </w:rPr>
        <w:t>6</w:t>
      </w:r>
      <w:r w:rsidRPr="00825410">
        <w:rPr>
          <w:rFonts w:ascii="Arial" w:hAnsi="Arial" w:cs="Arial"/>
          <w:b/>
          <w:bCs/>
          <w:color w:val="auto"/>
          <w:sz w:val="20"/>
          <w:szCs w:val="20"/>
          <w:u w:val="single"/>
        </w:rPr>
        <w:t>. 2024</w:t>
      </w:r>
    </w:p>
    <w:p w14:paraId="1ED8FBE3" w14:textId="77777777" w:rsidR="006F3D03" w:rsidRPr="006F3D03" w:rsidRDefault="006F3D03" w:rsidP="006F3D03"/>
    <w:p w14:paraId="4154045C" w14:textId="41A96BD6" w:rsidR="008A0ACA" w:rsidRDefault="008A0ACA" w:rsidP="008A0ACA">
      <w:pPr>
        <w:rPr>
          <w:rFonts w:ascii="Calibri" w:hAnsi="Calibri"/>
          <w:szCs w:val="22"/>
        </w:rPr>
      </w:pPr>
      <w:r w:rsidRPr="006F3D03">
        <w:rPr>
          <w:b/>
          <w:bCs/>
        </w:rPr>
        <w:t>6.</w:t>
      </w:r>
      <w:r>
        <w:t xml:space="preserve"> </w:t>
      </w:r>
      <w:r w:rsidRPr="008A0ACA">
        <w:rPr>
          <w:i/>
          <w:iCs/>
        </w:rPr>
        <w:t>Ali lahko tuji udeleženci/podjetja koristijo storitve v okviru sklopa D po shemi de</w:t>
      </w:r>
      <w:r>
        <w:t xml:space="preserve"> </w:t>
      </w:r>
      <w:proofErr w:type="spellStart"/>
      <w:r w:rsidRPr="008A0ACA">
        <w:rPr>
          <w:i/>
          <w:iCs/>
        </w:rPr>
        <w:t>minimis</w:t>
      </w:r>
      <w:proofErr w:type="spellEnd"/>
      <w:r w:rsidRPr="008A0ACA">
        <w:rPr>
          <w:i/>
          <w:iCs/>
        </w:rPr>
        <w:t>?</w:t>
      </w:r>
    </w:p>
    <w:p w14:paraId="4F38116A" w14:textId="77777777" w:rsidR="008A0ACA" w:rsidRDefault="008A0ACA" w:rsidP="008A0ACA"/>
    <w:p w14:paraId="456EFECE" w14:textId="77777777" w:rsidR="006F3D03" w:rsidRDefault="006F3D03" w:rsidP="008A0ACA">
      <w:r w:rsidRPr="006F3D03">
        <w:rPr>
          <w:b/>
          <w:bCs/>
        </w:rPr>
        <w:t>ODGOVOR</w:t>
      </w:r>
      <w:r w:rsidR="008A0ACA">
        <w:t xml:space="preserve">: </w:t>
      </w:r>
    </w:p>
    <w:p w14:paraId="6C2CC53D" w14:textId="77777777" w:rsidR="006F3D03" w:rsidRDefault="006F3D03" w:rsidP="008A0ACA"/>
    <w:p w14:paraId="3501011A" w14:textId="4E31EBB8" w:rsidR="008A0ACA" w:rsidRDefault="008A0ACA" w:rsidP="006F3D03">
      <w:pPr>
        <w:jc w:val="both"/>
      </w:pPr>
      <w:r>
        <w:t xml:space="preserve">Udeležba pri aktivnostih iz sklopa aktivnosti D je za udeležence oziroma podjetja omejena s pogoji, ki so navedeni v shemi de </w:t>
      </w:r>
      <w:proofErr w:type="spellStart"/>
      <w:r>
        <w:t>minimis</w:t>
      </w:r>
      <w:proofErr w:type="spellEnd"/>
      <w:r>
        <w:t xml:space="preserve"> pomoči »Program ukrepov MGTŠ za spodbujanje podjetništva in konkurenčnosti v obdobju 2024–2030 – de </w:t>
      </w:r>
      <w:proofErr w:type="spellStart"/>
      <w:r>
        <w:t>minimis</w:t>
      </w:r>
      <w:proofErr w:type="spellEnd"/>
      <w:r>
        <w:t>«. Slednja med drugim za udeležence določa: »Sedež, poslovna enota ali podružnica podjetja, ki je deležno razvojne spodbude, je v Republiki Sloveniji.«</w:t>
      </w:r>
    </w:p>
    <w:p w14:paraId="3D7A5992" w14:textId="77777777" w:rsidR="008A0ACA" w:rsidRDefault="008A0ACA" w:rsidP="008A0ACA">
      <w:pPr>
        <w:spacing w:line="240" w:lineRule="auto"/>
        <w:jc w:val="both"/>
        <w:rPr>
          <w:rFonts w:cs="Arial"/>
          <w:szCs w:val="20"/>
        </w:rPr>
      </w:pPr>
    </w:p>
    <w:p w14:paraId="230EF7C7" w14:textId="77777777" w:rsidR="00FF5E3E" w:rsidRDefault="00FF5E3E" w:rsidP="008A0ACA">
      <w:pPr>
        <w:spacing w:line="240" w:lineRule="auto"/>
        <w:jc w:val="both"/>
        <w:rPr>
          <w:rFonts w:cs="Arial"/>
          <w:szCs w:val="20"/>
        </w:rPr>
      </w:pPr>
    </w:p>
    <w:p w14:paraId="258390B1" w14:textId="1BFDF377" w:rsidR="00FF5E3E" w:rsidRPr="00FF5E3E" w:rsidRDefault="00FF5E3E" w:rsidP="00FF5E3E">
      <w:pPr>
        <w:spacing w:line="240" w:lineRule="auto"/>
        <w:jc w:val="both"/>
        <w:rPr>
          <w:rFonts w:cs="Arial"/>
          <w:i/>
          <w:iCs/>
          <w:szCs w:val="20"/>
        </w:rPr>
      </w:pPr>
      <w:r w:rsidRPr="00006D02">
        <w:rPr>
          <w:rFonts w:cs="Arial"/>
          <w:b/>
          <w:bCs/>
          <w:szCs w:val="20"/>
        </w:rPr>
        <w:t>7.</w:t>
      </w:r>
      <w:r>
        <w:rPr>
          <w:rFonts w:cs="Arial"/>
          <w:szCs w:val="20"/>
        </w:rPr>
        <w:t xml:space="preserve"> </w:t>
      </w:r>
      <w:r w:rsidR="00554C0F">
        <w:rPr>
          <w:rFonts w:cs="Arial"/>
          <w:szCs w:val="20"/>
        </w:rPr>
        <w:t>»</w:t>
      </w:r>
      <w:r w:rsidRPr="00FF5E3E">
        <w:rPr>
          <w:rFonts w:cs="Arial"/>
          <w:i/>
          <w:iCs/>
          <w:szCs w:val="20"/>
        </w:rPr>
        <w:t>1.</w:t>
      </w:r>
      <w:r w:rsidRPr="00FF5E3E">
        <w:rPr>
          <w:rFonts w:cs="Arial"/>
          <w:szCs w:val="20"/>
        </w:rPr>
        <w:t xml:space="preserve"> </w:t>
      </w:r>
      <w:r w:rsidRPr="00FF5E3E">
        <w:rPr>
          <w:rFonts w:cs="Arial"/>
          <w:i/>
          <w:iCs/>
          <w:szCs w:val="20"/>
        </w:rPr>
        <w:t xml:space="preserve">Ali lahko predvidimo tudi podizvajalce, ki bi nastopali kot eksterni </w:t>
      </w:r>
      <w:proofErr w:type="spellStart"/>
      <w:r w:rsidRPr="00FF5E3E">
        <w:rPr>
          <w:rFonts w:cs="Arial"/>
          <w:i/>
          <w:iCs/>
          <w:szCs w:val="20"/>
        </w:rPr>
        <w:t>evalvatorji</w:t>
      </w:r>
      <w:proofErr w:type="spellEnd"/>
      <w:r w:rsidRPr="00FF5E3E">
        <w:rPr>
          <w:rFonts w:cs="Arial"/>
          <w:i/>
          <w:iCs/>
          <w:szCs w:val="20"/>
        </w:rPr>
        <w:t xml:space="preserve"> za izvedbo evalvacije Centra? Smatramo, da bodo eksterni </w:t>
      </w:r>
      <w:proofErr w:type="spellStart"/>
      <w:r w:rsidRPr="00FF5E3E">
        <w:rPr>
          <w:rFonts w:cs="Arial"/>
          <w:i/>
          <w:iCs/>
          <w:szCs w:val="20"/>
        </w:rPr>
        <w:t>evalvatorji</w:t>
      </w:r>
      <w:proofErr w:type="spellEnd"/>
      <w:r w:rsidRPr="00FF5E3E">
        <w:rPr>
          <w:rFonts w:cs="Arial"/>
          <w:i/>
          <w:iCs/>
          <w:szCs w:val="20"/>
        </w:rPr>
        <w:t xml:space="preserve"> bolj objektivno pripravili evalvacijo. V sklopu A namreč ni predvidenih podizvajalcev.</w:t>
      </w:r>
      <w:r w:rsidR="00554C0F">
        <w:rPr>
          <w:rFonts w:cs="Arial"/>
          <w:i/>
          <w:iCs/>
          <w:szCs w:val="20"/>
        </w:rPr>
        <w:t>«</w:t>
      </w:r>
    </w:p>
    <w:p w14:paraId="43529517" w14:textId="60CE60D1" w:rsidR="00FF5E3E" w:rsidRPr="00FF5E3E" w:rsidRDefault="00554C0F" w:rsidP="00FF5E3E">
      <w:pPr>
        <w:spacing w:line="240" w:lineRule="auto"/>
        <w:jc w:val="both"/>
        <w:rPr>
          <w:rFonts w:cs="Arial"/>
          <w:i/>
          <w:iCs/>
          <w:szCs w:val="20"/>
        </w:rPr>
      </w:pPr>
      <w:r>
        <w:rPr>
          <w:rFonts w:cs="Arial"/>
          <w:i/>
          <w:iCs/>
          <w:szCs w:val="20"/>
        </w:rPr>
        <w:t>»</w:t>
      </w:r>
      <w:r w:rsidR="00FF5E3E" w:rsidRPr="00FF5E3E">
        <w:rPr>
          <w:rFonts w:cs="Arial"/>
          <w:i/>
          <w:iCs/>
          <w:szCs w:val="20"/>
        </w:rPr>
        <w:t>2. Potrebno je pojasniti kako bomo zagotavljali finančne vire za neupravičene stroške. Pod neupravičene stroške se smatra DDV v primeru, ko gre za državno pomoč ali še kaj drugega?</w:t>
      </w:r>
      <w:r>
        <w:rPr>
          <w:rFonts w:cs="Arial"/>
          <w:i/>
          <w:iCs/>
          <w:szCs w:val="20"/>
        </w:rPr>
        <w:t>«</w:t>
      </w:r>
      <w:r w:rsidR="00FF5E3E" w:rsidRPr="00FF5E3E">
        <w:rPr>
          <w:rFonts w:cs="Arial"/>
          <w:i/>
          <w:iCs/>
          <w:szCs w:val="20"/>
        </w:rPr>
        <w:t xml:space="preserve"> </w:t>
      </w:r>
    </w:p>
    <w:p w14:paraId="5B5C1A9C" w14:textId="57FABAFC" w:rsidR="00FF5E3E" w:rsidRPr="00FF5E3E" w:rsidRDefault="00006D02" w:rsidP="00FF5E3E">
      <w:pPr>
        <w:spacing w:line="240" w:lineRule="auto"/>
        <w:jc w:val="both"/>
        <w:rPr>
          <w:rFonts w:cs="Arial"/>
          <w:i/>
          <w:iCs/>
          <w:szCs w:val="20"/>
        </w:rPr>
      </w:pPr>
      <w:r>
        <w:rPr>
          <w:rFonts w:cs="Arial"/>
          <w:i/>
          <w:iCs/>
          <w:szCs w:val="20"/>
        </w:rPr>
        <w:t>3</w:t>
      </w:r>
      <w:r w:rsidR="00FF5E3E" w:rsidRPr="00FF5E3E">
        <w:rPr>
          <w:rFonts w:cs="Arial"/>
          <w:i/>
          <w:iCs/>
          <w:szCs w:val="20"/>
        </w:rPr>
        <w:t xml:space="preserve">. </w:t>
      </w:r>
      <w:r w:rsidR="00554C0F">
        <w:rPr>
          <w:rFonts w:cs="Arial"/>
          <w:i/>
          <w:iCs/>
          <w:szCs w:val="20"/>
        </w:rPr>
        <w:t>»</w:t>
      </w:r>
      <w:r w:rsidR="00FF5E3E" w:rsidRPr="00FF5E3E">
        <w:rPr>
          <w:rFonts w:cs="Arial"/>
          <w:i/>
          <w:iCs/>
          <w:szCs w:val="20"/>
        </w:rPr>
        <w:t>Ali lahko na vstopni točki dela tudi podizvajalec?</w:t>
      </w:r>
      <w:r w:rsidR="00554C0F">
        <w:rPr>
          <w:rFonts w:cs="Arial"/>
          <w:i/>
          <w:iCs/>
          <w:szCs w:val="20"/>
        </w:rPr>
        <w:t>«</w:t>
      </w:r>
    </w:p>
    <w:p w14:paraId="26EE264C" w14:textId="40227F1D" w:rsidR="00FF5E3E" w:rsidRDefault="00006D02" w:rsidP="00FF5E3E">
      <w:pPr>
        <w:spacing w:line="240" w:lineRule="auto"/>
        <w:jc w:val="both"/>
        <w:rPr>
          <w:rFonts w:cs="Arial"/>
          <w:i/>
          <w:iCs/>
          <w:szCs w:val="20"/>
        </w:rPr>
      </w:pPr>
      <w:r>
        <w:rPr>
          <w:rFonts w:cs="Arial"/>
          <w:i/>
          <w:iCs/>
          <w:szCs w:val="20"/>
        </w:rPr>
        <w:t>4</w:t>
      </w:r>
      <w:r w:rsidR="00FF5E3E" w:rsidRPr="00FF5E3E">
        <w:rPr>
          <w:rFonts w:cs="Arial"/>
          <w:i/>
          <w:iCs/>
          <w:szCs w:val="20"/>
        </w:rPr>
        <w:t xml:space="preserve">. </w:t>
      </w:r>
      <w:r w:rsidR="00554C0F">
        <w:rPr>
          <w:rFonts w:cs="Arial"/>
          <w:i/>
          <w:iCs/>
          <w:szCs w:val="20"/>
        </w:rPr>
        <w:t>»</w:t>
      </w:r>
      <w:r w:rsidR="00FF5E3E" w:rsidRPr="00FF5E3E">
        <w:rPr>
          <w:rFonts w:cs="Arial"/>
          <w:i/>
          <w:iCs/>
          <w:szCs w:val="20"/>
        </w:rPr>
        <w:t>Koliko mesecev se dejansko pričakuje izvajanje projekta? Ta podatek potrebujemo za pripravo tabele 14. 4. Npr. od oktobra 2024 do konec maja 2029?</w:t>
      </w:r>
      <w:r w:rsidR="00554C0F">
        <w:rPr>
          <w:rFonts w:cs="Arial"/>
          <w:i/>
          <w:iCs/>
          <w:szCs w:val="20"/>
        </w:rPr>
        <w:t>«</w:t>
      </w:r>
    </w:p>
    <w:p w14:paraId="107A43D2" w14:textId="77777777" w:rsidR="00FF5E3E" w:rsidRDefault="00FF5E3E" w:rsidP="00FF5E3E">
      <w:pPr>
        <w:spacing w:line="240" w:lineRule="auto"/>
        <w:jc w:val="both"/>
        <w:rPr>
          <w:rFonts w:cs="Arial"/>
          <w:i/>
          <w:iCs/>
          <w:szCs w:val="20"/>
        </w:rPr>
      </w:pPr>
    </w:p>
    <w:p w14:paraId="563A5D92" w14:textId="77777777" w:rsidR="00FF5E3E" w:rsidRDefault="00FF5E3E" w:rsidP="00FF5E3E">
      <w:r w:rsidRPr="006F3D03">
        <w:rPr>
          <w:b/>
          <w:bCs/>
        </w:rPr>
        <w:t>ODGOVOR</w:t>
      </w:r>
      <w:r>
        <w:t xml:space="preserve">: </w:t>
      </w:r>
    </w:p>
    <w:p w14:paraId="3C0CE858" w14:textId="77777777" w:rsidR="00FF5E3E" w:rsidRDefault="00FF5E3E" w:rsidP="00FF5E3E">
      <w:pPr>
        <w:spacing w:line="240" w:lineRule="auto"/>
        <w:ind w:left="708"/>
        <w:jc w:val="both"/>
        <w:rPr>
          <w:rFonts w:cs="Arial"/>
          <w:i/>
          <w:iCs/>
          <w:szCs w:val="20"/>
        </w:rPr>
      </w:pPr>
    </w:p>
    <w:p w14:paraId="48D0D4BA" w14:textId="63C02E63" w:rsidR="00FF5E3E" w:rsidRDefault="00FF5E3E" w:rsidP="00FF5E3E">
      <w:pPr>
        <w:spacing w:line="240" w:lineRule="auto"/>
        <w:ind w:left="708"/>
        <w:jc w:val="both"/>
        <w:rPr>
          <w:rFonts w:cs="Arial"/>
          <w:szCs w:val="20"/>
        </w:rPr>
      </w:pPr>
      <w:r>
        <w:rPr>
          <w:rFonts w:cs="Arial"/>
          <w:szCs w:val="20"/>
        </w:rPr>
        <w:t>1. V okviru finančne strukture projekta so predvideni stroški zunanjih izvajalcev, katerih uveljavljanje ni omejeno na posamezne sklope aktivnosti. Kot že omenjeno, u</w:t>
      </w:r>
      <w:r w:rsidRPr="00486824">
        <w:rPr>
          <w:rFonts w:cs="Arial"/>
          <w:szCs w:val="20"/>
        </w:rPr>
        <w:t xml:space="preserve">veljavljanje stroška zunanjih izvajalcev je omejeno s pravili, ki jih predpisuje Organ upravljanja v okviru evropske kohezijske politike. Navodila za upravičene stroške, objavljena na strani </w:t>
      </w:r>
      <w:hyperlink r:id="rId11" w:history="1">
        <w:r w:rsidRPr="00486824">
          <w:rPr>
            <w:rStyle w:val="Hiperpovezava"/>
            <w:rFonts w:cs="Arial"/>
            <w:szCs w:val="20"/>
          </w:rPr>
          <w:t>evropska</w:t>
        </w:r>
        <w:r>
          <w:rPr>
            <w:rStyle w:val="Hiperpovezava"/>
            <w:rFonts w:cs="Arial"/>
            <w:szCs w:val="20"/>
          </w:rPr>
          <w:t xml:space="preserve"> </w:t>
        </w:r>
        <w:r w:rsidRPr="00486824">
          <w:rPr>
            <w:rStyle w:val="Hiperpovezava"/>
            <w:rFonts w:cs="Arial"/>
            <w:szCs w:val="20"/>
          </w:rPr>
          <w:t>sredstva.si</w:t>
        </w:r>
      </w:hyperlink>
      <w:r w:rsidRPr="00486824">
        <w:rPr>
          <w:rFonts w:cs="Arial"/>
          <w:szCs w:val="20"/>
        </w:rPr>
        <w:t xml:space="preserve">, je potrebno ažurno spremljati in upoštevati. </w:t>
      </w:r>
    </w:p>
    <w:p w14:paraId="18506914" w14:textId="77777777" w:rsidR="00FF5E3E" w:rsidRDefault="00FF5E3E" w:rsidP="00FF5E3E">
      <w:pPr>
        <w:spacing w:line="240" w:lineRule="auto"/>
        <w:ind w:left="708"/>
        <w:jc w:val="both"/>
        <w:rPr>
          <w:rFonts w:cs="Arial"/>
          <w:szCs w:val="20"/>
        </w:rPr>
      </w:pPr>
    </w:p>
    <w:p w14:paraId="1306E222" w14:textId="40B38318" w:rsidR="00FF5E3E" w:rsidRDefault="00FF5E3E" w:rsidP="00FF5E3E">
      <w:pPr>
        <w:spacing w:line="240" w:lineRule="auto"/>
        <w:ind w:left="708"/>
        <w:jc w:val="both"/>
        <w:rPr>
          <w:rFonts w:cs="Arial"/>
          <w:szCs w:val="20"/>
        </w:rPr>
      </w:pPr>
      <w:r>
        <w:rPr>
          <w:rFonts w:cs="Arial"/>
          <w:szCs w:val="20"/>
        </w:rPr>
        <w:t>2. Kot navedeno v besedilu javnega razpisa, davek na dodano vrednost</w:t>
      </w:r>
      <w:r w:rsidR="00823DC0">
        <w:rPr>
          <w:rFonts w:cs="Arial"/>
          <w:szCs w:val="20"/>
        </w:rPr>
        <w:t xml:space="preserve"> </w:t>
      </w:r>
      <w:r w:rsidR="00823DC0" w:rsidRPr="00823DC0">
        <w:rPr>
          <w:rFonts w:cs="Arial"/>
          <w:szCs w:val="20"/>
        </w:rPr>
        <w:t>ni upravičen strošek</w:t>
      </w:r>
      <w:r w:rsidR="00823DC0">
        <w:rPr>
          <w:rFonts w:cs="Arial"/>
          <w:szCs w:val="20"/>
        </w:rPr>
        <w:t>,</w:t>
      </w:r>
      <w:r>
        <w:rPr>
          <w:rFonts w:cs="Arial"/>
          <w:szCs w:val="20"/>
        </w:rPr>
        <w:t xml:space="preserve"> </w:t>
      </w:r>
      <w:r w:rsidR="00823DC0">
        <w:rPr>
          <w:rFonts w:cs="Arial"/>
          <w:szCs w:val="20"/>
        </w:rPr>
        <w:t>č</w:t>
      </w:r>
      <w:r w:rsidR="00823DC0" w:rsidRPr="00823DC0">
        <w:rPr>
          <w:rFonts w:cs="Arial"/>
          <w:szCs w:val="20"/>
        </w:rPr>
        <w:t xml:space="preserve">e sredstva kohezijske politike za končnega prejemnika predstavljajo de </w:t>
      </w:r>
      <w:proofErr w:type="spellStart"/>
      <w:r w:rsidR="00823DC0" w:rsidRPr="00823DC0">
        <w:rPr>
          <w:rFonts w:cs="Arial"/>
          <w:szCs w:val="20"/>
        </w:rPr>
        <w:t>minimis</w:t>
      </w:r>
      <w:proofErr w:type="spellEnd"/>
      <w:r w:rsidR="00823DC0" w:rsidRPr="00823DC0">
        <w:rPr>
          <w:rFonts w:cs="Arial"/>
          <w:szCs w:val="20"/>
        </w:rPr>
        <w:t xml:space="preserve"> pomoč</w:t>
      </w:r>
      <w:r>
        <w:rPr>
          <w:rFonts w:cs="Arial"/>
          <w:szCs w:val="20"/>
        </w:rPr>
        <w:t>.</w:t>
      </w:r>
      <w:r w:rsidR="00824F02">
        <w:rPr>
          <w:rFonts w:cs="Arial"/>
          <w:szCs w:val="20"/>
        </w:rPr>
        <w:t xml:space="preserve"> Strošek tudi ni upravičen, če ne ustreza pravilom javnega razpisa ali </w:t>
      </w:r>
      <w:r w:rsidR="00824F02" w:rsidRPr="00FF5E3E">
        <w:rPr>
          <w:rFonts w:cs="Arial"/>
          <w:szCs w:val="20"/>
        </w:rPr>
        <w:t>pravil</w:t>
      </w:r>
      <w:r w:rsidR="00824F02">
        <w:rPr>
          <w:rFonts w:cs="Arial"/>
          <w:szCs w:val="20"/>
        </w:rPr>
        <w:t>om</w:t>
      </w:r>
      <w:r w:rsidR="00824F02" w:rsidRPr="00FF5E3E">
        <w:rPr>
          <w:rFonts w:cs="Arial"/>
          <w:szCs w:val="20"/>
        </w:rPr>
        <w:t>, ki jih predpisuje Organ upravljanja v okviru evropske kohezijske politike</w:t>
      </w:r>
      <w:r w:rsidR="00824F02">
        <w:rPr>
          <w:rFonts w:cs="Arial"/>
          <w:szCs w:val="20"/>
        </w:rPr>
        <w:t xml:space="preserve">. </w:t>
      </w:r>
      <w:r w:rsidR="00824F02" w:rsidRPr="00824F02">
        <w:rPr>
          <w:rFonts w:cs="Arial"/>
          <w:szCs w:val="20"/>
        </w:rPr>
        <w:t>Upravičenost financiranja bo ministrstvo preverjalo v okviru vsakokratne presoje zahtevkov za izplačilo, na način in z dinamiko, kot je opredeljeno v pogodbi o financiranju, in sicer predvsem ob upoštevanju pravnih podlag, navodil, smernic in drugih relevantnih dokumentov ter v skladu s presojo, ali gre pri posameznih aktivnostih za aktivnosti, skladne s javnim razpisom in ostalo razpisno dokumentacijo</w:t>
      </w:r>
      <w:r w:rsidR="00824F02">
        <w:rPr>
          <w:rFonts w:cs="Arial"/>
          <w:szCs w:val="20"/>
        </w:rPr>
        <w:t>.</w:t>
      </w:r>
    </w:p>
    <w:p w14:paraId="1B32B612" w14:textId="77777777" w:rsidR="00FF5E3E" w:rsidRDefault="00FF5E3E" w:rsidP="00FF5E3E">
      <w:pPr>
        <w:spacing w:line="240" w:lineRule="auto"/>
        <w:ind w:left="708"/>
        <w:jc w:val="both"/>
        <w:rPr>
          <w:rFonts w:cs="Arial"/>
          <w:szCs w:val="20"/>
        </w:rPr>
      </w:pPr>
    </w:p>
    <w:p w14:paraId="239EC30D" w14:textId="2D88C529" w:rsidR="00FF5E3E" w:rsidRDefault="00006D02" w:rsidP="00FF5E3E">
      <w:pPr>
        <w:spacing w:line="240" w:lineRule="auto"/>
        <w:ind w:left="708"/>
        <w:jc w:val="both"/>
        <w:rPr>
          <w:rFonts w:cs="Arial"/>
          <w:szCs w:val="20"/>
        </w:rPr>
      </w:pPr>
      <w:r>
        <w:rPr>
          <w:rFonts w:cs="Arial"/>
          <w:szCs w:val="20"/>
        </w:rPr>
        <w:t>3</w:t>
      </w:r>
      <w:r w:rsidR="00FF5E3E">
        <w:rPr>
          <w:rFonts w:cs="Arial"/>
          <w:szCs w:val="20"/>
        </w:rPr>
        <w:t xml:space="preserve">. </w:t>
      </w:r>
      <w:r w:rsidR="00FF5E3E" w:rsidRPr="00FF5E3E">
        <w:rPr>
          <w:rFonts w:cs="Arial"/>
          <w:szCs w:val="20"/>
        </w:rPr>
        <w:t>Kot že omenjeno, uveljavljanje stroška zunanjih izvajalcev je omejeno s pravili, ki jih predpisuje Organ upravljanja v okviru evropske kohezijske politike. Navodila za upravičene stroške, objavljena na strani evropska sredstva.si, je potrebno ažurno spremljati in upoštevati.</w:t>
      </w:r>
      <w:r>
        <w:rPr>
          <w:rFonts w:cs="Arial"/>
          <w:szCs w:val="20"/>
        </w:rPr>
        <w:t xml:space="preserve"> Izvajanje zunanjih izvajalcev v povezavi z vstopno točko ni nikjer omejeno v razpisni dokumentaciji. V pomoč pri tem, ali gre za upravičene stroške zunanjih izvajalcev, pa n</w:t>
      </w:r>
      <w:r w:rsidR="00FF5E3E">
        <w:rPr>
          <w:rFonts w:cs="Arial"/>
          <w:szCs w:val="20"/>
        </w:rPr>
        <w:t xml:space="preserve">avodila med drugim navajajo sledeče primere: </w:t>
      </w:r>
    </w:p>
    <w:p w14:paraId="3718853B" w14:textId="77777777" w:rsidR="00FF5E3E" w:rsidRPr="00FF5E3E" w:rsidRDefault="00FF5E3E" w:rsidP="00FF5E3E">
      <w:pPr>
        <w:spacing w:line="240" w:lineRule="auto"/>
        <w:ind w:left="708"/>
        <w:jc w:val="both"/>
        <w:rPr>
          <w:rFonts w:cs="Arial"/>
          <w:szCs w:val="20"/>
        </w:rPr>
      </w:pPr>
      <w:r w:rsidRPr="00FF5E3E">
        <w:rPr>
          <w:rFonts w:cs="Arial"/>
          <w:szCs w:val="20"/>
        </w:rPr>
        <w:t>- svetovalne in nadzorne storitve (pravno, finančno, trženjsko, ipd. svetovanje, storitve inženiringa);</w:t>
      </w:r>
    </w:p>
    <w:p w14:paraId="4339D762" w14:textId="40207136" w:rsidR="00FF5E3E" w:rsidRPr="00FF5E3E" w:rsidRDefault="00FF5E3E" w:rsidP="00FF5E3E">
      <w:pPr>
        <w:spacing w:line="240" w:lineRule="auto"/>
        <w:ind w:left="708"/>
        <w:jc w:val="both"/>
        <w:rPr>
          <w:rFonts w:cs="Arial"/>
          <w:szCs w:val="20"/>
        </w:rPr>
      </w:pPr>
      <w:r w:rsidRPr="00FF5E3E">
        <w:rPr>
          <w:rFonts w:cs="Arial"/>
          <w:szCs w:val="20"/>
        </w:rPr>
        <w:t>- študije o izvedljivosti projektov, projektna dokumentacija, nadzor in investicijski inženiring (po</w:t>
      </w:r>
      <w:r>
        <w:rPr>
          <w:rFonts w:cs="Arial"/>
          <w:szCs w:val="20"/>
        </w:rPr>
        <w:t xml:space="preserve"> </w:t>
      </w:r>
      <w:proofErr w:type="spellStart"/>
      <w:r w:rsidRPr="00FF5E3E">
        <w:rPr>
          <w:rFonts w:cs="Arial"/>
          <w:szCs w:val="20"/>
        </w:rPr>
        <w:t>podjemni</w:t>
      </w:r>
      <w:proofErr w:type="spellEnd"/>
      <w:r w:rsidRPr="00FF5E3E">
        <w:rPr>
          <w:rFonts w:cs="Arial"/>
          <w:szCs w:val="20"/>
        </w:rPr>
        <w:t xml:space="preserve"> pogodbi oz. postopku po ZJN);</w:t>
      </w:r>
    </w:p>
    <w:p w14:paraId="1D08AEDC" w14:textId="77777777" w:rsidR="00FF5E3E" w:rsidRPr="00FF5E3E" w:rsidRDefault="00FF5E3E" w:rsidP="00FF5E3E">
      <w:pPr>
        <w:spacing w:line="240" w:lineRule="auto"/>
        <w:ind w:left="708"/>
        <w:jc w:val="both"/>
        <w:rPr>
          <w:rFonts w:cs="Arial"/>
          <w:szCs w:val="20"/>
        </w:rPr>
      </w:pPr>
      <w:r w:rsidRPr="00FF5E3E">
        <w:rPr>
          <w:rFonts w:cs="Arial"/>
          <w:szCs w:val="20"/>
        </w:rPr>
        <w:t>- prevajalske storitve, lektoriranje in podobno;</w:t>
      </w:r>
    </w:p>
    <w:p w14:paraId="7128E2BE" w14:textId="77777777" w:rsidR="00FF5E3E" w:rsidRPr="00FF5E3E" w:rsidRDefault="00FF5E3E" w:rsidP="00FF5E3E">
      <w:pPr>
        <w:spacing w:line="240" w:lineRule="auto"/>
        <w:ind w:left="708"/>
        <w:jc w:val="both"/>
        <w:rPr>
          <w:rFonts w:cs="Arial"/>
          <w:szCs w:val="20"/>
        </w:rPr>
      </w:pPr>
      <w:r w:rsidRPr="00FF5E3E">
        <w:rPr>
          <w:rFonts w:cs="Arial"/>
          <w:szCs w:val="20"/>
        </w:rPr>
        <w:t>- storitve izobraževanja in usposabljanja;</w:t>
      </w:r>
    </w:p>
    <w:p w14:paraId="488F9566" w14:textId="77777777" w:rsidR="00FF5E3E" w:rsidRPr="00FF5E3E" w:rsidRDefault="00FF5E3E" w:rsidP="00FF5E3E">
      <w:pPr>
        <w:spacing w:line="240" w:lineRule="auto"/>
        <w:ind w:left="708"/>
        <w:jc w:val="both"/>
        <w:rPr>
          <w:rFonts w:cs="Arial"/>
          <w:szCs w:val="20"/>
        </w:rPr>
      </w:pPr>
      <w:r w:rsidRPr="00FF5E3E">
        <w:rPr>
          <w:rFonts w:cs="Arial"/>
          <w:szCs w:val="20"/>
        </w:rPr>
        <w:t>- analize, študije in načrti z informacijskega področja;</w:t>
      </w:r>
    </w:p>
    <w:p w14:paraId="476345FE" w14:textId="77777777" w:rsidR="00FF5E3E" w:rsidRPr="00FF5E3E" w:rsidRDefault="00FF5E3E" w:rsidP="00FF5E3E">
      <w:pPr>
        <w:spacing w:line="240" w:lineRule="auto"/>
        <w:ind w:left="708"/>
        <w:jc w:val="both"/>
        <w:rPr>
          <w:rFonts w:cs="Arial"/>
          <w:szCs w:val="20"/>
        </w:rPr>
      </w:pPr>
      <w:r w:rsidRPr="00FF5E3E">
        <w:rPr>
          <w:rFonts w:cs="Arial"/>
          <w:szCs w:val="20"/>
        </w:rPr>
        <w:t>- administrativno tehnične storitve, če so neposredno povezane z operacijo;</w:t>
      </w:r>
    </w:p>
    <w:p w14:paraId="4680F63E" w14:textId="77777777" w:rsidR="00FF5E3E" w:rsidRPr="00FF5E3E" w:rsidRDefault="00FF5E3E" w:rsidP="00FF5E3E">
      <w:pPr>
        <w:spacing w:line="240" w:lineRule="auto"/>
        <w:ind w:left="708"/>
        <w:jc w:val="both"/>
        <w:rPr>
          <w:rFonts w:cs="Arial"/>
          <w:szCs w:val="20"/>
        </w:rPr>
      </w:pPr>
      <w:r w:rsidRPr="00FF5E3E">
        <w:rPr>
          <w:rFonts w:cs="Arial"/>
          <w:szCs w:val="20"/>
        </w:rPr>
        <w:t>- storitve izdelave študij, raziskav, vrednotenj, ocen, strokovnih mnenj in poročil;</w:t>
      </w:r>
    </w:p>
    <w:p w14:paraId="56403CC0" w14:textId="26E1BD26" w:rsidR="00FF5E3E" w:rsidRPr="00FF5E3E" w:rsidRDefault="00FF5E3E" w:rsidP="00FF5E3E">
      <w:pPr>
        <w:spacing w:line="240" w:lineRule="auto"/>
        <w:ind w:left="708"/>
        <w:jc w:val="both"/>
        <w:rPr>
          <w:rFonts w:cs="Arial"/>
          <w:szCs w:val="20"/>
        </w:rPr>
      </w:pPr>
      <w:r w:rsidRPr="00FF5E3E">
        <w:rPr>
          <w:rFonts w:cs="Arial"/>
          <w:szCs w:val="20"/>
        </w:rPr>
        <w:t>- stroški najema nepremičnin in opreme, v kolikor so namenjeni neposrednemu izvajanju operacije</w:t>
      </w:r>
      <w:r>
        <w:rPr>
          <w:rFonts w:cs="Arial"/>
          <w:szCs w:val="20"/>
        </w:rPr>
        <w:t xml:space="preserve"> </w:t>
      </w:r>
      <w:r w:rsidRPr="00FF5E3E">
        <w:rPr>
          <w:rFonts w:cs="Arial"/>
          <w:szCs w:val="20"/>
        </w:rPr>
        <w:t>(izvedba delavnic, usposabljanj ipd., ki so del vsebinskih aktivnosti na operaciji);</w:t>
      </w:r>
    </w:p>
    <w:p w14:paraId="47A01414" w14:textId="5ED56E77" w:rsidR="00FF5E3E" w:rsidRDefault="00FF5E3E" w:rsidP="00FF5E3E">
      <w:pPr>
        <w:spacing w:line="240" w:lineRule="auto"/>
        <w:ind w:left="708"/>
        <w:jc w:val="both"/>
        <w:rPr>
          <w:rFonts w:cs="Arial"/>
          <w:szCs w:val="20"/>
        </w:rPr>
      </w:pPr>
      <w:r w:rsidRPr="00FF5E3E">
        <w:rPr>
          <w:rFonts w:cs="Arial"/>
          <w:szCs w:val="20"/>
        </w:rPr>
        <w:lastRenderedPageBreak/>
        <w:t>- drugi stroški storitev zunanjih izvajalcev, ki so nujno potrebni za izvedbo operacije in so bili</w:t>
      </w:r>
      <w:r>
        <w:rPr>
          <w:rFonts w:cs="Arial"/>
          <w:szCs w:val="20"/>
        </w:rPr>
        <w:t xml:space="preserve"> </w:t>
      </w:r>
      <w:r w:rsidRPr="00FF5E3E">
        <w:rPr>
          <w:rFonts w:cs="Arial"/>
          <w:szCs w:val="20"/>
        </w:rPr>
        <w:t>predhodno odobreni s strani PT oziroma OU.</w:t>
      </w:r>
    </w:p>
    <w:p w14:paraId="2C4513C8" w14:textId="77777777" w:rsidR="00FF5E3E" w:rsidRDefault="00FF5E3E" w:rsidP="00FF5E3E">
      <w:pPr>
        <w:spacing w:line="240" w:lineRule="auto"/>
        <w:ind w:left="708"/>
        <w:jc w:val="both"/>
        <w:rPr>
          <w:rFonts w:cs="Arial"/>
          <w:szCs w:val="20"/>
        </w:rPr>
      </w:pPr>
    </w:p>
    <w:p w14:paraId="200C7709" w14:textId="34CE9CFE" w:rsidR="00FF5E3E" w:rsidRPr="00CB3F02" w:rsidRDefault="00FF5E3E" w:rsidP="00CB3F02">
      <w:pPr>
        <w:pStyle w:val="Odstavekseznama"/>
        <w:numPr>
          <w:ilvl w:val="0"/>
          <w:numId w:val="24"/>
        </w:numPr>
        <w:spacing w:line="240" w:lineRule="auto"/>
        <w:jc w:val="both"/>
        <w:rPr>
          <w:rFonts w:cs="Arial"/>
          <w:szCs w:val="20"/>
        </w:rPr>
      </w:pPr>
      <w:r w:rsidRPr="00CB3F02">
        <w:rPr>
          <w:rFonts w:cs="Arial"/>
          <w:szCs w:val="20"/>
        </w:rPr>
        <w:t xml:space="preserve">Projekt se sme izvajati od izdaje sklepa o izboru s strani ministrstva dalje. Projekt se mora izvajati do 31. 5. 2029. V vlogi prijavitelj vpiše datum začetka projekta, ki ga predvideva, pri čemer so seveda možna odstopanja z dejanskim datumom pričetka projekta zaradi objektivnih razlogov in postopkov s strani ministrstva. Navedeni primer trajanja projekta ustreza predvideni </w:t>
      </w:r>
      <w:proofErr w:type="spellStart"/>
      <w:r w:rsidRPr="00CB3F02">
        <w:rPr>
          <w:rFonts w:cs="Arial"/>
          <w:szCs w:val="20"/>
        </w:rPr>
        <w:t>časovnici</w:t>
      </w:r>
      <w:proofErr w:type="spellEnd"/>
      <w:r w:rsidRPr="00CB3F02">
        <w:rPr>
          <w:rFonts w:cs="Arial"/>
          <w:szCs w:val="20"/>
        </w:rPr>
        <w:t xml:space="preserve"> s strani ministrstva. </w:t>
      </w:r>
    </w:p>
    <w:p w14:paraId="058E07D1" w14:textId="77777777" w:rsidR="00CB3F02" w:rsidRDefault="00CB3F02" w:rsidP="00CB3F02">
      <w:pPr>
        <w:spacing w:line="240" w:lineRule="auto"/>
        <w:jc w:val="both"/>
        <w:rPr>
          <w:rFonts w:cs="Arial"/>
          <w:szCs w:val="20"/>
        </w:rPr>
      </w:pPr>
    </w:p>
    <w:p w14:paraId="405781F6" w14:textId="77777777" w:rsidR="00CB3F02" w:rsidRDefault="00CB3F02" w:rsidP="00CB3F02">
      <w:pPr>
        <w:spacing w:line="240" w:lineRule="auto"/>
        <w:jc w:val="both"/>
        <w:rPr>
          <w:rFonts w:cs="Arial"/>
          <w:szCs w:val="20"/>
        </w:rPr>
      </w:pPr>
    </w:p>
    <w:p w14:paraId="3C5BE664" w14:textId="791E45C3" w:rsidR="00CB3F02" w:rsidRPr="00CB3F02" w:rsidRDefault="00CB3F02" w:rsidP="00CB3F02">
      <w:pPr>
        <w:spacing w:line="240" w:lineRule="auto"/>
        <w:jc w:val="both"/>
        <w:rPr>
          <w:rFonts w:cs="Arial"/>
          <w:b/>
          <w:bCs/>
          <w:szCs w:val="20"/>
          <w:u w:val="single"/>
        </w:rPr>
      </w:pPr>
      <w:r w:rsidRPr="00CB3F02">
        <w:rPr>
          <w:rFonts w:cs="Arial"/>
          <w:b/>
          <w:bCs/>
          <w:szCs w:val="20"/>
          <w:u w:val="single"/>
        </w:rPr>
        <w:t xml:space="preserve">Vprašanja in odgovori, objavljeni na dan </w:t>
      </w:r>
      <w:r>
        <w:rPr>
          <w:rFonts w:cs="Arial"/>
          <w:b/>
          <w:bCs/>
          <w:szCs w:val="20"/>
          <w:u w:val="single"/>
        </w:rPr>
        <w:t>1</w:t>
      </w:r>
      <w:r w:rsidR="00BD2D95">
        <w:rPr>
          <w:rFonts w:cs="Arial"/>
          <w:b/>
          <w:bCs/>
          <w:szCs w:val="20"/>
          <w:u w:val="single"/>
        </w:rPr>
        <w:t>8</w:t>
      </w:r>
      <w:r w:rsidRPr="00CB3F02">
        <w:rPr>
          <w:rFonts w:cs="Arial"/>
          <w:b/>
          <w:bCs/>
          <w:szCs w:val="20"/>
          <w:u w:val="single"/>
        </w:rPr>
        <w:t>. 6. 2024</w:t>
      </w:r>
    </w:p>
    <w:p w14:paraId="3BC980B8" w14:textId="77777777" w:rsidR="00CB3F02" w:rsidRDefault="00CB3F02" w:rsidP="00CB3F02">
      <w:pPr>
        <w:spacing w:line="240" w:lineRule="auto"/>
        <w:jc w:val="both"/>
        <w:rPr>
          <w:rFonts w:cs="Arial"/>
          <w:szCs w:val="20"/>
        </w:rPr>
      </w:pPr>
    </w:p>
    <w:p w14:paraId="5287A24C" w14:textId="77777777" w:rsidR="00CB3F02" w:rsidRDefault="00CB3F02" w:rsidP="00CB3F02">
      <w:pPr>
        <w:spacing w:line="240" w:lineRule="auto"/>
        <w:jc w:val="both"/>
        <w:rPr>
          <w:rFonts w:cs="Arial"/>
          <w:szCs w:val="20"/>
        </w:rPr>
      </w:pPr>
    </w:p>
    <w:p w14:paraId="595A4537" w14:textId="4226F683" w:rsidR="00CB3F02" w:rsidRDefault="00CB3F02" w:rsidP="00CB3F02">
      <w:pPr>
        <w:spacing w:line="240" w:lineRule="auto"/>
        <w:jc w:val="both"/>
        <w:rPr>
          <w:rFonts w:cs="Arial"/>
          <w:i/>
          <w:iCs/>
          <w:szCs w:val="20"/>
        </w:rPr>
      </w:pPr>
      <w:r w:rsidRPr="00CB3F02">
        <w:rPr>
          <w:rFonts w:cs="Arial"/>
          <w:b/>
          <w:bCs/>
          <w:i/>
          <w:iCs/>
          <w:szCs w:val="20"/>
        </w:rPr>
        <w:t>8.</w:t>
      </w:r>
      <w:r w:rsidRPr="00CB3F02">
        <w:rPr>
          <w:rFonts w:cs="Arial"/>
          <w:i/>
          <w:iCs/>
          <w:szCs w:val="20"/>
        </w:rPr>
        <w:t xml:space="preserve"> </w:t>
      </w:r>
      <w:r>
        <w:rPr>
          <w:rFonts w:cs="Arial"/>
          <w:i/>
          <w:iCs/>
          <w:szCs w:val="20"/>
        </w:rPr>
        <w:t>»</w:t>
      </w:r>
      <w:r w:rsidRPr="00CB3F02">
        <w:rPr>
          <w:rFonts w:cs="Arial"/>
          <w:i/>
          <w:iCs/>
          <w:szCs w:val="20"/>
        </w:rPr>
        <w:t>1.  Kaj pomeni, če posamezni partner v okviru izvajanja storitev v centru pridobi tržna sredstva? Se to odbije od subvencije?</w:t>
      </w:r>
    </w:p>
    <w:p w14:paraId="109B14A1" w14:textId="77777777" w:rsidR="00CB3F02" w:rsidRDefault="00CB3F02" w:rsidP="00CB3F02">
      <w:pPr>
        <w:spacing w:line="240" w:lineRule="auto"/>
        <w:jc w:val="both"/>
        <w:rPr>
          <w:rFonts w:cs="Arial"/>
          <w:i/>
          <w:iCs/>
          <w:szCs w:val="20"/>
        </w:rPr>
      </w:pPr>
      <w:r>
        <w:rPr>
          <w:rFonts w:cs="Arial"/>
          <w:i/>
          <w:iCs/>
          <w:szCs w:val="20"/>
        </w:rPr>
        <w:t xml:space="preserve">2. </w:t>
      </w:r>
      <w:r w:rsidRPr="00CB3F02">
        <w:rPr>
          <w:rFonts w:cs="Arial"/>
          <w:i/>
          <w:iCs/>
          <w:szCs w:val="20"/>
        </w:rPr>
        <w:t>V kolikor smatramo, da je recimo ena aktivnost iz sklopa C bolj smiselna v sklopu B, lahko prestavljamo? Samo imena in namembnosti sklopov ne smemo, si pravilno razlagamo?</w:t>
      </w:r>
    </w:p>
    <w:p w14:paraId="34FAE461" w14:textId="2D01F79F" w:rsidR="00CB3F02" w:rsidRDefault="00CB3F02" w:rsidP="00CB3F02">
      <w:pPr>
        <w:spacing w:line="240" w:lineRule="auto"/>
        <w:jc w:val="both"/>
        <w:rPr>
          <w:rFonts w:cs="Arial"/>
          <w:i/>
          <w:iCs/>
          <w:szCs w:val="20"/>
        </w:rPr>
      </w:pPr>
      <w:r>
        <w:rPr>
          <w:rFonts w:cs="Arial"/>
          <w:i/>
          <w:iCs/>
          <w:szCs w:val="20"/>
        </w:rPr>
        <w:t>3. A</w:t>
      </w:r>
      <w:r w:rsidRPr="00CB3F02">
        <w:rPr>
          <w:rFonts w:cs="Arial"/>
          <w:i/>
          <w:iCs/>
          <w:szCs w:val="20"/>
        </w:rPr>
        <w:t>li je DDV upravičen strošek tudi, če ima projektni partner DDV v celoti ali delno povrnjen?</w:t>
      </w:r>
    </w:p>
    <w:p w14:paraId="18181EBA" w14:textId="3FCDFDCD" w:rsidR="00CB3F02" w:rsidRDefault="00CB3F02" w:rsidP="00CB3F02">
      <w:pPr>
        <w:spacing w:line="240" w:lineRule="auto"/>
        <w:jc w:val="both"/>
        <w:rPr>
          <w:rFonts w:cs="Arial"/>
          <w:i/>
          <w:iCs/>
          <w:szCs w:val="20"/>
        </w:rPr>
      </w:pPr>
      <w:r>
        <w:rPr>
          <w:rFonts w:cs="Arial"/>
          <w:i/>
          <w:iCs/>
          <w:szCs w:val="20"/>
        </w:rPr>
        <w:t>4. A</w:t>
      </w:r>
      <w:r w:rsidRPr="00CB3F02">
        <w:rPr>
          <w:rFonts w:cs="Arial"/>
          <w:i/>
          <w:iCs/>
          <w:szCs w:val="20"/>
        </w:rPr>
        <w:t>li moramo pri pripravi finančnega načrta upoštevati razmerje med sredstvi na postavkah za vzhod in zahod?</w:t>
      </w:r>
      <w:r>
        <w:rPr>
          <w:rFonts w:cs="Arial"/>
          <w:i/>
          <w:iCs/>
          <w:szCs w:val="20"/>
        </w:rPr>
        <w:t>«</w:t>
      </w:r>
    </w:p>
    <w:p w14:paraId="61B5D6E1" w14:textId="77777777" w:rsidR="00CB3F02" w:rsidRDefault="00CB3F02" w:rsidP="00CB3F02">
      <w:pPr>
        <w:spacing w:line="240" w:lineRule="auto"/>
        <w:jc w:val="both"/>
        <w:rPr>
          <w:rFonts w:cs="Arial"/>
          <w:i/>
          <w:iCs/>
          <w:szCs w:val="20"/>
        </w:rPr>
      </w:pPr>
    </w:p>
    <w:p w14:paraId="0708BEEA" w14:textId="19B05888" w:rsidR="00CB3F02" w:rsidRDefault="00CB3F02" w:rsidP="00CB3F02">
      <w:pPr>
        <w:spacing w:line="240" w:lineRule="auto"/>
        <w:jc w:val="both"/>
        <w:rPr>
          <w:rFonts w:cs="Arial"/>
          <w:b/>
          <w:bCs/>
          <w:szCs w:val="20"/>
        </w:rPr>
      </w:pPr>
      <w:r w:rsidRPr="00CB3F02">
        <w:rPr>
          <w:rFonts w:cs="Arial"/>
          <w:b/>
          <w:bCs/>
          <w:szCs w:val="20"/>
        </w:rPr>
        <w:t>ODGOVOR:</w:t>
      </w:r>
    </w:p>
    <w:p w14:paraId="2A51F3FF" w14:textId="77777777" w:rsidR="001C5212" w:rsidRDefault="001C5212" w:rsidP="00CB3F02">
      <w:pPr>
        <w:spacing w:line="240" w:lineRule="auto"/>
        <w:jc w:val="both"/>
        <w:rPr>
          <w:rFonts w:cs="Arial"/>
          <w:b/>
          <w:bCs/>
          <w:szCs w:val="20"/>
        </w:rPr>
      </w:pPr>
    </w:p>
    <w:p w14:paraId="19669DFB" w14:textId="008191BF" w:rsidR="00722B1B" w:rsidRDefault="001C5212" w:rsidP="001C5212">
      <w:pPr>
        <w:pStyle w:val="Odstavekseznama"/>
        <w:numPr>
          <w:ilvl w:val="0"/>
          <w:numId w:val="28"/>
        </w:numPr>
        <w:spacing w:line="240" w:lineRule="auto"/>
        <w:jc w:val="both"/>
        <w:rPr>
          <w:rFonts w:cs="Arial"/>
          <w:szCs w:val="20"/>
        </w:rPr>
      </w:pPr>
      <w:r w:rsidRPr="001C5212">
        <w:rPr>
          <w:rFonts w:cs="Arial"/>
          <w:szCs w:val="20"/>
        </w:rPr>
        <w:t xml:space="preserve">V primeru financiranih aktivnosti z javnimi sredstvi </w:t>
      </w:r>
      <w:r>
        <w:rPr>
          <w:rFonts w:cs="Arial"/>
          <w:szCs w:val="20"/>
        </w:rPr>
        <w:t xml:space="preserve">se ne </w:t>
      </w:r>
      <w:r w:rsidR="004F5F50">
        <w:rPr>
          <w:rFonts w:cs="Arial"/>
          <w:szCs w:val="20"/>
        </w:rPr>
        <w:t>sme</w:t>
      </w:r>
      <w:r>
        <w:rPr>
          <w:rFonts w:cs="Arial"/>
          <w:szCs w:val="20"/>
        </w:rPr>
        <w:t xml:space="preserve"> pridobivati tržnih sredstev</w:t>
      </w:r>
      <w:r w:rsidR="00B60A41">
        <w:rPr>
          <w:rFonts w:cs="Arial"/>
          <w:szCs w:val="20"/>
        </w:rPr>
        <w:t>.</w:t>
      </w:r>
      <w:r w:rsidR="00421B99">
        <w:rPr>
          <w:rFonts w:cs="Arial"/>
          <w:szCs w:val="20"/>
        </w:rPr>
        <w:t xml:space="preserve"> Financiranje ne predstavlja državne pomoči, kar pomeni, da mora biti vsem uporabnikom na razpolago brezplačno. </w:t>
      </w:r>
    </w:p>
    <w:p w14:paraId="1441693E" w14:textId="028DEA6A" w:rsidR="001C5212" w:rsidRDefault="001C5212" w:rsidP="00722B1B">
      <w:pPr>
        <w:pStyle w:val="Odstavekseznama"/>
        <w:spacing w:line="240" w:lineRule="auto"/>
        <w:jc w:val="both"/>
        <w:rPr>
          <w:rFonts w:cs="Arial"/>
          <w:szCs w:val="20"/>
        </w:rPr>
      </w:pPr>
      <w:r>
        <w:rPr>
          <w:rFonts w:cs="Arial"/>
          <w:szCs w:val="20"/>
        </w:rPr>
        <w:t xml:space="preserve"> </w:t>
      </w:r>
    </w:p>
    <w:p w14:paraId="561BC629" w14:textId="47B7D252" w:rsidR="00722B1B" w:rsidRDefault="00722B1B" w:rsidP="001C5212">
      <w:pPr>
        <w:pStyle w:val="Odstavekseznama"/>
        <w:numPr>
          <w:ilvl w:val="0"/>
          <w:numId w:val="28"/>
        </w:numPr>
        <w:spacing w:line="240" w:lineRule="auto"/>
        <w:jc w:val="both"/>
        <w:rPr>
          <w:rFonts w:cs="Arial"/>
          <w:szCs w:val="20"/>
        </w:rPr>
      </w:pPr>
      <w:r>
        <w:rPr>
          <w:rFonts w:cs="Arial"/>
          <w:szCs w:val="20"/>
        </w:rPr>
        <w:t>Imena</w:t>
      </w:r>
      <w:r w:rsidR="00421B99">
        <w:rPr>
          <w:rFonts w:cs="Arial"/>
          <w:szCs w:val="20"/>
        </w:rPr>
        <w:t xml:space="preserve">, </w:t>
      </w:r>
      <w:r>
        <w:rPr>
          <w:rFonts w:cs="Arial"/>
          <w:szCs w:val="20"/>
        </w:rPr>
        <w:t>namembnost sklopov</w:t>
      </w:r>
      <w:r w:rsidR="006F556C">
        <w:rPr>
          <w:rFonts w:cs="Arial"/>
          <w:szCs w:val="20"/>
        </w:rPr>
        <w:t xml:space="preserve"> ter</w:t>
      </w:r>
      <w:r>
        <w:rPr>
          <w:rFonts w:cs="Arial"/>
          <w:szCs w:val="20"/>
        </w:rPr>
        <w:t xml:space="preserve"> </w:t>
      </w:r>
      <w:r w:rsidR="00421B99">
        <w:rPr>
          <w:rFonts w:cs="Arial"/>
          <w:szCs w:val="20"/>
        </w:rPr>
        <w:t>predviden</w:t>
      </w:r>
      <w:r w:rsidR="006F556C">
        <w:rPr>
          <w:rFonts w:cs="Arial"/>
          <w:szCs w:val="20"/>
        </w:rPr>
        <w:t>e</w:t>
      </w:r>
      <w:r w:rsidR="00421B99">
        <w:rPr>
          <w:rFonts w:cs="Arial"/>
          <w:szCs w:val="20"/>
        </w:rPr>
        <w:t xml:space="preserve"> aktivnost</w:t>
      </w:r>
      <w:r w:rsidR="006F556C">
        <w:rPr>
          <w:rFonts w:cs="Arial"/>
          <w:szCs w:val="20"/>
        </w:rPr>
        <w:t>i posameznega sklopa</w:t>
      </w:r>
      <w:r w:rsidR="00421B99">
        <w:rPr>
          <w:rFonts w:cs="Arial"/>
          <w:szCs w:val="20"/>
        </w:rPr>
        <w:t xml:space="preserve"> </w:t>
      </w:r>
      <w:r>
        <w:rPr>
          <w:rFonts w:cs="Arial"/>
          <w:szCs w:val="20"/>
        </w:rPr>
        <w:t>so določeni</w:t>
      </w:r>
      <w:r w:rsidR="00421B99">
        <w:rPr>
          <w:rFonts w:cs="Arial"/>
          <w:szCs w:val="20"/>
        </w:rPr>
        <w:t xml:space="preserve"> v javnem razpisu in se ne </w:t>
      </w:r>
      <w:r w:rsidR="006F556C">
        <w:rPr>
          <w:rFonts w:cs="Arial"/>
          <w:szCs w:val="20"/>
        </w:rPr>
        <w:t>morejo spreminjati s strani posameznih prijaviteljev</w:t>
      </w:r>
      <w:r w:rsidR="00421B99">
        <w:rPr>
          <w:rFonts w:cs="Arial"/>
          <w:szCs w:val="20"/>
        </w:rPr>
        <w:t xml:space="preserve">. </w:t>
      </w:r>
      <w:r w:rsidR="00CB52ED">
        <w:rPr>
          <w:rFonts w:cs="Arial"/>
          <w:szCs w:val="20"/>
        </w:rPr>
        <w:t xml:space="preserve">Pri pripravi vloge preučite, v kateri sklop se </w:t>
      </w:r>
      <w:r w:rsidR="006F556C">
        <w:rPr>
          <w:rFonts w:cs="Arial"/>
          <w:szCs w:val="20"/>
        </w:rPr>
        <w:t xml:space="preserve">glede na že predvidene aktivnosti </w:t>
      </w:r>
      <w:r w:rsidR="00CB52ED">
        <w:rPr>
          <w:rFonts w:cs="Arial"/>
          <w:szCs w:val="20"/>
        </w:rPr>
        <w:t>vaš</w:t>
      </w:r>
      <w:r w:rsidR="006F556C">
        <w:rPr>
          <w:rFonts w:cs="Arial"/>
          <w:szCs w:val="20"/>
        </w:rPr>
        <w:t>a</w:t>
      </w:r>
      <w:r w:rsidR="00CB52ED">
        <w:rPr>
          <w:rFonts w:cs="Arial"/>
          <w:szCs w:val="20"/>
        </w:rPr>
        <w:t xml:space="preserve"> aktivnost najbolj</w:t>
      </w:r>
      <w:r w:rsidR="006F556C">
        <w:rPr>
          <w:rFonts w:cs="Arial"/>
          <w:szCs w:val="20"/>
        </w:rPr>
        <w:t>e umešča.</w:t>
      </w:r>
      <w:r w:rsidR="00CB52ED">
        <w:rPr>
          <w:rFonts w:cs="Arial"/>
          <w:szCs w:val="20"/>
        </w:rPr>
        <w:t xml:space="preserve"> </w:t>
      </w:r>
    </w:p>
    <w:p w14:paraId="0B663607" w14:textId="77777777" w:rsidR="00421B99" w:rsidRPr="00421B99" w:rsidRDefault="00421B99" w:rsidP="00421B99">
      <w:pPr>
        <w:pStyle w:val="Odstavekseznama"/>
        <w:rPr>
          <w:rFonts w:cs="Arial"/>
          <w:szCs w:val="20"/>
        </w:rPr>
      </w:pPr>
    </w:p>
    <w:p w14:paraId="14E7604D" w14:textId="63ABBD46" w:rsidR="00421B99" w:rsidRDefault="006F556C" w:rsidP="001C5212">
      <w:pPr>
        <w:pStyle w:val="Odstavekseznama"/>
        <w:numPr>
          <w:ilvl w:val="0"/>
          <w:numId w:val="28"/>
        </w:numPr>
        <w:spacing w:line="240" w:lineRule="auto"/>
        <w:jc w:val="both"/>
        <w:rPr>
          <w:rFonts w:cs="Arial"/>
          <w:szCs w:val="20"/>
        </w:rPr>
      </w:pPr>
      <w:r>
        <w:rPr>
          <w:rFonts w:cs="Arial"/>
          <w:szCs w:val="20"/>
        </w:rPr>
        <w:t>Javni razpis v točki 10.2 določa: »</w:t>
      </w:r>
      <w:r w:rsidRPr="006F556C">
        <w:rPr>
          <w:rFonts w:cs="Arial"/>
          <w:szCs w:val="20"/>
        </w:rPr>
        <w:t xml:space="preserve">Davek na dodano vrednost je upravičen strošek. Če sredstva kohezijske politike za končnega prejemnika predstavljajo </w:t>
      </w:r>
      <w:r w:rsidRPr="006F556C">
        <w:rPr>
          <w:rFonts w:cs="Arial"/>
          <w:i/>
          <w:iCs/>
          <w:szCs w:val="20"/>
        </w:rPr>
        <w:t xml:space="preserve">de </w:t>
      </w:r>
      <w:proofErr w:type="spellStart"/>
      <w:r w:rsidRPr="006F556C">
        <w:rPr>
          <w:rFonts w:cs="Arial"/>
          <w:i/>
          <w:iCs/>
          <w:szCs w:val="20"/>
        </w:rPr>
        <w:t>minimis</w:t>
      </w:r>
      <w:proofErr w:type="spellEnd"/>
      <w:r w:rsidRPr="006F556C">
        <w:rPr>
          <w:rFonts w:cs="Arial"/>
          <w:szCs w:val="20"/>
        </w:rPr>
        <w:t xml:space="preserve"> pomoč, DDV ni upravičen strošek</w:t>
      </w:r>
      <w:r>
        <w:rPr>
          <w:rFonts w:cs="Arial"/>
          <w:szCs w:val="20"/>
        </w:rPr>
        <w:t>«.</w:t>
      </w:r>
      <w:r w:rsidR="004F5F50">
        <w:rPr>
          <w:rFonts w:cs="Arial"/>
          <w:szCs w:val="20"/>
        </w:rPr>
        <w:t xml:space="preserve"> Navedeno izhaja iz Navodil organa upravljanja o upravičenih stroških za sredstva evropske kohezijske politike v programskem </w:t>
      </w:r>
      <w:proofErr w:type="spellStart"/>
      <w:r w:rsidR="004F5F50">
        <w:rPr>
          <w:rFonts w:cs="Arial"/>
          <w:szCs w:val="20"/>
        </w:rPr>
        <w:t>obodbju</w:t>
      </w:r>
      <w:proofErr w:type="spellEnd"/>
      <w:r w:rsidR="004F5F50">
        <w:rPr>
          <w:rFonts w:cs="Arial"/>
          <w:szCs w:val="20"/>
        </w:rPr>
        <w:t xml:space="preserve"> 2012-2027.</w:t>
      </w:r>
      <w:r w:rsidR="00BD2D95">
        <w:rPr>
          <w:rFonts w:cs="Arial"/>
          <w:szCs w:val="20"/>
        </w:rPr>
        <w:t>q</w:t>
      </w:r>
    </w:p>
    <w:p w14:paraId="553195AD" w14:textId="77777777" w:rsidR="006F556C" w:rsidRPr="006F556C" w:rsidRDefault="006F556C" w:rsidP="006F556C">
      <w:pPr>
        <w:pStyle w:val="Odstavekseznama"/>
        <w:rPr>
          <w:rFonts w:cs="Arial"/>
          <w:szCs w:val="20"/>
        </w:rPr>
      </w:pPr>
    </w:p>
    <w:p w14:paraId="6AE7AF00" w14:textId="61E00330" w:rsidR="006F556C" w:rsidRPr="001C5212" w:rsidRDefault="006F556C" w:rsidP="001C5212">
      <w:pPr>
        <w:pStyle w:val="Odstavekseznama"/>
        <w:numPr>
          <w:ilvl w:val="0"/>
          <w:numId w:val="28"/>
        </w:numPr>
        <w:spacing w:line="240" w:lineRule="auto"/>
        <w:jc w:val="both"/>
        <w:rPr>
          <w:rFonts w:cs="Arial"/>
          <w:szCs w:val="20"/>
        </w:rPr>
      </w:pPr>
      <w:r>
        <w:rPr>
          <w:rFonts w:cs="Arial"/>
          <w:szCs w:val="20"/>
        </w:rPr>
        <w:t xml:space="preserve">Pri pripravi finančnega načrta vloge ne upoštevate razmerje med sredstvi na postavkah za vzhod in zahod ampak vpisujete v </w:t>
      </w:r>
      <w:r w:rsidR="003D7E38">
        <w:rPr>
          <w:rFonts w:cs="Arial"/>
          <w:szCs w:val="20"/>
        </w:rPr>
        <w:t xml:space="preserve">Obrazec 3 Finančni podatki o projektu, </w:t>
      </w:r>
      <w:r>
        <w:rPr>
          <w:rFonts w:cs="Arial"/>
          <w:szCs w:val="20"/>
        </w:rPr>
        <w:t xml:space="preserve">kot je </w:t>
      </w:r>
      <w:r w:rsidR="003D7E38">
        <w:rPr>
          <w:rFonts w:cs="Arial"/>
          <w:szCs w:val="20"/>
        </w:rPr>
        <w:t xml:space="preserve">v obrazcu </w:t>
      </w:r>
      <w:r>
        <w:rPr>
          <w:rFonts w:cs="Arial"/>
          <w:szCs w:val="20"/>
        </w:rPr>
        <w:t xml:space="preserve">predvideno. </w:t>
      </w:r>
    </w:p>
    <w:p w14:paraId="1056BB0D" w14:textId="77777777" w:rsidR="00CB3F02" w:rsidRPr="00CB3F02" w:rsidRDefault="00CB3F02" w:rsidP="00CB3F02">
      <w:pPr>
        <w:spacing w:line="240" w:lineRule="auto"/>
        <w:jc w:val="both"/>
        <w:rPr>
          <w:rFonts w:cs="Arial"/>
          <w:i/>
          <w:iCs/>
          <w:szCs w:val="20"/>
        </w:rPr>
      </w:pPr>
    </w:p>
    <w:p w14:paraId="574AA889" w14:textId="28731CB0" w:rsidR="00CB3F02" w:rsidRDefault="00CB3F02" w:rsidP="00CB3F02">
      <w:pPr>
        <w:spacing w:line="240" w:lineRule="auto"/>
        <w:jc w:val="both"/>
        <w:rPr>
          <w:rFonts w:cs="Arial"/>
          <w:i/>
          <w:iCs/>
          <w:szCs w:val="20"/>
        </w:rPr>
      </w:pPr>
    </w:p>
    <w:p w14:paraId="4778B801" w14:textId="77777777" w:rsidR="0022761F" w:rsidRDefault="0022761F" w:rsidP="0022761F">
      <w:pPr>
        <w:spacing w:line="240" w:lineRule="auto"/>
        <w:jc w:val="both"/>
        <w:rPr>
          <w:rFonts w:cs="Arial"/>
          <w:i/>
          <w:iCs/>
          <w:szCs w:val="20"/>
        </w:rPr>
      </w:pPr>
      <w:r>
        <w:rPr>
          <w:rFonts w:cs="Arial"/>
          <w:i/>
          <w:iCs/>
          <w:szCs w:val="20"/>
        </w:rPr>
        <w:t xml:space="preserve">9. »1. Ali Obrazec 7 Vzorec pogodbe o sofinanciranju </w:t>
      </w:r>
      <w:r w:rsidRPr="0022761F">
        <w:rPr>
          <w:rFonts w:cs="Arial"/>
          <w:i/>
          <w:iCs/>
          <w:szCs w:val="20"/>
        </w:rPr>
        <w:t xml:space="preserve">parafira samo vodilni partner ali vsi </w:t>
      </w:r>
      <w:proofErr w:type="spellStart"/>
      <w:r w:rsidRPr="0022761F">
        <w:rPr>
          <w:rFonts w:cs="Arial"/>
          <w:i/>
          <w:iCs/>
          <w:szCs w:val="20"/>
        </w:rPr>
        <w:t>konzorcijski</w:t>
      </w:r>
      <w:proofErr w:type="spellEnd"/>
      <w:r w:rsidRPr="0022761F">
        <w:rPr>
          <w:rFonts w:cs="Arial"/>
          <w:i/>
          <w:iCs/>
          <w:szCs w:val="20"/>
        </w:rPr>
        <w:t xml:space="preserve"> partnerji? </w:t>
      </w:r>
    </w:p>
    <w:p w14:paraId="4CCC64B2" w14:textId="78A9A031" w:rsidR="0022761F" w:rsidRPr="0022761F" w:rsidRDefault="0022761F" w:rsidP="0022761F">
      <w:pPr>
        <w:spacing w:line="240" w:lineRule="auto"/>
        <w:jc w:val="both"/>
        <w:rPr>
          <w:rFonts w:cs="Arial"/>
          <w:i/>
          <w:iCs/>
          <w:szCs w:val="20"/>
        </w:rPr>
      </w:pPr>
      <w:r>
        <w:rPr>
          <w:rFonts w:cs="Arial"/>
          <w:i/>
          <w:iCs/>
          <w:szCs w:val="20"/>
        </w:rPr>
        <w:t>2. A</w:t>
      </w:r>
      <w:r w:rsidRPr="0022761F">
        <w:rPr>
          <w:rFonts w:cs="Arial"/>
          <w:i/>
          <w:iCs/>
          <w:szCs w:val="20"/>
        </w:rPr>
        <w:t xml:space="preserve">li je pod izdelavo elektronske kopije parafirane vzorčne pogodbe za elektronsko kopijo vloge mišljeno, da vam mi pošljemo original/e obrazca 7, sami pa obdržimo </w:t>
      </w:r>
      <w:proofErr w:type="spellStart"/>
      <w:r w:rsidRPr="0022761F">
        <w:rPr>
          <w:rFonts w:cs="Arial"/>
          <w:i/>
          <w:iCs/>
          <w:szCs w:val="20"/>
        </w:rPr>
        <w:t>sken</w:t>
      </w:r>
      <w:proofErr w:type="spellEnd"/>
      <w:r w:rsidRPr="0022761F">
        <w:rPr>
          <w:rFonts w:cs="Arial"/>
          <w:i/>
          <w:iCs/>
          <w:szCs w:val="20"/>
        </w:rPr>
        <w:t>/e?</w:t>
      </w:r>
    </w:p>
    <w:p w14:paraId="3822C9D8" w14:textId="77777777" w:rsidR="0022761F" w:rsidRDefault="0022761F" w:rsidP="00CB3F02">
      <w:pPr>
        <w:spacing w:line="240" w:lineRule="auto"/>
        <w:jc w:val="both"/>
        <w:rPr>
          <w:rFonts w:cs="Arial"/>
          <w:i/>
          <w:iCs/>
          <w:szCs w:val="20"/>
        </w:rPr>
      </w:pPr>
    </w:p>
    <w:p w14:paraId="500BC1E2" w14:textId="2BE78476" w:rsidR="0022761F" w:rsidRPr="0022761F" w:rsidRDefault="0022761F" w:rsidP="00CB3F02">
      <w:pPr>
        <w:spacing w:line="240" w:lineRule="auto"/>
        <w:jc w:val="both"/>
        <w:rPr>
          <w:rFonts w:cs="Arial"/>
          <w:b/>
          <w:bCs/>
          <w:szCs w:val="20"/>
        </w:rPr>
      </w:pPr>
      <w:r w:rsidRPr="0022761F">
        <w:rPr>
          <w:rFonts w:cs="Arial"/>
          <w:b/>
          <w:bCs/>
          <w:szCs w:val="20"/>
        </w:rPr>
        <w:t xml:space="preserve">ODGOVOR: </w:t>
      </w:r>
    </w:p>
    <w:p w14:paraId="12124F94" w14:textId="77777777" w:rsidR="0022761F" w:rsidRDefault="0022761F" w:rsidP="0022761F">
      <w:pPr>
        <w:spacing w:line="240" w:lineRule="auto"/>
        <w:jc w:val="both"/>
        <w:rPr>
          <w:rFonts w:cs="Arial"/>
          <w:bCs/>
          <w:i/>
          <w:iCs/>
          <w:szCs w:val="20"/>
        </w:rPr>
      </w:pPr>
    </w:p>
    <w:p w14:paraId="4DAB2BD4" w14:textId="65C3A870" w:rsidR="0022761F" w:rsidRDefault="0022761F" w:rsidP="0022761F">
      <w:pPr>
        <w:pStyle w:val="Odstavekseznama"/>
        <w:numPr>
          <w:ilvl w:val="0"/>
          <w:numId w:val="29"/>
        </w:numPr>
        <w:spacing w:line="240" w:lineRule="auto"/>
        <w:jc w:val="both"/>
        <w:rPr>
          <w:rFonts w:cs="Arial"/>
          <w:bCs/>
          <w:szCs w:val="20"/>
        </w:rPr>
      </w:pPr>
      <w:r>
        <w:rPr>
          <w:rFonts w:cs="Arial"/>
          <w:bCs/>
          <w:szCs w:val="20"/>
        </w:rPr>
        <w:t xml:space="preserve">Obrazec 7 parafira samo zakoniti zastopnik prijavitelja, kot je navedeno v samem Obrazcu 7. </w:t>
      </w:r>
    </w:p>
    <w:p w14:paraId="3F6BFD14" w14:textId="6896D300" w:rsidR="0022761F" w:rsidRPr="0022761F" w:rsidRDefault="0022761F" w:rsidP="0022761F">
      <w:pPr>
        <w:pStyle w:val="Odstavekseznama"/>
        <w:numPr>
          <w:ilvl w:val="0"/>
          <w:numId w:val="29"/>
        </w:numPr>
        <w:spacing w:line="240" w:lineRule="auto"/>
        <w:jc w:val="both"/>
        <w:rPr>
          <w:rFonts w:cs="Arial"/>
          <w:bCs/>
          <w:szCs w:val="20"/>
        </w:rPr>
      </w:pPr>
      <w:r>
        <w:rPr>
          <w:rFonts w:cs="Arial"/>
          <w:bCs/>
          <w:szCs w:val="20"/>
        </w:rPr>
        <w:t xml:space="preserve">V Obrazcu 7 je v tretjem odstavku predhodnih navodil navedeno: </w:t>
      </w:r>
      <w:r w:rsidR="00C64247">
        <w:rPr>
          <w:rFonts w:cs="Arial"/>
          <w:bCs/>
          <w:szCs w:val="20"/>
        </w:rPr>
        <w:t>»</w:t>
      </w:r>
      <w:r w:rsidRPr="0022761F">
        <w:rPr>
          <w:rFonts w:cs="Arial"/>
          <w:bCs/>
          <w:szCs w:val="20"/>
        </w:rPr>
        <w:t>Izdelajte eno elektronsko kopijo parafirane vzorčne pogodbe za elektronsko kopijo vloge.</w:t>
      </w:r>
      <w:r w:rsidR="00C64247">
        <w:rPr>
          <w:rFonts w:cs="Arial"/>
          <w:bCs/>
          <w:szCs w:val="20"/>
        </w:rPr>
        <w:t xml:space="preserve">« To pomeni, da izdelate elektronsko kopijo parafirane vzorčne pogodbe in jo vključite med elektronske dokumente vloge na elektronskem nosilcu, ki jo posredujete na ministrstvo, skladno z 11. točko Pojasnil javnega razpisa.« </w:t>
      </w:r>
    </w:p>
    <w:p w14:paraId="20A04461" w14:textId="77777777" w:rsidR="0022761F" w:rsidRDefault="0022761F" w:rsidP="00CB3F02">
      <w:pPr>
        <w:spacing w:line="240" w:lineRule="auto"/>
        <w:jc w:val="both"/>
        <w:rPr>
          <w:rFonts w:cs="Arial"/>
          <w:i/>
          <w:iCs/>
          <w:szCs w:val="20"/>
        </w:rPr>
      </w:pPr>
    </w:p>
    <w:p w14:paraId="17A96408" w14:textId="77777777" w:rsidR="00E4525E" w:rsidRDefault="00E4525E" w:rsidP="00CB3F02">
      <w:pPr>
        <w:spacing w:line="240" w:lineRule="auto"/>
        <w:jc w:val="both"/>
        <w:rPr>
          <w:rFonts w:cs="Arial"/>
          <w:i/>
          <w:iCs/>
          <w:szCs w:val="20"/>
        </w:rPr>
      </w:pPr>
    </w:p>
    <w:p w14:paraId="4197CB50" w14:textId="77777777" w:rsidR="00E4525E" w:rsidRDefault="00E4525E" w:rsidP="00CB3F02">
      <w:pPr>
        <w:spacing w:line="240" w:lineRule="auto"/>
        <w:jc w:val="both"/>
        <w:rPr>
          <w:rFonts w:cs="Arial"/>
          <w:i/>
          <w:iCs/>
          <w:szCs w:val="20"/>
        </w:rPr>
      </w:pPr>
    </w:p>
    <w:p w14:paraId="27D8BE2C" w14:textId="77777777" w:rsidR="00E4525E" w:rsidRDefault="00E4525E" w:rsidP="00CB3F02">
      <w:pPr>
        <w:spacing w:line="240" w:lineRule="auto"/>
        <w:jc w:val="both"/>
        <w:rPr>
          <w:rFonts w:cs="Arial"/>
          <w:i/>
          <w:iCs/>
          <w:szCs w:val="20"/>
        </w:rPr>
      </w:pPr>
    </w:p>
    <w:p w14:paraId="195BB570" w14:textId="781ACC56" w:rsidR="00E4525E" w:rsidRDefault="00E4525E" w:rsidP="00E4525E">
      <w:pPr>
        <w:spacing w:line="240" w:lineRule="auto"/>
        <w:jc w:val="both"/>
        <w:rPr>
          <w:rFonts w:cs="Arial"/>
          <w:b/>
          <w:bCs/>
          <w:szCs w:val="20"/>
          <w:u w:val="single"/>
        </w:rPr>
      </w:pPr>
      <w:r w:rsidRPr="00E4525E">
        <w:rPr>
          <w:rFonts w:cs="Arial"/>
          <w:b/>
          <w:bCs/>
          <w:szCs w:val="20"/>
          <w:u w:val="single"/>
        </w:rPr>
        <w:lastRenderedPageBreak/>
        <w:t xml:space="preserve">Vprašanja in odgovori, objavljeni na dan </w:t>
      </w:r>
      <w:r w:rsidR="003616BA">
        <w:rPr>
          <w:rFonts w:cs="Arial"/>
          <w:b/>
          <w:bCs/>
          <w:szCs w:val="20"/>
          <w:u w:val="single"/>
        </w:rPr>
        <w:t>2</w:t>
      </w:r>
      <w:r w:rsidRPr="00E4525E">
        <w:rPr>
          <w:rFonts w:cs="Arial"/>
          <w:b/>
          <w:bCs/>
          <w:szCs w:val="20"/>
          <w:u w:val="single"/>
        </w:rPr>
        <w:t xml:space="preserve">. </w:t>
      </w:r>
      <w:r w:rsidR="003616BA">
        <w:rPr>
          <w:rFonts w:cs="Arial"/>
          <w:b/>
          <w:bCs/>
          <w:szCs w:val="20"/>
          <w:u w:val="single"/>
        </w:rPr>
        <w:t>7</w:t>
      </w:r>
      <w:r w:rsidRPr="00E4525E">
        <w:rPr>
          <w:rFonts w:cs="Arial"/>
          <w:b/>
          <w:bCs/>
          <w:szCs w:val="20"/>
          <w:u w:val="single"/>
        </w:rPr>
        <w:t>. 2024</w:t>
      </w:r>
    </w:p>
    <w:p w14:paraId="6D9957F1" w14:textId="77777777" w:rsidR="00E4525E" w:rsidRDefault="00E4525E" w:rsidP="00E4525E">
      <w:pPr>
        <w:spacing w:line="240" w:lineRule="auto"/>
        <w:jc w:val="both"/>
        <w:rPr>
          <w:rFonts w:cs="Arial"/>
          <w:b/>
          <w:bCs/>
          <w:szCs w:val="20"/>
          <w:u w:val="single"/>
        </w:rPr>
      </w:pPr>
    </w:p>
    <w:p w14:paraId="70A504A8" w14:textId="77777777" w:rsidR="00E4525E" w:rsidRDefault="00E4525E" w:rsidP="00E4525E">
      <w:pPr>
        <w:spacing w:line="240" w:lineRule="auto"/>
        <w:jc w:val="both"/>
        <w:rPr>
          <w:rFonts w:cs="Arial"/>
          <w:b/>
          <w:bCs/>
          <w:szCs w:val="20"/>
          <w:u w:val="single"/>
        </w:rPr>
      </w:pPr>
    </w:p>
    <w:p w14:paraId="43AB5629" w14:textId="36917729" w:rsidR="00E4525E" w:rsidRPr="00E4525E" w:rsidRDefault="00E4525E" w:rsidP="00E4525E">
      <w:pPr>
        <w:spacing w:line="240" w:lineRule="auto"/>
        <w:jc w:val="both"/>
        <w:rPr>
          <w:rFonts w:cs="Arial"/>
          <w:i/>
          <w:iCs/>
          <w:szCs w:val="20"/>
        </w:rPr>
      </w:pPr>
      <w:r w:rsidRPr="003616BA">
        <w:rPr>
          <w:rFonts w:cs="Arial"/>
          <w:b/>
          <w:bCs/>
          <w:i/>
          <w:iCs/>
          <w:szCs w:val="20"/>
        </w:rPr>
        <w:t>10.</w:t>
      </w:r>
      <w:r w:rsidRPr="00E4525E">
        <w:rPr>
          <w:rFonts w:cs="Arial"/>
          <w:i/>
          <w:iCs/>
          <w:szCs w:val="20"/>
        </w:rPr>
        <w:t xml:space="preserve"> </w:t>
      </w:r>
      <w:r>
        <w:rPr>
          <w:rFonts w:cs="Arial"/>
          <w:i/>
          <w:iCs/>
          <w:szCs w:val="20"/>
        </w:rPr>
        <w:t>»</w:t>
      </w:r>
      <w:r w:rsidRPr="00E4525E">
        <w:rPr>
          <w:rFonts w:cs="Arial"/>
          <w:i/>
          <w:iCs/>
          <w:szCs w:val="20"/>
        </w:rPr>
        <w:t>Vezano na vaš odgovor pod točko 8 dne 18. 6. imamo še dve podvprašanji:</w:t>
      </w:r>
    </w:p>
    <w:p w14:paraId="1F1546B4" w14:textId="77777777" w:rsidR="00E4525E" w:rsidRPr="00E4525E" w:rsidRDefault="00E4525E" w:rsidP="00E4525E">
      <w:pPr>
        <w:numPr>
          <w:ilvl w:val="0"/>
          <w:numId w:val="30"/>
        </w:numPr>
        <w:spacing w:line="240" w:lineRule="auto"/>
        <w:jc w:val="both"/>
        <w:rPr>
          <w:rFonts w:cs="Arial"/>
          <w:i/>
          <w:iCs/>
          <w:szCs w:val="20"/>
        </w:rPr>
      </w:pPr>
      <w:r w:rsidRPr="00E4525E">
        <w:rPr>
          <w:rFonts w:cs="Arial"/>
          <w:i/>
          <w:iCs/>
          <w:szCs w:val="20"/>
        </w:rPr>
        <w:t>ali lahko premeščamo aktivnosti iz npr. sklopa B v sklop C?</w:t>
      </w:r>
    </w:p>
    <w:p w14:paraId="0E4618C6" w14:textId="213A03A3" w:rsidR="00E4525E" w:rsidRDefault="00E4525E" w:rsidP="00E4525E">
      <w:pPr>
        <w:numPr>
          <w:ilvl w:val="0"/>
          <w:numId w:val="30"/>
        </w:numPr>
        <w:spacing w:line="240" w:lineRule="auto"/>
        <w:jc w:val="both"/>
        <w:rPr>
          <w:rFonts w:cs="Arial"/>
          <w:i/>
          <w:iCs/>
          <w:szCs w:val="20"/>
        </w:rPr>
      </w:pPr>
      <w:r w:rsidRPr="00E4525E">
        <w:rPr>
          <w:rFonts w:cs="Arial"/>
          <w:i/>
          <w:iCs/>
          <w:szCs w:val="20"/>
        </w:rPr>
        <w:t>ali lahko združujemo aktivnosti, ki so v dokumentaciji JR navedene po alinejah, npr. povezovanje lastnikov izzivov in rešitev in povezovanje na področju industrijske simbioze (sklop E)?</w:t>
      </w:r>
      <w:r>
        <w:rPr>
          <w:rFonts w:cs="Arial"/>
          <w:i/>
          <w:iCs/>
          <w:szCs w:val="20"/>
        </w:rPr>
        <w:t>«</w:t>
      </w:r>
    </w:p>
    <w:p w14:paraId="22976DEE" w14:textId="77777777" w:rsidR="00E4525E" w:rsidRDefault="00E4525E" w:rsidP="00E4525E">
      <w:pPr>
        <w:spacing w:line="240" w:lineRule="auto"/>
        <w:jc w:val="both"/>
        <w:rPr>
          <w:rFonts w:cs="Arial"/>
          <w:i/>
          <w:iCs/>
          <w:szCs w:val="20"/>
        </w:rPr>
      </w:pPr>
    </w:p>
    <w:p w14:paraId="7585D1F6" w14:textId="7EB8969D" w:rsidR="00E4525E" w:rsidRPr="00E4525E" w:rsidRDefault="00E4525E" w:rsidP="00E4525E">
      <w:pPr>
        <w:spacing w:line="240" w:lineRule="auto"/>
        <w:jc w:val="both"/>
        <w:rPr>
          <w:rFonts w:cs="Arial"/>
          <w:b/>
          <w:bCs/>
          <w:szCs w:val="20"/>
        </w:rPr>
      </w:pPr>
      <w:r w:rsidRPr="00E4525E">
        <w:rPr>
          <w:rFonts w:cs="Arial"/>
          <w:b/>
          <w:bCs/>
          <w:szCs w:val="20"/>
        </w:rPr>
        <w:t>Odgovor:</w:t>
      </w:r>
    </w:p>
    <w:p w14:paraId="605D9833" w14:textId="77777777" w:rsidR="00E4525E" w:rsidRPr="00E4525E" w:rsidRDefault="00E4525E" w:rsidP="00E4525E">
      <w:pPr>
        <w:spacing w:line="240" w:lineRule="auto"/>
        <w:jc w:val="both"/>
        <w:rPr>
          <w:rFonts w:cs="Arial"/>
          <w:b/>
          <w:bCs/>
          <w:szCs w:val="20"/>
          <w:u w:val="single"/>
        </w:rPr>
      </w:pPr>
    </w:p>
    <w:p w14:paraId="5F429BB1" w14:textId="647529DB" w:rsidR="00E4525E" w:rsidRDefault="00E4525E" w:rsidP="00E4525E">
      <w:pPr>
        <w:pStyle w:val="Odstavekseznama"/>
        <w:numPr>
          <w:ilvl w:val="0"/>
          <w:numId w:val="31"/>
        </w:numPr>
        <w:spacing w:line="240" w:lineRule="auto"/>
        <w:jc w:val="both"/>
        <w:rPr>
          <w:rFonts w:cs="Arial"/>
          <w:szCs w:val="20"/>
        </w:rPr>
      </w:pPr>
      <w:r>
        <w:rPr>
          <w:rFonts w:cs="Arial"/>
          <w:szCs w:val="20"/>
        </w:rPr>
        <w:t xml:space="preserve">Predvidene aktivnosti posameznega sklopa se ne morejo prenašati med sklopi. </w:t>
      </w:r>
    </w:p>
    <w:p w14:paraId="3A9650DD" w14:textId="6B60E1E4" w:rsidR="00E4525E" w:rsidRDefault="00E4525E" w:rsidP="00E4525E">
      <w:pPr>
        <w:pStyle w:val="Odstavekseznama"/>
        <w:numPr>
          <w:ilvl w:val="0"/>
          <w:numId w:val="31"/>
        </w:numPr>
        <w:spacing w:line="240" w:lineRule="auto"/>
        <w:jc w:val="both"/>
        <w:rPr>
          <w:rFonts w:cs="Arial"/>
          <w:szCs w:val="20"/>
        </w:rPr>
      </w:pPr>
      <w:r>
        <w:rPr>
          <w:rFonts w:cs="Arial"/>
          <w:szCs w:val="20"/>
        </w:rPr>
        <w:t xml:space="preserve">Predvidene aktivnosti znotraj posameznega sklopa lahko vsebinsko združujete, vendar pa mora biti iz vsebine razvidno, na katero aktivnost se le ta nanaša. </w:t>
      </w:r>
    </w:p>
    <w:p w14:paraId="2E450159" w14:textId="77777777" w:rsidR="00506388" w:rsidRDefault="00506388" w:rsidP="00506388">
      <w:pPr>
        <w:spacing w:line="240" w:lineRule="auto"/>
        <w:jc w:val="both"/>
        <w:rPr>
          <w:rFonts w:cs="Arial"/>
          <w:szCs w:val="20"/>
        </w:rPr>
      </w:pPr>
    </w:p>
    <w:p w14:paraId="253E94DF" w14:textId="6CE1FEE2" w:rsidR="00834A03" w:rsidRPr="00506388" w:rsidRDefault="00506388" w:rsidP="00506388">
      <w:pPr>
        <w:spacing w:line="240" w:lineRule="auto"/>
        <w:jc w:val="both"/>
        <w:rPr>
          <w:rFonts w:cs="Arial"/>
          <w:i/>
          <w:iCs/>
          <w:szCs w:val="20"/>
        </w:rPr>
      </w:pPr>
      <w:r w:rsidRPr="003616BA">
        <w:rPr>
          <w:rFonts w:cs="Arial"/>
          <w:b/>
          <w:bCs/>
          <w:i/>
          <w:iCs/>
          <w:szCs w:val="20"/>
        </w:rPr>
        <w:t>11.«</w:t>
      </w:r>
      <w:r w:rsidRPr="00506388">
        <w:rPr>
          <w:rFonts w:cs="Arial"/>
          <w:i/>
          <w:iCs/>
          <w:szCs w:val="20"/>
        </w:rPr>
        <w:t>Katero verzijo obrazca 2 iz spletne strani vzamemo za oddajo, saj sta naloženi dve?«</w:t>
      </w:r>
    </w:p>
    <w:p w14:paraId="192879D0" w14:textId="77777777" w:rsidR="00506388" w:rsidRDefault="00506388" w:rsidP="00506388">
      <w:pPr>
        <w:spacing w:line="240" w:lineRule="auto"/>
        <w:jc w:val="both"/>
        <w:rPr>
          <w:rFonts w:cs="Arial"/>
          <w:szCs w:val="20"/>
        </w:rPr>
      </w:pPr>
    </w:p>
    <w:p w14:paraId="7DAF0DB6" w14:textId="743D4272" w:rsidR="00506388" w:rsidRDefault="004917F5" w:rsidP="00506388">
      <w:pPr>
        <w:spacing w:line="240" w:lineRule="auto"/>
        <w:jc w:val="both"/>
        <w:rPr>
          <w:rFonts w:cs="Arial"/>
          <w:b/>
          <w:bCs/>
          <w:szCs w:val="20"/>
        </w:rPr>
      </w:pPr>
      <w:r>
        <w:rPr>
          <w:rFonts w:cs="Arial"/>
          <w:b/>
          <w:bCs/>
          <w:szCs w:val="20"/>
        </w:rPr>
        <w:t>ODGOVOR</w:t>
      </w:r>
      <w:r w:rsidR="00506388" w:rsidRPr="00506388">
        <w:rPr>
          <w:rFonts w:cs="Arial"/>
          <w:b/>
          <w:bCs/>
          <w:szCs w:val="20"/>
        </w:rPr>
        <w:t xml:space="preserve">: </w:t>
      </w:r>
    </w:p>
    <w:p w14:paraId="5624DAF9" w14:textId="77777777" w:rsidR="004917F5" w:rsidRDefault="004917F5" w:rsidP="00506388">
      <w:pPr>
        <w:spacing w:line="240" w:lineRule="auto"/>
        <w:jc w:val="both"/>
        <w:rPr>
          <w:rFonts w:cs="Arial"/>
          <w:b/>
          <w:bCs/>
          <w:szCs w:val="20"/>
        </w:rPr>
      </w:pPr>
    </w:p>
    <w:p w14:paraId="45E76EA8" w14:textId="78444D95" w:rsidR="00834A03" w:rsidRPr="00834A03" w:rsidRDefault="00834A03" w:rsidP="00506388">
      <w:pPr>
        <w:spacing w:line="240" w:lineRule="auto"/>
        <w:jc w:val="both"/>
        <w:rPr>
          <w:rFonts w:cs="Arial"/>
          <w:szCs w:val="20"/>
        </w:rPr>
      </w:pPr>
      <w:r w:rsidRPr="00834A03">
        <w:rPr>
          <w:rFonts w:cs="Arial"/>
          <w:szCs w:val="20"/>
        </w:rPr>
        <w:t xml:space="preserve">Obe naloženi verziji sta enaki. </w:t>
      </w:r>
      <w:r>
        <w:rPr>
          <w:rFonts w:cs="Arial"/>
          <w:szCs w:val="20"/>
        </w:rPr>
        <w:t>Verzijo dokumenta z oznako »dostopna« se uporabi v primeru, ko je potreben oblikovno prilagojen dokument</w:t>
      </w:r>
      <w:r w:rsidR="00C10F4C">
        <w:rPr>
          <w:rFonts w:cs="Arial"/>
          <w:szCs w:val="20"/>
        </w:rPr>
        <w:t xml:space="preserve">, da se ga lahko bere </w:t>
      </w:r>
      <w:r>
        <w:rPr>
          <w:rFonts w:cs="Arial"/>
          <w:szCs w:val="20"/>
        </w:rPr>
        <w:t xml:space="preserve">s </w:t>
      </w:r>
      <w:r w:rsidR="00C10F4C">
        <w:rPr>
          <w:rFonts w:cs="Arial"/>
          <w:szCs w:val="20"/>
        </w:rPr>
        <w:t xml:space="preserve">specifičnim bralnim pripomočkom. </w:t>
      </w:r>
    </w:p>
    <w:p w14:paraId="709BF12B" w14:textId="77777777" w:rsidR="004917F5" w:rsidRDefault="004917F5" w:rsidP="00506388">
      <w:pPr>
        <w:spacing w:line="240" w:lineRule="auto"/>
        <w:jc w:val="both"/>
        <w:rPr>
          <w:rFonts w:cs="Arial"/>
          <w:b/>
          <w:bCs/>
          <w:szCs w:val="20"/>
        </w:rPr>
      </w:pPr>
    </w:p>
    <w:p w14:paraId="2E87F497" w14:textId="77777777" w:rsidR="004917F5" w:rsidRDefault="004917F5" w:rsidP="00506388">
      <w:pPr>
        <w:spacing w:line="240" w:lineRule="auto"/>
        <w:jc w:val="both"/>
        <w:rPr>
          <w:rFonts w:cs="Arial"/>
          <w:b/>
          <w:bCs/>
          <w:szCs w:val="20"/>
        </w:rPr>
      </w:pPr>
    </w:p>
    <w:p w14:paraId="2D1DDA74" w14:textId="77777777" w:rsidR="004917F5" w:rsidRDefault="004917F5" w:rsidP="00506388">
      <w:pPr>
        <w:spacing w:line="240" w:lineRule="auto"/>
        <w:jc w:val="both"/>
        <w:rPr>
          <w:rFonts w:cs="Arial"/>
          <w:b/>
          <w:bCs/>
          <w:szCs w:val="20"/>
        </w:rPr>
      </w:pPr>
    </w:p>
    <w:p w14:paraId="1F57BE14" w14:textId="002AABEC" w:rsidR="004917F5" w:rsidRPr="004917F5" w:rsidRDefault="004917F5" w:rsidP="004917F5">
      <w:pPr>
        <w:spacing w:line="240" w:lineRule="auto"/>
        <w:jc w:val="both"/>
        <w:rPr>
          <w:rFonts w:cs="Arial"/>
          <w:i/>
          <w:iCs/>
          <w:szCs w:val="20"/>
        </w:rPr>
      </w:pPr>
      <w:r w:rsidRPr="003616BA">
        <w:rPr>
          <w:rFonts w:cs="Arial"/>
          <w:b/>
          <w:bCs/>
          <w:i/>
          <w:iCs/>
          <w:szCs w:val="20"/>
        </w:rPr>
        <w:t>12.</w:t>
      </w:r>
      <w:r>
        <w:rPr>
          <w:rFonts w:cs="Arial"/>
          <w:i/>
          <w:iCs/>
          <w:szCs w:val="20"/>
        </w:rPr>
        <w:t xml:space="preserve"> »I</w:t>
      </w:r>
      <w:r w:rsidRPr="004917F5">
        <w:rPr>
          <w:rFonts w:cs="Arial"/>
          <w:i/>
          <w:iCs/>
          <w:szCs w:val="20"/>
        </w:rPr>
        <w:t>mam vprašanje glede točke 11 Javnega razpisa za vzpostavitev in delovanje Slovenskega centra za krožno gospodarstvo – za zeleni, ustvarjalni in pametni razvoj, in sicer:</w:t>
      </w:r>
    </w:p>
    <w:p w14:paraId="0423C6D5" w14:textId="77777777" w:rsidR="004917F5" w:rsidRPr="004917F5" w:rsidRDefault="004917F5" w:rsidP="004917F5">
      <w:pPr>
        <w:spacing w:line="240" w:lineRule="auto"/>
        <w:jc w:val="both"/>
        <w:rPr>
          <w:rFonts w:cs="Arial"/>
          <w:i/>
          <w:iCs/>
          <w:szCs w:val="20"/>
        </w:rPr>
      </w:pPr>
    </w:p>
    <w:p w14:paraId="6B8F8A61" w14:textId="77777777" w:rsidR="004917F5" w:rsidRPr="004917F5" w:rsidRDefault="004917F5" w:rsidP="004917F5">
      <w:pPr>
        <w:spacing w:line="240" w:lineRule="auto"/>
        <w:jc w:val="both"/>
        <w:rPr>
          <w:rFonts w:cs="Arial"/>
          <w:i/>
          <w:iCs/>
          <w:szCs w:val="20"/>
        </w:rPr>
      </w:pPr>
      <w:r w:rsidRPr="004917F5">
        <w:rPr>
          <w:rFonts w:cs="Arial"/>
          <w:i/>
          <w:iCs/>
          <w:szCs w:val="20"/>
        </w:rPr>
        <w:t xml:space="preserve">Vloga velja za popolno, če so dokumenti predloženi v naslednji obliki: </w:t>
      </w:r>
    </w:p>
    <w:p w14:paraId="7CBCA37F" w14:textId="77777777" w:rsidR="004917F5" w:rsidRPr="004917F5" w:rsidRDefault="004917F5" w:rsidP="004917F5">
      <w:pPr>
        <w:spacing w:line="240" w:lineRule="auto"/>
        <w:jc w:val="both"/>
        <w:rPr>
          <w:rFonts w:cs="Arial"/>
          <w:i/>
          <w:iCs/>
          <w:szCs w:val="20"/>
        </w:rPr>
      </w:pPr>
      <w:r w:rsidRPr="004917F5">
        <w:rPr>
          <w:rFonts w:cs="Arial"/>
          <w:i/>
          <w:iCs/>
          <w:szCs w:val="20"/>
        </w:rPr>
        <w:t xml:space="preserve">-             en elektronski izvod podpisanih obrazcev (skenirani originalno lastnoročno podpisani obrazci ali obrazci v </w:t>
      </w:r>
      <w:proofErr w:type="spellStart"/>
      <w:r w:rsidRPr="004917F5">
        <w:rPr>
          <w:rFonts w:cs="Arial"/>
          <w:i/>
          <w:iCs/>
          <w:szCs w:val="20"/>
        </w:rPr>
        <w:t>pdf</w:t>
      </w:r>
      <w:proofErr w:type="spellEnd"/>
      <w:r w:rsidRPr="004917F5">
        <w:rPr>
          <w:rFonts w:cs="Arial"/>
          <w:i/>
          <w:iCs/>
          <w:szCs w:val="20"/>
        </w:rPr>
        <w:t xml:space="preserve"> obliki z verificiranim certificiranim digitalnim podpisom) na elektronskem nosilcu, </w:t>
      </w:r>
    </w:p>
    <w:p w14:paraId="6BD92D81" w14:textId="77777777" w:rsidR="004917F5" w:rsidRPr="004917F5" w:rsidRDefault="004917F5" w:rsidP="004917F5">
      <w:pPr>
        <w:spacing w:line="240" w:lineRule="auto"/>
        <w:jc w:val="both"/>
        <w:rPr>
          <w:rFonts w:cs="Arial"/>
          <w:i/>
          <w:iCs/>
          <w:szCs w:val="20"/>
        </w:rPr>
      </w:pPr>
      <w:r w:rsidRPr="004917F5">
        <w:rPr>
          <w:rFonts w:cs="Arial"/>
          <w:i/>
          <w:iCs/>
          <w:szCs w:val="20"/>
        </w:rPr>
        <w:t>-             en fizični izvod Obrazca 1, ki mora biti originalno lastnoročno podpisan ali pa podpisan elektronsko, z verificiranim certificiranim digitalnim podpisom.</w:t>
      </w:r>
    </w:p>
    <w:p w14:paraId="05B39D23" w14:textId="77777777" w:rsidR="004917F5" w:rsidRPr="004917F5" w:rsidRDefault="004917F5" w:rsidP="004917F5">
      <w:pPr>
        <w:spacing w:line="240" w:lineRule="auto"/>
        <w:jc w:val="both"/>
        <w:rPr>
          <w:rFonts w:cs="Arial"/>
          <w:i/>
          <w:iCs/>
          <w:szCs w:val="20"/>
        </w:rPr>
      </w:pPr>
    </w:p>
    <w:p w14:paraId="569FF126" w14:textId="04F3F430" w:rsidR="004917F5" w:rsidRDefault="004917F5" w:rsidP="004917F5">
      <w:pPr>
        <w:spacing w:line="240" w:lineRule="auto"/>
        <w:jc w:val="both"/>
        <w:rPr>
          <w:rFonts w:cs="Arial"/>
          <w:i/>
          <w:iCs/>
          <w:szCs w:val="20"/>
        </w:rPr>
      </w:pPr>
      <w:r w:rsidRPr="004917F5">
        <w:rPr>
          <w:rFonts w:cs="Arial"/>
          <w:i/>
          <w:iCs/>
          <w:szCs w:val="20"/>
        </w:rPr>
        <w:t xml:space="preserve">Torej, če prav razumem, vse obrazce priložimo na USB-ključku, samo obrazec 1 pa priložimo tudi v fizični obliki (torej ostalih obrazcev ne prilagamo v fizični obliki?)? Vse obrazce, ki so narejeni v Wordu ali Excelu, pa na ključku ne priložimo samo kot podpisane </w:t>
      </w:r>
      <w:proofErr w:type="spellStart"/>
      <w:r w:rsidRPr="004917F5">
        <w:rPr>
          <w:rFonts w:cs="Arial"/>
          <w:i/>
          <w:iCs/>
          <w:szCs w:val="20"/>
        </w:rPr>
        <w:t>skene</w:t>
      </w:r>
      <w:proofErr w:type="spellEnd"/>
      <w:r w:rsidRPr="004917F5">
        <w:rPr>
          <w:rFonts w:cs="Arial"/>
          <w:i/>
          <w:iCs/>
          <w:szCs w:val="20"/>
        </w:rPr>
        <w:t>, ampak tudi kot izvorne, odprte dokumente?</w:t>
      </w:r>
      <w:r>
        <w:rPr>
          <w:rFonts w:cs="Arial"/>
          <w:i/>
          <w:iCs/>
          <w:szCs w:val="20"/>
        </w:rPr>
        <w:t>«</w:t>
      </w:r>
    </w:p>
    <w:p w14:paraId="70C5011B" w14:textId="77777777" w:rsidR="004917F5" w:rsidRDefault="004917F5" w:rsidP="004917F5">
      <w:pPr>
        <w:spacing w:line="240" w:lineRule="auto"/>
        <w:jc w:val="both"/>
        <w:rPr>
          <w:rFonts w:cs="Arial"/>
          <w:i/>
          <w:iCs/>
          <w:szCs w:val="20"/>
        </w:rPr>
      </w:pPr>
    </w:p>
    <w:p w14:paraId="33AAE740" w14:textId="77777777" w:rsidR="004917F5" w:rsidRPr="004917F5" w:rsidRDefault="004917F5" w:rsidP="004917F5">
      <w:pPr>
        <w:spacing w:line="240" w:lineRule="auto"/>
        <w:jc w:val="both"/>
        <w:rPr>
          <w:rFonts w:cs="Arial"/>
          <w:i/>
          <w:iCs/>
          <w:szCs w:val="20"/>
        </w:rPr>
      </w:pPr>
    </w:p>
    <w:p w14:paraId="0AA05268" w14:textId="3EBF54F3" w:rsidR="004917F5" w:rsidRDefault="004917F5" w:rsidP="00506388">
      <w:pPr>
        <w:spacing w:line="240" w:lineRule="auto"/>
        <w:jc w:val="both"/>
        <w:rPr>
          <w:rFonts w:cs="Arial"/>
          <w:b/>
          <w:bCs/>
          <w:szCs w:val="20"/>
        </w:rPr>
      </w:pPr>
      <w:r w:rsidRPr="004917F5">
        <w:rPr>
          <w:rFonts w:cs="Arial"/>
          <w:b/>
          <w:bCs/>
          <w:szCs w:val="20"/>
        </w:rPr>
        <w:t>ODGOVOR:</w:t>
      </w:r>
    </w:p>
    <w:p w14:paraId="7E826A99" w14:textId="77777777" w:rsidR="004917F5" w:rsidRDefault="004917F5" w:rsidP="00506388">
      <w:pPr>
        <w:spacing w:line="240" w:lineRule="auto"/>
        <w:jc w:val="both"/>
        <w:rPr>
          <w:rFonts w:cs="Arial"/>
          <w:b/>
          <w:bCs/>
          <w:szCs w:val="20"/>
        </w:rPr>
      </w:pPr>
    </w:p>
    <w:p w14:paraId="54BEC46F" w14:textId="4B880F8F" w:rsidR="004917F5" w:rsidRPr="004917F5" w:rsidRDefault="004917F5" w:rsidP="004917F5">
      <w:pPr>
        <w:spacing w:line="240" w:lineRule="auto"/>
        <w:jc w:val="both"/>
        <w:rPr>
          <w:rFonts w:cs="Arial"/>
          <w:szCs w:val="20"/>
        </w:rPr>
      </w:pPr>
      <w:r>
        <w:rPr>
          <w:rFonts w:cs="Arial"/>
          <w:szCs w:val="20"/>
        </w:rPr>
        <w:t>Skladno z določili javnega razpisa, v</w:t>
      </w:r>
      <w:r w:rsidRPr="004917F5">
        <w:rPr>
          <w:rFonts w:cs="Arial"/>
          <w:szCs w:val="20"/>
        </w:rPr>
        <w:t>se obrazce priloži</w:t>
      </w:r>
      <w:r>
        <w:rPr>
          <w:rFonts w:cs="Arial"/>
          <w:szCs w:val="20"/>
        </w:rPr>
        <w:t>te</w:t>
      </w:r>
      <w:r w:rsidRPr="004917F5">
        <w:rPr>
          <w:rFonts w:cs="Arial"/>
          <w:szCs w:val="20"/>
        </w:rPr>
        <w:t xml:space="preserve"> na USB-ključku, samo </w:t>
      </w:r>
      <w:r>
        <w:rPr>
          <w:rFonts w:cs="Arial"/>
          <w:szCs w:val="20"/>
        </w:rPr>
        <w:t>O</w:t>
      </w:r>
      <w:r w:rsidRPr="004917F5">
        <w:rPr>
          <w:rFonts w:cs="Arial"/>
          <w:szCs w:val="20"/>
        </w:rPr>
        <w:t>brazec 1 pa priloži</w:t>
      </w:r>
      <w:r>
        <w:rPr>
          <w:rFonts w:cs="Arial"/>
          <w:szCs w:val="20"/>
        </w:rPr>
        <w:t>te</w:t>
      </w:r>
      <w:r w:rsidRPr="004917F5">
        <w:rPr>
          <w:rFonts w:cs="Arial"/>
          <w:szCs w:val="20"/>
        </w:rPr>
        <w:t xml:space="preserve"> tudi v fizični obliki</w:t>
      </w:r>
      <w:r>
        <w:rPr>
          <w:rFonts w:cs="Arial"/>
          <w:szCs w:val="20"/>
        </w:rPr>
        <w:t xml:space="preserve">, </w:t>
      </w:r>
      <w:r w:rsidRPr="004917F5">
        <w:rPr>
          <w:rFonts w:cs="Arial"/>
          <w:szCs w:val="20"/>
        </w:rPr>
        <w:t xml:space="preserve"> </w:t>
      </w:r>
      <w:r w:rsidR="00B96AC3">
        <w:rPr>
          <w:rFonts w:cs="Arial"/>
          <w:szCs w:val="20"/>
        </w:rPr>
        <w:t xml:space="preserve">tako da </w:t>
      </w:r>
      <w:r w:rsidRPr="004917F5">
        <w:rPr>
          <w:rFonts w:cs="Arial"/>
          <w:szCs w:val="20"/>
        </w:rPr>
        <w:t>ostalih obrazcev ne prilaga</w:t>
      </w:r>
      <w:r>
        <w:rPr>
          <w:rFonts w:cs="Arial"/>
          <w:szCs w:val="20"/>
        </w:rPr>
        <w:t>te</w:t>
      </w:r>
      <w:r w:rsidRPr="004917F5">
        <w:rPr>
          <w:rFonts w:cs="Arial"/>
          <w:szCs w:val="20"/>
        </w:rPr>
        <w:t xml:space="preserve"> v fizični obliki</w:t>
      </w:r>
      <w:r>
        <w:rPr>
          <w:rFonts w:cs="Arial"/>
          <w:szCs w:val="20"/>
        </w:rPr>
        <w:t xml:space="preserve">. </w:t>
      </w:r>
      <w:r w:rsidRPr="004917F5">
        <w:rPr>
          <w:rFonts w:cs="Arial"/>
          <w:szCs w:val="20"/>
        </w:rPr>
        <w:t>Vse obrazce, ki so narejeni v Wordu ali Excelu, pa na ključku priloži</w:t>
      </w:r>
      <w:r w:rsidR="00B96AC3">
        <w:rPr>
          <w:rFonts w:cs="Arial"/>
          <w:szCs w:val="20"/>
        </w:rPr>
        <w:t>te</w:t>
      </w:r>
      <w:r w:rsidRPr="004917F5">
        <w:rPr>
          <w:rFonts w:cs="Arial"/>
          <w:szCs w:val="20"/>
        </w:rPr>
        <w:t xml:space="preserve">  kot </w:t>
      </w:r>
      <w:r w:rsidR="00B96AC3">
        <w:rPr>
          <w:rFonts w:cs="Arial"/>
          <w:szCs w:val="20"/>
        </w:rPr>
        <w:t xml:space="preserve">ustrezno </w:t>
      </w:r>
      <w:r w:rsidRPr="004917F5">
        <w:rPr>
          <w:rFonts w:cs="Arial"/>
          <w:szCs w:val="20"/>
        </w:rPr>
        <w:t xml:space="preserve">podpisane </w:t>
      </w:r>
      <w:proofErr w:type="spellStart"/>
      <w:r w:rsidRPr="004917F5">
        <w:rPr>
          <w:rFonts w:cs="Arial"/>
          <w:szCs w:val="20"/>
        </w:rPr>
        <w:t>skene</w:t>
      </w:r>
      <w:proofErr w:type="spellEnd"/>
      <w:r w:rsidRPr="004917F5">
        <w:rPr>
          <w:rFonts w:cs="Arial"/>
          <w:szCs w:val="20"/>
        </w:rPr>
        <w:t xml:space="preserve">, </w:t>
      </w:r>
      <w:r w:rsidR="00B96AC3">
        <w:rPr>
          <w:rFonts w:cs="Arial"/>
          <w:szCs w:val="20"/>
        </w:rPr>
        <w:t>kot</w:t>
      </w:r>
      <w:r w:rsidRPr="004917F5">
        <w:rPr>
          <w:rFonts w:cs="Arial"/>
          <w:szCs w:val="20"/>
        </w:rPr>
        <w:t xml:space="preserve"> tudi  izvorne, odprte dokumente</w:t>
      </w:r>
      <w:r w:rsidR="00B96AC3">
        <w:rPr>
          <w:rFonts w:cs="Arial"/>
          <w:szCs w:val="20"/>
        </w:rPr>
        <w:t>.</w:t>
      </w:r>
    </w:p>
    <w:p w14:paraId="01466A2A" w14:textId="77777777" w:rsidR="004917F5" w:rsidRDefault="004917F5" w:rsidP="00506388">
      <w:pPr>
        <w:spacing w:line="240" w:lineRule="auto"/>
        <w:jc w:val="both"/>
        <w:rPr>
          <w:rFonts w:cs="Arial"/>
          <w:b/>
          <w:bCs/>
          <w:szCs w:val="20"/>
        </w:rPr>
      </w:pPr>
    </w:p>
    <w:p w14:paraId="15EE9DF4" w14:textId="77777777" w:rsidR="003616BA" w:rsidRDefault="003616BA" w:rsidP="00506388">
      <w:pPr>
        <w:spacing w:line="240" w:lineRule="auto"/>
        <w:jc w:val="both"/>
        <w:rPr>
          <w:rFonts w:cs="Arial"/>
          <w:b/>
          <w:bCs/>
          <w:szCs w:val="20"/>
        </w:rPr>
      </w:pPr>
    </w:p>
    <w:p w14:paraId="5228DFDF" w14:textId="40403B2C" w:rsidR="003616BA" w:rsidRDefault="003616BA" w:rsidP="00506388">
      <w:pPr>
        <w:spacing w:line="240" w:lineRule="auto"/>
        <w:jc w:val="both"/>
        <w:rPr>
          <w:rFonts w:cs="Arial"/>
          <w:i/>
          <w:iCs/>
          <w:szCs w:val="20"/>
        </w:rPr>
      </w:pPr>
      <w:r w:rsidRPr="003616BA">
        <w:rPr>
          <w:rFonts w:cs="Arial"/>
          <w:b/>
          <w:bCs/>
          <w:szCs w:val="20"/>
        </w:rPr>
        <w:t>13.</w:t>
      </w:r>
      <w:r w:rsidRPr="003616BA">
        <w:rPr>
          <w:rFonts w:cs="Arial"/>
          <w:szCs w:val="20"/>
        </w:rPr>
        <w:t xml:space="preserve"> </w:t>
      </w:r>
      <w:r>
        <w:rPr>
          <w:rFonts w:cs="Arial"/>
          <w:szCs w:val="20"/>
        </w:rPr>
        <w:t>»…</w:t>
      </w:r>
      <w:r w:rsidRPr="003616BA">
        <w:rPr>
          <w:rFonts w:cs="Arial"/>
          <w:i/>
          <w:iCs/>
          <w:szCs w:val="20"/>
        </w:rPr>
        <w:t>v povezavi z Javnim razpisom za vzpostavitev in delovanje Slovenskega centra za krožno gospodarstvo – za zeleni, ustvarjalni in pametni razvoj imam vprašanje v povezavi s sestavo konzorcija. Ali morajo biti med partnerji tudi nevladne organizacije? Enako me zanima za raziskovalno-razvojne organizacije, ali morajo oziroma je zaželeno, da so del konzorcija?</w:t>
      </w:r>
      <w:r>
        <w:rPr>
          <w:rFonts w:cs="Arial"/>
          <w:i/>
          <w:iCs/>
          <w:szCs w:val="20"/>
        </w:rPr>
        <w:t>«</w:t>
      </w:r>
    </w:p>
    <w:p w14:paraId="57747627" w14:textId="508E7941" w:rsidR="002523ED" w:rsidRDefault="002523ED" w:rsidP="002523ED">
      <w:pPr>
        <w:spacing w:line="240" w:lineRule="auto"/>
        <w:jc w:val="both"/>
        <w:rPr>
          <w:rFonts w:cs="Arial"/>
          <w:i/>
          <w:iCs/>
          <w:szCs w:val="20"/>
        </w:rPr>
      </w:pPr>
      <w:r>
        <w:rPr>
          <w:rFonts w:cs="Arial"/>
          <w:i/>
          <w:iCs/>
          <w:szCs w:val="20"/>
        </w:rPr>
        <w:t>»</w:t>
      </w:r>
      <w:r w:rsidRPr="002523ED">
        <w:rPr>
          <w:rFonts w:cs="Arial"/>
          <w:i/>
          <w:iCs/>
          <w:szCs w:val="20"/>
        </w:rPr>
        <w:t>v zvezi z Javnim razpisom za vzpostavitev in delovanje Slovenskega centra za krožno gospodarstvo – za zeleni, ustvarjalni in pametni razvoj imamo vprašanje, ki se navezuje na sestavo konzorcija, ki v razpisu  ni natančno opredeljena. Vprašanje: ali je obvezna sestave konzorcija z nevladnimi organizacijami in prav raziskovalno-razvojne organizacijami (npr. fakultetami?)</w:t>
      </w:r>
    </w:p>
    <w:p w14:paraId="76603546" w14:textId="77777777" w:rsidR="003616BA" w:rsidRDefault="003616BA" w:rsidP="00506388">
      <w:pPr>
        <w:spacing w:line="240" w:lineRule="auto"/>
        <w:jc w:val="both"/>
        <w:rPr>
          <w:rFonts w:cs="Arial"/>
          <w:i/>
          <w:iCs/>
          <w:szCs w:val="20"/>
        </w:rPr>
      </w:pPr>
    </w:p>
    <w:p w14:paraId="65755536" w14:textId="77777777" w:rsidR="003616BA" w:rsidRDefault="003616BA" w:rsidP="003616BA">
      <w:pPr>
        <w:spacing w:line="240" w:lineRule="auto"/>
        <w:jc w:val="both"/>
        <w:rPr>
          <w:rFonts w:cs="Arial"/>
          <w:b/>
          <w:bCs/>
          <w:szCs w:val="20"/>
        </w:rPr>
      </w:pPr>
      <w:r w:rsidRPr="004917F5">
        <w:rPr>
          <w:rFonts w:cs="Arial"/>
          <w:b/>
          <w:bCs/>
          <w:szCs w:val="20"/>
        </w:rPr>
        <w:t>ODGOVOR:</w:t>
      </w:r>
    </w:p>
    <w:p w14:paraId="6152E556" w14:textId="77777777" w:rsidR="003616BA" w:rsidRDefault="003616BA" w:rsidP="003616BA">
      <w:pPr>
        <w:spacing w:line="240" w:lineRule="auto"/>
        <w:jc w:val="both"/>
        <w:rPr>
          <w:rFonts w:cs="Arial"/>
          <w:b/>
          <w:bCs/>
          <w:szCs w:val="20"/>
        </w:rPr>
      </w:pPr>
    </w:p>
    <w:p w14:paraId="73CEF40C" w14:textId="138AE70E" w:rsidR="003616BA" w:rsidRPr="003616BA" w:rsidRDefault="004C4C94" w:rsidP="003616BA">
      <w:pPr>
        <w:spacing w:line="240" w:lineRule="auto"/>
        <w:jc w:val="both"/>
        <w:rPr>
          <w:rFonts w:cs="Arial"/>
          <w:szCs w:val="20"/>
        </w:rPr>
      </w:pPr>
      <w:r>
        <w:rPr>
          <w:rFonts w:cs="Arial"/>
          <w:szCs w:val="20"/>
        </w:rPr>
        <w:t xml:space="preserve">Zaradi podobnosti odgovarjamo na zgoraj navedeni vprašanji hkrati. </w:t>
      </w:r>
      <w:r w:rsidR="003616BA">
        <w:rPr>
          <w:rFonts w:cs="Arial"/>
          <w:szCs w:val="20"/>
        </w:rPr>
        <w:t xml:space="preserve">V 3. točki besedila javnega razpisa je določeno, da morajo biti </w:t>
      </w:r>
      <w:proofErr w:type="spellStart"/>
      <w:r w:rsidR="003616BA">
        <w:rPr>
          <w:rFonts w:cs="Arial"/>
          <w:szCs w:val="20"/>
        </w:rPr>
        <w:t>k</w:t>
      </w:r>
      <w:r w:rsidR="003616BA" w:rsidRPr="001319F2">
        <w:rPr>
          <w:rFonts w:cs="Arial"/>
          <w:szCs w:val="20"/>
        </w:rPr>
        <w:t>onzorcijski</w:t>
      </w:r>
      <w:proofErr w:type="spellEnd"/>
      <w:r w:rsidR="003616BA" w:rsidRPr="001319F2">
        <w:rPr>
          <w:rFonts w:cs="Arial"/>
          <w:szCs w:val="20"/>
        </w:rPr>
        <w:t xml:space="preserve"> partnerji pravne osebe javnega ali zasebnega prava, vpisane v Poslovni register Slovenije ali sodni register. </w:t>
      </w:r>
      <w:r w:rsidR="003616BA">
        <w:rPr>
          <w:rFonts w:cs="Arial"/>
          <w:szCs w:val="20"/>
        </w:rPr>
        <w:t xml:space="preserve">Javni razpis razen navedenega ne določa oziroma omejuje sestave konzorcija in posameznih </w:t>
      </w:r>
      <w:proofErr w:type="spellStart"/>
      <w:r w:rsidR="003616BA">
        <w:rPr>
          <w:rFonts w:cs="Arial"/>
          <w:szCs w:val="20"/>
        </w:rPr>
        <w:t>konzorcijskih</w:t>
      </w:r>
      <w:proofErr w:type="spellEnd"/>
      <w:r w:rsidR="003616BA">
        <w:rPr>
          <w:rFonts w:cs="Arial"/>
          <w:szCs w:val="20"/>
        </w:rPr>
        <w:t xml:space="preserve"> partnerjev. </w:t>
      </w:r>
    </w:p>
    <w:sectPr w:rsidR="003616BA" w:rsidRPr="003616BA" w:rsidSect="00E93DB5">
      <w:headerReference w:type="default" r:id="rId12"/>
      <w:footerReference w:type="even" r:id="rId13"/>
      <w:foot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2E11" w14:textId="77777777" w:rsidR="00904FCB" w:rsidRDefault="00904FCB" w:rsidP="008A4089">
      <w:pPr>
        <w:spacing w:line="240" w:lineRule="auto"/>
      </w:pPr>
      <w:r>
        <w:separator/>
      </w:r>
    </w:p>
  </w:endnote>
  <w:endnote w:type="continuationSeparator" w:id="0">
    <w:p w14:paraId="5F2F2759" w14:textId="77777777" w:rsidR="00904FCB" w:rsidRDefault="00904FCB"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5F9B" w14:textId="77777777" w:rsidR="00904FCB" w:rsidRDefault="00904FCB" w:rsidP="00E93D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3EC06E" w14:textId="77777777" w:rsidR="00904FCB" w:rsidRDefault="00904FC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F134" w14:textId="77777777" w:rsidR="00904FCB" w:rsidRDefault="00904FCB" w:rsidP="00E93D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31F3C">
      <w:rPr>
        <w:rStyle w:val="tevilkastrani"/>
        <w:noProof/>
      </w:rPr>
      <w:t>20</w:t>
    </w:r>
    <w:r>
      <w:rPr>
        <w:rStyle w:val="tevilkastrani"/>
      </w:rPr>
      <w:fldChar w:fldCharType="end"/>
    </w:r>
  </w:p>
  <w:p w14:paraId="089B52DA" w14:textId="77777777" w:rsidR="00904FCB" w:rsidRDefault="00904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0A0A" w14:textId="77777777" w:rsidR="00904FCB" w:rsidRDefault="00904FCB" w:rsidP="008A4089">
      <w:pPr>
        <w:spacing w:line="240" w:lineRule="auto"/>
      </w:pPr>
      <w:r>
        <w:separator/>
      </w:r>
    </w:p>
  </w:footnote>
  <w:footnote w:type="continuationSeparator" w:id="0">
    <w:p w14:paraId="5A3F77A3" w14:textId="77777777" w:rsidR="00904FCB" w:rsidRDefault="00904FCB"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3C97" w14:textId="77777777" w:rsidR="00904FCB" w:rsidRPr="00110CBD" w:rsidRDefault="00904FCB" w:rsidP="00E93DB5">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904FCB" w:rsidRPr="008F3500" w14:paraId="07D8B4D3" w14:textId="77777777" w:rsidTr="00B52506">
      <w:trPr>
        <w:trHeight w:hRule="exact" w:val="847"/>
        <w:tblHeader/>
      </w:trPr>
      <w:tc>
        <w:tcPr>
          <w:tcW w:w="649" w:type="dxa"/>
        </w:tcPr>
        <w:p w14:paraId="527D7B5F" w14:textId="77777777" w:rsidR="00904FCB" w:rsidRDefault="00904FCB" w:rsidP="00E93DB5">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2F2C5E0" w14:textId="77777777" w:rsidR="00904FCB" w:rsidRPr="006D42D9" w:rsidRDefault="00904FCB" w:rsidP="00E93DB5">
          <w:pPr>
            <w:rPr>
              <w:rFonts w:ascii="Republika" w:hAnsi="Republika"/>
              <w:sz w:val="60"/>
              <w:szCs w:val="60"/>
            </w:rPr>
          </w:pPr>
        </w:p>
        <w:p w14:paraId="269DFE77" w14:textId="77777777" w:rsidR="00904FCB" w:rsidRPr="006D42D9" w:rsidRDefault="00904FCB" w:rsidP="00E93DB5">
          <w:pPr>
            <w:rPr>
              <w:rFonts w:ascii="Republika" w:hAnsi="Republika"/>
              <w:sz w:val="60"/>
              <w:szCs w:val="60"/>
            </w:rPr>
          </w:pPr>
        </w:p>
        <w:p w14:paraId="1637D7C7" w14:textId="77777777" w:rsidR="00904FCB" w:rsidRPr="006D42D9" w:rsidRDefault="00904FCB" w:rsidP="00E93DB5">
          <w:pPr>
            <w:rPr>
              <w:rFonts w:ascii="Republika" w:hAnsi="Republika"/>
              <w:sz w:val="60"/>
              <w:szCs w:val="60"/>
            </w:rPr>
          </w:pPr>
        </w:p>
        <w:p w14:paraId="775D97C6" w14:textId="77777777" w:rsidR="00904FCB" w:rsidRPr="006D42D9" w:rsidRDefault="00904FCB" w:rsidP="00E93DB5">
          <w:pPr>
            <w:rPr>
              <w:rFonts w:ascii="Republika" w:hAnsi="Republika"/>
              <w:sz w:val="60"/>
              <w:szCs w:val="60"/>
            </w:rPr>
          </w:pPr>
        </w:p>
        <w:p w14:paraId="5C9486C2" w14:textId="77777777" w:rsidR="00904FCB" w:rsidRPr="006D42D9" w:rsidRDefault="00904FCB" w:rsidP="00E93DB5">
          <w:pPr>
            <w:rPr>
              <w:rFonts w:ascii="Republika" w:hAnsi="Republika"/>
              <w:sz w:val="60"/>
              <w:szCs w:val="60"/>
            </w:rPr>
          </w:pPr>
        </w:p>
        <w:p w14:paraId="490295D2" w14:textId="77777777" w:rsidR="00904FCB" w:rsidRPr="006D42D9" w:rsidRDefault="00904FCB" w:rsidP="00E93DB5">
          <w:pPr>
            <w:rPr>
              <w:rFonts w:ascii="Republika" w:hAnsi="Republika"/>
              <w:sz w:val="60"/>
              <w:szCs w:val="60"/>
            </w:rPr>
          </w:pPr>
        </w:p>
        <w:p w14:paraId="033A6EDC" w14:textId="77777777" w:rsidR="00904FCB" w:rsidRPr="006D42D9" w:rsidRDefault="00904FCB" w:rsidP="00E93DB5">
          <w:pPr>
            <w:rPr>
              <w:rFonts w:ascii="Republika" w:hAnsi="Republika"/>
              <w:sz w:val="60"/>
              <w:szCs w:val="60"/>
            </w:rPr>
          </w:pPr>
        </w:p>
        <w:p w14:paraId="73BBB207" w14:textId="77777777" w:rsidR="00904FCB" w:rsidRPr="006D42D9" w:rsidRDefault="00904FCB" w:rsidP="00E93DB5">
          <w:pPr>
            <w:rPr>
              <w:rFonts w:ascii="Republika" w:hAnsi="Republika"/>
              <w:sz w:val="60"/>
              <w:szCs w:val="60"/>
            </w:rPr>
          </w:pPr>
        </w:p>
        <w:p w14:paraId="02A9BB06" w14:textId="77777777" w:rsidR="00904FCB" w:rsidRPr="006D42D9" w:rsidRDefault="00904FCB" w:rsidP="00E93DB5">
          <w:pPr>
            <w:rPr>
              <w:rFonts w:ascii="Republika" w:hAnsi="Republika"/>
              <w:sz w:val="60"/>
              <w:szCs w:val="60"/>
            </w:rPr>
          </w:pPr>
        </w:p>
        <w:p w14:paraId="44787EC4" w14:textId="77777777" w:rsidR="00904FCB" w:rsidRPr="006D42D9" w:rsidRDefault="00904FCB" w:rsidP="00E93DB5">
          <w:pPr>
            <w:rPr>
              <w:rFonts w:ascii="Republika" w:hAnsi="Republika"/>
              <w:sz w:val="60"/>
              <w:szCs w:val="60"/>
            </w:rPr>
          </w:pPr>
        </w:p>
        <w:p w14:paraId="5DA3F7C6" w14:textId="77777777" w:rsidR="00904FCB" w:rsidRPr="006D42D9" w:rsidRDefault="00904FCB" w:rsidP="00E93DB5">
          <w:pPr>
            <w:rPr>
              <w:rFonts w:ascii="Republika" w:hAnsi="Republika"/>
              <w:sz w:val="60"/>
              <w:szCs w:val="60"/>
            </w:rPr>
          </w:pPr>
        </w:p>
        <w:p w14:paraId="76655E36" w14:textId="77777777" w:rsidR="00904FCB" w:rsidRPr="006D42D9" w:rsidRDefault="00904FCB" w:rsidP="00E93DB5">
          <w:pPr>
            <w:rPr>
              <w:rFonts w:ascii="Republika" w:hAnsi="Republika"/>
              <w:sz w:val="60"/>
              <w:szCs w:val="60"/>
            </w:rPr>
          </w:pPr>
        </w:p>
        <w:p w14:paraId="29DC446A" w14:textId="77777777" w:rsidR="00904FCB" w:rsidRPr="006D42D9" w:rsidRDefault="00904FCB" w:rsidP="00E93DB5">
          <w:pPr>
            <w:rPr>
              <w:rFonts w:ascii="Republika" w:hAnsi="Republika"/>
              <w:sz w:val="60"/>
              <w:szCs w:val="60"/>
            </w:rPr>
          </w:pPr>
        </w:p>
        <w:p w14:paraId="023967A9" w14:textId="77777777" w:rsidR="00904FCB" w:rsidRPr="006D42D9" w:rsidRDefault="00904FCB" w:rsidP="00E93DB5">
          <w:pPr>
            <w:rPr>
              <w:rFonts w:ascii="Republika" w:hAnsi="Republika"/>
              <w:sz w:val="60"/>
              <w:szCs w:val="60"/>
            </w:rPr>
          </w:pPr>
        </w:p>
        <w:p w14:paraId="6F4A6701" w14:textId="77777777" w:rsidR="00904FCB" w:rsidRPr="006D42D9" w:rsidRDefault="00904FCB" w:rsidP="00E93DB5">
          <w:pPr>
            <w:rPr>
              <w:rFonts w:ascii="Republika" w:hAnsi="Republika"/>
              <w:sz w:val="60"/>
              <w:szCs w:val="60"/>
            </w:rPr>
          </w:pPr>
        </w:p>
        <w:p w14:paraId="145E7C71" w14:textId="77777777" w:rsidR="00904FCB" w:rsidRPr="006D42D9" w:rsidRDefault="00904FCB" w:rsidP="00E93DB5">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6A0" w:firstRow="1" w:lastRow="0" w:firstColumn="1" w:lastColumn="0" w:noHBand="1"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904FCB" w:rsidRPr="008F3500" w14:paraId="00A2FEB1" w14:textId="77777777" w:rsidTr="00B52506">
      <w:trPr>
        <w:cnfStyle w:val="100000000000" w:firstRow="1" w:lastRow="0" w:firstColumn="0" w:lastColumn="0" w:oddVBand="0" w:evenVBand="0" w:oddHBand="0" w:evenHBand="0" w:firstRowFirstColumn="0" w:firstRowLastColumn="0" w:lastRowFirstColumn="0" w:lastRowLastColumn="0"/>
        <w:cantSplit/>
        <w:trHeight w:hRule="exact" w:val="847"/>
        <w:tblHeader/>
      </w:trPr>
      <w:tc>
        <w:tcPr>
          <w:cnfStyle w:val="001000000000" w:firstRow="0" w:lastRow="0" w:firstColumn="1" w:lastColumn="0" w:oddVBand="0" w:evenVBand="0" w:oddHBand="0" w:evenHBand="0" w:firstRowFirstColumn="0" w:firstRowLastColumn="0" w:lastRowFirstColumn="0" w:lastRowLastColumn="0"/>
          <w:tcW w:w="567" w:type="dxa"/>
        </w:tcPr>
        <w:p w14:paraId="1F9DB7DB" w14:textId="77777777" w:rsidR="00904FCB" w:rsidRPr="006D42D9" w:rsidRDefault="00904FCB" w:rsidP="00E93DB5">
          <w:pPr>
            <w:rPr>
              <w:rFonts w:ascii="Republika" w:hAnsi="Republika"/>
              <w:sz w:val="60"/>
              <w:szCs w:val="60"/>
            </w:rPr>
          </w:pPr>
        </w:p>
      </w:tc>
    </w:tr>
  </w:tbl>
  <w:p w14:paraId="08116D46" w14:textId="77777777" w:rsidR="00904FCB" w:rsidRPr="008F3500" w:rsidRDefault="00904FCB" w:rsidP="00E93DB5">
    <w:pPr>
      <w:autoSpaceDE w:val="0"/>
      <w:autoSpaceDN w:val="0"/>
      <w:adjustRightInd w:val="0"/>
      <w:spacing w:line="240" w:lineRule="auto"/>
      <w:rPr>
        <w:rFonts w:ascii="Republika" w:hAnsi="Republika"/>
      </w:rPr>
    </w:pPr>
    <w:r w:rsidRPr="008F3500">
      <w:rPr>
        <w:rFonts w:ascii="Republika" w:hAnsi="Republika"/>
      </w:rPr>
      <w:t>REPUBLIKA SLOVENIJA</w:t>
    </w:r>
  </w:p>
  <w:p w14:paraId="1F99C6E9" w14:textId="77777777" w:rsidR="00904FCB" w:rsidRPr="008A4089" w:rsidRDefault="00904FCB" w:rsidP="00E93DB5">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6970ABA0" w14:textId="77777777" w:rsidR="00904FCB" w:rsidRPr="008F3500" w:rsidRDefault="00904FCB" w:rsidP="00AC168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22750C8E" w14:textId="77777777" w:rsidR="00904FCB" w:rsidRPr="008F3500" w:rsidRDefault="00904FCB"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7F6F6345" w14:textId="5283A716" w:rsidR="00904FCB" w:rsidRPr="008F3500" w:rsidRDefault="00904FCB"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14:paraId="6F405D67" w14:textId="77777777" w:rsidR="00904FCB" w:rsidRPr="008F3500" w:rsidRDefault="00904FCB" w:rsidP="00E93DB5">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656"/>
    <w:multiLevelType w:val="hybridMultilevel"/>
    <w:tmpl w:val="833AAD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CF7FF4"/>
    <w:multiLevelType w:val="hybridMultilevel"/>
    <w:tmpl w:val="ECE4AE1A"/>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F5E40"/>
    <w:multiLevelType w:val="hybridMultilevel"/>
    <w:tmpl w:val="25D4C11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B0F48"/>
    <w:multiLevelType w:val="hybridMultilevel"/>
    <w:tmpl w:val="B998A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9A5968"/>
    <w:multiLevelType w:val="hybridMultilevel"/>
    <w:tmpl w:val="1E0AA50C"/>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08C937DA"/>
    <w:multiLevelType w:val="hybridMultilevel"/>
    <w:tmpl w:val="993073C6"/>
    <w:lvl w:ilvl="0" w:tplc="3E6ACEBC">
      <w:start w:val="1"/>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A7977D9"/>
    <w:multiLevelType w:val="hybridMultilevel"/>
    <w:tmpl w:val="B164D17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772CA"/>
    <w:multiLevelType w:val="hybridMultilevel"/>
    <w:tmpl w:val="F6F2393E"/>
    <w:lvl w:ilvl="0" w:tplc="22DCDB26">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66963D7"/>
    <w:multiLevelType w:val="hybridMultilevel"/>
    <w:tmpl w:val="5924111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76942"/>
    <w:multiLevelType w:val="hybridMultilevel"/>
    <w:tmpl w:val="47E69FE2"/>
    <w:lvl w:ilvl="0" w:tplc="447CAA4A">
      <w:start w:val="5"/>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FFC3A4E"/>
    <w:multiLevelType w:val="hybridMultilevel"/>
    <w:tmpl w:val="E884C5A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1D92"/>
    <w:multiLevelType w:val="hybridMultilevel"/>
    <w:tmpl w:val="50A2EDE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E6381"/>
    <w:multiLevelType w:val="hybridMultilevel"/>
    <w:tmpl w:val="46A221EA"/>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A07FDC"/>
    <w:multiLevelType w:val="hybridMultilevel"/>
    <w:tmpl w:val="FE66250E"/>
    <w:lvl w:ilvl="0" w:tplc="D6AAEB9E">
      <w:start w:val="27"/>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3DDF5EB7"/>
    <w:multiLevelType w:val="hybridMultilevel"/>
    <w:tmpl w:val="74C4F58A"/>
    <w:lvl w:ilvl="0" w:tplc="2B468352">
      <w:start w:val="7"/>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96D1B"/>
    <w:multiLevelType w:val="hybridMultilevel"/>
    <w:tmpl w:val="D1F08AF0"/>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13083"/>
    <w:multiLevelType w:val="hybridMultilevel"/>
    <w:tmpl w:val="897CF71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C468C7"/>
    <w:multiLevelType w:val="hybridMultilevel"/>
    <w:tmpl w:val="BB1E287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0733A"/>
    <w:multiLevelType w:val="hybridMultilevel"/>
    <w:tmpl w:val="9B545BD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70E6B"/>
    <w:multiLevelType w:val="hybridMultilevel"/>
    <w:tmpl w:val="AFCCC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E0619C"/>
    <w:multiLevelType w:val="hybridMultilevel"/>
    <w:tmpl w:val="D242C4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A0069"/>
    <w:multiLevelType w:val="hybridMultilevel"/>
    <w:tmpl w:val="5EAE9FAC"/>
    <w:lvl w:ilvl="0" w:tplc="A7A0418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1B68E5"/>
    <w:multiLevelType w:val="hybridMultilevel"/>
    <w:tmpl w:val="E6B8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D5627"/>
    <w:multiLevelType w:val="hybridMultilevel"/>
    <w:tmpl w:val="B3EC099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379D2"/>
    <w:multiLevelType w:val="hybridMultilevel"/>
    <w:tmpl w:val="62469DCC"/>
    <w:lvl w:ilvl="0" w:tplc="04240017">
      <w:start w:val="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5D2EAE"/>
    <w:multiLevelType w:val="hybridMultilevel"/>
    <w:tmpl w:val="4C6E9804"/>
    <w:lvl w:ilvl="0" w:tplc="ECB2071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3CF412D"/>
    <w:multiLevelType w:val="hybridMultilevel"/>
    <w:tmpl w:val="6388E3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DF64553"/>
    <w:multiLevelType w:val="hybridMultilevel"/>
    <w:tmpl w:val="444ECA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EF20CEC"/>
    <w:multiLevelType w:val="hybridMultilevel"/>
    <w:tmpl w:val="F7FE8504"/>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152EE7"/>
    <w:multiLevelType w:val="hybridMultilevel"/>
    <w:tmpl w:val="E5D0E2F8"/>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4053537"/>
    <w:multiLevelType w:val="hybridMultilevel"/>
    <w:tmpl w:val="7318D2F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671B1"/>
    <w:multiLevelType w:val="hybridMultilevel"/>
    <w:tmpl w:val="557CF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7CE5CA8"/>
    <w:multiLevelType w:val="hybridMultilevel"/>
    <w:tmpl w:val="1A605CE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5729253">
    <w:abstractNumId w:val="10"/>
  </w:num>
  <w:num w:numId="2" w16cid:durableId="553273003">
    <w:abstractNumId w:val="11"/>
  </w:num>
  <w:num w:numId="3" w16cid:durableId="715734477">
    <w:abstractNumId w:val="20"/>
  </w:num>
  <w:num w:numId="4" w16cid:durableId="867376835">
    <w:abstractNumId w:val="22"/>
  </w:num>
  <w:num w:numId="5" w16cid:durableId="2127119360">
    <w:abstractNumId w:val="8"/>
  </w:num>
  <w:num w:numId="6" w16cid:durableId="1036808099">
    <w:abstractNumId w:val="18"/>
  </w:num>
  <w:num w:numId="7" w16cid:durableId="1475216396">
    <w:abstractNumId w:val="2"/>
  </w:num>
  <w:num w:numId="8" w16cid:durableId="1409423856">
    <w:abstractNumId w:val="30"/>
  </w:num>
  <w:num w:numId="9" w16cid:durableId="931164843">
    <w:abstractNumId w:val="28"/>
  </w:num>
  <w:num w:numId="10" w16cid:durableId="183633635">
    <w:abstractNumId w:val="1"/>
  </w:num>
  <w:num w:numId="11" w16cid:durableId="16515163">
    <w:abstractNumId w:val="6"/>
  </w:num>
  <w:num w:numId="12" w16cid:durableId="526406957">
    <w:abstractNumId w:val="16"/>
  </w:num>
  <w:num w:numId="13" w16cid:durableId="1774933752">
    <w:abstractNumId w:val="23"/>
  </w:num>
  <w:num w:numId="14" w16cid:durableId="439223148">
    <w:abstractNumId w:val="12"/>
  </w:num>
  <w:num w:numId="15" w16cid:durableId="2102331501">
    <w:abstractNumId w:val="14"/>
  </w:num>
  <w:num w:numId="16" w16cid:durableId="1367217901">
    <w:abstractNumId w:val="15"/>
  </w:num>
  <w:num w:numId="17" w16cid:durableId="1578901487">
    <w:abstractNumId w:val="21"/>
  </w:num>
  <w:num w:numId="18" w16cid:durableId="76294548">
    <w:abstractNumId w:val="17"/>
  </w:num>
  <w:num w:numId="19" w16cid:durableId="663431696">
    <w:abstractNumId w:val="24"/>
  </w:num>
  <w:num w:numId="20" w16cid:durableId="1647514408">
    <w:abstractNumId w:val="3"/>
  </w:num>
  <w:num w:numId="21" w16cid:durableId="458379310">
    <w:abstractNumId w:val="19"/>
  </w:num>
  <w:num w:numId="22" w16cid:durableId="1085765519">
    <w:abstractNumId w:val="25"/>
  </w:num>
  <w:num w:numId="23" w16cid:durableId="7413940">
    <w:abstractNumId w:val="13"/>
  </w:num>
  <w:num w:numId="24" w16cid:durableId="247615927">
    <w:abstractNumId w:val="27"/>
  </w:num>
  <w:num w:numId="25" w16cid:durableId="334188000">
    <w:abstractNumId w:val="4"/>
  </w:num>
  <w:num w:numId="26" w16cid:durableId="755326623">
    <w:abstractNumId w:val="9"/>
  </w:num>
  <w:num w:numId="27" w16cid:durableId="699817736">
    <w:abstractNumId w:val="32"/>
  </w:num>
  <w:num w:numId="28" w16cid:durableId="1656297927">
    <w:abstractNumId w:val="31"/>
  </w:num>
  <w:num w:numId="29" w16cid:durableId="950816447">
    <w:abstractNumId w:val="0"/>
  </w:num>
  <w:num w:numId="30" w16cid:durableId="1727727705">
    <w:abstractNumId w:val="7"/>
  </w:num>
  <w:num w:numId="31" w16cid:durableId="448863671">
    <w:abstractNumId w:val="26"/>
  </w:num>
  <w:num w:numId="32" w16cid:durableId="1654141688">
    <w:abstractNumId w:val="5"/>
  </w:num>
  <w:num w:numId="33" w16cid:durableId="9626626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16"/>
    <w:rsid w:val="00002A0B"/>
    <w:rsid w:val="00005692"/>
    <w:rsid w:val="00006D02"/>
    <w:rsid w:val="000150D5"/>
    <w:rsid w:val="00064890"/>
    <w:rsid w:val="00067EA4"/>
    <w:rsid w:val="00070AE6"/>
    <w:rsid w:val="0007456A"/>
    <w:rsid w:val="00084273"/>
    <w:rsid w:val="00085828"/>
    <w:rsid w:val="0008746B"/>
    <w:rsid w:val="000A656A"/>
    <w:rsid w:val="000B0024"/>
    <w:rsid w:val="000B7318"/>
    <w:rsid w:val="000C14FD"/>
    <w:rsid w:val="000C1D90"/>
    <w:rsid w:val="000C660F"/>
    <w:rsid w:val="000C7BD5"/>
    <w:rsid w:val="000D0E70"/>
    <w:rsid w:val="000D2329"/>
    <w:rsid w:val="000D3D9F"/>
    <w:rsid w:val="000E5A84"/>
    <w:rsid w:val="000F67E4"/>
    <w:rsid w:val="000F6CB9"/>
    <w:rsid w:val="00106FB0"/>
    <w:rsid w:val="0011276B"/>
    <w:rsid w:val="0011751A"/>
    <w:rsid w:val="0012135E"/>
    <w:rsid w:val="00127091"/>
    <w:rsid w:val="00131182"/>
    <w:rsid w:val="00135580"/>
    <w:rsid w:val="00135F6E"/>
    <w:rsid w:val="00155583"/>
    <w:rsid w:val="00163817"/>
    <w:rsid w:val="00170C0F"/>
    <w:rsid w:val="00170D53"/>
    <w:rsid w:val="00172302"/>
    <w:rsid w:val="00173619"/>
    <w:rsid w:val="001828EE"/>
    <w:rsid w:val="00191D2B"/>
    <w:rsid w:val="001A78C8"/>
    <w:rsid w:val="001C2608"/>
    <w:rsid w:val="001C3007"/>
    <w:rsid w:val="001C5212"/>
    <w:rsid w:val="001D05EA"/>
    <w:rsid w:val="001E6EEC"/>
    <w:rsid w:val="001F1F9D"/>
    <w:rsid w:val="001F3F48"/>
    <w:rsid w:val="001F64FA"/>
    <w:rsid w:val="002014CD"/>
    <w:rsid w:val="002019C4"/>
    <w:rsid w:val="002041F5"/>
    <w:rsid w:val="00207885"/>
    <w:rsid w:val="002100A2"/>
    <w:rsid w:val="002164EC"/>
    <w:rsid w:val="0022070B"/>
    <w:rsid w:val="0022745A"/>
    <w:rsid w:val="0022761F"/>
    <w:rsid w:val="00230AE2"/>
    <w:rsid w:val="00233218"/>
    <w:rsid w:val="00234E8A"/>
    <w:rsid w:val="00235DFB"/>
    <w:rsid w:val="00242C45"/>
    <w:rsid w:val="0024710A"/>
    <w:rsid w:val="0025051C"/>
    <w:rsid w:val="002523ED"/>
    <w:rsid w:val="00253494"/>
    <w:rsid w:val="00260B9E"/>
    <w:rsid w:val="00261CF2"/>
    <w:rsid w:val="0026519E"/>
    <w:rsid w:val="002702CA"/>
    <w:rsid w:val="00275203"/>
    <w:rsid w:val="00282423"/>
    <w:rsid w:val="00290416"/>
    <w:rsid w:val="00291779"/>
    <w:rsid w:val="00291EE2"/>
    <w:rsid w:val="0029569A"/>
    <w:rsid w:val="002A3BEE"/>
    <w:rsid w:val="002A699E"/>
    <w:rsid w:val="002B5CE9"/>
    <w:rsid w:val="002B6A39"/>
    <w:rsid w:val="002C53B9"/>
    <w:rsid w:val="002D30AE"/>
    <w:rsid w:val="002D4DD9"/>
    <w:rsid w:val="002D63FC"/>
    <w:rsid w:val="002E37B3"/>
    <w:rsid w:val="002F2822"/>
    <w:rsid w:val="002F481B"/>
    <w:rsid w:val="002F7146"/>
    <w:rsid w:val="002F778E"/>
    <w:rsid w:val="003049EF"/>
    <w:rsid w:val="00305943"/>
    <w:rsid w:val="00307C9C"/>
    <w:rsid w:val="003103F7"/>
    <w:rsid w:val="00315304"/>
    <w:rsid w:val="00320DBE"/>
    <w:rsid w:val="003213FD"/>
    <w:rsid w:val="0032211C"/>
    <w:rsid w:val="003244EC"/>
    <w:rsid w:val="00335654"/>
    <w:rsid w:val="003616BA"/>
    <w:rsid w:val="00362538"/>
    <w:rsid w:val="0036530D"/>
    <w:rsid w:val="003702FA"/>
    <w:rsid w:val="00374230"/>
    <w:rsid w:val="003820BD"/>
    <w:rsid w:val="003852C6"/>
    <w:rsid w:val="003903CC"/>
    <w:rsid w:val="003A43A1"/>
    <w:rsid w:val="003A45BA"/>
    <w:rsid w:val="003B1014"/>
    <w:rsid w:val="003C0EDC"/>
    <w:rsid w:val="003C4AAC"/>
    <w:rsid w:val="003C7267"/>
    <w:rsid w:val="003C7FAC"/>
    <w:rsid w:val="003D1061"/>
    <w:rsid w:val="003D4E08"/>
    <w:rsid w:val="003D7E38"/>
    <w:rsid w:val="003E267A"/>
    <w:rsid w:val="003E4641"/>
    <w:rsid w:val="003F1151"/>
    <w:rsid w:val="00402E98"/>
    <w:rsid w:val="00403565"/>
    <w:rsid w:val="00420079"/>
    <w:rsid w:val="00421B99"/>
    <w:rsid w:val="00424C9E"/>
    <w:rsid w:val="0042754D"/>
    <w:rsid w:val="0043486E"/>
    <w:rsid w:val="004361CF"/>
    <w:rsid w:val="00441146"/>
    <w:rsid w:val="00447BEA"/>
    <w:rsid w:val="00454BFF"/>
    <w:rsid w:val="00465D10"/>
    <w:rsid w:val="00475614"/>
    <w:rsid w:val="00486824"/>
    <w:rsid w:val="00490C44"/>
    <w:rsid w:val="004917F5"/>
    <w:rsid w:val="004941CD"/>
    <w:rsid w:val="00495662"/>
    <w:rsid w:val="00496E7E"/>
    <w:rsid w:val="004C4C94"/>
    <w:rsid w:val="004C5710"/>
    <w:rsid w:val="004C60A8"/>
    <w:rsid w:val="004D2016"/>
    <w:rsid w:val="004D7E6C"/>
    <w:rsid w:val="004E0872"/>
    <w:rsid w:val="004F00DB"/>
    <w:rsid w:val="004F14B7"/>
    <w:rsid w:val="004F5F50"/>
    <w:rsid w:val="00506388"/>
    <w:rsid w:val="005141A8"/>
    <w:rsid w:val="005242BF"/>
    <w:rsid w:val="00540989"/>
    <w:rsid w:val="00540C82"/>
    <w:rsid w:val="00544470"/>
    <w:rsid w:val="005509B3"/>
    <w:rsid w:val="00554C0F"/>
    <w:rsid w:val="00564FC5"/>
    <w:rsid w:val="005652E3"/>
    <w:rsid w:val="005814D2"/>
    <w:rsid w:val="005857A9"/>
    <w:rsid w:val="005913EC"/>
    <w:rsid w:val="0059371D"/>
    <w:rsid w:val="005942C2"/>
    <w:rsid w:val="005B5486"/>
    <w:rsid w:val="005C3D19"/>
    <w:rsid w:val="005C5D24"/>
    <w:rsid w:val="005D1A6F"/>
    <w:rsid w:val="005D336E"/>
    <w:rsid w:val="005D4F77"/>
    <w:rsid w:val="005F05C0"/>
    <w:rsid w:val="005F2254"/>
    <w:rsid w:val="00603CB7"/>
    <w:rsid w:val="00612448"/>
    <w:rsid w:val="00615868"/>
    <w:rsid w:val="00626A61"/>
    <w:rsid w:val="00627448"/>
    <w:rsid w:val="00631DA0"/>
    <w:rsid w:val="006446C0"/>
    <w:rsid w:val="006512BB"/>
    <w:rsid w:val="00651B9C"/>
    <w:rsid w:val="006868DA"/>
    <w:rsid w:val="006869E6"/>
    <w:rsid w:val="006873E3"/>
    <w:rsid w:val="006A09D1"/>
    <w:rsid w:val="006A6C1D"/>
    <w:rsid w:val="006B2537"/>
    <w:rsid w:val="006C1138"/>
    <w:rsid w:val="006D1401"/>
    <w:rsid w:val="006D1960"/>
    <w:rsid w:val="006F3D03"/>
    <w:rsid w:val="006F556C"/>
    <w:rsid w:val="00703123"/>
    <w:rsid w:val="00705758"/>
    <w:rsid w:val="00722B1B"/>
    <w:rsid w:val="00722E8D"/>
    <w:rsid w:val="007235A7"/>
    <w:rsid w:val="007243D3"/>
    <w:rsid w:val="0072573C"/>
    <w:rsid w:val="007312D8"/>
    <w:rsid w:val="00731DB7"/>
    <w:rsid w:val="00736CDB"/>
    <w:rsid w:val="007457B9"/>
    <w:rsid w:val="00745A38"/>
    <w:rsid w:val="00747BB1"/>
    <w:rsid w:val="00765861"/>
    <w:rsid w:val="00782B48"/>
    <w:rsid w:val="00792864"/>
    <w:rsid w:val="0079510C"/>
    <w:rsid w:val="007A011E"/>
    <w:rsid w:val="007A64F5"/>
    <w:rsid w:val="007B33C0"/>
    <w:rsid w:val="007B48F1"/>
    <w:rsid w:val="007B6042"/>
    <w:rsid w:val="007D41E2"/>
    <w:rsid w:val="007F055B"/>
    <w:rsid w:val="007F5889"/>
    <w:rsid w:val="008058A2"/>
    <w:rsid w:val="008073AC"/>
    <w:rsid w:val="0081410C"/>
    <w:rsid w:val="00822EBF"/>
    <w:rsid w:val="00823DC0"/>
    <w:rsid w:val="00824F02"/>
    <w:rsid w:val="00825410"/>
    <w:rsid w:val="008261FC"/>
    <w:rsid w:val="00832EF0"/>
    <w:rsid w:val="00834A03"/>
    <w:rsid w:val="00842456"/>
    <w:rsid w:val="00854429"/>
    <w:rsid w:val="00863AA6"/>
    <w:rsid w:val="0086727E"/>
    <w:rsid w:val="00867677"/>
    <w:rsid w:val="00874FE9"/>
    <w:rsid w:val="0088054F"/>
    <w:rsid w:val="00881B82"/>
    <w:rsid w:val="00883E02"/>
    <w:rsid w:val="008840C5"/>
    <w:rsid w:val="00884675"/>
    <w:rsid w:val="0088632A"/>
    <w:rsid w:val="008902DA"/>
    <w:rsid w:val="00892074"/>
    <w:rsid w:val="008A0A41"/>
    <w:rsid w:val="008A0ACA"/>
    <w:rsid w:val="008A4089"/>
    <w:rsid w:val="008A4B32"/>
    <w:rsid w:val="008C215C"/>
    <w:rsid w:val="008C4E06"/>
    <w:rsid w:val="008C6A58"/>
    <w:rsid w:val="008E3D4B"/>
    <w:rsid w:val="008E455F"/>
    <w:rsid w:val="00903CDB"/>
    <w:rsid w:val="00904FCB"/>
    <w:rsid w:val="00906060"/>
    <w:rsid w:val="009076A8"/>
    <w:rsid w:val="009104BE"/>
    <w:rsid w:val="00915BB4"/>
    <w:rsid w:val="0092077F"/>
    <w:rsid w:val="009306E8"/>
    <w:rsid w:val="0093079E"/>
    <w:rsid w:val="00931F3C"/>
    <w:rsid w:val="0093431B"/>
    <w:rsid w:val="00937FD6"/>
    <w:rsid w:val="009647C1"/>
    <w:rsid w:val="00975B73"/>
    <w:rsid w:val="00984150"/>
    <w:rsid w:val="00996B05"/>
    <w:rsid w:val="009A481A"/>
    <w:rsid w:val="009A6106"/>
    <w:rsid w:val="009B20F4"/>
    <w:rsid w:val="009D2B5D"/>
    <w:rsid w:val="009D4250"/>
    <w:rsid w:val="009E62A4"/>
    <w:rsid w:val="009E6349"/>
    <w:rsid w:val="009E68CB"/>
    <w:rsid w:val="009F0898"/>
    <w:rsid w:val="009F3CCE"/>
    <w:rsid w:val="009F771A"/>
    <w:rsid w:val="00A031F7"/>
    <w:rsid w:val="00A04502"/>
    <w:rsid w:val="00A05E81"/>
    <w:rsid w:val="00A078C6"/>
    <w:rsid w:val="00A157B9"/>
    <w:rsid w:val="00A15BBA"/>
    <w:rsid w:val="00A17395"/>
    <w:rsid w:val="00A3129A"/>
    <w:rsid w:val="00A32887"/>
    <w:rsid w:val="00A379D1"/>
    <w:rsid w:val="00A41346"/>
    <w:rsid w:val="00A5517B"/>
    <w:rsid w:val="00A620CE"/>
    <w:rsid w:val="00A80DE5"/>
    <w:rsid w:val="00A816FA"/>
    <w:rsid w:val="00A9224F"/>
    <w:rsid w:val="00A95D9D"/>
    <w:rsid w:val="00AA225C"/>
    <w:rsid w:val="00AA3FE5"/>
    <w:rsid w:val="00AA47D3"/>
    <w:rsid w:val="00AB660A"/>
    <w:rsid w:val="00AC0F8B"/>
    <w:rsid w:val="00AC1684"/>
    <w:rsid w:val="00AC34D9"/>
    <w:rsid w:val="00AC4169"/>
    <w:rsid w:val="00AC4D4E"/>
    <w:rsid w:val="00AF3955"/>
    <w:rsid w:val="00AF41E0"/>
    <w:rsid w:val="00AF613D"/>
    <w:rsid w:val="00B00DAB"/>
    <w:rsid w:val="00B01549"/>
    <w:rsid w:val="00B02107"/>
    <w:rsid w:val="00B125F2"/>
    <w:rsid w:val="00B12E8F"/>
    <w:rsid w:val="00B12F1A"/>
    <w:rsid w:val="00B130EB"/>
    <w:rsid w:val="00B15A3D"/>
    <w:rsid w:val="00B16195"/>
    <w:rsid w:val="00B27804"/>
    <w:rsid w:val="00B46D1B"/>
    <w:rsid w:val="00B52506"/>
    <w:rsid w:val="00B60A41"/>
    <w:rsid w:val="00B619FA"/>
    <w:rsid w:val="00B64A48"/>
    <w:rsid w:val="00B65062"/>
    <w:rsid w:val="00B7318F"/>
    <w:rsid w:val="00B81BFE"/>
    <w:rsid w:val="00B96315"/>
    <w:rsid w:val="00B96AC3"/>
    <w:rsid w:val="00BA0488"/>
    <w:rsid w:val="00BA23CE"/>
    <w:rsid w:val="00BB5C45"/>
    <w:rsid w:val="00BC1D0E"/>
    <w:rsid w:val="00BD2D95"/>
    <w:rsid w:val="00BD3A00"/>
    <w:rsid w:val="00BD3BB7"/>
    <w:rsid w:val="00BD7A31"/>
    <w:rsid w:val="00BF6411"/>
    <w:rsid w:val="00BF7179"/>
    <w:rsid w:val="00C013BD"/>
    <w:rsid w:val="00C10F4C"/>
    <w:rsid w:val="00C3025A"/>
    <w:rsid w:val="00C32C21"/>
    <w:rsid w:val="00C35B8C"/>
    <w:rsid w:val="00C4148F"/>
    <w:rsid w:val="00C56118"/>
    <w:rsid w:val="00C64247"/>
    <w:rsid w:val="00C77296"/>
    <w:rsid w:val="00C8123A"/>
    <w:rsid w:val="00C82DC8"/>
    <w:rsid w:val="00C835EE"/>
    <w:rsid w:val="00C84086"/>
    <w:rsid w:val="00CA1CA3"/>
    <w:rsid w:val="00CB0996"/>
    <w:rsid w:val="00CB3F02"/>
    <w:rsid w:val="00CB52ED"/>
    <w:rsid w:val="00CC401F"/>
    <w:rsid w:val="00CC5A99"/>
    <w:rsid w:val="00CE1286"/>
    <w:rsid w:val="00CF723B"/>
    <w:rsid w:val="00D00A13"/>
    <w:rsid w:val="00D10437"/>
    <w:rsid w:val="00D119A0"/>
    <w:rsid w:val="00D11B5D"/>
    <w:rsid w:val="00D13D4A"/>
    <w:rsid w:val="00D151E8"/>
    <w:rsid w:val="00D25301"/>
    <w:rsid w:val="00D31EEE"/>
    <w:rsid w:val="00D32ED3"/>
    <w:rsid w:val="00D3580E"/>
    <w:rsid w:val="00D6145E"/>
    <w:rsid w:val="00D62DFF"/>
    <w:rsid w:val="00D66869"/>
    <w:rsid w:val="00DA41B8"/>
    <w:rsid w:val="00DB1A9B"/>
    <w:rsid w:val="00DB2E5E"/>
    <w:rsid w:val="00DC2889"/>
    <w:rsid w:val="00DC4D41"/>
    <w:rsid w:val="00DC648F"/>
    <w:rsid w:val="00DC687F"/>
    <w:rsid w:val="00DC6C96"/>
    <w:rsid w:val="00DD570B"/>
    <w:rsid w:val="00DE6167"/>
    <w:rsid w:val="00DF3558"/>
    <w:rsid w:val="00DF7AEE"/>
    <w:rsid w:val="00E03074"/>
    <w:rsid w:val="00E1293F"/>
    <w:rsid w:val="00E20DA7"/>
    <w:rsid w:val="00E2774F"/>
    <w:rsid w:val="00E314DD"/>
    <w:rsid w:val="00E4514D"/>
    <w:rsid w:val="00E4525E"/>
    <w:rsid w:val="00E45340"/>
    <w:rsid w:val="00E46B7B"/>
    <w:rsid w:val="00E4722A"/>
    <w:rsid w:val="00E51035"/>
    <w:rsid w:val="00E77E07"/>
    <w:rsid w:val="00E85AAD"/>
    <w:rsid w:val="00E874D9"/>
    <w:rsid w:val="00E93DB5"/>
    <w:rsid w:val="00E95778"/>
    <w:rsid w:val="00EA05D9"/>
    <w:rsid w:val="00EA64F2"/>
    <w:rsid w:val="00EB0B84"/>
    <w:rsid w:val="00EC2915"/>
    <w:rsid w:val="00ED10E5"/>
    <w:rsid w:val="00ED501C"/>
    <w:rsid w:val="00EE6279"/>
    <w:rsid w:val="00F016DE"/>
    <w:rsid w:val="00F111E3"/>
    <w:rsid w:val="00F13FDD"/>
    <w:rsid w:val="00F17F85"/>
    <w:rsid w:val="00F26ED1"/>
    <w:rsid w:val="00F320B6"/>
    <w:rsid w:val="00F33007"/>
    <w:rsid w:val="00F34BB8"/>
    <w:rsid w:val="00F437FF"/>
    <w:rsid w:val="00F513DC"/>
    <w:rsid w:val="00F558B8"/>
    <w:rsid w:val="00F7027D"/>
    <w:rsid w:val="00F7173A"/>
    <w:rsid w:val="00F745D0"/>
    <w:rsid w:val="00F75C94"/>
    <w:rsid w:val="00F77DC4"/>
    <w:rsid w:val="00F87C1C"/>
    <w:rsid w:val="00F91BBE"/>
    <w:rsid w:val="00FA6C5B"/>
    <w:rsid w:val="00FA7C5E"/>
    <w:rsid w:val="00FA7FF9"/>
    <w:rsid w:val="00FB2797"/>
    <w:rsid w:val="00FB6C28"/>
    <w:rsid w:val="00FC1E58"/>
    <w:rsid w:val="00FC34C4"/>
    <w:rsid w:val="00FC6A27"/>
    <w:rsid w:val="00FD2735"/>
    <w:rsid w:val="00FE41B6"/>
    <w:rsid w:val="00FE7248"/>
    <w:rsid w:val="00FE7FD1"/>
    <w:rsid w:val="00FF5E3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2EEA2A9"/>
  <w15:chartTrackingRefBased/>
  <w15:docId w15:val="{3674868A-B145-4A45-AF4B-B32413DC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525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883E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link w:val="OdstavekseznamaZnak"/>
    <w:uiPriority w:val="34"/>
    <w:qFormat/>
    <w:rsid w:val="00AA225C"/>
    <w:pPr>
      <w:ind w:left="720"/>
      <w:contextualSpacing/>
    </w:pPr>
  </w:style>
  <w:style w:type="paragraph" w:styleId="Besedilooblaka">
    <w:name w:val="Balloon Text"/>
    <w:basedOn w:val="Navaden"/>
    <w:link w:val="BesedilooblakaZnak"/>
    <w:uiPriority w:val="99"/>
    <w:semiHidden/>
    <w:unhideWhenUsed/>
    <w:rsid w:val="00E77E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7E07"/>
    <w:rPr>
      <w:rFonts w:ascii="Segoe UI" w:eastAsia="Times New Roman" w:hAnsi="Segoe UI" w:cs="Segoe UI"/>
      <w:sz w:val="18"/>
      <w:szCs w:val="18"/>
    </w:rPr>
  </w:style>
  <w:style w:type="paragraph" w:styleId="Naslov">
    <w:name w:val="Title"/>
    <w:basedOn w:val="Navaden"/>
    <w:next w:val="Navaden"/>
    <w:link w:val="NaslovZnak"/>
    <w:uiPriority w:val="10"/>
    <w:qFormat/>
    <w:rsid w:val="00B5250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5250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525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uiPriority w:val="11"/>
    <w:rsid w:val="00B52506"/>
    <w:rPr>
      <w:rFonts w:eastAsiaTheme="minorEastAsia"/>
      <w:color w:val="5A5A5A" w:themeColor="text1" w:themeTint="A5"/>
      <w:spacing w:val="15"/>
    </w:rPr>
  </w:style>
  <w:style w:type="character" w:customStyle="1" w:styleId="Naslov1Znak">
    <w:name w:val="Naslov 1 Znak"/>
    <w:basedOn w:val="Privzetapisavaodstavka"/>
    <w:link w:val="Naslov1"/>
    <w:uiPriority w:val="9"/>
    <w:rsid w:val="00B52506"/>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A95D9D"/>
    <w:rPr>
      <w:color w:val="0563C1" w:themeColor="hyperlink"/>
      <w:u w:val="single"/>
    </w:rPr>
  </w:style>
  <w:style w:type="paragraph" w:styleId="Brezrazmikov">
    <w:name w:val="No Spacing"/>
    <w:uiPriority w:val="1"/>
    <w:qFormat/>
    <w:rsid w:val="00A95D9D"/>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B6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64A48"/>
    <w:rPr>
      <w:sz w:val="16"/>
      <w:szCs w:val="16"/>
    </w:rPr>
  </w:style>
  <w:style w:type="paragraph" w:styleId="Pripombabesedilo">
    <w:name w:val="annotation text"/>
    <w:basedOn w:val="Navaden"/>
    <w:link w:val="PripombabesediloZnak"/>
    <w:uiPriority w:val="99"/>
    <w:unhideWhenUsed/>
    <w:rsid w:val="00B64A48"/>
    <w:pPr>
      <w:spacing w:line="240" w:lineRule="auto"/>
    </w:pPr>
    <w:rPr>
      <w:szCs w:val="20"/>
    </w:rPr>
  </w:style>
  <w:style w:type="character" w:customStyle="1" w:styleId="PripombabesediloZnak">
    <w:name w:val="Pripomba – besedilo Znak"/>
    <w:basedOn w:val="Privzetapisavaodstavka"/>
    <w:link w:val="Pripombabesedilo"/>
    <w:uiPriority w:val="99"/>
    <w:rsid w:val="00B64A4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64A48"/>
    <w:rPr>
      <w:b/>
      <w:bCs/>
    </w:rPr>
  </w:style>
  <w:style w:type="character" w:customStyle="1" w:styleId="ZadevapripombeZnak">
    <w:name w:val="Zadeva pripombe Znak"/>
    <w:basedOn w:val="PripombabesediloZnak"/>
    <w:link w:val="Zadevapripombe"/>
    <w:uiPriority w:val="99"/>
    <w:semiHidden/>
    <w:rsid w:val="00B64A48"/>
    <w:rPr>
      <w:rFonts w:ascii="Arial" w:eastAsia="Times New Roman" w:hAnsi="Arial" w:cs="Times New Roman"/>
      <w:b/>
      <w:bCs/>
      <w:sz w:val="20"/>
      <w:szCs w:val="20"/>
    </w:rPr>
  </w:style>
  <w:style w:type="paragraph" w:styleId="Telobesedila2">
    <w:name w:val="Body Text 2"/>
    <w:basedOn w:val="Navaden"/>
    <w:link w:val="Telobesedila2Znak"/>
    <w:rsid w:val="00C4148F"/>
    <w:pPr>
      <w:spacing w:after="120" w:line="480" w:lineRule="auto"/>
    </w:pPr>
    <w:rPr>
      <w:rFonts w:cs="Arial"/>
    </w:rPr>
  </w:style>
  <w:style w:type="character" w:customStyle="1" w:styleId="Telobesedila2Znak">
    <w:name w:val="Telo besedila 2 Znak"/>
    <w:basedOn w:val="Privzetapisavaodstavka"/>
    <w:link w:val="Telobesedila2"/>
    <w:rsid w:val="00C4148F"/>
    <w:rPr>
      <w:rFonts w:ascii="Arial" w:eastAsia="Times New Roman" w:hAnsi="Arial" w:cs="Arial"/>
      <w:sz w:val="20"/>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86727E"/>
    <w:pPr>
      <w:spacing w:after="200" w:line="276" w:lineRule="auto"/>
    </w:pPr>
    <w:rPr>
      <w:rFonts w:ascii="Calibri" w:eastAsia="Calibri" w:hAnsi="Calibri" w:cs="Arial"/>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86727E"/>
    <w:rPr>
      <w:rFonts w:ascii="Calibri" w:eastAsia="Calibri" w:hAnsi="Calibri" w:cs="Arial"/>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unhideWhenUsed/>
    <w:qFormat/>
    <w:rsid w:val="0086727E"/>
    <w:rPr>
      <w:vertAlign w:val="superscript"/>
    </w:rPr>
  </w:style>
  <w:style w:type="character" w:customStyle="1" w:styleId="Naslov2Znak">
    <w:name w:val="Naslov 2 Znak"/>
    <w:basedOn w:val="Privzetapisavaodstavka"/>
    <w:link w:val="Naslov2"/>
    <w:uiPriority w:val="9"/>
    <w:semiHidden/>
    <w:rsid w:val="00883E02"/>
    <w:rPr>
      <w:rFonts w:asciiTheme="majorHAnsi" w:eastAsiaTheme="majorEastAsia" w:hAnsiTheme="majorHAnsi" w:cstheme="majorBidi"/>
      <w:color w:val="2F5496" w:themeColor="accent1" w:themeShade="BF"/>
      <w:sz w:val="26"/>
      <w:szCs w:val="26"/>
    </w:rPr>
  </w:style>
  <w:style w:type="character" w:styleId="Nerazreenaomemba">
    <w:name w:val="Unresolved Mention"/>
    <w:basedOn w:val="Privzetapisavaodstavka"/>
    <w:uiPriority w:val="99"/>
    <w:semiHidden/>
    <w:unhideWhenUsed/>
    <w:rsid w:val="00883E02"/>
    <w:rPr>
      <w:color w:val="605E5C"/>
      <w:shd w:val="clear" w:color="auto" w:fill="E1DFDD"/>
    </w:rPr>
  </w:style>
  <w:style w:type="character" w:customStyle="1" w:styleId="OdstavekseznamaZnak">
    <w:name w:val="Odstavek seznama Znak"/>
    <w:link w:val="Odstavekseznama"/>
    <w:uiPriority w:val="34"/>
    <w:locked/>
    <w:rsid w:val="004F14B7"/>
    <w:rPr>
      <w:rFonts w:ascii="Arial" w:eastAsia="Times New Roman" w:hAnsi="Arial" w:cs="Times New Roman"/>
      <w:sz w:val="20"/>
      <w:szCs w:val="24"/>
    </w:rPr>
  </w:style>
  <w:style w:type="paragraph" w:styleId="Revizija">
    <w:name w:val="Revision"/>
    <w:hidden/>
    <w:uiPriority w:val="99"/>
    <w:semiHidden/>
    <w:rsid w:val="00486824"/>
    <w:pPr>
      <w:spacing w:after="0" w:line="240" w:lineRule="auto"/>
    </w:pPr>
    <w:rPr>
      <w:rFonts w:ascii="Arial" w:eastAsia="Times New Roman" w:hAnsi="Arial" w:cs="Times New Roman"/>
      <w:sz w:val="20"/>
      <w:szCs w:val="24"/>
    </w:rPr>
  </w:style>
  <w:style w:type="paragraph" w:styleId="Telobesedila">
    <w:name w:val="Body Text"/>
    <w:basedOn w:val="Navaden"/>
    <w:link w:val="TelobesedilaZnak"/>
    <w:uiPriority w:val="99"/>
    <w:semiHidden/>
    <w:unhideWhenUsed/>
    <w:rsid w:val="00FF5E3E"/>
    <w:pPr>
      <w:spacing w:after="120"/>
    </w:pPr>
  </w:style>
  <w:style w:type="character" w:customStyle="1" w:styleId="TelobesedilaZnak">
    <w:name w:val="Telo besedila Znak"/>
    <w:basedOn w:val="Privzetapisavaodstavka"/>
    <w:link w:val="Telobesedila"/>
    <w:uiPriority w:val="99"/>
    <w:semiHidden/>
    <w:rsid w:val="00FF5E3E"/>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56666">
      <w:bodyDiv w:val="1"/>
      <w:marLeft w:val="0"/>
      <w:marRight w:val="0"/>
      <w:marTop w:val="0"/>
      <w:marBottom w:val="0"/>
      <w:divBdr>
        <w:top w:val="none" w:sz="0" w:space="0" w:color="auto"/>
        <w:left w:val="none" w:sz="0" w:space="0" w:color="auto"/>
        <w:bottom w:val="none" w:sz="0" w:space="0" w:color="auto"/>
        <w:right w:val="none" w:sz="0" w:space="0" w:color="auto"/>
      </w:divBdr>
    </w:div>
    <w:div w:id="225141685">
      <w:bodyDiv w:val="1"/>
      <w:marLeft w:val="0"/>
      <w:marRight w:val="0"/>
      <w:marTop w:val="0"/>
      <w:marBottom w:val="0"/>
      <w:divBdr>
        <w:top w:val="none" w:sz="0" w:space="0" w:color="auto"/>
        <w:left w:val="none" w:sz="0" w:space="0" w:color="auto"/>
        <w:bottom w:val="none" w:sz="0" w:space="0" w:color="auto"/>
        <w:right w:val="none" w:sz="0" w:space="0" w:color="auto"/>
      </w:divBdr>
    </w:div>
    <w:div w:id="403379877">
      <w:bodyDiv w:val="1"/>
      <w:marLeft w:val="0"/>
      <w:marRight w:val="0"/>
      <w:marTop w:val="0"/>
      <w:marBottom w:val="0"/>
      <w:divBdr>
        <w:top w:val="none" w:sz="0" w:space="0" w:color="auto"/>
        <w:left w:val="none" w:sz="0" w:space="0" w:color="auto"/>
        <w:bottom w:val="none" w:sz="0" w:space="0" w:color="auto"/>
        <w:right w:val="none" w:sz="0" w:space="0" w:color="auto"/>
      </w:divBdr>
    </w:div>
    <w:div w:id="451174826">
      <w:bodyDiv w:val="1"/>
      <w:marLeft w:val="0"/>
      <w:marRight w:val="0"/>
      <w:marTop w:val="0"/>
      <w:marBottom w:val="0"/>
      <w:divBdr>
        <w:top w:val="none" w:sz="0" w:space="0" w:color="auto"/>
        <w:left w:val="none" w:sz="0" w:space="0" w:color="auto"/>
        <w:bottom w:val="none" w:sz="0" w:space="0" w:color="auto"/>
        <w:right w:val="none" w:sz="0" w:space="0" w:color="auto"/>
      </w:divBdr>
    </w:div>
    <w:div w:id="603726826">
      <w:bodyDiv w:val="1"/>
      <w:marLeft w:val="0"/>
      <w:marRight w:val="0"/>
      <w:marTop w:val="0"/>
      <w:marBottom w:val="0"/>
      <w:divBdr>
        <w:top w:val="none" w:sz="0" w:space="0" w:color="auto"/>
        <w:left w:val="none" w:sz="0" w:space="0" w:color="auto"/>
        <w:bottom w:val="none" w:sz="0" w:space="0" w:color="auto"/>
        <w:right w:val="none" w:sz="0" w:space="0" w:color="auto"/>
      </w:divBdr>
    </w:div>
    <w:div w:id="625433885">
      <w:bodyDiv w:val="1"/>
      <w:marLeft w:val="0"/>
      <w:marRight w:val="0"/>
      <w:marTop w:val="0"/>
      <w:marBottom w:val="0"/>
      <w:divBdr>
        <w:top w:val="none" w:sz="0" w:space="0" w:color="auto"/>
        <w:left w:val="none" w:sz="0" w:space="0" w:color="auto"/>
        <w:bottom w:val="none" w:sz="0" w:space="0" w:color="auto"/>
        <w:right w:val="none" w:sz="0" w:space="0" w:color="auto"/>
      </w:divBdr>
    </w:div>
    <w:div w:id="627055442">
      <w:bodyDiv w:val="1"/>
      <w:marLeft w:val="0"/>
      <w:marRight w:val="0"/>
      <w:marTop w:val="0"/>
      <w:marBottom w:val="0"/>
      <w:divBdr>
        <w:top w:val="none" w:sz="0" w:space="0" w:color="auto"/>
        <w:left w:val="none" w:sz="0" w:space="0" w:color="auto"/>
        <w:bottom w:val="none" w:sz="0" w:space="0" w:color="auto"/>
        <w:right w:val="none" w:sz="0" w:space="0" w:color="auto"/>
      </w:divBdr>
    </w:div>
    <w:div w:id="659386497">
      <w:bodyDiv w:val="1"/>
      <w:marLeft w:val="0"/>
      <w:marRight w:val="0"/>
      <w:marTop w:val="0"/>
      <w:marBottom w:val="0"/>
      <w:divBdr>
        <w:top w:val="none" w:sz="0" w:space="0" w:color="auto"/>
        <w:left w:val="none" w:sz="0" w:space="0" w:color="auto"/>
        <w:bottom w:val="none" w:sz="0" w:space="0" w:color="auto"/>
        <w:right w:val="none" w:sz="0" w:space="0" w:color="auto"/>
      </w:divBdr>
    </w:div>
    <w:div w:id="781724149">
      <w:bodyDiv w:val="1"/>
      <w:marLeft w:val="0"/>
      <w:marRight w:val="0"/>
      <w:marTop w:val="0"/>
      <w:marBottom w:val="0"/>
      <w:divBdr>
        <w:top w:val="none" w:sz="0" w:space="0" w:color="auto"/>
        <w:left w:val="none" w:sz="0" w:space="0" w:color="auto"/>
        <w:bottom w:val="none" w:sz="0" w:space="0" w:color="auto"/>
        <w:right w:val="none" w:sz="0" w:space="0" w:color="auto"/>
      </w:divBdr>
    </w:div>
    <w:div w:id="875849787">
      <w:bodyDiv w:val="1"/>
      <w:marLeft w:val="0"/>
      <w:marRight w:val="0"/>
      <w:marTop w:val="0"/>
      <w:marBottom w:val="0"/>
      <w:divBdr>
        <w:top w:val="none" w:sz="0" w:space="0" w:color="auto"/>
        <w:left w:val="none" w:sz="0" w:space="0" w:color="auto"/>
        <w:bottom w:val="none" w:sz="0" w:space="0" w:color="auto"/>
        <w:right w:val="none" w:sz="0" w:space="0" w:color="auto"/>
      </w:divBdr>
    </w:div>
    <w:div w:id="877203146">
      <w:bodyDiv w:val="1"/>
      <w:marLeft w:val="0"/>
      <w:marRight w:val="0"/>
      <w:marTop w:val="0"/>
      <w:marBottom w:val="0"/>
      <w:divBdr>
        <w:top w:val="none" w:sz="0" w:space="0" w:color="auto"/>
        <w:left w:val="none" w:sz="0" w:space="0" w:color="auto"/>
        <w:bottom w:val="none" w:sz="0" w:space="0" w:color="auto"/>
        <w:right w:val="none" w:sz="0" w:space="0" w:color="auto"/>
      </w:divBdr>
    </w:div>
    <w:div w:id="955939769">
      <w:bodyDiv w:val="1"/>
      <w:marLeft w:val="0"/>
      <w:marRight w:val="0"/>
      <w:marTop w:val="0"/>
      <w:marBottom w:val="0"/>
      <w:divBdr>
        <w:top w:val="none" w:sz="0" w:space="0" w:color="auto"/>
        <w:left w:val="none" w:sz="0" w:space="0" w:color="auto"/>
        <w:bottom w:val="none" w:sz="0" w:space="0" w:color="auto"/>
        <w:right w:val="none" w:sz="0" w:space="0" w:color="auto"/>
      </w:divBdr>
    </w:div>
    <w:div w:id="1019163497">
      <w:bodyDiv w:val="1"/>
      <w:marLeft w:val="0"/>
      <w:marRight w:val="0"/>
      <w:marTop w:val="0"/>
      <w:marBottom w:val="0"/>
      <w:divBdr>
        <w:top w:val="none" w:sz="0" w:space="0" w:color="auto"/>
        <w:left w:val="none" w:sz="0" w:space="0" w:color="auto"/>
        <w:bottom w:val="none" w:sz="0" w:space="0" w:color="auto"/>
        <w:right w:val="none" w:sz="0" w:space="0" w:color="auto"/>
      </w:divBdr>
    </w:div>
    <w:div w:id="1217814069">
      <w:bodyDiv w:val="1"/>
      <w:marLeft w:val="0"/>
      <w:marRight w:val="0"/>
      <w:marTop w:val="0"/>
      <w:marBottom w:val="0"/>
      <w:divBdr>
        <w:top w:val="none" w:sz="0" w:space="0" w:color="auto"/>
        <w:left w:val="none" w:sz="0" w:space="0" w:color="auto"/>
        <w:bottom w:val="none" w:sz="0" w:space="0" w:color="auto"/>
        <w:right w:val="none" w:sz="0" w:space="0" w:color="auto"/>
      </w:divBdr>
    </w:div>
    <w:div w:id="1250311536">
      <w:bodyDiv w:val="1"/>
      <w:marLeft w:val="0"/>
      <w:marRight w:val="0"/>
      <w:marTop w:val="0"/>
      <w:marBottom w:val="0"/>
      <w:divBdr>
        <w:top w:val="none" w:sz="0" w:space="0" w:color="auto"/>
        <w:left w:val="none" w:sz="0" w:space="0" w:color="auto"/>
        <w:bottom w:val="none" w:sz="0" w:space="0" w:color="auto"/>
        <w:right w:val="none" w:sz="0" w:space="0" w:color="auto"/>
      </w:divBdr>
    </w:div>
    <w:div w:id="1295020375">
      <w:bodyDiv w:val="1"/>
      <w:marLeft w:val="0"/>
      <w:marRight w:val="0"/>
      <w:marTop w:val="0"/>
      <w:marBottom w:val="0"/>
      <w:divBdr>
        <w:top w:val="none" w:sz="0" w:space="0" w:color="auto"/>
        <w:left w:val="none" w:sz="0" w:space="0" w:color="auto"/>
        <w:bottom w:val="none" w:sz="0" w:space="0" w:color="auto"/>
        <w:right w:val="none" w:sz="0" w:space="0" w:color="auto"/>
      </w:divBdr>
    </w:div>
    <w:div w:id="1401517365">
      <w:bodyDiv w:val="1"/>
      <w:marLeft w:val="0"/>
      <w:marRight w:val="0"/>
      <w:marTop w:val="0"/>
      <w:marBottom w:val="0"/>
      <w:divBdr>
        <w:top w:val="none" w:sz="0" w:space="0" w:color="auto"/>
        <w:left w:val="none" w:sz="0" w:space="0" w:color="auto"/>
        <w:bottom w:val="none" w:sz="0" w:space="0" w:color="auto"/>
        <w:right w:val="none" w:sz="0" w:space="0" w:color="auto"/>
      </w:divBdr>
    </w:div>
    <w:div w:id="1838111825">
      <w:bodyDiv w:val="1"/>
      <w:marLeft w:val="0"/>
      <w:marRight w:val="0"/>
      <w:marTop w:val="0"/>
      <w:marBottom w:val="0"/>
      <w:divBdr>
        <w:top w:val="none" w:sz="0" w:space="0" w:color="auto"/>
        <w:left w:val="none" w:sz="0" w:space="0" w:color="auto"/>
        <w:bottom w:val="none" w:sz="0" w:space="0" w:color="auto"/>
        <w:right w:val="none" w:sz="0" w:space="0" w:color="auto"/>
      </w:divBdr>
    </w:div>
    <w:div w:id="1892616288">
      <w:bodyDiv w:val="1"/>
      <w:marLeft w:val="0"/>
      <w:marRight w:val="0"/>
      <w:marTop w:val="0"/>
      <w:marBottom w:val="0"/>
      <w:divBdr>
        <w:top w:val="none" w:sz="0" w:space="0" w:color="auto"/>
        <w:left w:val="none" w:sz="0" w:space="0" w:color="auto"/>
        <w:bottom w:val="none" w:sz="0" w:space="0" w:color="auto"/>
        <w:right w:val="none" w:sz="0" w:space="0" w:color="auto"/>
      </w:divBdr>
    </w:div>
    <w:div w:id="2054693039">
      <w:bodyDiv w:val="1"/>
      <w:marLeft w:val="0"/>
      <w:marRight w:val="0"/>
      <w:marTop w:val="0"/>
      <w:marBottom w:val="0"/>
      <w:divBdr>
        <w:top w:val="none" w:sz="0" w:space="0" w:color="auto"/>
        <w:left w:val="none" w:sz="0" w:space="0" w:color="auto"/>
        <w:bottom w:val="none" w:sz="0" w:space="0" w:color="auto"/>
        <w:right w:val="none" w:sz="0" w:space="0" w:color="auto"/>
      </w:divBdr>
      <w:divsChild>
        <w:div w:id="1473136527">
          <w:marLeft w:val="0"/>
          <w:marRight w:val="0"/>
          <w:marTop w:val="240"/>
          <w:marBottom w:val="0"/>
          <w:divBdr>
            <w:top w:val="none" w:sz="0" w:space="0" w:color="auto"/>
            <w:left w:val="none" w:sz="0" w:space="0" w:color="auto"/>
            <w:bottom w:val="none" w:sz="0" w:space="0" w:color="auto"/>
            <w:right w:val="none" w:sz="0" w:space="0" w:color="auto"/>
          </w:divBdr>
        </w:div>
        <w:div w:id="1674869285">
          <w:marLeft w:val="425"/>
          <w:marRight w:val="0"/>
          <w:marTop w:val="0"/>
          <w:marBottom w:val="0"/>
          <w:divBdr>
            <w:top w:val="none" w:sz="0" w:space="0" w:color="auto"/>
            <w:left w:val="none" w:sz="0" w:space="0" w:color="auto"/>
            <w:bottom w:val="none" w:sz="0" w:space="0" w:color="auto"/>
            <w:right w:val="none" w:sz="0" w:space="0" w:color="auto"/>
          </w:divBdr>
        </w:div>
      </w:divsChild>
    </w:div>
    <w:div w:id="21182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GTS/Dokumenti/DRS/Novinarska-februar-2024/Nacrt_razvojnih-spodbud-202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navodila-in-smern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vropskasredstva.si/evropska-kohezijska-politika/navodila-in-smernice/" TargetMode="External"/><Relationship Id="rId4" Type="http://schemas.openxmlformats.org/officeDocument/2006/relationships/settings" Target="settings.xml"/><Relationship Id="rId9" Type="http://schemas.openxmlformats.org/officeDocument/2006/relationships/hyperlink" Target="https://evropskasredstva.si/evropska-kohezijska-politika/navodila-in-smernice/"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722F21-6B28-493F-8759-232F1530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2995</Words>
  <Characters>17075</Characters>
  <Application>Microsoft Office Word</Application>
  <DocSecurity>4</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Natalija Medica</cp:lastModifiedBy>
  <cp:revision>2</cp:revision>
  <cp:lastPrinted>2023-04-26T09:43:00Z</cp:lastPrinted>
  <dcterms:created xsi:type="dcterms:W3CDTF">2024-07-02T12:54:00Z</dcterms:created>
  <dcterms:modified xsi:type="dcterms:W3CDTF">2024-07-02T12:54:00Z</dcterms:modified>
</cp:coreProperties>
</file>