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681" w14:textId="77777777" w:rsidR="00AB660A" w:rsidRPr="00E231EB" w:rsidRDefault="00AB660A">
      <w:pPr>
        <w:rPr>
          <w:b/>
          <w:color w:val="4472C4" w:themeColor="accent1"/>
        </w:rPr>
      </w:pPr>
    </w:p>
    <w:p w14:paraId="47ACB724" w14:textId="77777777" w:rsidR="007C4D32" w:rsidRDefault="007C4D32" w:rsidP="007A2102">
      <w:pPr>
        <w:jc w:val="center"/>
        <w:rPr>
          <w:b/>
          <w:bCs/>
          <w:iCs/>
          <w:szCs w:val="20"/>
        </w:rPr>
      </w:pPr>
      <w:bookmarkStart w:id="0" w:name="_Toc52187689"/>
    </w:p>
    <w:p w14:paraId="4E2997F7" w14:textId="6805F59F" w:rsidR="007A2102" w:rsidRPr="007C4D32" w:rsidRDefault="007A2102" w:rsidP="007A2102">
      <w:pPr>
        <w:jc w:val="center"/>
        <w:rPr>
          <w:b/>
          <w:bCs/>
          <w:iCs/>
          <w:sz w:val="22"/>
          <w:szCs w:val="22"/>
        </w:rPr>
      </w:pPr>
      <w:r w:rsidRPr="007C4D32">
        <w:rPr>
          <w:b/>
          <w:bCs/>
          <w:iCs/>
          <w:sz w:val="22"/>
          <w:szCs w:val="22"/>
        </w:rPr>
        <w:t xml:space="preserve">EVIDENCA JAVNIH </w:t>
      </w:r>
      <w:bookmarkEnd w:id="0"/>
      <w:r w:rsidRPr="007C4D32">
        <w:rPr>
          <w:b/>
          <w:bCs/>
          <w:iCs/>
          <w:sz w:val="22"/>
          <w:szCs w:val="22"/>
        </w:rPr>
        <w:t xml:space="preserve">RAZPISOV, POZIVOV IN OBJAV </w:t>
      </w:r>
    </w:p>
    <w:p w14:paraId="2CB7ADEE" w14:textId="77777777" w:rsidR="007A2102" w:rsidRPr="007A2102" w:rsidRDefault="007A2102" w:rsidP="007A2102">
      <w:pPr>
        <w:jc w:val="both"/>
      </w:pPr>
    </w:p>
    <w:p w14:paraId="1D985D14" w14:textId="00D1F8BC" w:rsidR="007A2102" w:rsidRPr="007A2102" w:rsidRDefault="007A2102" w:rsidP="007A2102">
      <w:pPr>
        <w:jc w:val="both"/>
      </w:pPr>
      <w:r w:rsidRPr="007A2102">
        <w:rPr>
          <w:b/>
          <w:bCs/>
        </w:rPr>
        <w:t>Namen obdelave osebnih podatkov:</w:t>
      </w:r>
      <w:r w:rsidRPr="007A2102">
        <w:t> </w:t>
      </w:r>
      <w:r w:rsidR="00384AF5" w:rsidRPr="00384AF5">
        <w:t xml:space="preserve">Hramba dokumentacije zaradi zagotovitve pravilnosti izvedenega izbornega postopka skladno z veljavno zakonodajo, ki </w:t>
      </w:r>
      <w:r w:rsidR="005C693A" w:rsidRPr="005C693A">
        <w:t>ureja izvajanje naložb v skladu s finančnimi pravili Mehanizma za okrevanje in odpornost</w:t>
      </w:r>
      <w:r w:rsidR="005C693A">
        <w:t xml:space="preserve">, </w:t>
      </w:r>
      <w:r w:rsidR="005C693A" w:rsidRPr="005C693A">
        <w:t>skladov Evropske unije</w:t>
      </w:r>
      <w:r w:rsidR="005C693A">
        <w:t>,</w:t>
      </w:r>
      <w:r w:rsidR="005C693A" w:rsidRPr="005C693A">
        <w:t xml:space="preserve"> Evropskega sklada za regionalni razvoj (ESRR), Evropskega socialnega sklada plus (ESS+), Kohezijskega sklada in Sklada za pravični prehod (SPP)</w:t>
      </w:r>
      <w:r w:rsidR="00A57E9C" w:rsidRPr="00A57E9C">
        <w:t xml:space="preserve"> ter slovenskih javnih sredstev</w:t>
      </w:r>
      <w:r w:rsidR="005C693A" w:rsidRPr="005C693A">
        <w:t>.</w:t>
      </w:r>
    </w:p>
    <w:p w14:paraId="79378508" w14:textId="77777777" w:rsidR="007A2102" w:rsidRPr="007A2102" w:rsidRDefault="007A2102" w:rsidP="007A2102">
      <w:pPr>
        <w:jc w:val="both"/>
      </w:pPr>
    </w:p>
    <w:p w14:paraId="63DDEF57" w14:textId="0A99776A" w:rsidR="00384AF5" w:rsidRDefault="007A2102" w:rsidP="00384AF5">
      <w:pPr>
        <w:jc w:val="both"/>
      </w:pPr>
      <w:r w:rsidRPr="007A2102">
        <w:rPr>
          <w:b/>
          <w:bCs/>
        </w:rPr>
        <w:t>Pravna podlaga za obdelavo osebnih podatkov:</w:t>
      </w:r>
      <w:r w:rsidRPr="007A2102">
        <w:t xml:space="preserve"> </w:t>
      </w:r>
      <w:r w:rsidR="005A0BE2" w:rsidRPr="005A0BE2">
        <w:t>b) in e) točki prvega odstavka 6. člena Splošne uredbe o varstvu podatkov, drugi odstavek 69. člena in 140. člen Uredbe št. 1303/2013/EU, Priloga XVII Uredbe (EU) 2021/1060, 22. člen Uredbe EU 2021/241, četrti odstavek 6. člena ZVOP-2, 66. člen Zakona o splošnem upravnem postopku</w:t>
      </w:r>
      <w:r w:rsidR="00A57E9C">
        <w:t>,</w:t>
      </w:r>
      <w:r w:rsidR="005A0BE2" w:rsidRPr="005A0BE2">
        <w:t xml:space="preserve"> 40. do 51. člen Zakona o preprečevanju pranja denarja in financiranja terorizma</w:t>
      </w:r>
      <w:r w:rsidR="00A57E9C">
        <w:t xml:space="preserve">, </w:t>
      </w:r>
      <w:r w:rsidR="00A57E9C" w:rsidRPr="00A57E9C">
        <w:t>77. člen Zakona o javnem naročanju in drugi posebni zakoni, ki so podlaga za izvajanje posameznega razpisa</w:t>
      </w:r>
      <w:r w:rsidR="005A0BE2" w:rsidRPr="005A0BE2">
        <w:t>.</w:t>
      </w:r>
    </w:p>
    <w:p w14:paraId="3F42C88B" w14:textId="77777777" w:rsidR="005A0BE2" w:rsidRPr="007A2102" w:rsidRDefault="005A0BE2" w:rsidP="00384AF5">
      <w:pPr>
        <w:jc w:val="both"/>
      </w:pPr>
    </w:p>
    <w:p w14:paraId="6B9D45A5" w14:textId="13F10456" w:rsidR="007A2102" w:rsidRDefault="007A2102" w:rsidP="00384AF5">
      <w:pPr>
        <w:jc w:val="both"/>
      </w:pPr>
      <w:r w:rsidRPr="007A2102">
        <w:rPr>
          <w:b/>
          <w:bCs/>
        </w:rPr>
        <w:t>Obrazložitev zakonitih interesov:</w:t>
      </w:r>
      <w:r w:rsidRPr="007A2102">
        <w:t xml:space="preserve"> /  </w:t>
      </w:r>
    </w:p>
    <w:p w14:paraId="20401CA1" w14:textId="77777777" w:rsidR="00384AF5" w:rsidRPr="007A2102" w:rsidRDefault="00384AF5" w:rsidP="00384AF5">
      <w:pPr>
        <w:jc w:val="both"/>
        <w:rPr>
          <w:i/>
        </w:rPr>
      </w:pPr>
    </w:p>
    <w:p w14:paraId="0B85AF33" w14:textId="619E844D" w:rsidR="007A2102" w:rsidRDefault="007A2102" w:rsidP="00384AF5">
      <w:pPr>
        <w:jc w:val="both"/>
      </w:pPr>
      <w:r w:rsidRPr="007A2102">
        <w:rPr>
          <w:b/>
          <w:bCs/>
        </w:rPr>
        <w:t xml:space="preserve">Uporabniki ali </w:t>
      </w:r>
      <w:r w:rsidRPr="007A2102">
        <w:rPr>
          <w:b/>
        </w:rPr>
        <w:t>kategorije uporabnikov osebnih podatkov, če obstajajo: </w:t>
      </w:r>
      <w:r w:rsidRPr="007A2102">
        <w:t>Ministrstvo za gospodarstvo, turizem in šport, Ministrstvo za kohezijo in regionalni razvoj, Finančna uprava Slovenije, Organ upravljanja, Organ za potrjevanje na Ministrstvu za finance, Računsko sodišče Republike Slovenije</w:t>
      </w:r>
      <w:r w:rsidR="00A57E9C">
        <w:t>,</w:t>
      </w:r>
      <w:r w:rsidR="00A57E9C" w:rsidRPr="00A57E9C">
        <w:t xml:space="preserve"> Urad Republike Slovenije za nadzor proračuna</w:t>
      </w:r>
      <w:r w:rsidRPr="007A2102">
        <w:t xml:space="preserve"> in ostali nadzorni organ</w:t>
      </w:r>
      <w:r w:rsidR="00A57E9C">
        <w:t>i</w:t>
      </w:r>
      <w:r w:rsidRPr="007A2102">
        <w:t xml:space="preserve"> v okviru njihovih pristojnosti. </w:t>
      </w:r>
    </w:p>
    <w:p w14:paraId="63076305" w14:textId="77777777" w:rsidR="00384AF5" w:rsidRDefault="00384AF5" w:rsidP="00384AF5">
      <w:pPr>
        <w:jc w:val="both"/>
      </w:pPr>
    </w:p>
    <w:p w14:paraId="229EEC81" w14:textId="2BBF26E2" w:rsidR="007A2102" w:rsidRDefault="007A2102" w:rsidP="00384AF5">
      <w:pPr>
        <w:jc w:val="both"/>
        <w:rPr>
          <w:bCs/>
        </w:rPr>
      </w:pPr>
      <w:r w:rsidRPr="007A2102">
        <w:rPr>
          <w:b/>
          <w:bCs/>
        </w:rPr>
        <w:t xml:space="preserve">Informacije o prenosih osebnih podatkov v tretjo državo ali mednarodno organizacijo: </w:t>
      </w:r>
      <w:r w:rsidRPr="007A2102">
        <w:rPr>
          <w:bCs/>
        </w:rPr>
        <w:t>Podatki se</w:t>
      </w:r>
      <w:r w:rsidR="00DD5337" w:rsidRPr="007A2102">
        <w:rPr>
          <w:bCs/>
        </w:rPr>
        <w:t xml:space="preserve"> lahko</w:t>
      </w:r>
      <w:r w:rsidRPr="007A2102">
        <w:rPr>
          <w:bCs/>
        </w:rPr>
        <w:t xml:space="preserve"> prenašajo tudi na zahtevo Evropske komisije</w:t>
      </w:r>
      <w:r w:rsidR="00DD5337" w:rsidRPr="00DD5337">
        <w:t xml:space="preserve"> </w:t>
      </w:r>
      <w:r w:rsidR="00DD5337" w:rsidRPr="00DD5337">
        <w:rPr>
          <w:bCs/>
        </w:rPr>
        <w:t>ali institucij pristojnih za kontrolo</w:t>
      </w:r>
      <w:r w:rsidRPr="007A2102">
        <w:rPr>
          <w:bCs/>
        </w:rPr>
        <w:t xml:space="preserve"> za namen preverjanja v okviru njihove pristojnosti.</w:t>
      </w:r>
      <w:r w:rsidR="00DD5337">
        <w:rPr>
          <w:bCs/>
        </w:rPr>
        <w:t xml:space="preserve"> </w:t>
      </w:r>
    </w:p>
    <w:p w14:paraId="6CFE8FA4" w14:textId="77777777" w:rsidR="00384AF5" w:rsidRPr="007A2102" w:rsidRDefault="00384AF5" w:rsidP="00384AF5">
      <w:pPr>
        <w:jc w:val="both"/>
        <w:rPr>
          <w:i/>
        </w:rPr>
      </w:pPr>
    </w:p>
    <w:p w14:paraId="45E3D473" w14:textId="3AD050F6" w:rsidR="007A2102" w:rsidRPr="00384AF5" w:rsidRDefault="007A2102" w:rsidP="00384AF5">
      <w:pPr>
        <w:jc w:val="both"/>
        <w:rPr>
          <w:bCs/>
        </w:rPr>
      </w:pPr>
      <w:r w:rsidRPr="007A2102">
        <w:rPr>
          <w:b/>
        </w:rPr>
        <w:t>Obdobje hrambe osebnih podatkov ali, kadar to ni mogoče, merila, ki se uporabijo za določitev tega obdobja</w:t>
      </w:r>
      <w:r w:rsidRPr="007A2102">
        <w:rPr>
          <w:b/>
          <w:bCs/>
        </w:rPr>
        <w:t>:</w:t>
      </w:r>
      <w:r w:rsidRPr="007A2102">
        <w:rPr>
          <w:b/>
        </w:rPr>
        <w:t> </w:t>
      </w:r>
      <w:r w:rsidR="00384AF5" w:rsidRPr="00384AF5">
        <w:rPr>
          <w:bCs/>
        </w:rPr>
        <w:t xml:space="preserve">5 let od dneva zaključka postopka izbora (zavrnjene / zavržene vloge), oziroma trajno </w:t>
      </w:r>
      <w:bookmarkStart w:id="1" w:name="_Hlk157161755"/>
      <w:r w:rsidR="00384AF5" w:rsidRPr="00384AF5">
        <w:rPr>
          <w:bCs/>
        </w:rPr>
        <w:t>(odobrene vloge).</w:t>
      </w:r>
      <w:bookmarkEnd w:id="1"/>
    </w:p>
    <w:p w14:paraId="1F6F4978" w14:textId="77777777" w:rsidR="00384AF5" w:rsidRPr="007A2102" w:rsidRDefault="00384AF5" w:rsidP="00384AF5">
      <w:pPr>
        <w:jc w:val="both"/>
        <w:rPr>
          <w:bCs/>
        </w:rPr>
      </w:pPr>
    </w:p>
    <w:p w14:paraId="505A1379" w14:textId="59106880" w:rsidR="007A2102" w:rsidRPr="00384AF5" w:rsidRDefault="007A2102" w:rsidP="00384AF5">
      <w:pPr>
        <w:jc w:val="both"/>
        <w:rPr>
          <w:iCs/>
        </w:rPr>
      </w:pPr>
      <w:r w:rsidRPr="007A2102">
        <w:rPr>
          <w:b/>
        </w:rPr>
        <w:t>Informacije o obstoju pravic posameznika, da lahko zahteva dostop do osebnih podatkov in popravek ali izbris osebnih podatkov ali omejitev, ali obstoj pravice do ugovora obdelavi in pravice do prenosljivosti podatkov:</w:t>
      </w:r>
      <w:r w:rsidRPr="007A2102">
        <w:rPr>
          <w:i/>
        </w:rPr>
        <w:t xml:space="preserve"> </w:t>
      </w:r>
      <w:r w:rsidR="00384AF5" w:rsidRPr="00384AF5">
        <w:rPr>
          <w:iCs/>
        </w:rPr>
        <w:t>Posameznik lahko zahteva dostop do osebnih podatkov, ki se nanašajo nanj, in ko so za to izpolnjeni pogoji skladno z določbami Splošne uredbe o varstvu podatkov, pravico do popravka, ugovora, izbrisa ali omejitve obdelave. Če posameznik zahteva izbris ali omejitev obdelave njegovih osebnih podatkov ter o tem obvesti skrbnika razpisa ali pogodbe ali pooblaščeno osebo za varstvo osebnih podatkov upravljavca in vloge ni mogoče nadalje obravnavati ali izvrševati pogodbe, se šteje, da je s tem odstopil od vloge oziroma pogodbe. Osebni podatki posameznika se zbrišejo z dnem odstopa od vloge oziroma z dnem vrnitve po veljavni pogodbi že prejetih sredstev.</w:t>
      </w:r>
    </w:p>
    <w:p w14:paraId="2AA9DEAD" w14:textId="77777777" w:rsidR="007A2102" w:rsidRPr="007A2102" w:rsidRDefault="007A2102" w:rsidP="007A2102">
      <w:pPr>
        <w:jc w:val="both"/>
        <w:rPr>
          <w:i/>
        </w:rPr>
      </w:pPr>
    </w:p>
    <w:p w14:paraId="51D064E5" w14:textId="4C8101C8" w:rsidR="007A2102" w:rsidRDefault="007A2102" w:rsidP="00384AF5">
      <w:pPr>
        <w:jc w:val="both"/>
        <w:rPr>
          <w:bCs/>
        </w:rPr>
      </w:pPr>
      <w:r w:rsidRPr="007A2102">
        <w:rPr>
          <w:b/>
        </w:rPr>
        <w:t xml:space="preserve">Informacija o pravici do preklica privolitve, kadar obdelava temelji na privolitvi: </w:t>
      </w:r>
      <w:r w:rsidR="00384AF5" w:rsidRPr="00384AF5">
        <w:rPr>
          <w:bCs/>
        </w:rPr>
        <w:t>Obdelava ne temelji na privolitvi posameznika.</w:t>
      </w:r>
    </w:p>
    <w:p w14:paraId="0C2E326C" w14:textId="77777777" w:rsidR="00384AF5" w:rsidRPr="007A2102" w:rsidRDefault="00384AF5" w:rsidP="00384AF5">
      <w:pPr>
        <w:jc w:val="both"/>
      </w:pPr>
    </w:p>
    <w:p w14:paraId="38F9964E" w14:textId="63481E5F" w:rsidR="000350D2" w:rsidRDefault="000350D2" w:rsidP="000350D2">
      <w:pPr>
        <w:jc w:val="both"/>
      </w:pPr>
      <w:r w:rsidRPr="00642ACC">
        <w:rPr>
          <w:b/>
          <w:bCs/>
        </w:rPr>
        <w:t>Zagotovitev osebnih podatkov je zakonska ali pogodbena obveznost:</w:t>
      </w:r>
      <w:r w:rsidRPr="00642ACC">
        <w:t xml:space="preserve"> </w:t>
      </w:r>
      <w:r>
        <w:t>Da</w:t>
      </w:r>
    </w:p>
    <w:p w14:paraId="5A0800D5" w14:textId="77777777" w:rsidR="000350D2" w:rsidRDefault="000350D2" w:rsidP="000350D2">
      <w:pPr>
        <w:jc w:val="both"/>
      </w:pPr>
    </w:p>
    <w:p w14:paraId="0014C4B3" w14:textId="084DD9BA" w:rsidR="000350D2" w:rsidRDefault="000350D2" w:rsidP="000350D2">
      <w:pPr>
        <w:jc w:val="both"/>
      </w:pPr>
      <w:r w:rsidRPr="00642ACC">
        <w:rPr>
          <w:b/>
          <w:bCs/>
        </w:rPr>
        <w:lastRenderedPageBreak/>
        <w:t>Ali mora posameznik zagotoviti osebne podatke ter kakšne so morebitne posledice, če jih ne zagotovi:</w:t>
      </w:r>
      <w:r w:rsidRPr="00642ACC">
        <w:t xml:space="preserve"> </w:t>
      </w:r>
      <w:r w:rsidRPr="007A2102">
        <w:t xml:space="preserve">V primeru, da ni mogoče preveriti izpolnjevanja razpisnih pogojev, se vloga na </w:t>
      </w:r>
      <w:r>
        <w:t>j</w:t>
      </w:r>
      <w:r w:rsidRPr="007A2102">
        <w:t>av</w:t>
      </w:r>
      <w:r w:rsidR="00C377BB">
        <w:t>n</w:t>
      </w:r>
      <w:r w:rsidRPr="007A2102">
        <w:t>i razpis / javni poziv ne more obravnavati in vloga se s sklepom zavrže.</w:t>
      </w:r>
      <w:r>
        <w:t xml:space="preserve"> </w:t>
      </w:r>
    </w:p>
    <w:p w14:paraId="513DA893" w14:textId="77777777" w:rsidR="00384AF5" w:rsidRPr="007A2102" w:rsidRDefault="00384AF5" w:rsidP="00384AF5">
      <w:pPr>
        <w:jc w:val="both"/>
      </w:pPr>
    </w:p>
    <w:p w14:paraId="03E05C04" w14:textId="6789A7DE" w:rsidR="007A2102" w:rsidRPr="007A2102" w:rsidRDefault="007A2102" w:rsidP="00384AF5">
      <w:pPr>
        <w:jc w:val="both"/>
      </w:pPr>
      <w:r w:rsidRPr="007A2102">
        <w:rPr>
          <w:b/>
        </w:rPr>
        <w:t xml:space="preserve">Informacije o obstoju avtomatiziranega sprejemanja odločitev, vključno z oblikovanjem profilov </w:t>
      </w:r>
      <w:r w:rsidRPr="007A2102">
        <w:t xml:space="preserve">ter vsaj v takih primerih smiselne informacije o </w:t>
      </w:r>
      <w:r w:rsidRPr="007A2102">
        <w:rPr>
          <w:b/>
        </w:rPr>
        <w:t>razlogih</w:t>
      </w:r>
      <w:r w:rsidRPr="007A2102">
        <w:t xml:space="preserve"> zanj, kot tudi </w:t>
      </w:r>
      <w:r w:rsidRPr="007A2102">
        <w:rPr>
          <w:b/>
        </w:rPr>
        <w:t>pomen</w:t>
      </w:r>
      <w:r w:rsidRPr="007A2102">
        <w:t xml:space="preserve"> in </w:t>
      </w:r>
      <w:r w:rsidRPr="007A2102">
        <w:rPr>
          <w:b/>
        </w:rPr>
        <w:t>predvidene posledice</w:t>
      </w:r>
      <w:r w:rsidRPr="007A2102">
        <w:t xml:space="preserve"> take obdelave za posameznika, na katerega se nanašajo osebni podatki: </w:t>
      </w:r>
    </w:p>
    <w:p w14:paraId="2B74CE38" w14:textId="25976313" w:rsidR="007C4D32" w:rsidRDefault="00384AF5" w:rsidP="00E231EB">
      <w:pPr>
        <w:jc w:val="both"/>
      </w:pPr>
      <w:r w:rsidRPr="00384AF5">
        <w:t xml:space="preserve">Prek sistema MFERAC se avtomatizirano preverja dejanske lastnike prijaviteljev, ki so v skladu z zakonom, ki ureja preprečevanje pranja denarja in financiranja terorizma, zavezani k vpisu podatkov v Register dejanskih lastnikov, ki ga vodi Agencija Republike Slovenije za javnopravne evidence in storitve (AJPES). Preverjanje pa je mogoče tudi prek integriranega orodja IT </w:t>
      </w:r>
      <w:proofErr w:type="spellStart"/>
      <w:r w:rsidRPr="00384AF5">
        <w:t>Arachne</w:t>
      </w:r>
      <w:proofErr w:type="spellEnd"/>
      <w:r w:rsidRPr="00384AF5">
        <w:t xml:space="preserve">, namenjenega podatkovnemu rudarjenju in obogatitvi podatkov, ki ga je razvila Evropska komisija in se uporablja na področju strukturnih skladov (Evropski socialni sklad, Kohezijski sklad in Evropski sklad za regionalni razvoj) </w:t>
      </w:r>
      <w:r w:rsidR="00DD5337" w:rsidRPr="00DD5337">
        <w:t xml:space="preserve">in Mehanizma za okrevanje in odpornost </w:t>
      </w:r>
      <w:r w:rsidRPr="00384AF5">
        <w:t>z namenom krepitve odkrivanja, preprečevanja in ugotavljanja goljufij.</w:t>
      </w:r>
    </w:p>
    <w:p w14:paraId="3BC0A6BF" w14:textId="77777777" w:rsidR="007C4D32" w:rsidRDefault="007C4D32" w:rsidP="00E231EB">
      <w:pPr>
        <w:jc w:val="both"/>
      </w:pPr>
    </w:p>
    <w:p w14:paraId="068C2F7D" w14:textId="4B0681BC" w:rsidR="00771D7D" w:rsidRDefault="00771D7D" w:rsidP="00E231EB">
      <w:pPr>
        <w:jc w:val="both"/>
      </w:pPr>
    </w:p>
    <w:sectPr w:rsidR="00771D7D" w:rsidSect="003A09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D249" w14:textId="77777777" w:rsidR="00D01888" w:rsidRDefault="00D01888" w:rsidP="008A4089">
      <w:pPr>
        <w:spacing w:line="240" w:lineRule="auto"/>
      </w:pPr>
      <w:r>
        <w:separator/>
      </w:r>
    </w:p>
  </w:endnote>
  <w:endnote w:type="continuationSeparator" w:id="0">
    <w:p w14:paraId="3BE1E056" w14:textId="77777777" w:rsidR="00D01888" w:rsidRDefault="00D01888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543" w14:textId="77777777" w:rsidR="003A0950" w:rsidRDefault="008A4089" w:rsidP="003A095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8CC9DD" w14:textId="77777777" w:rsidR="003A0950" w:rsidRDefault="003A09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E81" w14:textId="77777777" w:rsidR="003A0950" w:rsidRDefault="008A4089" w:rsidP="003A095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3CA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B6006E1" w14:textId="77777777" w:rsidR="003A0950" w:rsidRDefault="003A09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000C" w14:textId="77777777" w:rsidR="005141A8" w:rsidRDefault="005141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64F2" w14:textId="77777777" w:rsidR="00D01888" w:rsidRDefault="00D01888" w:rsidP="008A4089">
      <w:pPr>
        <w:spacing w:line="240" w:lineRule="auto"/>
      </w:pPr>
      <w:r>
        <w:separator/>
      </w:r>
    </w:p>
  </w:footnote>
  <w:footnote w:type="continuationSeparator" w:id="0">
    <w:p w14:paraId="67445299" w14:textId="77777777" w:rsidR="00D01888" w:rsidRDefault="00D01888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FB4" w14:textId="77777777" w:rsidR="003A0950" w:rsidRPr="00110CBD" w:rsidRDefault="003A0950" w:rsidP="003A095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3A0950" w:rsidRPr="008F3500" w14:paraId="49730E2A" w14:textId="77777777" w:rsidTr="003A0950">
      <w:trPr>
        <w:trHeight w:hRule="exact" w:val="847"/>
      </w:trPr>
      <w:tc>
        <w:tcPr>
          <w:tcW w:w="649" w:type="dxa"/>
        </w:tcPr>
        <w:p w14:paraId="243DA1B8" w14:textId="77777777" w:rsidR="003A0950" w:rsidRDefault="008A4089" w:rsidP="003A095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B71E26A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0B07DCCB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7AE1A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D4D0038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0E0E4EAC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5ECC65E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782F297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5A18104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FDF6186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7AD413F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CACF97B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2EBDD97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DA0D800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E8B526F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1E675BE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13FD8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3A0950" w:rsidRPr="008F3500" w14:paraId="555D54B4" w14:textId="77777777" w:rsidTr="003A0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DF32E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8876636" w14:textId="77777777" w:rsidR="003A0950" w:rsidRPr="008F3500" w:rsidRDefault="008A4089" w:rsidP="003A0950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287EAC" wp14:editId="1A90764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25EE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D692A3D" w14:textId="77777777" w:rsidR="003A0950" w:rsidRPr="008A4089" w:rsidRDefault="008A4089" w:rsidP="003A0950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4686537B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A3D702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12033852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20945A36" w14:textId="77777777" w:rsidR="003A0950" w:rsidRPr="008F3500" w:rsidRDefault="003A0950" w:rsidP="003A095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F01E3"/>
    <w:multiLevelType w:val="hybridMultilevel"/>
    <w:tmpl w:val="387075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6649">
    <w:abstractNumId w:val="1"/>
  </w:num>
  <w:num w:numId="2" w16cid:durableId="159208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EB"/>
    <w:rsid w:val="000150D5"/>
    <w:rsid w:val="00023433"/>
    <w:rsid w:val="000350D2"/>
    <w:rsid w:val="000B063E"/>
    <w:rsid w:val="000D620A"/>
    <w:rsid w:val="000F41D9"/>
    <w:rsid w:val="001224AC"/>
    <w:rsid w:val="00133C74"/>
    <w:rsid w:val="00144451"/>
    <w:rsid w:val="00181A7C"/>
    <w:rsid w:val="002041F5"/>
    <w:rsid w:val="00235750"/>
    <w:rsid w:val="0025577E"/>
    <w:rsid w:val="00291EE2"/>
    <w:rsid w:val="002D5083"/>
    <w:rsid w:val="002E1619"/>
    <w:rsid w:val="003108A5"/>
    <w:rsid w:val="00330F3B"/>
    <w:rsid w:val="003702FA"/>
    <w:rsid w:val="00374230"/>
    <w:rsid w:val="00384AF5"/>
    <w:rsid w:val="003A0950"/>
    <w:rsid w:val="003F5161"/>
    <w:rsid w:val="004302A6"/>
    <w:rsid w:val="00471175"/>
    <w:rsid w:val="004941CD"/>
    <w:rsid w:val="004E39F9"/>
    <w:rsid w:val="005141A8"/>
    <w:rsid w:val="005A0BE2"/>
    <w:rsid w:val="005C6349"/>
    <w:rsid w:val="005C693A"/>
    <w:rsid w:val="005D4228"/>
    <w:rsid w:val="005E0756"/>
    <w:rsid w:val="005F6C5C"/>
    <w:rsid w:val="00605113"/>
    <w:rsid w:val="00627A54"/>
    <w:rsid w:val="00631DA0"/>
    <w:rsid w:val="00642ACC"/>
    <w:rsid w:val="0067273F"/>
    <w:rsid w:val="006C767F"/>
    <w:rsid w:val="006F6154"/>
    <w:rsid w:val="00722E8D"/>
    <w:rsid w:val="00771D7D"/>
    <w:rsid w:val="0079510C"/>
    <w:rsid w:val="007A20B1"/>
    <w:rsid w:val="007A2102"/>
    <w:rsid w:val="007A64F5"/>
    <w:rsid w:val="007B7878"/>
    <w:rsid w:val="007C4D32"/>
    <w:rsid w:val="007E7E5D"/>
    <w:rsid w:val="00863AA6"/>
    <w:rsid w:val="00864FF6"/>
    <w:rsid w:val="008A35FC"/>
    <w:rsid w:val="008A4089"/>
    <w:rsid w:val="009C15A8"/>
    <w:rsid w:val="00A17260"/>
    <w:rsid w:val="00A33BB5"/>
    <w:rsid w:val="00A57E9C"/>
    <w:rsid w:val="00A902BB"/>
    <w:rsid w:val="00AB3A39"/>
    <w:rsid w:val="00AB660A"/>
    <w:rsid w:val="00AC1684"/>
    <w:rsid w:val="00B12F1A"/>
    <w:rsid w:val="00BA0488"/>
    <w:rsid w:val="00BB3597"/>
    <w:rsid w:val="00C3025A"/>
    <w:rsid w:val="00C32A79"/>
    <w:rsid w:val="00C377BB"/>
    <w:rsid w:val="00C51F2D"/>
    <w:rsid w:val="00C60398"/>
    <w:rsid w:val="00C672D5"/>
    <w:rsid w:val="00C77296"/>
    <w:rsid w:val="00C97186"/>
    <w:rsid w:val="00CD5935"/>
    <w:rsid w:val="00D01888"/>
    <w:rsid w:val="00D221AA"/>
    <w:rsid w:val="00D455AC"/>
    <w:rsid w:val="00D518DA"/>
    <w:rsid w:val="00D57433"/>
    <w:rsid w:val="00D66869"/>
    <w:rsid w:val="00DD3CAF"/>
    <w:rsid w:val="00DD5337"/>
    <w:rsid w:val="00DF5877"/>
    <w:rsid w:val="00E07234"/>
    <w:rsid w:val="00E21647"/>
    <w:rsid w:val="00E231EB"/>
    <w:rsid w:val="00E51563"/>
    <w:rsid w:val="00E53616"/>
    <w:rsid w:val="00E85021"/>
    <w:rsid w:val="00F13FDD"/>
    <w:rsid w:val="00F17F85"/>
    <w:rsid w:val="00F349F0"/>
    <w:rsid w:val="00F80A26"/>
    <w:rsid w:val="00FA7FF9"/>
    <w:rsid w:val="00FB2E45"/>
    <w:rsid w:val="00FC334B"/>
    <w:rsid w:val="00FC56CB"/>
    <w:rsid w:val="00FC6A27"/>
    <w:rsid w:val="00FD2735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5C2"/>
  <w15:chartTrackingRefBased/>
  <w15:docId w15:val="{ED4F14DF-4FEA-4ACB-A715-B970067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E23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723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F615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F615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F615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27A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8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84AF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84AF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4AF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8C98F4-87C2-4A27-A857-16CAF88F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0</TotalTime>
  <Pages>2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Gregorčič-Belšak</dc:creator>
  <cp:keywords/>
  <dc:description/>
  <cp:lastModifiedBy>Maruša Vidmar</cp:lastModifiedBy>
  <cp:revision>2</cp:revision>
  <cp:lastPrinted>2022-04-20T12:17:00Z</cp:lastPrinted>
  <dcterms:created xsi:type="dcterms:W3CDTF">2024-02-28T08:51:00Z</dcterms:created>
  <dcterms:modified xsi:type="dcterms:W3CDTF">2024-02-28T08:51:00Z</dcterms:modified>
</cp:coreProperties>
</file>