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0019047"/>
        <w:docPartObj>
          <w:docPartGallery w:val="Cover Pages"/>
          <w:docPartUnique/>
        </w:docPartObj>
      </w:sdtPr>
      <w:sdtEndPr>
        <w:rPr>
          <w:rFonts w:asciiTheme="majorHAnsi" w:hAnsiTheme="majorHAnsi"/>
          <w:sz w:val="18"/>
          <w:szCs w:val="18"/>
        </w:rPr>
      </w:sdtEndPr>
      <w:sdtContent>
        <w:p w14:paraId="1627A467" w14:textId="77777777" w:rsidR="008039E7" w:rsidRPr="005D25FC" w:rsidRDefault="008039E7" w:rsidP="00EC4FB9">
          <w:pPr>
            <w:spacing w:line="276" w:lineRule="auto"/>
          </w:pPr>
          <w:r>
            <w:rPr>
              <w:noProof/>
              <w:lang w:val="sl-SI" w:eastAsia="sl-SI"/>
            </w:rPr>
            <mc:AlternateContent>
              <mc:Choice Requires="wps">
                <w:drawing>
                  <wp:inline distT="0" distB="0" distL="0" distR="0" wp14:anchorId="656DE116" wp14:editId="25230FE0">
                    <wp:extent cx="6019165" cy="9620250"/>
                    <wp:effectExtent l="0" t="0" r="635" b="0"/>
                    <wp:docPr id="14" name="Text Box 14"/>
                    <wp:cNvGraphicFramePr/>
                    <a:graphic xmlns:a="http://schemas.openxmlformats.org/drawingml/2006/main">
                      <a:graphicData uri="http://schemas.microsoft.com/office/word/2010/wordprocessingShape">
                        <wps:wsp>
                          <wps:cNvSpPr txBox="1"/>
                          <wps:spPr>
                            <a:xfrm>
                              <a:off x="0" y="0"/>
                              <a:ext cx="6019165" cy="9620250"/>
                            </a:xfrm>
                            <a:prstGeom prst="rect">
                              <a:avLst/>
                            </a:prstGeom>
                            <a:solidFill>
                              <a:schemeClr val="bg1"/>
                            </a:solidFill>
                            <a:ln w="6350">
                              <a:noFill/>
                            </a:ln>
                          </wps:spPr>
                          <wps:txbx>
                            <w:txbxContent>
                              <w:p w14:paraId="0CA2E5BE" w14:textId="77777777" w:rsidR="0042619C" w:rsidRDefault="0042619C" w:rsidP="00EC4FB9">
                                <w:pPr>
                                  <w:pStyle w:val="CoverNormal"/>
                                  <w:spacing w:after="240"/>
                                  <w:jc w:val="center"/>
                                </w:pPr>
                              </w:p>
                              <w:p w14:paraId="60546478" w14:textId="77777777" w:rsidR="0042619C" w:rsidRDefault="0042619C" w:rsidP="00EC4FB9">
                                <w:pPr>
                                  <w:pStyle w:val="CoverNormal"/>
                                  <w:spacing w:after="240"/>
                                  <w:jc w:val="center"/>
                                </w:pPr>
                              </w:p>
                              <w:p w14:paraId="209F3424" w14:textId="77777777" w:rsidR="0042619C" w:rsidRDefault="007C6346" w:rsidP="00EC4FB9">
                                <w:pPr>
                                  <w:pStyle w:val="CoverSeriesTitlePublication"/>
                                  <w:jc w:val="center"/>
                                </w:pPr>
                                <w:sdt>
                                  <w:sdtPr>
                                    <w:alias w:val="Series Title"/>
                                    <w:tag w:val="Series Title"/>
                                    <w:id w:val="-855420674"/>
                                  </w:sdtPr>
                                  <w:sdtEndPr/>
                                  <w:sdtContent>
                                    <w:r w:rsidR="0042619C">
                                      <w:rPr>
                                        <w:lang w:val="sl"/>
                                      </w:rPr>
                                      <w:t xml:space="preserve"> </w:t>
                                    </w:r>
                                  </w:sdtContent>
                                </w:sdt>
                              </w:p>
                              <w:p w14:paraId="16A00A7E" w14:textId="77777777" w:rsidR="0042619C" w:rsidRDefault="0042619C" w:rsidP="00EC4FB9">
                                <w:pPr>
                                  <w:pStyle w:val="CoverNormal"/>
                                  <w:jc w:val="center"/>
                                </w:pPr>
                              </w:p>
                              <w:p w14:paraId="14BF4D35" w14:textId="77777777" w:rsidR="0042619C" w:rsidRDefault="0042619C" w:rsidP="00EC4FB9">
                                <w:pPr>
                                  <w:pStyle w:val="CoverNormal"/>
                                  <w:jc w:val="center"/>
                                </w:pPr>
                              </w:p>
                              <w:p w14:paraId="0A019E08" w14:textId="77777777" w:rsidR="0042619C" w:rsidRDefault="0042619C" w:rsidP="00EC4FB9">
                                <w:pPr>
                                  <w:pStyle w:val="CoverNormal"/>
                                  <w:jc w:val="center"/>
                                </w:pPr>
                              </w:p>
                              <w:p w14:paraId="7B186016" w14:textId="77777777" w:rsidR="0042619C" w:rsidRDefault="0042619C" w:rsidP="00EC4FB9">
                                <w:pPr>
                                  <w:pStyle w:val="CoverNormal"/>
                                  <w:jc w:val="center"/>
                                </w:pPr>
                              </w:p>
                              <w:p w14:paraId="712B1B42" w14:textId="77777777" w:rsidR="0042619C" w:rsidRDefault="0042619C" w:rsidP="00EC4FB9">
                                <w:pPr>
                                  <w:pStyle w:val="CoverNormal"/>
                                  <w:jc w:val="center"/>
                                </w:pPr>
                              </w:p>
                              <w:p w14:paraId="1DC1A924" w14:textId="77777777" w:rsidR="0042619C" w:rsidRPr="008E334D" w:rsidRDefault="0042619C" w:rsidP="00EC4FB9">
                                <w:pPr>
                                  <w:pStyle w:val="CoverNormal"/>
                                  <w:jc w:val="center"/>
                                </w:pPr>
                              </w:p>
                              <w:p w14:paraId="29828ECA" w14:textId="77777777" w:rsidR="0042619C" w:rsidRPr="008E334D" w:rsidRDefault="007C6346" w:rsidP="008039E7">
                                <w:pPr>
                                  <w:pStyle w:val="CoverTitlePublication"/>
                                  <w:spacing w:after="800"/>
                                </w:pPr>
                                <w:sdt>
                                  <w:sdtPr>
                                    <w:alias w:val="Document Title"/>
                                    <w:tag w:val="txtDocTitle"/>
                                    <w:id w:val="-1963103887"/>
                                    <w:dataBinding w:prefixMappings="xmlns:ns0='http://purl.org/dc/elements/1.1/' xmlns:ns1='http://schemas.openxmlformats.org/package/2006/metadata/core-properties' " w:xpath="/ns1:coreProperties[1]/ns0:title[1]" w:storeItemID="{6C3C8BC8-F283-45AE-878A-BAB7291924A1}"/>
                                    <w:text w:multiLine="1"/>
                                  </w:sdtPr>
                                  <w:sdtEndPr/>
                                  <w:sdtContent>
                                    <w:r w:rsidR="0042619C">
                                      <w:t>OECD Guidelines for Multinational Enterprises on Responsible Business Conduct</w:t>
                                    </w:r>
                                  </w:sdtContent>
                                </w:sdt>
                              </w:p>
                              <w:p w14:paraId="10ACA484" w14:textId="77777777" w:rsidR="0042619C" w:rsidRPr="00E92039" w:rsidRDefault="007C6346" w:rsidP="00EC4FB9">
                                <w:pPr>
                                  <w:pStyle w:val="CoverSubtitlePublication"/>
                                </w:pPr>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42619C">
                                      <w:t xml:space="preserve">     </w:t>
                                    </w:r>
                                  </w:sdtContent>
                                </w:sdt>
                              </w:p>
                              <w:p w14:paraId="4A301A38" w14:textId="77777777" w:rsidR="0042619C" w:rsidRDefault="0042619C" w:rsidP="00EC4FB9">
                                <w:pPr>
                                  <w:pStyle w:val="CoverNormal"/>
                                  <w:jc w:val="center"/>
                                </w:pPr>
                              </w:p>
                              <w:p w14:paraId="326AAE03" w14:textId="77777777" w:rsidR="0042619C" w:rsidRDefault="0042619C" w:rsidP="00EC4FB9">
                                <w:pPr>
                                  <w:pStyle w:val="CoverNormal"/>
                                  <w:jc w:val="center"/>
                                </w:pPr>
                              </w:p>
                              <w:p w14:paraId="41A2707F" w14:textId="77777777" w:rsidR="0042619C" w:rsidRDefault="0042619C" w:rsidP="00EC4FB9">
                                <w:pPr>
                                  <w:pStyle w:val="CoverNormal"/>
                                  <w:jc w:val="center"/>
                                </w:pPr>
                              </w:p>
                              <w:p w14:paraId="0FC295F3" w14:textId="77777777" w:rsidR="0042619C" w:rsidRDefault="0042619C" w:rsidP="00EC4FB9">
                                <w:pPr>
                                  <w:pStyle w:val="CoverNormal"/>
                                  <w:jc w:val="center"/>
                                </w:pPr>
                              </w:p>
                              <w:p w14:paraId="36FF4EA4" w14:textId="77777777" w:rsidR="0042619C" w:rsidRDefault="0042619C" w:rsidP="00EC4FB9">
                                <w:pPr>
                                  <w:pStyle w:val="CoverNormal"/>
                                  <w:jc w:val="center"/>
                                </w:pPr>
                              </w:p>
                              <w:p w14:paraId="7B78A85D" w14:textId="77777777" w:rsidR="0042619C" w:rsidRDefault="0042619C" w:rsidP="00EC4FB9">
                                <w:pPr>
                                  <w:pStyle w:val="CoverNormal"/>
                                  <w:jc w:val="center"/>
                                </w:pPr>
                              </w:p>
                              <w:p w14:paraId="5EE0003A" w14:textId="77777777" w:rsidR="0042619C" w:rsidRDefault="0042619C" w:rsidP="00EC4FB9">
                                <w:pPr>
                                  <w:pStyle w:val="CoverNormal"/>
                                  <w:jc w:val="center"/>
                                </w:pPr>
                              </w:p>
                              <w:p w14:paraId="5275A86E" w14:textId="77777777" w:rsidR="0042619C" w:rsidRDefault="0042619C" w:rsidP="00EC4FB9">
                                <w:pPr>
                                  <w:pStyle w:val="CoverNormal"/>
                                  <w:jc w:val="center"/>
                                </w:pPr>
                              </w:p>
                              <w:p w14:paraId="06CB6B5E" w14:textId="77777777" w:rsidR="0042619C" w:rsidRDefault="0042619C" w:rsidP="00EC4FB9">
                                <w:pPr>
                                  <w:pStyle w:val="CoverNormal"/>
                                  <w:jc w:val="center"/>
                                </w:pPr>
                              </w:p>
                              <w:p w14:paraId="44E29BBD" w14:textId="77777777" w:rsidR="0042619C" w:rsidRDefault="0042619C" w:rsidP="00EC4FB9">
                                <w:pPr>
                                  <w:pStyle w:val="CoverNormal"/>
                                  <w:jc w:val="center"/>
                                </w:pPr>
                              </w:p>
                              <w:p w14:paraId="447D6A0A" w14:textId="77777777" w:rsidR="0042619C" w:rsidRDefault="0042619C" w:rsidP="00EC4FB9">
                                <w:pPr>
                                  <w:pStyle w:val="CoverNormal"/>
                                  <w:jc w:val="center"/>
                                </w:pPr>
                              </w:p>
                              <w:p w14:paraId="1A59ED4F" w14:textId="77777777" w:rsidR="0042619C" w:rsidRDefault="0042619C" w:rsidP="00EC4FB9">
                                <w:pPr>
                                  <w:pStyle w:val="CoverNormal"/>
                                  <w:jc w:val="center"/>
                                </w:pPr>
                              </w:p>
                              <w:p w14:paraId="06F1A3DA" w14:textId="77777777" w:rsidR="0042619C" w:rsidRDefault="0042619C" w:rsidP="00EC4FB9">
                                <w:pPr>
                                  <w:pStyle w:val="CoverNormal"/>
                                  <w:jc w:val="center"/>
                                </w:pPr>
                              </w:p>
                              <w:p w14:paraId="7F27A5DA" w14:textId="77777777" w:rsidR="0042619C" w:rsidRDefault="0042619C" w:rsidP="00EC4FB9">
                                <w:pPr>
                                  <w:pStyle w:val="CoverNormal"/>
                                  <w:jc w:val="center"/>
                                </w:pPr>
                              </w:p>
                              <w:p w14:paraId="2F129D39" w14:textId="77777777" w:rsidR="0042619C" w:rsidRDefault="0042619C" w:rsidP="00EC4FB9">
                                <w:pPr>
                                  <w:pStyle w:val="CoverNormal"/>
                                  <w:jc w:val="center"/>
                                </w:pPr>
                              </w:p>
                              <w:p w14:paraId="78266573" w14:textId="77777777" w:rsidR="0042619C" w:rsidRDefault="0042619C" w:rsidP="00EC4FB9">
                                <w:pPr>
                                  <w:pStyle w:val="CoverNormal"/>
                                  <w:jc w:val="center"/>
                                </w:pPr>
                              </w:p>
                              <w:p w14:paraId="740EF37F" w14:textId="77777777" w:rsidR="0042619C" w:rsidRDefault="0042619C" w:rsidP="00EC4FB9">
                                <w:pPr>
                                  <w:pStyle w:val="CoverNormal"/>
                                  <w:jc w:val="center"/>
                                </w:pPr>
                              </w:p>
                              <w:p w14:paraId="7CA03FC0" w14:textId="77777777" w:rsidR="0042619C" w:rsidRDefault="0042619C" w:rsidP="00EC4FB9">
                                <w:pPr>
                                  <w:pStyle w:val="CoverNormal"/>
                                  <w:jc w:val="center"/>
                                </w:pPr>
                              </w:p>
                              <w:p w14:paraId="2ABAA941" w14:textId="77777777" w:rsidR="0042619C" w:rsidRDefault="0042619C" w:rsidP="00EC4FB9">
                                <w:pPr>
                                  <w:pStyle w:val="CoverNormal"/>
                                  <w:jc w:val="center"/>
                                </w:pPr>
                              </w:p>
                              <w:p w14:paraId="55FBE9DE" w14:textId="77777777" w:rsidR="0042619C" w:rsidRDefault="0042619C" w:rsidP="00EC4FB9">
                                <w:pPr>
                                  <w:pStyle w:val="CoverNormal"/>
                                  <w:jc w:val="center"/>
                                </w:pPr>
                              </w:p>
                              <w:p w14:paraId="3C47DFE3" w14:textId="77777777" w:rsidR="0042619C" w:rsidRDefault="0042619C" w:rsidP="00EC4FB9">
                                <w:pPr>
                                  <w:pStyle w:val="CoverNormal"/>
                                  <w:jc w:val="center"/>
                                </w:pPr>
                              </w:p>
                              <w:p w14:paraId="2C64D312" w14:textId="77777777" w:rsidR="0042619C" w:rsidRDefault="0042619C" w:rsidP="00EC4FB9">
                                <w:pPr>
                                  <w:pStyle w:val="CoverNormal"/>
                                  <w:jc w:val="center"/>
                                </w:pPr>
                              </w:p>
                              <w:p w14:paraId="33021795" w14:textId="77777777" w:rsidR="0042619C" w:rsidRDefault="0042619C" w:rsidP="00EC4FB9">
                                <w:pPr>
                                  <w:pStyle w:val="CoverNormal"/>
                                  <w:jc w:val="center"/>
                                </w:pPr>
                              </w:p>
                              <w:p w14:paraId="724F71E3" w14:textId="77777777" w:rsidR="0042619C" w:rsidRDefault="0042619C" w:rsidP="00EC4FB9">
                                <w:pPr>
                                  <w:pStyle w:val="CoverNormal"/>
                                  <w:jc w:val="center"/>
                                </w:pPr>
                              </w:p>
                              <w:p w14:paraId="6CD10B98" w14:textId="77777777" w:rsidR="0042619C" w:rsidRDefault="0042619C" w:rsidP="00EC4FB9">
                                <w:pPr>
                                  <w:pStyle w:val="CoverNormal"/>
                                  <w:jc w:val="center"/>
                                </w:pPr>
                              </w:p>
                              <w:p w14:paraId="2AB6C96B" w14:textId="77777777" w:rsidR="0042619C" w:rsidRDefault="0042619C" w:rsidP="00EC4FB9">
                                <w:pPr>
                                  <w:pStyle w:val="CoverNormal"/>
                                  <w:jc w:val="center"/>
                                </w:pPr>
                              </w:p>
                              <w:p w14:paraId="4159E9CF" w14:textId="77777777" w:rsidR="0042619C" w:rsidRDefault="0042619C" w:rsidP="00EC4FB9">
                                <w:pPr>
                                  <w:pStyle w:val="CoverNormal"/>
                                  <w:jc w:val="center"/>
                                </w:pPr>
                              </w:p>
                              <w:p w14:paraId="316B7F2B" w14:textId="77777777" w:rsidR="0042619C" w:rsidRDefault="0042619C" w:rsidP="00EC4FB9">
                                <w:pPr>
                                  <w:pStyle w:val="CoverNormal"/>
                                  <w:jc w:val="center"/>
                                </w:pPr>
                              </w:p>
                              <w:p w14:paraId="03FA6DB7" w14:textId="77777777" w:rsidR="0042619C" w:rsidRDefault="0042619C" w:rsidP="00EC4FB9">
                                <w:pPr>
                                  <w:pStyle w:val="CoverNormal"/>
                                  <w:jc w:val="center"/>
                                </w:pPr>
                              </w:p>
                              <w:p w14:paraId="394FB7D5" w14:textId="77777777" w:rsidR="0042619C" w:rsidRDefault="0042619C" w:rsidP="00EC4FB9">
                                <w:pPr>
                                  <w:pStyle w:val="CoverNormal"/>
                                  <w:jc w:val="center"/>
                                </w:pPr>
                              </w:p>
                              <w:p w14:paraId="424C429E" w14:textId="77777777" w:rsidR="0042619C" w:rsidRDefault="0042619C" w:rsidP="00EC4FB9">
                                <w:pPr>
                                  <w:pStyle w:val="CoverNormal"/>
                                  <w:jc w:val="center"/>
                                </w:pPr>
                              </w:p>
                              <w:p w14:paraId="02A471E2" w14:textId="77777777" w:rsidR="0042619C" w:rsidRDefault="0042619C" w:rsidP="00EC4FB9">
                                <w:pPr>
                                  <w:pStyle w:val="CoverNormal"/>
                                  <w:jc w:val="center"/>
                                </w:pPr>
                              </w:p>
                              <w:sdt>
                                <w:sdtPr>
                                  <w:rPr>
                                    <w:noProof/>
                                  </w:rPr>
                                  <w:alias w:val="OECD logo"/>
                                  <w:tag w:val="imgOECDLogo"/>
                                  <w:id w:val="1328472876"/>
                                  <w:picture/>
                                </w:sdtPr>
                                <w:sdtEndPr/>
                                <w:sdtContent>
                                  <w:p w14:paraId="2B884330" w14:textId="77777777" w:rsidR="0042619C" w:rsidRDefault="0042619C" w:rsidP="007C6346">
                                    <w:pPr>
                                      <w:pStyle w:val="CoverNormal"/>
                                      <w:jc w:val="center"/>
                                    </w:pPr>
                                    <w:r>
                                      <w:rPr>
                                        <w:noProof/>
                                        <w:lang w:val="sl-SI" w:eastAsia="sl-SI"/>
                                      </w:rPr>
                                      <w:drawing>
                                        <wp:inline distT="0" distB="0" distL="0" distR="0" wp14:anchorId="4E64FE6A" wp14:editId="1196D3C4">
                                          <wp:extent cx="1641361" cy="392567"/>
                                          <wp:effectExtent l="0" t="0" r="0" b="7620"/>
                                          <wp:docPr id="15" name="Picture 15" descr="Logotip O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tip OEC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p w14:paraId="2B6A3E06" w14:textId="77777777" w:rsidR="0042619C" w:rsidRDefault="0042619C" w:rsidP="00EC4FB9">
                                <w:pPr>
                                  <w:pStyle w:val="CoverNormal"/>
                                  <w:jc w:val="center"/>
                                </w:pPr>
                              </w:p>
                              <w:p w14:paraId="25DA38FC" w14:textId="77777777" w:rsidR="0042619C" w:rsidRPr="00310112" w:rsidRDefault="0042619C" w:rsidP="00EC4FB9">
                                <w:pPr>
                                  <w:pStyle w:val="Cover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6DE116" id="_x0000_t202" coordsize="21600,21600" o:spt="202" path="m,l,21600r21600,l21600,xe">
                    <v:stroke joinstyle="miter"/>
                    <v:path gradientshapeok="t" o:connecttype="rect"/>
                  </v:shapetype>
                  <v:shape id="Text Box 14" o:spid="_x0000_s1026" type="#_x0000_t202" style="width:473.9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" fillcolor="white [3212]" stroked="f" strokeweight=".5pt">
                    <v:textbox>
                      <w:txbxContent>
                        <w:p w14:paraId="0CA2E5BE" w14:textId="77777777" w:rsidR="0042619C" w:rsidRDefault="0042619C" w:rsidP="00EC4FB9">
                          <w:pPr>
                            <w:pStyle w:val="CoverNormal"/>
                            <w:spacing w:after="240"/>
                            <w:jc w:val="center"/>
                          </w:pPr>
                        </w:p>
                        <w:p w14:paraId="60546478" w14:textId="77777777" w:rsidR="0042619C" w:rsidRDefault="0042619C" w:rsidP="00EC4FB9">
                          <w:pPr>
                            <w:pStyle w:val="CoverNormal"/>
                            <w:spacing w:after="240"/>
                            <w:jc w:val="center"/>
                          </w:pPr>
                        </w:p>
                        <w:p w14:paraId="209F3424" w14:textId="77777777" w:rsidR="0042619C" w:rsidRDefault="007C6346" w:rsidP="00EC4FB9">
                          <w:pPr>
                            <w:pStyle w:val="CoverSeriesTitlePublication"/>
                            <w:jc w:val="center"/>
                          </w:pPr>
                          <w:sdt>
                            <w:sdtPr>
                              <w:alias w:val="Series Title"/>
                              <w:tag w:val="Series Title"/>
                              <w:id w:val="-855420674"/>
                            </w:sdtPr>
                            <w:sdtEndPr/>
                            <w:sdtContent>
                              <w:r w:rsidR="0042619C">
                                <w:rPr>
                                  <w:lang w:val="sl"/>
                                </w:rPr>
                                <w:t xml:space="preserve"> </w:t>
                              </w:r>
                            </w:sdtContent>
                          </w:sdt>
                        </w:p>
                        <w:p w14:paraId="16A00A7E" w14:textId="77777777" w:rsidR="0042619C" w:rsidRDefault="0042619C" w:rsidP="00EC4FB9">
                          <w:pPr>
                            <w:pStyle w:val="CoverNormal"/>
                            <w:jc w:val="center"/>
                          </w:pPr>
                        </w:p>
                        <w:p w14:paraId="14BF4D35" w14:textId="77777777" w:rsidR="0042619C" w:rsidRDefault="0042619C" w:rsidP="00EC4FB9">
                          <w:pPr>
                            <w:pStyle w:val="CoverNormal"/>
                            <w:jc w:val="center"/>
                          </w:pPr>
                        </w:p>
                        <w:p w14:paraId="0A019E08" w14:textId="77777777" w:rsidR="0042619C" w:rsidRDefault="0042619C" w:rsidP="00EC4FB9">
                          <w:pPr>
                            <w:pStyle w:val="CoverNormal"/>
                            <w:jc w:val="center"/>
                          </w:pPr>
                        </w:p>
                        <w:p w14:paraId="7B186016" w14:textId="77777777" w:rsidR="0042619C" w:rsidRDefault="0042619C" w:rsidP="00EC4FB9">
                          <w:pPr>
                            <w:pStyle w:val="CoverNormal"/>
                            <w:jc w:val="center"/>
                          </w:pPr>
                        </w:p>
                        <w:p w14:paraId="712B1B42" w14:textId="77777777" w:rsidR="0042619C" w:rsidRDefault="0042619C" w:rsidP="00EC4FB9">
                          <w:pPr>
                            <w:pStyle w:val="CoverNormal"/>
                            <w:jc w:val="center"/>
                          </w:pPr>
                        </w:p>
                        <w:p w14:paraId="1DC1A924" w14:textId="77777777" w:rsidR="0042619C" w:rsidRPr="008E334D" w:rsidRDefault="0042619C" w:rsidP="00EC4FB9">
                          <w:pPr>
                            <w:pStyle w:val="CoverNormal"/>
                            <w:jc w:val="center"/>
                          </w:pPr>
                        </w:p>
                        <w:p w14:paraId="29828ECA" w14:textId="77777777" w:rsidR="0042619C" w:rsidRPr="008E334D" w:rsidRDefault="007C6346" w:rsidP="008039E7">
                          <w:pPr>
                            <w:pStyle w:val="CoverTitlePublication"/>
                            <w:spacing w:after="800"/>
                          </w:pPr>
                          <w:sdt>
                            <w:sdtPr>
                              <w:alias w:val="Document Title"/>
                              <w:tag w:val="txtDocTitle"/>
                              <w:id w:val="-1963103887"/>
                              <w:dataBinding w:prefixMappings="xmlns:ns0='http://purl.org/dc/elements/1.1/' xmlns:ns1='http://schemas.openxmlformats.org/package/2006/metadata/core-properties' " w:xpath="/ns1:coreProperties[1]/ns0:title[1]" w:storeItemID="{6C3C8BC8-F283-45AE-878A-BAB7291924A1}"/>
                              <w:text w:multiLine="1"/>
                            </w:sdtPr>
                            <w:sdtEndPr/>
                            <w:sdtContent>
                              <w:r w:rsidR="0042619C">
                                <w:t>OECD Guidelines for Multinational Enterprises on Responsible Business Conduct</w:t>
                              </w:r>
                            </w:sdtContent>
                          </w:sdt>
                        </w:p>
                        <w:p w14:paraId="10ACA484" w14:textId="77777777" w:rsidR="0042619C" w:rsidRPr="00E92039" w:rsidRDefault="007C6346" w:rsidP="00EC4FB9">
                          <w:pPr>
                            <w:pStyle w:val="CoverSubtitlePublication"/>
                          </w:pPr>
                          <w:sdt>
                            <w:sdtPr>
                              <w:alias w:val="Document Subtitle"/>
                              <w:tag w:val="txtDocSubtitle"/>
                              <w:id w:val="-1399041348"/>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42619C">
                                <w:t xml:space="preserve">     </w:t>
                              </w:r>
                            </w:sdtContent>
                          </w:sdt>
                        </w:p>
                        <w:p w14:paraId="4A301A38" w14:textId="77777777" w:rsidR="0042619C" w:rsidRDefault="0042619C" w:rsidP="00EC4FB9">
                          <w:pPr>
                            <w:pStyle w:val="CoverNormal"/>
                            <w:jc w:val="center"/>
                          </w:pPr>
                        </w:p>
                        <w:p w14:paraId="326AAE03" w14:textId="77777777" w:rsidR="0042619C" w:rsidRDefault="0042619C" w:rsidP="00EC4FB9">
                          <w:pPr>
                            <w:pStyle w:val="CoverNormal"/>
                            <w:jc w:val="center"/>
                          </w:pPr>
                        </w:p>
                        <w:p w14:paraId="41A2707F" w14:textId="77777777" w:rsidR="0042619C" w:rsidRDefault="0042619C" w:rsidP="00EC4FB9">
                          <w:pPr>
                            <w:pStyle w:val="CoverNormal"/>
                            <w:jc w:val="center"/>
                          </w:pPr>
                        </w:p>
                        <w:p w14:paraId="0FC295F3" w14:textId="77777777" w:rsidR="0042619C" w:rsidRDefault="0042619C" w:rsidP="00EC4FB9">
                          <w:pPr>
                            <w:pStyle w:val="CoverNormal"/>
                            <w:jc w:val="center"/>
                          </w:pPr>
                        </w:p>
                        <w:p w14:paraId="36FF4EA4" w14:textId="77777777" w:rsidR="0042619C" w:rsidRDefault="0042619C" w:rsidP="00EC4FB9">
                          <w:pPr>
                            <w:pStyle w:val="CoverNormal"/>
                            <w:jc w:val="center"/>
                          </w:pPr>
                        </w:p>
                        <w:p w14:paraId="7B78A85D" w14:textId="77777777" w:rsidR="0042619C" w:rsidRDefault="0042619C" w:rsidP="00EC4FB9">
                          <w:pPr>
                            <w:pStyle w:val="CoverNormal"/>
                            <w:jc w:val="center"/>
                          </w:pPr>
                        </w:p>
                        <w:p w14:paraId="5EE0003A" w14:textId="77777777" w:rsidR="0042619C" w:rsidRDefault="0042619C" w:rsidP="00EC4FB9">
                          <w:pPr>
                            <w:pStyle w:val="CoverNormal"/>
                            <w:jc w:val="center"/>
                          </w:pPr>
                        </w:p>
                        <w:p w14:paraId="5275A86E" w14:textId="77777777" w:rsidR="0042619C" w:rsidRDefault="0042619C" w:rsidP="00EC4FB9">
                          <w:pPr>
                            <w:pStyle w:val="CoverNormal"/>
                            <w:jc w:val="center"/>
                          </w:pPr>
                        </w:p>
                        <w:p w14:paraId="06CB6B5E" w14:textId="77777777" w:rsidR="0042619C" w:rsidRDefault="0042619C" w:rsidP="00EC4FB9">
                          <w:pPr>
                            <w:pStyle w:val="CoverNormal"/>
                            <w:jc w:val="center"/>
                          </w:pPr>
                        </w:p>
                        <w:p w14:paraId="44E29BBD" w14:textId="77777777" w:rsidR="0042619C" w:rsidRDefault="0042619C" w:rsidP="00EC4FB9">
                          <w:pPr>
                            <w:pStyle w:val="CoverNormal"/>
                            <w:jc w:val="center"/>
                          </w:pPr>
                        </w:p>
                        <w:p w14:paraId="447D6A0A" w14:textId="77777777" w:rsidR="0042619C" w:rsidRDefault="0042619C" w:rsidP="00EC4FB9">
                          <w:pPr>
                            <w:pStyle w:val="CoverNormal"/>
                            <w:jc w:val="center"/>
                          </w:pPr>
                        </w:p>
                        <w:p w14:paraId="1A59ED4F" w14:textId="77777777" w:rsidR="0042619C" w:rsidRDefault="0042619C" w:rsidP="00EC4FB9">
                          <w:pPr>
                            <w:pStyle w:val="CoverNormal"/>
                            <w:jc w:val="center"/>
                          </w:pPr>
                        </w:p>
                        <w:p w14:paraId="06F1A3DA" w14:textId="77777777" w:rsidR="0042619C" w:rsidRDefault="0042619C" w:rsidP="00EC4FB9">
                          <w:pPr>
                            <w:pStyle w:val="CoverNormal"/>
                            <w:jc w:val="center"/>
                          </w:pPr>
                        </w:p>
                        <w:p w14:paraId="7F27A5DA" w14:textId="77777777" w:rsidR="0042619C" w:rsidRDefault="0042619C" w:rsidP="00EC4FB9">
                          <w:pPr>
                            <w:pStyle w:val="CoverNormal"/>
                            <w:jc w:val="center"/>
                          </w:pPr>
                        </w:p>
                        <w:p w14:paraId="2F129D39" w14:textId="77777777" w:rsidR="0042619C" w:rsidRDefault="0042619C" w:rsidP="00EC4FB9">
                          <w:pPr>
                            <w:pStyle w:val="CoverNormal"/>
                            <w:jc w:val="center"/>
                          </w:pPr>
                        </w:p>
                        <w:p w14:paraId="78266573" w14:textId="77777777" w:rsidR="0042619C" w:rsidRDefault="0042619C" w:rsidP="00EC4FB9">
                          <w:pPr>
                            <w:pStyle w:val="CoverNormal"/>
                            <w:jc w:val="center"/>
                          </w:pPr>
                        </w:p>
                        <w:p w14:paraId="740EF37F" w14:textId="77777777" w:rsidR="0042619C" w:rsidRDefault="0042619C" w:rsidP="00EC4FB9">
                          <w:pPr>
                            <w:pStyle w:val="CoverNormal"/>
                            <w:jc w:val="center"/>
                          </w:pPr>
                        </w:p>
                        <w:p w14:paraId="7CA03FC0" w14:textId="77777777" w:rsidR="0042619C" w:rsidRDefault="0042619C" w:rsidP="00EC4FB9">
                          <w:pPr>
                            <w:pStyle w:val="CoverNormal"/>
                            <w:jc w:val="center"/>
                          </w:pPr>
                        </w:p>
                        <w:p w14:paraId="2ABAA941" w14:textId="77777777" w:rsidR="0042619C" w:rsidRDefault="0042619C" w:rsidP="00EC4FB9">
                          <w:pPr>
                            <w:pStyle w:val="CoverNormal"/>
                            <w:jc w:val="center"/>
                          </w:pPr>
                        </w:p>
                        <w:p w14:paraId="55FBE9DE" w14:textId="77777777" w:rsidR="0042619C" w:rsidRDefault="0042619C" w:rsidP="00EC4FB9">
                          <w:pPr>
                            <w:pStyle w:val="CoverNormal"/>
                            <w:jc w:val="center"/>
                          </w:pPr>
                        </w:p>
                        <w:p w14:paraId="3C47DFE3" w14:textId="77777777" w:rsidR="0042619C" w:rsidRDefault="0042619C" w:rsidP="00EC4FB9">
                          <w:pPr>
                            <w:pStyle w:val="CoverNormal"/>
                            <w:jc w:val="center"/>
                          </w:pPr>
                        </w:p>
                        <w:p w14:paraId="2C64D312" w14:textId="77777777" w:rsidR="0042619C" w:rsidRDefault="0042619C" w:rsidP="00EC4FB9">
                          <w:pPr>
                            <w:pStyle w:val="CoverNormal"/>
                            <w:jc w:val="center"/>
                          </w:pPr>
                        </w:p>
                        <w:p w14:paraId="33021795" w14:textId="77777777" w:rsidR="0042619C" w:rsidRDefault="0042619C" w:rsidP="00EC4FB9">
                          <w:pPr>
                            <w:pStyle w:val="CoverNormal"/>
                            <w:jc w:val="center"/>
                          </w:pPr>
                        </w:p>
                        <w:p w14:paraId="724F71E3" w14:textId="77777777" w:rsidR="0042619C" w:rsidRDefault="0042619C" w:rsidP="00EC4FB9">
                          <w:pPr>
                            <w:pStyle w:val="CoverNormal"/>
                            <w:jc w:val="center"/>
                          </w:pPr>
                        </w:p>
                        <w:p w14:paraId="6CD10B98" w14:textId="77777777" w:rsidR="0042619C" w:rsidRDefault="0042619C" w:rsidP="00EC4FB9">
                          <w:pPr>
                            <w:pStyle w:val="CoverNormal"/>
                            <w:jc w:val="center"/>
                          </w:pPr>
                        </w:p>
                        <w:p w14:paraId="2AB6C96B" w14:textId="77777777" w:rsidR="0042619C" w:rsidRDefault="0042619C" w:rsidP="00EC4FB9">
                          <w:pPr>
                            <w:pStyle w:val="CoverNormal"/>
                            <w:jc w:val="center"/>
                          </w:pPr>
                        </w:p>
                        <w:p w14:paraId="4159E9CF" w14:textId="77777777" w:rsidR="0042619C" w:rsidRDefault="0042619C" w:rsidP="00EC4FB9">
                          <w:pPr>
                            <w:pStyle w:val="CoverNormal"/>
                            <w:jc w:val="center"/>
                          </w:pPr>
                        </w:p>
                        <w:p w14:paraId="316B7F2B" w14:textId="77777777" w:rsidR="0042619C" w:rsidRDefault="0042619C" w:rsidP="00EC4FB9">
                          <w:pPr>
                            <w:pStyle w:val="CoverNormal"/>
                            <w:jc w:val="center"/>
                          </w:pPr>
                        </w:p>
                        <w:p w14:paraId="03FA6DB7" w14:textId="77777777" w:rsidR="0042619C" w:rsidRDefault="0042619C" w:rsidP="00EC4FB9">
                          <w:pPr>
                            <w:pStyle w:val="CoverNormal"/>
                            <w:jc w:val="center"/>
                          </w:pPr>
                        </w:p>
                        <w:p w14:paraId="394FB7D5" w14:textId="77777777" w:rsidR="0042619C" w:rsidRDefault="0042619C" w:rsidP="00EC4FB9">
                          <w:pPr>
                            <w:pStyle w:val="CoverNormal"/>
                            <w:jc w:val="center"/>
                          </w:pPr>
                        </w:p>
                        <w:p w14:paraId="424C429E" w14:textId="77777777" w:rsidR="0042619C" w:rsidRDefault="0042619C" w:rsidP="00EC4FB9">
                          <w:pPr>
                            <w:pStyle w:val="CoverNormal"/>
                            <w:jc w:val="center"/>
                          </w:pPr>
                        </w:p>
                        <w:p w14:paraId="02A471E2" w14:textId="77777777" w:rsidR="0042619C" w:rsidRDefault="0042619C" w:rsidP="00EC4FB9">
                          <w:pPr>
                            <w:pStyle w:val="CoverNormal"/>
                            <w:jc w:val="center"/>
                          </w:pPr>
                        </w:p>
                        <w:sdt>
                          <w:sdtPr>
                            <w:rPr>
                              <w:noProof/>
                            </w:rPr>
                            <w:alias w:val="OECD logo"/>
                            <w:tag w:val="imgOECDLogo"/>
                            <w:id w:val="1328472876"/>
                            <w:picture/>
                          </w:sdtPr>
                          <w:sdtEndPr/>
                          <w:sdtContent>
                            <w:p w14:paraId="2B884330" w14:textId="77777777" w:rsidR="0042619C" w:rsidRDefault="0042619C" w:rsidP="007C6346">
                              <w:pPr>
                                <w:pStyle w:val="CoverNormal"/>
                                <w:jc w:val="center"/>
                              </w:pPr>
                              <w:r>
                                <w:rPr>
                                  <w:noProof/>
                                  <w:lang w:val="sl-SI" w:eastAsia="sl-SI"/>
                                </w:rPr>
                                <w:drawing>
                                  <wp:inline distT="0" distB="0" distL="0" distR="0" wp14:anchorId="4E64FE6A" wp14:editId="1196D3C4">
                                    <wp:extent cx="1641361" cy="392567"/>
                                    <wp:effectExtent l="0" t="0" r="0" b="7620"/>
                                    <wp:docPr id="15" name="Picture 15" descr="Logotip O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tip OEC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p w14:paraId="2B6A3E06" w14:textId="77777777" w:rsidR="0042619C" w:rsidRDefault="0042619C" w:rsidP="00EC4FB9">
                          <w:pPr>
                            <w:pStyle w:val="CoverNormal"/>
                            <w:jc w:val="center"/>
                          </w:pPr>
                        </w:p>
                        <w:p w14:paraId="25DA38FC" w14:textId="77777777" w:rsidR="0042619C" w:rsidRPr="00310112" w:rsidRDefault="0042619C" w:rsidP="00EC4FB9">
                          <w:pPr>
                            <w:pStyle w:val="CoverNormal"/>
                          </w:pPr>
                        </w:p>
                      </w:txbxContent>
                    </v:textbox>
                    <w10:anchorlock/>
                  </v:shape>
                </w:pict>
              </mc:Fallback>
            </mc:AlternateContent>
          </w:r>
        </w:p>
        <w:p w14:paraId="09DAB9AB" w14:textId="77777777" w:rsidR="008039E7" w:rsidRDefault="008039E7">
          <w:pPr>
            <w:widowControl/>
            <w:spacing w:after="200" w:line="276" w:lineRule="auto"/>
            <w:jc w:val="left"/>
            <w:rPr>
              <w:rFonts w:asciiTheme="majorHAnsi" w:hAnsiTheme="majorHAnsi"/>
              <w:sz w:val="18"/>
              <w:szCs w:val="18"/>
            </w:rPr>
          </w:pPr>
          <w:r>
            <w:rPr>
              <w:rFonts w:asciiTheme="majorHAnsi" w:hAnsiTheme="majorHAnsi"/>
              <w:sz w:val="18"/>
              <w:szCs w:val="18"/>
              <w:lang w:val="sl"/>
            </w:rPr>
            <w:lastRenderedPageBreak/>
            <w:br w:type="page"/>
          </w:r>
        </w:p>
      </w:sdtContent>
    </w:sdt>
    <w:p w14:paraId="27119C14" w14:textId="2C077B27" w:rsidR="00A55002" w:rsidRDefault="00A55002" w:rsidP="00A55002">
      <w:pPr>
        <w:sectPr w:rsidR="00A55002" w:rsidSect="00CF6ED9">
          <w:headerReference w:type="even" r:id="rId12"/>
          <w:headerReference w:type="default" r:id="rId13"/>
          <w:footerReference w:type="even" r:id="rId14"/>
          <w:footerReference w:type="default" r:id="rId15"/>
          <w:headerReference w:type="first" r:id="rId16"/>
          <w:footerReference w:type="first" r:id="rId17"/>
          <w:endnotePr>
            <w:numFmt w:val="decimal"/>
            <w:numRestart w:val="eachSect"/>
          </w:endnotePr>
          <w:type w:val="continuous"/>
          <w:pgSz w:w="11906" w:h="16838" w:code="9"/>
          <w:pgMar w:top="1814" w:right="1304" w:bottom="1758" w:left="1304" w:header="1247" w:footer="1020" w:gutter="0"/>
          <w:cols w:space="708"/>
          <w:titlePg/>
          <w:docGrid w:linePitch="360"/>
        </w:sectPr>
      </w:pPr>
    </w:p>
    <w:p w14:paraId="699D85A0" w14:textId="77777777" w:rsidR="00A55002" w:rsidRDefault="00A55002" w:rsidP="0042619C">
      <w:pPr>
        <w:pStyle w:val="Naslov"/>
        <w:spacing w:after="600"/>
      </w:pPr>
      <w:bookmarkStart w:id="0" w:name="_Toc135214447"/>
      <w:bookmarkStart w:id="1" w:name="_Toc169086481"/>
      <w:r>
        <w:rPr>
          <w:bCs/>
          <w:lang w:val="sl"/>
        </w:rPr>
        <w:lastRenderedPageBreak/>
        <w:t>Uvodna opomba</w:t>
      </w:r>
      <w:bookmarkEnd w:id="0"/>
      <w:bookmarkEnd w:id="1"/>
    </w:p>
    <w:p w14:paraId="5B1C4D93" w14:textId="77777777" w:rsidR="00A55002" w:rsidRPr="008A691D" w:rsidRDefault="00A55002" w:rsidP="0042619C">
      <w:pPr>
        <w:pStyle w:val="Para0"/>
        <w:rPr>
          <w:lang w:val="sl"/>
        </w:rPr>
      </w:pPr>
      <w:r>
        <w:rPr>
          <w:i/>
          <w:iCs/>
          <w:lang w:val="sl"/>
        </w:rPr>
        <w:t xml:space="preserve">Smernice OECD o odgovornem ravnanju podjetij za mednarodna podjetja </w:t>
      </w:r>
      <w:r>
        <w:rPr>
          <w:lang w:val="sl"/>
        </w:rPr>
        <w:t>(</w:t>
      </w:r>
      <w:r>
        <w:rPr>
          <w:i/>
          <w:iCs/>
          <w:lang w:val="sl"/>
        </w:rPr>
        <w:t>smernice</w:t>
      </w:r>
      <w:r>
        <w:rPr>
          <w:lang w:val="sl"/>
        </w:rPr>
        <w:t xml:space="preserve">) so priporočila, ki jih vlade skupaj naslovijo na mednarodna podjetja, da bi povečale prispevek podjetij k trajnostnemu razvoju ter odpravile škodljive vplive, povezane s poslovnimi dejavnostmi, na ljudi, planet in družbo. </w:t>
      </w:r>
      <w:r>
        <w:rPr>
          <w:i/>
          <w:iCs/>
          <w:lang w:val="sl"/>
        </w:rPr>
        <w:t>Smernice</w:t>
      </w:r>
      <w:r>
        <w:rPr>
          <w:lang w:val="sl"/>
        </w:rPr>
        <w:t xml:space="preserve"> podpira edinstven mehanizem izvajanja, nacionalne kontaktne točke za odgovorno ravnanje podjetij, ki so jih ustanovile vlade, da bi povečale učinkovitost </w:t>
      </w:r>
      <w:r>
        <w:rPr>
          <w:i/>
          <w:iCs/>
          <w:lang w:val="sl"/>
        </w:rPr>
        <w:t>smernic.</w:t>
      </w:r>
      <w:r>
        <w:rPr>
          <w:lang w:val="sl"/>
        </w:rPr>
        <w:t xml:space="preserve"> </w:t>
      </w:r>
    </w:p>
    <w:p w14:paraId="67D8E34E" w14:textId="77777777" w:rsidR="00A55002" w:rsidRDefault="00A55002" w:rsidP="0042619C">
      <w:pPr>
        <w:pStyle w:val="Para0"/>
      </w:pPr>
      <w:r>
        <w:rPr>
          <w:lang w:val="sl"/>
        </w:rPr>
        <w:t xml:space="preserve">Od svoje uvedbe leta 1976 se </w:t>
      </w:r>
      <w:r>
        <w:rPr>
          <w:i/>
          <w:iCs/>
          <w:lang w:val="sl"/>
        </w:rPr>
        <w:t>smernice</w:t>
      </w:r>
      <w:r>
        <w:rPr>
          <w:lang w:val="sl"/>
        </w:rPr>
        <w:t xml:space="preserve"> nenehno posodabljajo, da bi še naprej dosegale svoj namen glede na družbene izzive in razvijajoče se razmere za mednarodno poslovanje. Posodobitev iz leta 2023 odraža desetletje izkušenj od njihovega zadnjega pregleda leta 2011 in se odziva na nujne družbene, </w:t>
      </w:r>
      <w:proofErr w:type="spellStart"/>
      <w:r>
        <w:rPr>
          <w:lang w:val="sl"/>
        </w:rPr>
        <w:t>okoljske</w:t>
      </w:r>
      <w:proofErr w:type="spellEnd"/>
      <w:r>
        <w:rPr>
          <w:lang w:val="sl"/>
        </w:rPr>
        <w:t xml:space="preserve"> in tehnološke prednostne naloge, s katerimi se spoprijemajo družbe in podjetja. Ključne posodobitve vključujejo: </w:t>
      </w:r>
    </w:p>
    <w:p w14:paraId="06951E8D" w14:textId="77777777" w:rsidR="00A55002" w:rsidRDefault="00A55002" w:rsidP="00A55002">
      <w:pPr>
        <w:pStyle w:val="BulletedList1"/>
      </w:pPr>
      <w:r>
        <w:rPr>
          <w:lang w:val="sl"/>
        </w:rPr>
        <w:t>priporočila za podjetja za uskladitev z mednarodno dogovorjenimi cilji glede podnebnih sprememb in biotske raznovrstnosti;</w:t>
      </w:r>
    </w:p>
    <w:p w14:paraId="21C1BA53" w14:textId="77777777" w:rsidR="00A55002" w:rsidRDefault="009B2F6F" w:rsidP="00A55002">
      <w:pPr>
        <w:pStyle w:val="BulletedList1"/>
      </w:pPr>
      <w:r>
        <w:rPr>
          <w:lang w:val="sl"/>
        </w:rPr>
        <w:t>vključitev pričakovanj glede skrbnega pregleda poslovanja pri razvoju, financiranju, prodaji, licenciranju, uporabi tehnologije in trgovanju z njo, vključno z zbiranjem in uporabo podatkov;</w:t>
      </w:r>
    </w:p>
    <w:p w14:paraId="2015D759" w14:textId="77777777" w:rsidR="00A55002" w:rsidRDefault="00A55002" w:rsidP="00A55002">
      <w:pPr>
        <w:pStyle w:val="BulletedList1"/>
      </w:pPr>
      <w:r>
        <w:rPr>
          <w:lang w:val="sl"/>
        </w:rPr>
        <w:t>priporočila o tem, kako naj podjetja opravijo skrbni pregled poslovanja pri vplivih in poslovnih razmerjih, povezanih z uporabo njihovih izdelkov in storitev;</w:t>
      </w:r>
    </w:p>
    <w:p w14:paraId="00F338F8" w14:textId="77777777" w:rsidR="00A55002" w:rsidRDefault="00A55002" w:rsidP="00A55002">
      <w:pPr>
        <w:pStyle w:val="BulletedList1"/>
      </w:pPr>
      <w:r>
        <w:rPr>
          <w:lang w:val="sl"/>
        </w:rPr>
        <w:t xml:space="preserve">boljšo zaščito ogroženih oseb in skupin, vključno s tistimi, ki izrazijo zaskrbljenost glede ravnanja podjetij; </w:t>
      </w:r>
    </w:p>
    <w:p w14:paraId="0DDD2816" w14:textId="77777777" w:rsidR="00A55002" w:rsidRPr="00E205CD" w:rsidRDefault="00A55002" w:rsidP="00A55002">
      <w:pPr>
        <w:pStyle w:val="BulletedList1"/>
        <w:rPr>
          <w:lang w:val="pl-PL"/>
        </w:rPr>
      </w:pPr>
      <w:r>
        <w:rPr>
          <w:lang w:val="sl"/>
        </w:rPr>
        <w:t>posodobljena priporočila o razkritju informacij o odgovornem ravnanju podjetij;</w:t>
      </w:r>
    </w:p>
    <w:p w14:paraId="78578AFD" w14:textId="77777777" w:rsidR="00A55002" w:rsidRPr="00E205CD" w:rsidRDefault="00A55002" w:rsidP="00A55002">
      <w:pPr>
        <w:pStyle w:val="BulletedList1"/>
        <w:rPr>
          <w:lang w:val="pl-PL"/>
        </w:rPr>
      </w:pPr>
      <w:r>
        <w:rPr>
          <w:lang w:val="sl"/>
        </w:rPr>
        <w:t xml:space="preserve">priporočila o skrbnem pregledu poslovanja, razširjena na vse oblike korupcije; </w:t>
      </w:r>
    </w:p>
    <w:p w14:paraId="517BFDB0" w14:textId="77777777" w:rsidR="00A55002" w:rsidRPr="00E205CD" w:rsidRDefault="00A55002" w:rsidP="00A55002">
      <w:pPr>
        <w:pStyle w:val="BulletedList1"/>
        <w:rPr>
          <w:lang w:val="pl-PL"/>
        </w:rPr>
      </w:pPr>
      <w:r>
        <w:rPr>
          <w:lang w:val="sl"/>
        </w:rPr>
        <w:t xml:space="preserve">priporočila za podjetja za zagotovitev skladnosti lobiranja s </w:t>
      </w:r>
      <w:r>
        <w:rPr>
          <w:i/>
          <w:iCs/>
          <w:lang w:val="sl"/>
        </w:rPr>
        <w:t>smernicami</w:t>
      </w:r>
      <w:r>
        <w:rPr>
          <w:lang w:val="sl"/>
        </w:rPr>
        <w:t>;</w:t>
      </w:r>
    </w:p>
    <w:p w14:paraId="1CC02F38" w14:textId="77777777" w:rsidR="00A55002" w:rsidRPr="00E205CD" w:rsidRDefault="00A55002" w:rsidP="00A55002">
      <w:pPr>
        <w:pStyle w:val="BulletedList1"/>
        <w:rPr>
          <w:lang w:val="pl-PL"/>
        </w:rPr>
      </w:pPr>
      <w:r>
        <w:rPr>
          <w:lang w:val="sl"/>
        </w:rPr>
        <w:t xml:space="preserve">okrepljene postopke za zagotavljanje prepoznavnosti, učinkovitosti in funkcionalne enakovrednosti nacionalnih kontaktnih točk za odgovorno ravnanje podjetij. </w:t>
      </w:r>
    </w:p>
    <w:p w14:paraId="13E02880" w14:textId="77777777" w:rsidR="00A55002" w:rsidRPr="008A691D" w:rsidRDefault="00A55002" w:rsidP="0042619C">
      <w:pPr>
        <w:pStyle w:val="Para0"/>
        <w:rPr>
          <w:lang w:val="sl"/>
        </w:rPr>
      </w:pPr>
      <w:r>
        <w:rPr>
          <w:lang w:val="sl"/>
        </w:rPr>
        <w:t>Posodobitev je izvedlo 51 pristopnic k Deklaraciji OECD o mednarodnih naložbah in mednarodnih podjetjih (</w:t>
      </w:r>
      <w:r>
        <w:rPr>
          <w:i/>
          <w:iCs/>
          <w:lang w:val="sl"/>
        </w:rPr>
        <w:t xml:space="preserve">OECD </w:t>
      </w:r>
      <w:proofErr w:type="spellStart"/>
      <w:r>
        <w:rPr>
          <w:i/>
          <w:iCs/>
          <w:lang w:val="sl"/>
        </w:rPr>
        <w:t>Declaration</w:t>
      </w:r>
      <w:proofErr w:type="spellEnd"/>
      <w:r>
        <w:rPr>
          <w:i/>
          <w:iCs/>
          <w:lang w:val="sl"/>
        </w:rPr>
        <w:t xml:space="preserve"> on </w:t>
      </w:r>
      <w:proofErr w:type="spellStart"/>
      <w:r>
        <w:rPr>
          <w:i/>
          <w:iCs/>
          <w:lang w:val="sl"/>
        </w:rPr>
        <w:t>International</w:t>
      </w:r>
      <w:proofErr w:type="spellEnd"/>
      <w:r>
        <w:rPr>
          <w:i/>
          <w:iCs/>
          <w:lang w:val="sl"/>
        </w:rPr>
        <w:t xml:space="preserve"> </w:t>
      </w:r>
      <w:proofErr w:type="spellStart"/>
      <w:r>
        <w:rPr>
          <w:i/>
          <w:iCs/>
          <w:lang w:val="sl"/>
        </w:rPr>
        <w:t>Investment</w:t>
      </w:r>
      <w:proofErr w:type="spellEnd"/>
      <w:r>
        <w:rPr>
          <w:i/>
          <w:iCs/>
          <w:lang w:val="sl"/>
        </w:rPr>
        <w:t xml:space="preserve"> </w:t>
      </w:r>
      <w:proofErr w:type="spellStart"/>
      <w:r>
        <w:rPr>
          <w:i/>
          <w:iCs/>
          <w:lang w:val="sl"/>
        </w:rPr>
        <w:t>and</w:t>
      </w:r>
      <w:proofErr w:type="spellEnd"/>
      <w:r>
        <w:rPr>
          <w:i/>
          <w:iCs/>
          <w:lang w:val="sl"/>
        </w:rPr>
        <w:t xml:space="preserve"> </w:t>
      </w:r>
      <w:proofErr w:type="spellStart"/>
      <w:r>
        <w:rPr>
          <w:i/>
          <w:iCs/>
          <w:lang w:val="sl"/>
        </w:rPr>
        <w:t>Multinational</w:t>
      </w:r>
      <w:proofErr w:type="spellEnd"/>
      <w:r>
        <w:rPr>
          <w:i/>
          <w:iCs/>
          <w:lang w:val="sl"/>
        </w:rPr>
        <w:t xml:space="preserve"> </w:t>
      </w:r>
      <w:proofErr w:type="spellStart"/>
      <w:r>
        <w:rPr>
          <w:i/>
          <w:iCs/>
          <w:lang w:val="sl"/>
        </w:rPr>
        <w:t>Enterprises</w:t>
      </w:r>
      <w:proofErr w:type="spellEnd"/>
      <w:r>
        <w:rPr>
          <w:lang w:val="sl"/>
        </w:rPr>
        <w:t xml:space="preserve">) ter Evropska unija, ki sodelujejo v delovni skupini OECD za odgovorno ravnanje podjetij in Odboru OECD za naložbe. Pri posodobitvi so tesno sodelovali institucionalni deležniki Business at OECD, Svetovalni odbor sindikatov pri OECD in OECD Watch, ki zastopajo stališča milijonov podjetij, delavcev in članov civilne družbe po vsem svetu. Postopek je vključeval tudi dve javni posvetovanji, ki sta bili odprti za zainteresirane deležnike z vsega sveta. </w:t>
      </w:r>
    </w:p>
    <w:p w14:paraId="197E6FF9" w14:textId="77777777" w:rsidR="00A55002" w:rsidRPr="008A691D" w:rsidRDefault="00A55002" w:rsidP="0042619C">
      <w:pPr>
        <w:pStyle w:val="Para0"/>
        <w:rPr>
          <w:lang w:val="sl"/>
        </w:rPr>
      </w:pPr>
      <w:r>
        <w:rPr>
          <w:lang w:val="sl"/>
        </w:rPr>
        <w:t xml:space="preserve">Pri revizijah tematskih poglavij </w:t>
      </w:r>
      <w:r>
        <w:rPr>
          <w:i/>
          <w:iCs/>
          <w:lang w:val="sl"/>
        </w:rPr>
        <w:t>smernic</w:t>
      </w:r>
      <w:r>
        <w:rPr>
          <w:lang w:val="sl"/>
        </w:rPr>
        <w:t xml:space="preserve"> so sodelovali organi OECD in njihovi sekretariati, vključno z odborom za konkurenco, odborom za potrošniško politiko, odborom za upravljanje podjetij, odborom za razvojno pomoč, odborom za politiko digitalnega gospodarstva, odborom za zaposlovanje, delo in socialne zadeve; odborom za </w:t>
      </w:r>
      <w:proofErr w:type="spellStart"/>
      <w:r>
        <w:rPr>
          <w:lang w:val="sl"/>
        </w:rPr>
        <w:t>okoljsko</w:t>
      </w:r>
      <w:proofErr w:type="spellEnd"/>
      <w:r>
        <w:rPr>
          <w:lang w:val="sl"/>
        </w:rPr>
        <w:t xml:space="preserve"> politiko, odborom za finančne trge, odborom za fiskalne zadeve, odborom za industrijo, inovacije in podjetništvo, odborom za zavarovanja in zasebne pokojnine, odborom za znanstveno in tehnološko politiko, odborom za mala in srednje velika podjetja ter podjetništvo, odborom za trgovino, delovno skupino proti podkupovanju pri mednarodnem poslovanju ter delovno skupino visokih uradnikov za integriteto.</w:t>
      </w:r>
    </w:p>
    <w:p w14:paraId="229A6326" w14:textId="77777777" w:rsidR="00A55002" w:rsidRPr="008A691D" w:rsidRDefault="00A55002" w:rsidP="0042619C">
      <w:pPr>
        <w:pStyle w:val="Para0"/>
        <w:rPr>
          <w:lang w:val="sl"/>
        </w:rPr>
      </w:pPr>
      <w:r>
        <w:rPr>
          <w:rFonts w:eastAsia="Times New Roman"/>
          <w:lang w:val="sl"/>
        </w:rPr>
        <w:t>Posodobitev je ves čas podpiral Center OECD za odgovorno ravnanje podjetij v okviru Direktorata za finančne in podjetniške zadeve.</w:t>
      </w:r>
    </w:p>
    <w:sdt>
      <w:sdtPr>
        <w:rPr>
          <w:rFonts w:asciiTheme="minorHAnsi" w:eastAsiaTheme="minorHAnsi" w:hAnsiTheme="minorHAnsi" w:cstheme="minorBidi"/>
          <w:b w:val="0"/>
          <w:color w:val="000000" w:themeColor="text1"/>
          <w:sz w:val="20"/>
          <w:szCs w:val="22"/>
        </w:rPr>
        <w:id w:val="-801387756"/>
        <w:docPartObj>
          <w:docPartGallery w:val="Table of Contents"/>
          <w:docPartUnique/>
        </w:docPartObj>
      </w:sdtPr>
      <w:sdtEndPr>
        <w:rPr>
          <w:bCs/>
          <w:noProof/>
          <w:lang w:val="en-US"/>
        </w:rPr>
      </w:sdtEndPr>
      <w:sdtContent>
        <w:p w14:paraId="17DA6B6B" w14:textId="77777777" w:rsidR="00A55002" w:rsidRDefault="00A55002" w:rsidP="0042619C">
          <w:pPr>
            <w:pStyle w:val="NaslovTOC"/>
            <w:spacing w:after="1200"/>
          </w:pPr>
          <w:r>
            <w:rPr>
              <w:bCs/>
              <w:lang w:val="sl"/>
            </w:rPr>
            <w:t>Kazalo</w:t>
          </w:r>
        </w:p>
        <w:p w14:paraId="3B99EF52" w14:textId="77777777" w:rsidR="005F7AB4" w:rsidRDefault="00A55002">
          <w:pPr>
            <w:pStyle w:val="Kazalovsebine1"/>
            <w:rPr>
              <w:rFonts w:asciiTheme="minorHAnsi" w:eastAsiaTheme="minorEastAsia" w:hAnsiTheme="minorHAnsi"/>
              <w:noProof/>
              <w:color w:val="auto"/>
              <w:sz w:val="22"/>
              <w:lang w:val="sl-SI" w:eastAsia="sl-SI"/>
            </w:rPr>
          </w:pPr>
          <w:r>
            <w:rPr>
              <w:b/>
              <w:bCs/>
              <w:noProof/>
              <w:lang w:val="sl"/>
            </w:rPr>
            <w:fldChar w:fldCharType="begin"/>
          </w:r>
          <w:r>
            <w:rPr>
              <w:b/>
              <w:bCs/>
              <w:noProof/>
            </w:rPr>
            <w:instrText xml:space="preserve"> TOC \o "1-1" \h \z \t "Heading 6,1,Heading 7,1,Title,1" </w:instrText>
          </w:r>
          <w:r>
            <w:rPr>
              <w:b/>
              <w:bCs/>
              <w:noProof/>
            </w:rPr>
            <w:fldChar w:fldCharType="separate"/>
          </w:r>
          <w:hyperlink w:anchor="_Toc169086481" w:history="1">
            <w:r w:rsidR="005F7AB4" w:rsidRPr="00742434">
              <w:rPr>
                <w:rStyle w:val="Hiperpovezava"/>
                <w:bCs/>
                <w:noProof/>
                <w:lang w:val="sl"/>
              </w:rPr>
              <w:t>Uvodna opomba</w:t>
            </w:r>
            <w:r w:rsidR="005F7AB4">
              <w:rPr>
                <w:noProof/>
                <w:webHidden/>
              </w:rPr>
              <w:tab/>
            </w:r>
            <w:r w:rsidR="005F7AB4">
              <w:rPr>
                <w:noProof/>
                <w:webHidden/>
              </w:rPr>
              <w:fldChar w:fldCharType="begin"/>
            </w:r>
            <w:r w:rsidR="005F7AB4">
              <w:rPr>
                <w:noProof/>
                <w:webHidden/>
              </w:rPr>
              <w:instrText xml:space="preserve"> PAGEREF _Toc169086481 \h </w:instrText>
            </w:r>
            <w:r w:rsidR="005F7AB4">
              <w:rPr>
                <w:noProof/>
                <w:webHidden/>
              </w:rPr>
            </w:r>
            <w:r w:rsidR="005F7AB4">
              <w:rPr>
                <w:noProof/>
                <w:webHidden/>
              </w:rPr>
              <w:fldChar w:fldCharType="separate"/>
            </w:r>
            <w:r w:rsidR="005F7AB4">
              <w:rPr>
                <w:noProof/>
                <w:webHidden/>
              </w:rPr>
              <w:t>3</w:t>
            </w:r>
            <w:r w:rsidR="005F7AB4">
              <w:rPr>
                <w:noProof/>
                <w:webHidden/>
              </w:rPr>
              <w:fldChar w:fldCharType="end"/>
            </w:r>
          </w:hyperlink>
        </w:p>
        <w:p w14:paraId="1B7EECAA" w14:textId="77777777" w:rsidR="005F7AB4" w:rsidRDefault="007C6346">
          <w:pPr>
            <w:pStyle w:val="Kazalovsebine1"/>
            <w:rPr>
              <w:rFonts w:asciiTheme="minorHAnsi" w:eastAsiaTheme="minorEastAsia" w:hAnsiTheme="minorHAnsi"/>
              <w:noProof/>
              <w:color w:val="auto"/>
              <w:sz w:val="22"/>
              <w:lang w:val="sl-SI" w:eastAsia="sl-SI"/>
            </w:rPr>
          </w:pPr>
          <w:hyperlink w:anchor="_Toc169086482" w:history="1">
            <w:r w:rsidR="005F7AB4" w:rsidRPr="00742434">
              <w:rPr>
                <w:rStyle w:val="Hiperpovezava"/>
                <w:bCs/>
                <w:noProof/>
                <w:lang w:val="sl"/>
              </w:rPr>
              <w:t>Deklaracija OECD o mednarodnih naložbah in mednarodnih podjetjih</w:t>
            </w:r>
            <w:r w:rsidR="005F7AB4">
              <w:rPr>
                <w:noProof/>
                <w:webHidden/>
              </w:rPr>
              <w:tab/>
            </w:r>
            <w:r w:rsidR="005F7AB4">
              <w:rPr>
                <w:noProof/>
                <w:webHidden/>
              </w:rPr>
              <w:fldChar w:fldCharType="begin"/>
            </w:r>
            <w:r w:rsidR="005F7AB4">
              <w:rPr>
                <w:noProof/>
                <w:webHidden/>
              </w:rPr>
              <w:instrText xml:space="preserve"> PAGEREF _Toc169086482 \h </w:instrText>
            </w:r>
            <w:r w:rsidR="005F7AB4">
              <w:rPr>
                <w:noProof/>
                <w:webHidden/>
              </w:rPr>
            </w:r>
            <w:r w:rsidR="005F7AB4">
              <w:rPr>
                <w:noProof/>
                <w:webHidden/>
              </w:rPr>
              <w:fldChar w:fldCharType="separate"/>
            </w:r>
            <w:r w:rsidR="005F7AB4">
              <w:rPr>
                <w:noProof/>
                <w:webHidden/>
              </w:rPr>
              <w:t>6</w:t>
            </w:r>
            <w:r w:rsidR="005F7AB4">
              <w:rPr>
                <w:noProof/>
                <w:webHidden/>
              </w:rPr>
              <w:fldChar w:fldCharType="end"/>
            </w:r>
          </w:hyperlink>
        </w:p>
        <w:p w14:paraId="6F4A015C" w14:textId="77777777" w:rsidR="005F7AB4" w:rsidRDefault="007C6346">
          <w:pPr>
            <w:pStyle w:val="Kazalovsebine1"/>
            <w:rPr>
              <w:rFonts w:asciiTheme="minorHAnsi" w:eastAsiaTheme="minorEastAsia" w:hAnsiTheme="minorHAnsi"/>
              <w:noProof/>
              <w:color w:val="auto"/>
              <w:sz w:val="22"/>
              <w:lang w:val="sl-SI" w:eastAsia="sl-SI"/>
            </w:rPr>
          </w:pPr>
          <w:hyperlink w:anchor="_Toc169086483" w:history="1">
            <w:r w:rsidR="005F7AB4" w:rsidRPr="00742434">
              <w:rPr>
                <w:rStyle w:val="Hiperpovezava"/>
                <w:bCs/>
                <w:noProof/>
                <w:lang w:val="sl"/>
              </w:rPr>
              <w:t>I. del: Smernice OECD o odgovornem ravnanju podjetij za mednarodna podjetja</w:t>
            </w:r>
            <w:r w:rsidR="005F7AB4">
              <w:rPr>
                <w:noProof/>
                <w:webHidden/>
              </w:rPr>
              <w:tab/>
            </w:r>
            <w:r w:rsidR="005F7AB4">
              <w:rPr>
                <w:noProof/>
                <w:webHidden/>
              </w:rPr>
              <w:fldChar w:fldCharType="begin"/>
            </w:r>
            <w:r w:rsidR="005F7AB4">
              <w:rPr>
                <w:noProof/>
                <w:webHidden/>
              </w:rPr>
              <w:instrText xml:space="preserve"> PAGEREF _Toc169086483 \h </w:instrText>
            </w:r>
            <w:r w:rsidR="005F7AB4">
              <w:rPr>
                <w:noProof/>
                <w:webHidden/>
              </w:rPr>
            </w:r>
            <w:r w:rsidR="005F7AB4">
              <w:rPr>
                <w:noProof/>
                <w:webHidden/>
              </w:rPr>
              <w:fldChar w:fldCharType="separate"/>
            </w:r>
            <w:r w:rsidR="005F7AB4">
              <w:rPr>
                <w:noProof/>
                <w:webHidden/>
              </w:rPr>
              <w:t>9</w:t>
            </w:r>
            <w:r w:rsidR="005F7AB4">
              <w:rPr>
                <w:noProof/>
                <w:webHidden/>
              </w:rPr>
              <w:fldChar w:fldCharType="end"/>
            </w:r>
          </w:hyperlink>
        </w:p>
        <w:p w14:paraId="05230AD4" w14:textId="77777777" w:rsidR="005F7AB4" w:rsidRDefault="007C6346">
          <w:pPr>
            <w:pStyle w:val="Kazalovsebine1"/>
            <w:rPr>
              <w:rFonts w:asciiTheme="minorHAnsi" w:eastAsiaTheme="minorEastAsia" w:hAnsiTheme="minorHAnsi"/>
              <w:noProof/>
              <w:color w:val="auto"/>
              <w:sz w:val="22"/>
              <w:lang w:val="sl-SI" w:eastAsia="sl-SI"/>
            </w:rPr>
          </w:pPr>
          <w:hyperlink w:anchor="_Toc169086484" w:history="1">
            <w:r w:rsidR="005F7AB4" w:rsidRPr="00742434">
              <w:rPr>
                <w:rStyle w:val="Hiperpovezava"/>
                <w:bCs/>
                <w:noProof/>
                <w:lang w:val="sl"/>
              </w:rPr>
              <w:t>Predgovor</w:t>
            </w:r>
            <w:r w:rsidR="005F7AB4">
              <w:rPr>
                <w:noProof/>
                <w:webHidden/>
              </w:rPr>
              <w:tab/>
            </w:r>
            <w:r w:rsidR="005F7AB4">
              <w:rPr>
                <w:noProof/>
                <w:webHidden/>
              </w:rPr>
              <w:fldChar w:fldCharType="begin"/>
            </w:r>
            <w:r w:rsidR="005F7AB4">
              <w:rPr>
                <w:noProof/>
                <w:webHidden/>
              </w:rPr>
              <w:instrText xml:space="preserve"> PAGEREF _Toc169086484 \h </w:instrText>
            </w:r>
            <w:r w:rsidR="005F7AB4">
              <w:rPr>
                <w:noProof/>
                <w:webHidden/>
              </w:rPr>
            </w:r>
            <w:r w:rsidR="005F7AB4">
              <w:rPr>
                <w:noProof/>
                <w:webHidden/>
              </w:rPr>
              <w:fldChar w:fldCharType="separate"/>
            </w:r>
            <w:r w:rsidR="005F7AB4">
              <w:rPr>
                <w:noProof/>
                <w:webHidden/>
              </w:rPr>
              <w:t>10</w:t>
            </w:r>
            <w:r w:rsidR="005F7AB4">
              <w:rPr>
                <w:noProof/>
                <w:webHidden/>
              </w:rPr>
              <w:fldChar w:fldCharType="end"/>
            </w:r>
          </w:hyperlink>
        </w:p>
        <w:p w14:paraId="2C6329C7" w14:textId="77777777" w:rsidR="005F7AB4" w:rsidRDefault="007C6346">
          <w:pPr>
            <w:pStyle w:val="Kazalovsebine1"/>
            <w:rPr>
              <w:rFonts w:asciiTheme="minorHAnsi" w:eastAsiaTheme="minorEastAsia" w:hAnsiTheme="minorHAnsi"/>
              <w:noProof/>
              <w:color w:val="auto"/>
              <w:sz w:val="22"/>
              <w:lang w:val="sl-SI" w:eastAsia="sl-SI"/>
            </w:rPr>
          </w:pPr>
          <w:hyperlink w:anchor="_Toc169086485" w:history="1">
            <w:r w:rsidR="005F7AB4" w:rsidRPr="00742434">
              <w:rPr>
                <w:rStyle w:val="Hiperpovezava"/>
                <w:bCs/>
                <w:noProof/>
                <w:lang w:val="sl"/>
              </w:rPr>
              <w:t>I. Zasnove in načela</w:t>
            </w:r>
            <w:r w:rsidR="005F7AB4">
              <w:rPr>
                <w:noProof/>
                <w:webHidden/>
              </w:rPr>
              <w:tab/>
            </w:r>
            <w:r w:rsidR="005F7AB4">
              <w:rPr>
                <w:noProof/>
                <w:webHidden/>
              </w:rPr>
              <w:fldChar w:fldCharType="begin"/>
            </w:r>
            <w:r w:rsidR="005F7AB4">
              <w:rPr>
                <w:noProof/>
                <w:webHidden/>
              </w:rPr>
              <w:instrText xml:space="preserve"> PAGEREF _Toc169086485 \h </w:instrText>
            </w:r>
            <w:r w:rsidR="005F7AB4">
              <w:rPr>
                <w:noProof/>
                <w:webHidden/>
              </w:rPr>
            </w:r>
            <w:r w:rsidR="005F7AB4">
              <w:rPr>
                <w:noProof/>
                <w:webHidden/>
              </w:rPr>
              <w:fldChar w:fldCharType="separate"/>
            </w:r>
            <w:r w:rsidR="005F7AB4">
              <w:rPr>
                <w:noProof/>
                <w:webHidden/>
              </w:rPr>
              <w:t>12</w:t>
            </w:r>
            <w:r w:rsidR="005F7AB4">
              <w:rPr>
                <w:noProof/>
                <w:webHidden/>
              </w:rPr>
              <w:fldChar w:fldCharType="end"/>
            </w:r>
          </w:hyperlink>
        </w:p>
        <w:p w14:paraId="73468B0F" w14:textId="77777777" w:rsidR="005F7AB4" w:rsidRDefault="007C6346">
          <w:pPr>
            <w:pStyle w:val="Kazalovsebine1"/>
            <w:rPr>
              <w:rFonts w:asciiTheme="minorHAnsi" w:eastAsiaTheme="minorEastAsia" w:hAnsiTheme="minorHAnsi"/>
              <w:noProof/>
              <w:color w:val="auto"/>
              <w:sz w:val="22"/>
              <w:lang w:val="sl-SI" w:eastAsia="sl-SI"/>
            </w:rPr>
          </w:pPr>
          <w:hyperlink w:anchor="_Toc169086486" w:history="1">
            <w:r w:rsidR="005F7AB4" w:rsidRPr="00742434">
              <w:rPr>
                <w:rStyle w:val="Hiperpovezava"/>
                <w:bCs/>
                <w:noProof/>
                <w:lang w:val="sl"/>
              </w:rPr>
              <w:t>II. Splošne politike</w:t>
            </w:r>
            <w:r w:rsidR="005F7AB4">
              <w:rPr>
                <w:noProof/>
                <w:webHidden/>
              </w:rPr>
              <w:tab/>
            </w:r>
            <w:r w:rsidR="005F7AB4">
              <w:rPr>
                <w:noProof/>
                <w:webHidden/>
              </w:rPr>
              <w:fldChar w:fldCharType="begin"/>
            </w:r>
            <w:r w:rsidR="005F7AB4">
              <w:rPr>
                <w:noProof/>
                <w:webHidden/>
              </w:rPr>
              <w:instrText xml:space="preserve"> PAGEREF _Toc169086486 \h </w:instrText>
            </w:r>
            <w:r w:rsidR="005F7AB4">
              <w:rPr>
                <w:noProof/>
                <w:webHidden/>
              </w:rPr>
            </w:r>
            <w:r w:rsidR="005F7AB4">
              <w:rPr>
                <w:noProof/>
                <w:webHidden/>
              </w:rPr>
              <w:fldChar w:fldCharType="separate"/>
            </w:r>
            <w:r w:rsidR="005F7AB4">
              <w:rPr>
                <w:noProof/>
                <w:webHidden/>
              </w:rPr>
              <w:t>14</w:t>
            </w:r>
            <w:r w:rsidR="005F7AB4">
              <w:rPr>
                <w:noProof/>
                <w:webHidden/>
              </w:rPr>
              <w:fldChar w:fldCharType="end"/>
            </w:r>
          </w:hyperlink>
        </w:p>
        <w:p w14:paraId="7451C17F" w14:textId="77777777" w:rsidR="005F7AB4" w:rsidRDefault="007C6346">
          <w:pPr>
            <w:pStyle w:val="Kazalovsebine1"/>
            <w:rPr>
              <w:rFonts w:asciiTheme="minorHAnsi" w:eastAsiaTheme="minorEastAsia" w:hAnsiTheme="minorHAnsi"/>
              <w:noProof/>
              <w:color w:val="auto"/>
              <w:sz w:val="22"/>
              <w:lang w:val="sl-SI" w:eastAsia="sl-SI"/>
            </w:rPr>
          </w:pPr>
          <w:hyperlink w:anchor="_Toc169086487" w:history="1">
            <w:r w:rsidR="005F7AB4" w:rsidRPr="00742434">
              <w:rPr>
                <w:rStyle w:val="Hiperpovezava"/>
                <w:bCs/>
                <w:noProof/>
                <w:lang w:val="sl"/>
              </w:rPr>
              <w:t>III. Razkritje</w:t>
            </w:r>
            <w:r w:rsidR="005F7AB4">
              <w:rPr>
                <w:noProof/>
                <w:webHidden/>
              </w:rPr>
              <w:tab/>
            </w:r>
            <w:r w:rsidR="005F7AB4">
              <w:rPr>
                <w:noProof/>
                <w:webHidden/>
              </w:rPr>
              <w:fldChar w:fldCharType="begin"/>
            </w:r>
            <w:r w:rsidR="005F7AB4">
              <w:rPr>
                <w:noProof/>
                <w:webHidden/>
              </w:rPr>
              <w:instrText xml:space="preserve"> PAGEREF _Toc169086487 \h </w:instrText>
            </w:r>
            <w:r w:rsidR="005F7AB4">
              <w:rPr>
                <w:noProof/>
                <w:webHidden/>
              </w:rPr>
            </w:r>
            <w:r w:rsidR="005F7AB4">
              <w:rPr>
                <w:noProof/>
                <w:webHidden/>
              </w:rPr>
              <w:fldChar w:fldCharType="separate"/>
            </w:r>
            <w:r w:rsidR="005F7AB4">
              <w:rPr>
                <w:noProof/>
                <w:webHidden/>
              </w:rPr>
              <w:t>21</w:t>
            </w:r>
            <w:r w:rsidR="005F7AB4">
              <w:rPr>
                <w:noProof/>
                <w:webHidden/>
              </w:rPr>
              <w:fldChar w:fldCharType="end"/>
            </w:r>
          </w:hyperlink>
        </w:p>
        <w:p w14:paraId="7F79197F" w14:textId="77777777" w:rsidR="005F7AB4" w:rsidRDefault="007C6346">
          <w:pPr>
            <w:pStyle w:val="Kazalovsebine1"/>
            <w:rPr>
              <w:rFonts w:asciiTheme="minorHAnsi" w:eastAsiaTheme="minorEastAsia" w:hAnsiTheme="minorHAnsi"/>
              <w:noProof/>
              <w:color w:val="auto"/>
              <w:sz w:val="22"/>
              <w:lang w:val="sl-SI" w:eastAsia="sl-SI"/>
            </w:rPr>
          </w:pPr>
          <w:hyperlink w:anchor="_Toc169086488" w:history="1">
            <w:r w:rsidR="005F7AB4" w:rsidRPr="00742434">
              <w:rPr>
                <w:rStyle w:val="Hiperpovezava"/>
                <w:bCs/>
                <w:noProof/>
                <w:lang w:val="sl"/>
              </w:rPr>
              <w:t>IV. Človekove pravice</w:t>
            </w:r>
            <w:r w:rsidR="005F7AB4">
              <w:rPr>
                <w:noProof/>
                <w:webHidden/>
              </w:rPr>
              <w:tab/>
            </w:r>
            <w:r w:rsidR="005F7AB4">
              <w:rPr>
                <w:noProof/>
                <w:webHidden/>
              </w:rPr>
              <w:fldChar w:fldCharType="begin"/>
            </w:r>
            <w:r w:rsidR="005F7AB4">
              <w:rPr>
                <w:noProof/>
                <w:webHidden/>
              </w:rPr>
              <w:instrText xml:space="preserve"> PAGEREF _Toc169086488 \h </w:instrText>
            </w:r>
            <w:r w:rsidR="005F7AB4">
              <w:rPr>
                <w:noProof/>
                <w:webHidden/>
              </w:rPr>
            </w:r>
            <w:r w:rsidR="005F7AB4">
              <w:rPr>
                <w:noProof/>
                <w:webHidden/>
              </w:rPr>
              <w:fldChar w:fldCharType="separate"/>
            </w:r>
            <w:r w:rsidR="005F7AB4">
              <w:rPr>
                <w:noProof/>
                <w:webHidden/>
              </w:rPr>
              <w:t>25</w:t>
            </w:r>
            <w:r w:rsidR="005F7AB4">
              <w:rPr>
                <w:noProof/>
                <w:webHidden/>
              </w:rPr>
              <w:fldChar w:fldCharType="end"/>
            </w:r>
          </w:hyperlink>
        </w:p>
        <w:p w14:paraId="63D420C9" w14:textId="77777777" w:rsidR="005F7AB4" w:rsidRDefault="007C6346">
          <w:pPr>
            <w:pStyle w:val="Kazalovsebine1"/>
            <w:rPr>
              <w:rFonts w:asciiTheme="minorHAnsi" w:eastAsiaTheme="minorEastAsia" w:hAnsiTheme="minorHAnsi"/>
              <w:noProof/>
              <w:color w:val="auto"/>
              <w:sz w:val="22"/>
              <w:lang w:val="sl-SI" w:eastAsia="sl-SI"/>
            </w:rPr>
          </w:pPr>
          <w:hyperlink w:anchor="_Toc169086489" w:history="1">
            <w:r w:rsidR="005F7AB4" w:rsidRPr="00742434">
              <w:rPr>
                <w:rStyle w:val="Hiperpovezava"/>
                <w:bCs/>
                <w:noProof/>
                <w:lang w:val="sl"/>
              </w:rPr>
              <w:t>V. Zaposlovanje in odnosi med delodajalci in delavci</w:t>
            </w:r>
            <w:r w:rsidR="005F7AB4">
              <w:rPr>
                <w:noProof/>
                <w:webHidden/>
              </w:rPr>
              <w:tab/>
            </w:r>
            <w:r w:rsidR="005F7AB4">
              <w:rPr>
                <w:noProof/>
                <w:webHidden/>
              </w:rPr>
              <w:fldChar w:fldCharType="begin"/>
            </w:r>
            <w:r w:rsidR="005F7AB4">
              <w:rPr>
                <w:noProof/>
                <w:webHidden/>
              </w:rPr>
              <w:instrText xml:space="preserve"> PAGEREF _Toc169086489 \h </w:instrText>
            </w:r>
            <w:r w:rsidR="005F7AB4">
              <w:rPr>
                <w:noProof/>
                <w:webHidden/>
              </w:rPr>
            </w:r>
            <w:r w:rsidR="005F7AB4">
              <w:rPr>
                <w:noProof/>
                <w:webHidden/>
              </w:rPr>
              <w:fldChar w:fldCharType="separate"/>
            </w:r>
            <w:r w:rsidR="005F7AB4">
              <w:rPr>
                <w:noProof/>
                <w:webHidden/>
              </w:rPr>
              <w:t>28</w:t>
            </w:r>
            <w:r w:rsidR="005F7AB4">
              <w:rPr>
                <w:noProof/>
                <w:webHidden/>
              </w:rPr>
              <w:fldChar w:fldCharType="end"/>
            </w:r>
          </w:hyperlink>
        </w:p>
        <w:p w14:paraId="5BFA9E67" w14:textId="77777777" w:rsidR="005F7AB4" w:rsidRDefault="007C6346">
          <w:pPr>
            <w:pStyle w:val="Kazalovsebine1"/>
            <w:rPr>
              <w:rFonts w:asciiTheme="minorHAnsi" w:eastAsiaTheme="minorEastAsia" w:hAnsiTheme="minorHAnsi"/>
              <w:noProof/>
              <w:color w:val="auto"/>
              <w:sz w:val="22"/>
              <w:lang w:val="sl-SI" w:eastAsia="sl-SI"/>
            </w:rPr>
          </w:pPr>
          <w:hyperlink w:anchor="_Toc169086490" w:history="1">
            <w:r w:rsidR="005F7AB4" w:rsidRPr="00742434">
              <w:rPr>
                <w:rStyle w:val="Hiperpovezava"/>
                <w:bCs/>
                <w:noProof/>
                <w:lang w:val="sl"/>
              </w:rPr>
              <w:t>VI. Okolje</w:t>
            </w:r>
            <w:r w:rsidR="005F7AB4">
              <w:rPr>
                <w:noProof/>
                <w:webHidden/>
              </w:rPr>
              <w:tab/>
            </w:r>
            <w:r w:rsidR="005F7AB4">
              <w:rPr>
                <w:noProof/>
                <w:webHidden/>
              </w:rPr>
              <w:fldChar w:fldCharType="begin"/>
            </w:r>
            <w:r w:rsidR="005F7AB4">
              <w:rPr>
                <w:noProof/>
                <w:webHidden/>
              </w:rPr>
              <w:instrText xml:space="preserve"> PAGEREF _Toc169086490 \h </w:instrText>
            </w:r>
            <w:r w:rsidR="005F7AB4">
              <w:rPr>
                <w:noProof/>
                <w:webHidden/>
              </w:rPr>
            </w:r>
            <w:r w:rsidR="005F7AB4">
              <w:rPr>
                <w:noProof/>
                <w:webHidden/>
              </w:rPr>
              <w:fldChar w:fldCharType="separate"/>
            </w:r>
            <w:r w:rsidR="005F7AB4">
              <w:rPr>
                <w:noProof/>
                <w:webHidden/>
              </w:rPr>
              <w:t>33</w:t>
            </w:r>
            <w:r w:rsidR="005F7AB4">
              <w:rPr>
                <w:noProof/>
                <w:webHidden/>
              </w:rPr>
              <w:fldChar w:fldCharType="end"/>
            </w:r>
          </w:hyperlink>
        </w:p>
        <w:p w14:paraId="389BB806" w14:textId="77777777" w:rsidR="005F7AB4" w:rsidRDefault="007C6346">
          <w:pPr>
            <w:pStyle w:val="Kazalovsebine1"/>
            <w:rPr>
              <w:rFonts w:asciiTheme="minorHAnsi" w:eastAsiaTheme="minorEastAsia" w:hAnsiTheme="minorHAnsi"/>
              <w:noProof/>
              <w:color w:val="auto"/>
              <w:sz w:val="22"/>
              <w:lang w:val="sl-SI" w:eastAsia="sl-SI"/>
            </w:rPr>
          </w:pPr>
          <w:hyperlink w:anchor="_Toc169086491" w:history="1">
            <w:r w:rsidR="005F7AB4" w:rsidRPr="00742434">
              <w:rPr>
                <w:rStyle w:val="Hiperpovezava"/>
                <w:bCs/>
                <w:noProof/>
                <w:lang w:val="sl"/>
              </w:rPr>
              <w:t>VII. Boj proti podkupovanju in drugim oblikam korupcije</w:t>
            </w:r>
            <w:r w:rsidR="005F7AB4">
              <w:rPr>
                <w:noProof/>
                <w:webHidden/>
              </w:rPr>
              <w:tab/>
            </w:r>
            <w:r w:rsidR="005F7AB4">
              <w:rPr>
                <w:noProof/>
                <w:webHidden/>
              </w:rPr>
              <w:fldChar w:fldCharType="begin"/>
            </w:r>
            <w:r w:rsidR="005F7AB4">
              <w:rPr>
                <w:noProof/>
                <w:webHidden/>
              </w:rPr>
              <w:instrText xml:space="preserve"> PAGEREF _Toc169086491 \h </w:instrText>
            </w:r>
            <w:r w:rsidR="005F7AB4">
              <w:rPr>
                <w:noProof/>
                <w:webHidden/>
              </w:rPr>
            </w:r>
            <w:r w:rsidR="005F7AB4">
              <w:rPr>
                <w:noProof/>
                <w:webHidden/>
              </w:rPr>
              <w:fldChar w:fldCharType="separate"/>
            </w:r>
            <w:r w:rsidR="005F7AB4">
              <w:rPr>
                <w:noProof/>
                <w:webHidden/>
              </w:rPr>
              <w:t>39</w:t>
            </w:r>
            <w:r w:rsidR="005F7AB4">
              <w:rPr>
                <w:noProof/>
                <w:webHidden/>
              </w:rPr>
              <w:fldChar w:fldCharType="end"/>
            </w:r>
          </w:hyperlink>
        </w:p>
        <w:p w14:paraId="48EF9984" w14:textId="77777777" w:rsidR="005F7AB4" w:rsidRDefault="007C6346">
          <w:pPr>
            <w:pStyle w:val="Kazalovsebine1"/>
            <w:rPr>
              <w:rFonts w:asciiTheme="minorHAnsi" w:eastAsiaTheme="minorEastAsia" w:hAnsiTheme="minorHAnsi"/>
              <w:noProof/>
              <w:color w:val="auto"/>
              <w:sz w:val="22"/>
              <w:lang w:val="sl-SI" w:eastAsia="sl-SI"/>
            </w:rPr>
          </w:pPr>
          <w:hyperlink w:anchor="_Toc169086492" w:history="1">
            <w:r w:rsidR="005F7AB4" w:rsidRPr="00742434">
              <w:rPr>
                <w:rStyle w:val="Hiperpovezava"/>
                <w:bCs/>
                <w:noProof/>
                <w:lang w:val="sl"/>
              </w:rPr>
              <w:t>VIII. Interesi potrošnikov</w:t>
            </w:r>
            <w:r w:rsidR="005F7AB4">
              <w:rPr>
                <w:noProof/>
                <w:webHidden/>
              </w:rPr>
              <w:tab/>
            </w:r>
            <w:r w:rsidR="005F7AB4">
              <w:rPr>
                <w:noProof/>
                <w:webHidden/>
              </w:rPr>
              <w:fldChar w:fldCharType="begin"/>
            </w:r>
            <w:r w:rsidR="005F7AB4">
              <w:rPr>
                <w:noProof/>
                <w:webHidden/>
              </w:rPr>
              <w:instrText xml:space="preserve"> PAGEREF _Toc169086492 \h </w:instrText>
            </w:r>
            <w:r w:rsidR="005F7AB4">
              <w:rPr>
                <w:noProof/>
                <w:webHidden/>
              </w:rPr>
            </w:r>
            <w:r w:rsidR="005F7AB4">
              <w:rPr>
                <w:noProof/>
                <w:webHidden/>
              </w:rPr>
              <w:fldChar w:fldCharType="separate"/>
            </w:r>
            <w:r w:rsidR="005F7AB4">
              <w:rPr>
                <w:noProof/>
                <w:webHidden/>
              </w:rPr>
              <w:t>43</w:t>
            </w:r>
            <w:r w:rsidR="005F7AB4">
              <w:rPr>
                <w:noProof/>
                <w:webHidden/>
              </w:rPr>
              <w:fldChar w:fldCharType="end"/>
            </w:r>
          </w:hyperlink>
        </w:p>
        <w:p w14:paraId="2AE146E7" w14:textId="77777777" w:rsidR="005F7AB4" w:rsidRDefault="007C6346">
          <w:pPr>
            <w:pStyle w:val="Kazalovsebine1"/>
            <w:rPr>
              <w:rFonts w:asciiTheme="minorHAnsi" w:eastAsiaTheme="minorEastAsia" w:hAnsiTheme="minorHAnsi"/>
              <w:noProof/>
              <w:color w:val="auto"/>
              <w:sz w:val="22"/>
              <w:lang w:val="sl-SI" w:eastAsia="sl-SI"/>
            </w:rPr>
          </w:pPr>
          <w:hyperlink w:anchor="_Toc169086493" w:history="1">
            <w:r w:rsidR="005F7AB4" w:rsidRPr="00742434">
              <w:rPr>
                <w:rStyle w:val="Hiperpovezava"/>
                <w:bCs/>
                <w:noProof/>
                <w:lang w:val="sl"/>
              </w:rPr>
              <w:t>IX. Znanost, tehnologija in inovacije</w:t>
            </w:r>
            <w:r w:rsidR="005F7AB4">
              <w:rPr>
                <w:noProof/>
                <w:webHidden/>
              </w:rPr>
              <w:tab/>
            </w:r>
            <w:r w:rsidR="005F7AB4">
              <w:rPr>
                <w:noProof/>
                <w:webHidden/>
              </w:rPr>
              <w:fldChar w:fldCharType="begin"/>
            </w:r>
            <w:r w:rsidR="005F7AB4">
              <w:rPr>
                <w:noProof/>
                <w:webHidden/>
              </w:rPr>
              <w:instrText xml:space="preserve"> PAGEREF _Toc169086493 \h </w:instrText>
            </w:r>
            <w:r w:rsidR="005F7AB4">
              <w:rPr>
                <w:noProof/>
                <w:webHidden/>
              </w:rPr>
            </w:r>
            <w:r w:rsidR="005F7AB4">
              <w:rPr>
                <w:noProof/>
                <w:webHidden/>
              </w:rPr>
              <w:fldChar w:fldCharType="separate"/>
            </w:r>
            <w:r w:rsidR="005F7AB4">
              <w:rPr>
                <w:noProof/>
                <w:webHidden/>
              </w:rPr>
              <w:t>46</w:t>
            </w:r>
            <w:r w:rsidR="005F7AB4">
              <w:rPr>
                <w:noProof/>
                <w:webHidden/>
              </w:rPr>
              <w:fldChar w:fldCharType="end"/>
            </w:r>
          </w:hyperlink>
        </w:p>
        <w:p w14:paraId="1F69DF9D" w14:textId="77777777" w:rsidR="005F7AB4" w:rsidRDefault="007C6346">
          <w:pPr>
            <w:pStyle w:val="Kazalovsebine1"/>
            <w:rPr>
              <w:rFonts w:asciiTheme="minorHAnsi" w:eastAsiaTheme="minorEastAsia" w:hAnsiTheme="minorHAnsi"/>
              <w:noProof/>
              <w:color w:val="auto"/>
              <w:sz w:val="22"/>
              <w:lang w:val="sl-SI" w:eastAsia="sl-SI"/>
            </w:rPr>
          </w:pPr>
          <w:hyperlink w:anchor="_Toc169086494" w:history="1">
            <w:r w:rsidR="005F7AB4" w:rsidRPr="00742434">
              <w:rPr>
                <w:rStyle w:val="Hiperpovezava"/>
                <w:bCs/>
                <w:noProof/>
                <w:lang w:val="sl"/>
              </w:rPr>
              <w:t>X. Konkurenca</w:t>
            </w:r>
            <w:r w:rsidR="005F7AB4">
              <w:rPr>
                <w:noProof/>
                <w:webHidden/>
              </w:rPr>
              <w:tab/>
            </w:r>
            <w:r w:rsidR="005F7AB4">
              <w:rPr>
                <w:noProof/>
                <w:webHidden/>
              </w:rPr>
              <w:fldChar w:fldCharType="begin"/>
            </w:r>
            <w:r w:rsidR="005F7AB4">
              <w:rPr>
                <w:noProof/>
                <w:webHidden/>
              </w:rPr>
              <w:instrText xml:space="preserve"> PAGEREF _Toc169086494 \h </w:instrText>
            </w:r>
            <w:r w:rsidR="005F7AB4">
              <w:rPr>
                <w:noProof/>
                <w:webHidden/>
              </w:rPr>
            </w:r>
            <w:r w:rsidR="005F7AB4">
              <w:rPr>
                <w:noProof/>
                <w:webHidden/>
              </w:rPr>
              <w:fldChar w:fldCharType="separate"/>
            </w:r>
            <w:r w:rsidR="005F7AB4">
              <w:rPr>
                <w:noProof/>
                <w:webHidden/>
              </w:rPr>
              <w:t>49</w:t>
            </w:r>
            <w:r w:rsidR="005F7AB4">
              <w:rPr>
                <w:noProof/>
                <w:webHidden/>
              </w:rPr>
              <w:fldChar w:fldCharType="end"/>
            </w:r>
          </w:hyperlink>
        </w:p>
        <w:p w14:paraId="3BB45FC1" w14:textId="77777777" w:rsidR="005F7AB4" w:rsidRDefault="007C6346">
          <w:pPr>
            <w:pStyle w:val="Kazalovsebine1"/>
            <w:rPr>
              <w:rFonts w:asciiTheme="minorHAnsi" w:eastAsiaTheme="minorEastAsia" w:hAnsiTheme="minorHAnsi"/>
              <w:noProof/>
              <w:color w:val="auto"/>
              <w:sz w:val="22"/>
              <w:lang w:val="sl-SI" w:eastAsia="sl-SI"/>
            </w:rPr>
          </w:pPr>
          <w:hyperlink w:anchor="_Toc169086495" w:history="1">
            <w:r w:rsidR="005F7AB4" w:rsidRPr="00742434">
              <w:rPr>
                <w:rStyle w:val="Hiperpovezava"/>
                <w:bCs/>
                <w:noProof/>
                <w:lang w:val="sl"/>
              </w:rPr>
              <w:t>XI. Davki</w:t>
            </w:r>
            <w:r w:rsidR="005F7AB4">
              <w:rPr>
                <w:noProof/>
                <w:webHidden/>
              </w:rPr>
              <w:tab/>
            </w:r>
            <w:r w:rsidR="005F7AB4">
              <w:rPr>
                <w:noProof/>
                <w:webHidden/>
              </w:rPr>
              <w:fldChar w:fldCharType="begin"/>
            </w:r>
            <w:r w:rsidR="005F7AB4">
              <w:rPr>
                <w:noProof/>
                <w:webHidden/>
              </w:rPr>
              <w:instrText xml:space="preserve"> PAGEREF _Toc169086495 \h </w:instrText>
            </w:r>
            <w:r w:rsidR="005F7AB4">
              <w:rPr>
                <w:noProof/>
                <w:webHidden/>
              </w:rPr>
            </w:r>
            <w:r w:rsidR="005F7AB4">
              <w:rPr>
                <w:noProof/>
                <w:webHidden/>
              </w:rPr>
              <w:fldChar w:fldCharType="separate"/>
            </w:r>
            <w:r w:rsidR="005F7AB4">
              <w:rPr>
                <w:noProof/>
                <w:webHidden/>
              </w:rPr>
              <w:t>51</w:t>
            </w:r>
            <w:r w:rsidR="005F7AB4">
              <w:rPr>
                <w:noProof/>
                <w:webHidden/>
              </w:rPr>
              <w:fldChar w:fldCharType="end"/>
            </w:r>
          </w:hyperlink>
        </w:p>
        <w:p w14:paraId="11CA412A" w14:textId="77777777" w:rsidR="005F7AB4" w:rsidRDefault="007C6346">
          <w:pPr>
            <w:pStyle w:val="Kazalovsebine1"/>
            <w:rPr>
              <w:rFonts w:asciiTheme="minorHAnsi" w:eastAsiaTheme="minorEastAsia" w:hAnsiTheme="minorHAnsi"/>
              <w:noProof/>
              <w:color w:val="auto"/>
              <w:sz w:val="22"/>
              <w:lang w:val="sl-SI" w:eastAsia="sl-SI"/>
            </w:rPr>
          </w:pPr>
          <w:hyperlink w:anchor="_Toc169086496" w:history="1">
            <w:r w:rsidR="005F7AB4" w:rsidRPr="00742434">
              <w:rPr>
                <w:rStyle w:val="Hiperpovezava"/>
                <w:bCs/>
                <w:noProof/>
                <w:lang w:val="sl"/>
              </w:rPr>
              <w:t>II. del: Postopki za izvajanje Smernic OECD o odgovornem ravnanju podjetij za mednarodna podjetja</w:t>
            </w:r>
            <w:r w:rsidR="005F7AB4">
              <w:rPr>
                <w:noProof/>
                <w:webHidden/>
              </w:rPr>
              <w:tab/>
            </w:r>
            <w:r w:rsidR="005F7AB4">
              <w:rPr>
                <w:noProof/>
                <w:webHidden/>
              </w:rPr>
              <w:fldChar w:fldCharType="begin"/>
            </w:r>
            <w:r w:rsidR="005F7AB4">
              <w:rPr>
                <w:noProof/>
                <w:webHidden/>
              </w:rPr>
              <w:instrText xml:space="preserve"> PAGEREF _Toc169086496 \h </w:instrText>
            </w:r>
            <w:r w:rsidR="005F7AB4">
              <w:rPr>
                <w:noProof/>
                <w:webHidden/>
              </w:rPr>
            </w:r>
            <w:r w:rsidR="005F7AB4">
              <w:rPr>
                <w:noProof/>
                <w:webHidden/>
              </w:rPr>
              <w:fldChar w:fldCharType="separate"/>
            </w:r>
            <w:r w:rsidR="005F7AB4">
              <w:rPr>
                <w:noProof/>
                <w:webHidden/>
              </w:rPr>
              <w:t>55</w:t>
            </w:r>
            <w:r w:rsidR="005F7AB4">
              <w:rPr>
                <w:noProof/>
                <w:webHidden/>
              </w:rPr>
              <w:fldChar w:fldCharType="end"/>
            </w:r>
          </w:hyperlink>
        </w:p>
        <w:p w14:paraId="173297C4" w14:textId="77777777" w:rsidR="005F7AB4" w:rsidRDefault="007C6346">
          <w:pPr>
            <w:pStyle w:val="Kazalovsebine1"/>
            <w:rPr>
              <w:rFonts w:asciiTheme="minorHAnsi" w:eastAsiaTheme="minorEastAsia" w:hAnsiTheme="minorHAnsi"/>
              <w:noProof/>
              <w:color w:val="auto"/>
              <w:sz w:val="22"/>
              <w:lang w:val="sl-SI" w:eastAsia="sl-SI"/>
            </w:rPr>
          </w:pPr>
          <w:hyperlink w:anchor="_Toc169086497" w:history="1">
            <w:r w:rsidR="005F7AB4" w:rsidRPr="00742434">
              <w:rPr>
                <w:rStyle w:val="Hiperpovezava"/>
                <w:bCs/>
                <w:noProof/>
                <w:lang w:val="sl"/>
              </w:rPr>
              <w:t>Sklep Sveta o Smernicah OECD o odgovornem ravnanju podjetij za mednarodna podjetja</w:t>
            </w:r>
            <w:r w:rsidR="005F7AB4">
              <w:rPr>
                <w:noProof/>
                <w:webHidden/>
              </w:rPr>
              <w:tab/>
            </w:r>
            <w:r w:rsidR="005F7AB4">
              <w:rPr>
                <w:noProof/>
                <w:webHidden/>
              </w:rPr>
              <w:fldChar w:fldCharType="begin"/>
            </w:r>
            <w:r w:rsidR="005F7AB4">
              <w:rPr>
                <w:noProof/>
                <w:webHidden/>
              </w:rPr>
              <w:instrText xml:space="preserve"> PAGEREF _Toc169086497 \h </w:instrText>
            </w:r>
            <w:r w:rsidR="005F7AB4">
              <w:rPr>
                <w:noProof/>
                <w:webHidden/>
              </w:rPr>
            </w:r>
            <w:r w:rsidR="005F7AB4">
              <w:rPr>
                <w:noProof/>
                <w:webHidden/>
              </w:rPr>
              <w:fldChar w:fldCharType="separate"/>
            </w:r>
            <w:r w:rsidR="005F7AB4">
              <w:rPr>
                <w:noProof/>
                <w:webHidden/>
              </w:rPr>
              <w:t>56</w:t>
            </w:r>
            <w:r w:rsidR="005F7AB4">
              <w:rPr>
                <w:noProof/>
                <w:webHidden/>
              </w:rPr>
              <w:fldChar w:fldCharType="end"/>
            </w:r>
          </w:hyperlink>
        </w:p>
        <w:p w14:paraId="0AF4F3D4" w14:textId="77777777" w:rsidR="005F7AB4" w:rsidRDefault="007C6346">
          <w:pPr>
            <w:pStyle w:val="Kazalovsebine1"/>
            <w:rPr>
              <w:rFonts w:asciiTheme="minorHAnsi" w:eastAsiaTheme="minorEastAsia" w:hAnsiTheme="minorHAnsi"/>
              <w:noProof/>
              <w:color w:val="auto"/>
              <w:sz w:val="22"/>
              <w:lang w:val="sl-SI" w:eastAsia="sl-SI"/>
            </w:rPr>
          </w:pPr>
          <w:hyperlink w:anchor="_Toc169086498" w:history="1">
            <w:r w:rsidR="005F7AB4" w:rsidRPr="00742434">
              <w:rPr>
                <w:rStyle w:val="Hiperpovezava"/>
                <w:bCs/>
                <w:noProof/>
                <w:lang w:val="sl"/>
              </w:rPr>
              <w:t>Postopki</w:t>
            </w:r>
            <w:r w:rsidR="005F7AB4">
              <w:rPr>
                <w:noProof/>
                <w:webHidden/>
              </w:rPr>
              <w:tab/>
            </w:r>
            <w:r w:rsidR="005F7AB4">
              <w:rPr>
                <w:noProof/>
                <w:webHidden/>
              </w:rPr>
              <w:fldChar w:fldCharType="begin"/>
            </w:r>
            <w:r w:rsidR="005F7AB4">
              <w:rPr>
                <w:noProof/>
                <w:webHidden/>
              </w:rPr>
              <w:instrText xml:space="preserve"> PAGEREF _Toc169086498 \h </w:instrText>
            </w:r>
            <w:r w:rsidR="005F7AB4">
              <w:rPr>
                <w:noProof/>
                <w:webHidden/>
              </w:rPr>
            </w:r>
            <w:r w:rsidR="005F7AB4">
              <w:rPr>
                <w:noProof/>
                <w:webHidden/>
              </w:rPr>
              <w:fldChar w:fldCharType="separate"/>
            </w:r>
            <w:r w:rsidR="005F7AB4">
              <w:rPr>
                <w:noProof/>
                <w:webHidden/>
              </w:rPr>
              <w:t>58</w:t>
            </w:r>
            <w:r w:rsidR="005F7AB4">
              <w:rPr>
                <w:noProof/>
                <w:webHidden/>
              </w:rPr>
              <w:fldChar w:fldCharType="end"/>
            </w:r>
          </w:hyperlink>
        </w:p>
        <w:p w14:paraId="723AB346" w14:textId="77777777" w:rsidR="005F7AB4" w:rsidRDefault="007C6346">
          <w:pPr>
            <w:pStyle w:val="Kazalovsebine1"/>
            <w:rPr>
              <w:rFonts w:asciiTheme="minorHAnsi" w:eastAsiaTheme="minorEastAsia" w:hAnsiTheme="minorHAnsi"/>
              <w:noProof/>
              <w:color w:val="auto"/>
              <w:sz w:val="22"/>
              <w:lang w:val="sl-SI" w:eastAsia="sl-SI"/>
            </w:rPr>
          </w:pPr>
          <w:hyperlink w:anchor="_Toc169086499" w:history="1">
            <w:r w:rsidR="005F7AB4" w:rsidRPr="00742434">
              <w:rPr>
                <w:rStyle w:val="Hiperpovezava"/>
                <w:bCs/>
                <w:noProof/>
                <w:lang w:val="sl"/>
              </w:rPr>
              <w:t>Komentar k postopkom za izvajanje</w:t>
            </w:r>
            <w:r w:rsidR="005F7AB4">
              <w:rPr>
                <w:noProof/>
                <w:webHidden/>
              </w:rPr>
              <w:tab/>
            </w:r>
            <w:r w:rsidR="005F7AB4">
              <w:rPr>
                <w:noProof/>
                <w:webHidden/>
              </w:rPr>
              <w:fldChar w:fldCharType="begin"/>
            </w:r>
            <w:r w:rsidR="005F7AB4">
              <w:rPr>
                <w:noProof/>
                <w:webHidden/>
              </w:rPr>
              <w:instrText xml:space="preserve"> PAGEREF _Toc169086499 \h </w:instrText>
            </w:r>
            <w:r w:rsidR="005F7AB4">
              <w:rPr>
                <w:noProof/>
                <w:webHidden/>
              </w:rPr>
            </w:r>
            <w:r w:rsidR="005F7AB4">
              <w:rPr>
                <w:noProof/>
                <w:webHidden/>
              </w:rPr>
              <w:fldChar w:fldCharType="separate"/>
            </w:r>
            <w:r w:rsidR="005F7AB4">
              <w:rPr>
                <w:noProof/>
                <w:webHidden/>
              </w:rPr>
              <w:t>63</w:t>
            </w:r>
            <w:r w:rsidR="005F7AB4">
              <w:rPr>
                <w:noProof/>
                <w:webHidden/>
              </w:rPr>
              <w:fldChar w:fldCharType="end"/>
            </w:r>
          </w:hyperlink>
        </w:p>
        <w:p w14:paraId="12E4E94A" w14:textId="77777777" w:rsidR="00A55002" w:rsidRDefault="00A55002">
          <w:r>
            <w:rPr>
              <w:b/>
              <w:bCs/>
              <w:noProof/>
            </w:rPr>
            <w:fldChar w:fldCharType="end"/>
          </w:r>
        </w:p>
        <w:p w14:paraId="72D68768" w14:textId="77777777" w:rsidR="00A55002" w:rsidRDefault="007C6346" w:rsidP="00CC67BC">
          <w:pPr>
            <w:pStyle w:val="Para0"/>
            <w:rPr>
              <w:noProof/>
            </w:rPr>
          </w:pPr>
        </w:p>
      </w:sdtContent>
    </w:sdt>
    <w:p w14:paraId="2B15A495" w14:textId="77777777" w:rsidR="00A55002" w:rsidRDefault="00A55002" w:rsidP="00CC67BC">
      <w:pPr>
        <w:pStyle w:val="Figure"/>
        <w:rPr>
          <w:noProof/>
        </w:rPr>
      </w:pPr>
      <w:r>
        <w:rPr>
          <w:noProof/>
          <w:lang w:val="sl-SI" w:eastAsia="sl-SI"/>
        </w:rPr>
        <w:drawing>
          <wp:inline distT="0" distB="0" distL="0" distR="0" wp14:anchorId="7B4BE49C" wp14:editId="41CCC295">
            <wp:extent cx="4333875" cy="1819275"/>
            <wp:effectExtent l="0" t="0" r="9525" b="9525"/>
            <wp:docPr id="1" name="Picture 1" descr="Kontakti socialnih medijev OEC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ontakti socialnih medijev OECD.&#10;"/>
                    <pic:cNvPicPr/>
                  </pic:nvPicPr>
                  <pic:blipFill>
                    <a:blip r:embed="rId18">
                      <a:extLst>
                        <a:ext uri="{28A0092B-C50C-407E-A947-70E740481C1C}">
                          <a14:useLocalDpi xmlns:a14="http://schemas.microsoft.com/office/drawing/2010/main" val="0"/>
                        </a:ext>
                      </a:extLst>
                    </a:blip>
                    <a:stretch>
                      <a:fillRect/>
                    </a:stretch>
                  </pic:blipFill>
                  <pic:spPr>
                    <a:xfrm>
                      <a:off x="0" y="0"/>
                      <a:ext cx="4333875" cy="1819275"/>
                    </a:xfrm>
                    <a:prstGeom prst="rect">
                      <a:avLst/>
                    </a:prstGeom>
                  </pic:spPr>
                </pic:pic>
              </a:graphicData>
            </a:graphic>
          </wp:inline>
        </w:drawing>
      </w:r>
    </w:p>
    <w:p w14:paraId="7857AF15" w14:textId="77777777" w:rsidR="00A55002" w:rsidRPr="00E205CD" w:rsidRDefault="00A55002" w:rsidP="005C1FD6">
      <w:pPr>
        <w:pStyle w:val="Naslov"/>
        <w:rPr>
          <w:lang w:val="pl-PL"/>
        </w:rPr>
      </w:pPr>
      <w:bookmarkStart w:id="2" w:name="_Toc169086482"/>
      <w:r>
        <w:rPr>
          <w:bCs/>
          <w:lang w:val="sl"/>
        </w:rPr>
        <w:lastRenderedPageBreak/>
        <w:t>Deklaracija OECD o mednarodnih naložbah in mednarodnih podjetjih</w:t>
      </w:r>
      <w:bookmarkEnd w:id="2"/>
    </w:p>
    <w:p w14:paraId="56E4B95B" w14:textId="77777777" w:rsidR="00A55002" w:rsidRPr="008640B5" w:rsidRDefault="00A55002" w:rsidP="008640B5">
      <w:pPr>
        <w:pStyle w:val="Para0"/>
        <w:jc w:val="center"/>
      </w:pPr>
      <w:r>
        <w:rPr>
          <w:lang w:val="sl"/>
        </w:rPr>
        <w:t>VLADE PRISTOPNICE</w:t>
      </w:r>
      <w:r>
        <w:rPr>
          <w:rStyle w:val="Sprotnaopomba-sklic"/>
          <w:lang w:val="sl"/>
        </w:rPr>
        <w:footnoteReference w:id="2"/>
      </w:r>
    </w:p>
    <w:p w14:paraId="1FA7B44C" w14:textId="77777777" w:rsidR="00A55002" w:rsidRPr="008640B5" w:rsidRDefault="00A55002" w:rsidP="008640B5">
      <w:pPr>
        <w:pStyle w:val="Para0"/>
      </w:pPr>
    </w:p>
    <w:p w14:paraId="7FBC9216" w14:textId="77777777" w:rsidR="00A55002" w:rsidRPr="005C1FD6" w:rsidRDefault="00A55002" w:rsidP="008640B5">
      <w:pPr>
        <w:pStyle w:val="Para0"/>
      </w:pPr>
      <w:r>
        <w:rPr>
          <w:lang w:val="sl"/>
        </w:rPr>
        <w:t>OB UPOŠTEVANJU:</w:t>
      </w:r>
    </w:p>
    <w:p w14:paraId="003D44F7" w14:textId="77777777" w:rsidR="00A55002" w:rsidRPr="001516B4" w:rsidRDefault="00A55002" w:rsidP="00A55002">
      <w:pPr>
        <w:pStyle w:val="BulletedList1"/>
      </w:pPr>
      <w:r>
        <w:rPr>
          <w:lang w:val="sl"/>
        </w:rPr>
        <w:t>da so mednarodne naložbe zelo pomembne za svetovno gospodarstvo in da so veliko prispevale k razvoju njihovih držav;</w:t>
      </w:r>
    </w:p>
    <w:p w14:paraId="498B6BA8" w14:textId="77777777" w:rsidR="00A55002" w:rsidRPr="00E205CD" w:rsidRDefault="00A55002" w:rsidP="00A55002">
      <w:pPr>
        <w:pStyle w:val="BulletedList1"/>
        <w:rPr>
          <w:lang w:val="pl-PL"/>
        </w:rPr>
      </w:pPr>
      <w:r>
        <w:rPr>
          <w:lang w:val="sl"/>
        </w:rPr>
        <w:t>da imajo mednarodna podjetja pri teh naložbah pomembno vlogo;</w:t>
      </w:r>
    </w:p>
    <w:p w14:paraId="04ADE128" w14:textId="77777777" w:rsidR="00A55002" w:rsidRPr="00E205CD" w:rsidRDefault="00A55002" w:rsidP="00A55002">
      <w:pPr>
        <w:pStyle w:val="BulletedList1"/>
        <w:rPr>
          <w:lang w:val="pl-PL"/>
        </w:rPr>
      </w:pPr>
      <w:r>
        <w:rPr>
          <w:lang w:val="sl"/>
        </w:rPr>
        <w:t xml:space="preserve">da mednarodno sodelovanje lahko izboljša okolje za tuje naložbe, spodbuja pozitivni prispevek mednarodnih podjetij h gospodarskemu, družbenemu in </w:t>
      </w:r>
      <w:proofErr w:type="spellStart"/>
      <w:r>
        <w:rPr>
          <w:lang w:val="sl"/>
        </w:rPr>
        <w:t>okoljskemu</w:t>
      </w:r>
      <w:proofErr w:type="spellEnd"/>
      <w:r>
        <w:rPr>
          <w:lang w:val="sl"/>
        </w:rPr>
        <w:t xml:space="preserve"> napredku ter čim bolj zmanjšuje in rešuje težave, ki se lahko pojavijo pri njihovem poslovanju;</w:t>
      </w:r>
    </w:p>
    <w:p w14:paraId="1DA36438" w14:textId="77777777" w:rsidR="00A55002" w:rsidRPr="00E205CD" w:rsidRDefault="00A55002" w:rsidP="00A55002">
      <w:pPr>
        <w:pStyle w:val="BulletedList1"/>
        <w:rPr>
          <w:lang w:val="pl-PL"/>
        </w:rPr>
      </w:pPr>
      <w:r>
        <w:rPr>
          <w:lang w:val="sl"/>
        </w:rPr>
        <w:t>da se koristi mednarodnega sodelovanja povečajo, če se vprašanja v zvezi z mednarodnimi naložbami in mednarodnimi podjetji obravnavajo v uravnoteženem okviru medsebojno povezanih instrumentov,</w:t>
      </w:r>
    </w:p>
    <w:p w14:paraId="20488406" w14:textId="77777777" w:rsidR="00A55002" w:rsidRPr="00E205CD" w:rsidRDefault="00A55002" w:rsidP="00551604">
      <w:pPr>
        <w:pStyle w:val="BulletedList1"/>
        <w:numPr>
          <w:ilvl w:val="0"/>
          <w:numId w:val="0"/>
        </w:numPr>
        <w:ind w:left="680" w:hanging="340"/>
        <w:rPr>
          <w:lang w:val="pl-PL"/>
        </w:rPr>
      </w:pPr>
    </w:p>
    <w:p w14:paraId="18FD9F31" w14:textId="77777777" w:rsidR="00A55002" w:rsidRPr="00E205CD" w:rsidRDefault="00A55002" w:rsidP="00A42EED">
      <w:pPr>
        <w:pStyle w:val="Para0"/>
        <w:rPr>
          <w:lang w:val="pl-PL"/>
        </w:rPr>
      </w:pPr>
      <w:r>
        <w:rPr>
          <w:lang w:val="sl"/>
        </w:rPr>
        <w:t>IZJAVLJAJO:</w:t>
      </w:r>
    </w:p>
    <w:p w14:paraId="54D0D971" w14:textId="77777777" w:rsidR="00A55002" w:rsidRPr="00E205CD" w:rsidRDefault="00A55002" w:rsidP="008B35DF">
      <w:pPr>
        <w:pStyle w:val="Para0"/>
        <w:rPr>
          <w:b/>
          <w:bCs/>
          <w:lang w:val="pl-PL"/>
        </w:rPr>
      </w:pPr>
      <w:r>
        <w:rPr>
          <w:b/>
          <w:bCs/>
          <w:lang w:val="sl"/>
        </w:rPr>
        <w:t>Smernice za mednarodna podjetja</w:t>
      </w:r>
    </w:p>
    <w:p w14:paraId="6B329831" w14:textId="77777777" w:rsidR="00A55002" w:rsidRPr="00E205CD" w:rsidRDefault="00A55002" w:rsidP="0042619C">
      <w:pPr>
        <w:pStyle w:val="Para0"/>
        <w:rPr>
          <w:rFonts w:cstheme="minorHAnsi"/>
          <w:szCs w:val="20"/>
          <w:lang w:val="pl-PL"/>
        </w:rPr>
      </w:pPr>
      <w:r>
        <w:rPr>
          <w:rFonts w:cstheme="minorHAnsi"/>
          <w:szCs w:val="20"/>
          <w:lang w:val="sl"/>
        </w:rPr>
        <w:t>I. da mednarodnim podjetjem, ki poslujejo na njihovih ozemljih ali z njihovih ozemelj, skupaj priporočajo upoštevanje smernic iz priloge 1</w:t>
      </w:r>
      <w:r>
        <w:rPr>
          <w:rStyle w:val="Sprotnaopomba-sklic"/>
          <w:rFonts w:cstheme="minorHAnsi"/>
          <w:lang w:val="sl"/>
        </w:rPr>
        <w:footnoteReference w:id="3"/>
      </w:r>
      <w:r>
        <w:rPr>
          <w:rFonts w:cstheme="minorHAnsi"/>
          <w:szCs w:val="20"/>
          <w:lang w:val="sl"/>
        </w:rPr>
        <w:t xml:space="preserve"> tega dokumenta ob upoštevanju vidikov in dogovorov, ki so navedeni v predgovoru in so njihov sestavni del;</w:t>
      </w:r>
    </w:p>
    <w:p w14:paraId="0F058F55" w14:textId="77777777" w:rsidR="00A55002" w:rsidRPr="00E205CD" w:rsidRDefault="00A55002" w:rsidP="0042619C">
      <w:pPr>
        <w:pStyle w:val="Para0"/>
        <w:rPr>
          <w:b/>
          <w:bCs/>
          <w:lang w:val="pl-PL"/>
        </w:rPr>
      </w:pPr>
      <w:r>
        <w:rPr>
          <w:b/>
          <w:bCs/>
          <w:lang w:val="sl"/>
        </w:rPr>
        <w:t>Nacionalna obravnava</w:t>
      </w:r>
    </w:p>
    <w:p w14:paraId="63586959" w14:textId="77777777" w:rsidR="00A55002" w:rsidRPr="00E205CD" w:rsidRDefault="00A55002" w:rsidP="0042619C">
      <w:pPr>
        <w:pStyle w:val="Para0"/>
        <w:rPr>
          <w:lang w:val="pl-PL"/>
        </w:rPr>
      </w:pPr>
      <w:r>
        <w:rPr>
          <w:lang w:val="sl"/>
        </w:rPr>
        <w:t xml:space="preserve">II. 1. da vlade pristopnice v skladu s svojimi potrebami za ohranjanje javnega reda, zaščito svojih bistvenih varnostnih interesov in izpolnjevanje obveznosti v zvezi z mednarodnim mirom in varnostjo podjetjem, ki poslujejo na njihovih ozemljih in so neposredno ali posredno v lasti ali pod nadzorom državljanov druge vlade pristopnice (v nadaljnjem besedilu: podjetja pod tujim nadzorom), zagotavljajo obravnavo po svojih </w:t>
      </w:r>
      <w:r>
        <w:rPr>
          <w:lang w:val="sl"/>
        </w:rPr>
        <w:lastRenderedPageBreak/>
        <w:t>zakonih in drugih predpisih ter upravnih praksah, ki je v skladu z mednarodnim pravom in ni manj ugodna od tiste, ki se v podobnih primerih zagotavlja domačim podjetjem (v nadaljnjem besedilu: nacionalna obravnava);</w:t>
      </w:r>
    </w:p>
    <w:p w14:paraId="51CE6162" w14:textId="77777777" w:rsidR="00A55002" w:rsidRPr="00E205CD" w:rsidRDefault="00A55002" w:rsidP="0042619C">
      <w:pPr>
        <w:pStyle w:val="Para0"/>
        <w:rPr>
          <w:lang w:val="pl-PL"/>
        </w:rPr>
      </w:pPr>
      <w:r>
        <w:rPr>
          <w:lang w:val="sl"/>
        </w:rPr>
        <w:t>2.  da bodo vlade pristopnice razmislile o uporabi "nacionalne obravnave" za države, ki niso vlade pristopnice;</w:t>
      </w:r>
    </w:p>
    <w:p w14:paraId="757AD593" w14:textId="77777777" w:rsidR="00A55002" w:rsidRPr="00E205CD" w:rsidRDefault="00A55002" w:rsidP="0042619C">
      <w:pPr>
        <w:pStyle w:val="Para0"/>
        <w:rPr>
          <w:lang w:val="pl-PL"/>
        </w:rPr>
      </w:pPr>
      <w:r>
        <w:rPr>
          <w:lang w:val="sl"/>
        </w:rPr>
        <w:t>3.  da si bodo vlade pristopnice prizadevale, da njihove ozemeljske enote uporabljajo "nacionalno obravnavo";</w:t>
      </w:r>
    </w:p>
    <w:p w14:paraId="0460549A" w14:textId="77777777" w:rsidR="00A55002" w:rsidRPr="00E205CD" w:rsidRDefault="00A55002" w:rsidP="0042619C">
      <w:pPr>
        <w:pStyle w:val="Para0"/>
        <w:rPr>
          <w:lang w:val="pl-PL"/>
        </w:rPr>
      </w:pPr>
      <w:r>
        <w:rPr>
          <w:lang w:val="sl"/>
        </w:rPr>
        <w:t>4. da ta deklaracija ne obravnava pravice vlad pristopnic, da urejajo vstop tujih naložb ali pogoje ustanavljanja tujih podjetij;</w:t>
      </w:r>
    </w:p>
    <w:p w14:paraId="7E9A5682" w14:textId="77777777" w:rsidR="00A55002" w:rsidRPr="00E205CD" w:rsidRDefault="00A55002" w:rsidP="0042619C">
      <w:pPr>
        <w:pStyle w:val="Para0"/>
        <w:rPr>
          <w:b/>
          <w:bCs/>
          <w:lang w:val="pl-PL"/>
        </w:rPr>
      </w:pPr>
      <w:r>
        <w:rPr>
          <w:b/>
          <w:bCs/>
          <w:lang w:val="sl"/>
        </w:rPr>
        <w:t>Nasprotujoče si zahteve</w:t>
      </w:r>
    </w:p>
    <w:p w14:paraId="01F5ACC5" w14:textId="77777777" w:rsidR="00A55002" w:rsidRPr="00E205CD" w:rsidRDefault="00A55002" w:rsidP="0042619C">
      <w:pPr>
        <w:pStyle w:val="Para0"/>
        <w:rPr>
          <w:lang w:val="pl-PL"/>
        </w:rPr>
      </w:pPr>
      <w:r>
        <w:rPr>
          <w:lang w:val="sl"/>
        </w:rPr>
        <w:t>III. da bodo sodelovale, da bi se izognile uveljavljanju nasprotujočih si zahtev za mednarodna podjetja ali ga čim bolj zmanjšale, in da bodo upoštevale splošne vidike in praktične načine iz priloge 2 tega dokumenta;</w:t>
      </w:r>
      <w:r>
        <w:rPr>
          <w:rStyle w:val="Sprotnaopomba-sklic"/>
          <w:rFonts w:cstheme="minorHAnsi"/>
          <w:lang w:val="sl"/>
        </w:rPr>
        <w:footnoteReference w:id="4"/>
      </w:r>
    </w:p>
    <w:p w14:paraId="48F1B8A3" w14:textId="77777777" w:rsidR="00A55002" w:rsidRPr="00E205CD" w:rsidRDefault="00A55002" w:rsidP="0042619C">
      <w:pPr>
        <w:pStyle w:val="Para0"/>
        <w:rPr>
          <w:b/>
          <w:bCs/>
          <w:lang w:val="pl-PL"/>
        </w:rPr>
      </w:pPr>
      <w:r>
        <w:rPr>
          <w:b/>
          <w:bCs/>
          <w:lang w:val="sl"/>
        </w:rPr>
        <w:t>Spodbude in ovire za mednarodne naložbe</w:t>
      </w:r>
    </w:p>
    <w:p w14:paraId="7C453276" w14:textId="77777777" w:rsidR="00A55002" w:rsidRPr="00E205CD" w:rsidRDefault="00A55002" w:rsidP="0042619C">
      <w:pPr>
        <w:pStyle w:val="Para0"/>
        <w:rPr>
          <w:lang w:val="pl-PL"/>
        </w:rPr>
      </w:pPr>
      <w:r>
        <w:rPr>
          <w:lang w:val="sl"/>
        </w:rPr>
        <w:t>IV. 1. da priznavajo potrebo po okrepitvi sodelovanja na področju mednarodnih neposrednih naložb;</w:t>
      </w:r>
    </w:p>
    <w:p w14:paraId="05ADC345" w14:textId="77777777" w:rsidR="00A55002" w:rsidRPr="00E205CD" w:rsidRDefault="00A55002" w:rsidP="0042619C">
      <w:pPr>
        <w:pStyle w:val="Para0"/>
        <w:rPr>
          <w:lang w:val="pl-PL"/>
        </w:rPr>
      </w:pPr>
      <w:r>
        <w:rPr>
          <w:lang w:val="sl"/>
        </w:rPr>
        <w:t>2.  da zato priznavajo potrebo po ustreznem upoštevanju interesov vlad pristopnic, na katere vplivajo posebni zakoni, drugi predpisi in upravne prakse na tem področju (v nadaljnjem besedilu: ukrepi), ki zagotavljajo uradne spodbude in ovire za mednarodne neposredne naložbe;</w:t>
      </w:r>
    </w:p>
    <w:p w14:paraId="7628DED7" w14:textId="77777777" w:rsidR="00A55002" w:rsidRPr="00E205CD" w:rsidRDefault="00A55002" w:rsidP="0042619C">
      <w:pPr>
        <w:pStyle w:val="Para0"/>
        <w:rPr>
          <w:lang w:val="pl-PL"/>
        </w:rPr>
      </w:pPr>
      <w:r>
        <w:rPr>
          <w:lang w:val="sl"/>
        </w:rPr>
        <w:t>3.  da si bodo vlade pristopnice prizadevale za čim večjo preglednost takšnih ukrepov, tako da bo mogoče ugotoviti njihov pomen in namen ter da bodo informacije o njih takoj na voljo;</w:t>
      </w:r>
    </w:p>
    <w:p w14:paraId="18F9E7D4" w14:textId="77777777" w:rsidR="00A55002" w:rsidRPr="00E205CD" w:rsidRDefault="00A55002" w:rsidP="0042619C">
      <w:pPr>
        <w:pStyle w:val="Para0"/>
        <w:rPr>
          <w:b/>
          <w:bCs/>
          <w:lang w:val="pl-PL"/>
        </w:rPr>
      </w:pPr>
      <w:r>
        <w:rPr>
          <w:b/>
          <w:bCs/>
          <w:lang w:val="sl"/>
        </w:rPr>
        <w:t>Postopki posvetovanja</w:t>
      </w:r>
    </w:p>
    <w:p w14:paraId="463F5E19" w14:textId="77777777" w:rsidR="00A55002" w:rsidRPr="00E205CD" w:rsidRDefault="00A55002" w:rsidP="0042619C">
      <w:pPr>
        <w:pStyle w:val="Para0"/>
        <w:rPr>
          <w:lang w:val="pl-PL"/>
        </w:rPr>
      </w:pPr>
      <w:r>
        <w:rPr>
          <w:lang w:val="sl"/>
        </w:rPr>
        <w:t>V. da so se pripravljene med seboj posvetovati o zgoraj navedenih zadevah v skladu z ustreznimi sklepi Sveta;</w:t>
      </w:r>
    </w:p>
    <w:p w14:paraId="0809B3C3" w14:textId="77777777" w:rsidR="00A55002" w:rsidRPr="00E205CD" w:rsidRDefault="00A55002" w:rsidP="0042619C">
      <w:pPr>
        <w:pStyle w:val="Para0"/>
        <w:rPr>
          <w:lang w:val="pl-PL"/>
        </w:rPr>
      </w:pPr>
      <w:r>
        <w:rPr>
          <w:b/>
          <w:bCs/>
          <w:lang w:val="sl"/>
        </w:rPr>
        <w:t>Pregled</w:t>
      </w:r>
    </w:p>
    <w:p w14:paraId="7741E8AC" w14:textId="77777777" w:rsidR="00A55002" w:rsidRPr="00E205CD" w:rsidRDefault="00A55002" w:rsidP="008D0119">
      <w:pPr>
        <w:pStyle w:val="Para0"/>
        <w:rPr>
          <w:lang w:val="pl-PL"/>
        </w:rPr>
        <w:sectPr w:rsidR="00A55002" w:rsidRPr="00E205CD" w:rsidSect="00A55002">
          <w:headerReference w:type="even" r:id="rId19"/>
          <w:headerReference w:type="default" r:id="rId20"/>
          <w:footerReference w:type="even" r:id="rId21"/>
          <w:footerReference w:type="default" r:id="rId22"/>
          <w:headerReference w:type="first" r:id="rId23"/>
          <w:footerReference w:type="first" r:id="rId24"/>
          <w:endnotePr>
            <w:numFmt w:val="decimal"/>
            <w:numRestart w:val="eachSect"/>
          </w:endnotePr>
          <w:type w:val="oddPage"/>
          <w:pgSz w:w="11906" w:h="16838" w:code="9"/>
          <w:pgMar w:top="1814" w:right="1304" w:bottom="1758" w:left="1304" w:header="1247" w:footer="1020" w:gutter="0"/>
          <w:cols w:space="708"/>
          <w:docGrid w:linePitch="360"/>
        </w:sectPr>
      </w:pPr>
      <w:r>
        <w:rPr>
          <w:lang w:val="sl"/>
        </w:rPr>
        <w:t>VI. da bodo redno pregledovale zgoraj navedene zadeve, da bi izboljšale učinkovitost mednarodnega gospodarskega sodelovanja med vladami pristopnicami glede vprašanj, ki se nanašajo na mednarodne naložbe in mednarodna podjetja.</w:t>
      </w:r>
    </w:p>
    <w:p w14:paraId="36880E76" w14:textId="77777777" w:rsidR="00A55002" w:rsidRPr="00EC1531" w:rsidRDefault="00A55002" w:rsidP="00A55002">
      <w:pPr>
        <w:pStyle w:val="Naslov1"/>
        <w:framePr w:wrap="notBeside"/>
        <w:numPr>
          <w:ilvl w:val="0"/>
          <w:numId w:val="21"/>
        </w:numPr>
        <w:spacing w:after="100" w:afterAutospacing="1"/>
        <w:rPr>
          <w:color w:val="366091" w:themeColor="accent1" w:themeShade="BF"/>
          <w:lang w:val="pl-PL"/>
        </w:rPr>
      </w:pPr>
      <w:bookmarkStart w:id="3" w:name="_Toc169086483"/>
      <w:r w:rsidRPr="00EC1531">
        <w:rPr>
          <w:bCs/>
          <w:color w:val="366091" w:themeColor="accent1" w:themeShade="BF"/>
          <w:lang w:val="sl"/>
        </w:rPr>
        <w:lastRenderedPageBreak/>
        <w:t>I. del: Smernice OECD o odgovornem ravnanju podjetij za mednarodna podjetja</w:t>
      </w:r>
      <w:bookmarkEnd w:id="3"/>
    </w:p>
    <w:p w14:paraId="1C9FA800" w14:textId="77777777" w:rsidR="00A55002" w:rsidRPr="00EC1531" w:rsidRDefault="00A55002" w:rsidP="0042619C">
      <w:pPr>
        <w:pStyle w:val="Abstract"/>
        <w:spacing w:before="2280"/>
        <w:rPr>
          <w:color w:val="366091" w:themeColor="accent1" w:themeShade="BF"/>
        </w:rPr>
      </w:pPr>
      <w:r w:rsidRPr="00EC1531">
        <w:rPr>
          <w:color w:val="366091" w:themeColor="accent1" w:themeShade="BF"/>
          <w:lang w:val="sl"/>
        </w:rPr>
        <w:t>Besedilo in komentar</w:t>
      </w:r>
    </w:p>
    <w:p w14:paraId="33FCC764" w14:textId="77777777" w:rsidR="00A55002" w:rsidRPr="00EC1531" w:rsidRDefault="00A55002" w:rsidP="00A55002">
      <w:pPr>
        <w:pStyle w:val="Naslov1"/>
        <w:framePr w:wrap="notBeside"/>
        <w:numPr>
          <w:ilvl w:val="0"/>
          <w:numId w:val="21"/>
        </w:numPr>
        <w:rPr>
          <w:color w:val="366091" w:themeColor="accent1" w:themeShade="BF"/>
        </w:rPr>
      </w:pPr>
      <w:bookmarkStart w:id="4" w:name="_Toc169086484"/>
      <w:r w:rsidRPr="00EC1531">
        <w:rPr>
          <w:bCs/>
          <w:color w:val="366091" w:themeColor="accent1" w:themeShade="BF"/>
          <w:lang w:val="sl"/>
        </w:rPr>
        <w:lastRenderedPageBreak/>
        <w:t>Predgovor</w:t>
      </w:r>
      <w:bookmarkEnd w:id="4"/>
    </w:p>
    <w:p w14:paraId="037A146F" w14:textId="77777777" w:rsidR="00A55002" w:rsidRPr="008A691D" w:rsidRDefault="00A55002" w:rsidP="00A55002">
      <w:pPr>
        <w:pStyle w:val="Para1"/>
        <w:rPr>
          <w:b/>
          <w:i/>
          <w:u w:val="single"/>
          <w:lang w:val="sl"/>
        </w:rPr>
      </w:pPr>
      <w:r>
        <w:rPr>
          <w:i/>
          <w:iCs/>
          <w:lang w:val="sl"/>
        </w:rPr>
        <w:t xml:space="preserve">Smernice OECD  o odgovornem ravnanju podjetij za mednarodna podjetja </w:t>
      </w:r>
      <w:r>
        <w:rPr>
          <w:lang w:val="sl"/>
        </w:rPr>
        <w:t>(</w:t>
      </w:r>
      <w:r>
        <w:rPr>
          <w:i/>
          <w:iCs/>
          <w:lang w:val="sl"/>
        </w:rPr>
        <w:t>smernice</w:t>
      </w:r>
      <w:r>
        <w:rPr>
          <w:lang w:val="sl"/>
        </w:rPr>
        <w:t xml:space="preserve">) so priporočila vlad mednarodnim podjetjem. Skupni cilj pristopnic k </w:t>
      </w:r>
      <w:r>
        <w:rPr>
          <w:i/>
          <w:iCs/>
          <w:lang w:val="sl"/>
        </w:rPr>
        <w:t>smernicam</w:t>
      </w:r>
      <w:r>
        <w:rPr>
          <w:lang w:val="sl"/>
        </w:rPr>
        <w:t xml:space="preserve"> je spodbujati pozitivne prispevke podjetij h gospodarskemu, </w:t>
      </w:r>
      <w:proofErr w:type="spellStart"/>
      <w:r>
        <w:rPr>
          <w:lang w:val="sl"/>
        </w:rPr>
        <w:t>okoljskemu</w:t>
      </w:r>
      <w:proofErr w:type="spellEnd"/>
      <w:r>
        <w:rPr>
          <w:lang w:val="sl"/>
        </w:rPr>
        <w:t xml:space="preserve"> in družbenemu napredku ter čim bolj zmanjšati škodljive vplive na zadeve, ki jih zajemajo </w:t>
      </w:r>
      <w:r>
        <w:rPr>
          <w:i/>
          <w:iCs/>
          <w:lang w:val="sl"/>
        </w:rPr>
        <w:t>smernice</w:t>
      </w:r>
      <w:r>
        <w:rPr>
          <w:lang w:val="sl"/>
        </w:rPr>
        <w:t xml:space="preserve"> in so lahko povezani s poslovanjem, izdelki in storitvami podjetja. Odgovorno ravnanje podjetij lahko omogoči vzpostavitev enakih konkurenčnih pogojev na svetovnih trgih, spodbuja dinamični in dobro delujoči poslovni sektor ter povečuje prispevek podjetij k trajnostnemu razvoju, vključno z rešitvami za obravnavanje podnebnih sprememb in odzivanje nanje.</w:t>
      </w:r>
      <w:r>
        <w:rPr>
          <w:b/>
          <w:bCs/>
          <w:u w:val="single"/>
          <w:lang w:val="sl"/>
        </w:rPr>
        <w:t xml:space="preserve"> </w:t>
      </w:r>
    </w:p>
    <w:p w14:paraId="7D6E9646" w14:textId="77777777" w:rsidR="00A55002" w:rsidRPr="008A691D" w:rsidRDefault="00A55002" w:rsidP="00A55002">
      <w:pPr>
        <w:pStyle w:val="Para1"/>
        <w:rPr>
          <w:lang w:val="sl"/>
        </w:rPr>
      </w:pPr>
      <w:r>
        <w:rPr>
          <w:lang w:val="sl"/>
        </w:rPr>
        <w:t xml:space="preserve">Smernice so del </w:t>
      </w:r>
      <w:r>
        <w:rPr>
          <w:i/>
          <w:iCs/>
          <w:lang w:val="sl"/>
        </w:rPr>
        <w:t>Deklaracije OECD o mednarodnih naložbah in mednarodnih podjetjih</w:t>
      </w:r>
      <w:r>
        <w:rPr>
          <w:lang w:val="sl"/>
        </w:rPr>
        <w:t xml:space="preserve"> </w:t>
      </w:r>
      <w:r>
        <w:rPr>
          <w:i/>
          <w:iCs/>
          <w:lang w:val="sl"/>
        </w:rPr>
        <w:t>[</w:t>
      </w:r>
      <w:hyperlink r:id="rId25" w:history="1">
        <w:r>
          <w:rPr>
            <w:rStyle w:val="Hiperpovezava"/>
            <w:rFonts w:asciiTheme="majorHAnsi" w:eastAsia="Times New Roman" w:hAnsiTheme="majorHAnsi" w:cstheme="majorHAnsi"/>
            <w:i/>
            <w:iCs/>
            <w:lang w:val="sl"/>
          </w:rPr>
          <w:t>OECD/LEGAL/0144</w:t>
        </w:r>
      </w:hyperlink>
      <w:r>
        <w:rPr>
          <w:i/>
          <w:iCs/>
          <w:lang w:val="sl"/>
        </w:rPr>
        <w:t xml:space="preserve">]. </w:t>
      </w:r>
      <w:r>
        <w:rPr>
          <w:lang w:val="sl"/>
        </w:rPr>
        <w:t xml:space="preserve">Pristopnice k </w:t>
      </w:r>
      <w:r>
        <w:rPr>
          <w:i/>
          <w:iCs/>
          <w:lang w:val="sl"/>
        </w:rPr>
        <w:t>smernicam</w:t>
      </w:r>
      <w:r>
        <w:rPr>
          <w:lang w:val="sl"/>
        </w:rPr>
        <w:t xml:space="preserve"> se zavezujejo, da bodo spodbujale njihovo učinkovitost v skladu s </w:t>
      </w:r>
      <w:r>
        <w:rPr>
          <w:i/>
          <w:iCs/>
          <w:lang w:val="sl"/>
        </w:rPr>
        <w:t>Sklepom Sveta o Smernicah OECD o odgovornem ravnanju podjetij za mednarodna podjetja [</w:t>
      </w:r>
      <w:hyperlink r:id="rId26" w:history="1">
        <w:r>
          <w:rPr>
            <w:rStyle w:val="Hiperpovezava"/>
            <w:rFonts w:asciiTheme="majorHAnsi" w:eastAsia="Times New Roman" w:hAnsiTheme="majorHAnsi" w:cstheme="majorHAnsi"/>
            <w:i/>
            <w:iCs/>
            <w:lang w:val="sl"/>
          </w:rPr>
          <w:t>OECD/LEGAL/0307</w:t>
        </w:r>
      </w:hyperlink>
      <w:r>
        <w:rPr>
          <w:i/>
          <w:iCs/>
          <w:lang w:val="sl"/>
        </w:rPr>
        <w:t>]</w:t>
      </w:r>
      <w:r>
        <w:rPr>
          <w:lang w:val="sl"/>
        </w:rPr>
        <w:t xml:space="preserve">. Pri tem imajo osrednjo vlogo nacionalne kontaktne točke za odgovorno ravnanje podjetij. </w:t>
      </w:r>
    </w:p>
    <w:p w14:paraId="1688053A" w14:textId="77777777" w:rsidR="00A55002" w:rsidRPr="008A691D" w:rsidRDefault="00A55002" w:rsidP="00A55002">
      <w:pPr>
        <w:pStyle w:val="Para1"/>
        <w:rPr>
          <w:lang w:val="sl"/>
        </w:rPr>
      </w:pPr>
      <w:r>
        <w:rPr>
          <w:lang w:val="sl"/>
        </w:rPr>
        <w:t xml:space="preserve">Namen </w:t>
      </w:r>
      <w:r>
        <w:rPr>
          <w:i/>
          <w:iCs/>
          <w:lang w:val="sl"/>
        </w:rPr>
        <w:t>smernic</w:t>
      </w:r>
      <w:r>
        <w:rPr>
          <w:lang w:val="sl"/>
        </w:rPr>
        <w:t xml:space="preserve"> je spodbujati odgovorno trgovino in naložbe ter s tem povečati koristi trgovine in naložb z nenehnim sodelovanjem in izboljševanjem na vseh svetovnih trgih. Mednarodna trgovina in naložbe krepijo in poglabljajo vezi med državami in regijami sveta ter ustvarjajo znatne koristi, ki jih družbe potrebujejo za doseganje trajnostnega razvoja, vključno z ustvarjanjem več in boljših delovnih mest, razvojem znanja in spretnosti, zagotavljanjem izdelkov in storitev, ki izboljšujejo življenjski standard, ter dostopom do financ in tehnologije, potrebnih za digitalni in zeleni prehod.  </w:t>
      </w:r>
    </w:p>
    <w:p w14:paraId="7B3D370B" w14:textId="77777777" w:rsidR="00A55002" w:rsidRPr="008A691D" w:rsidRDefault="00A55002" w:rsidP="00A55002">
      <w:pPr>
        <w:pStyle w:val="Para1"/>
        <w:rPr>
          <w:lang w:val="sl"/>
        </w:rPr>
      </w:pPr>
      <w:r>
        <w:rPr>
          <w:i/>
          <w:iCs/>
          <w:lang w:val="sl"/>
        </w:rPr>
        <w:t>Smernice</w:t>
      </w:r>
      <w:r>
        <w:rPr>
          <w:lang w:val="sl"/>
        </w:rPr>
        <w:t xml:space="preserve"> izražajo skupna pričakovanja pristopnic glede odgovornega ravnanja podjetij, ki poslujejo v njihovih državah ali iz njih, in so verodostojna referenčna točka za podjetja in druge deležnike. Priporočajo, da podjetja opravijo skrbni pregled poslovanja na podlagi analize tveganja, da bi ugotovila, preprečila, ublažila ter pojasnila dejanske in morebitne škodljive vplive na zadeve, ki jih zajemajo </w:t>
      </w:r>
      <w:r>
        <w:rPr>
          <w:i/>
          <w:iCs/>
          <w:lang w:val="sl"/>
        </w:rPr>
        <w:t>smernice</w:t>
      </w:r>
      <w:r>
        <w:rPr>
          <w:lang w:val="sl"/>
        </w:rPr>
        <w:t xml:space="preserve">. V tem pogledu </w:t>
      </w:r>
      <w:r>
        <w:rPr>
          <w:i/>
          <w:iCs/>
          <w:lang w:val="sl"/>
        </w:rPr>
        <w:t>smernice</w:t>
      </w:r>
      <w:r>
        <w:rPr>
          <w:lang w:val="sl"/>
        </w:rPr>
        <w:t xml:space="preserve"> dopolnjujejo in krepijo zasebna in javna prizadevanja za opredelitev ter izvajanje odgovornega ravnanja podjetij.</w:t>
      </w:r>
    </w:p>
    <w:p w14:paraId="76758AF1" w14:textId="77777777" w:rsidR="00A55002" w:rsidRPr="008A691D" w:rsidRDefault="00A55002" w:rsidP="00A55002">
      <w:pPr>
        <w:pStyle w:val="Para1"/>
        <w:rPr>
          <w:b/>
          <w:bCs/>
          <w:i/>
          <w:iCs/>
          <w:u w:val="single"/>
          <w:lang w:val="sl"/>
        </w:rPr>
      </w:pPr>
      <w:bookmarkStart w:id="5" w:name="_Hlk124519296"/>
      <w:r>
        <w:rPr>
          <w:i/>
          <w:iCs/>
          <w:lang w:val="sl"/>
        </w:rPr>
        <w:t>Smernice</w:t>
      </w:r>
      <w:r>
        <w:rPr>
          <w:lang w:val="sl"/>
        </w:rPr>
        <w:t xml:space="preserve"> vsebujejo prostovoljna načela in standarde za odgovorno ravnanje podjetij v skladu z veljavnimi zakoni in mednarodno priznanimi standardi. Zadeve, ki jih zajemajo </w:t>
      </w:r>
      <w:r>
        <w:rPr>
          <w:i/>
          <w:iCs/>
          <w:lang w:val="sl"/>
        </w:rPr>
        <w:t>smernice</w:t>
      </w:r>
      <w:r>
        <w:rPr>
          <w:lang w:val="sl"/>
        </w:rPr>
        <w:t xml:space="preserve">, lahko urejajo notranje pravo in mednarodne zaveze. </w:t>
      </w:r>
      <w:r>
        <w:rPr>
          <w:i/>
          <w:iCs/>
          <w:noProof/>
          <w:lang w:val="sl"/>
        </w:rPr>
        <w:t>Smernice</w:t>
      </w:r>
      <w:r>
        <w:rPr>
          <w:lang w:val="sl"/>
        </w:rPr>
        <w:t xml:space="preserve"> navajajo priporočila o odgovornem ravnanju podjetij, ki lahko presegajo tisto, kar morajo podjetja izpolnjevati po zakonu</w:t>
      </w:r>
      <w:r>
        <w:rPr>
          <w:noProof/>
          <w:lang w:val="sl"/>
        </w:rPr>
        <w:t>.</w:t>
      </w:r>
      <w:r>
        <w:rPr>
          <w:lang w:val="sl"/>
        </w:rPr>
        <w:t xml:space="preserve"> Priporočilo vlad, naj podjetja upoštevajo </w:t>
      </w:r>
      <w:r>
        <w:rPr>
          <w:i/>
          <w:iCs/>
          <w:lang w:val="sl"/>
        </w:rPr>
        <w:t>smernice</w:t>
      </w:r>
      <w:r>
        <w:rPr>
          <w:lang w:val="sl"/>
        </w:rPr>
        <w:t>, se razlikuje od pravne odgovornosti in izvrševanja.</w:t>
      </w:r>
      <w:r>
        <w:rPr>
          <w:b/>
          <w:bCs/>
          <w:i/>
          <w:iCs/>
          <w:u w:val="single"/>
          <w:lang w:val="sl"/>
        </w:rPr>
        <w:t xml:space="preserve"> </w:t>
      </w:r>
    </w:p>
    <w:p w14:paraId="166039C3" w14:textId="77777777" w:rsidR="00A55002" w:rsidRPr="008A691D" w:rsidRDefault="00A55002" w:rsidP="00A55002">
      <w:pPr>
        <w:pStyle w:val="Para1"/>
        <w:rPr>
          <w:lang w:val="sl"/>
        </w:rPr>
      </w:pPr>
      <w:r>
        <w:rPr>
          <w:lang w:val="sl"/>
        </w:rPr>
        <w:t xml:space="preserve">Sposobnost mednarodnih podjetij, da spodbujajo trajnostni razvoj, se močno poveča, če trgovina in naložbe potekajo v okviru odprtih, konkurenčnih in organiziranih trgov ob spoštovanju pravne države in zaščite državljanskega prostora. Vlade imajo pomembno vlogo pri podpiranju učinkovitega izvajanja </w:t>
      </w:r>
      <w:r>
        <w:rPr>
          <w:i/>
          <w:iCs/>
          <w:lang w:val="sl"/>
        </w:rPr>
        <w:t>smernic</w:t>
      </w:r>
      <w:r>
        <w:rPr>
          <w:lang w:val="sl"/>
        </w:rPr>
        <w:t>, med drugim z ustvarjanjem ugodnega političnega okolja, ki podpira in spodbuja odgovorne poslovne prakse. Usklajenost politik na državni in mednarodni ravni lahko spodbudi prilagajanje in usklajevanje pobud za odgovorno ravnanje podjetij. Pri tem je pomembna pametna kombinacija vladnih načinov in ukrepov, ki lahko vključujejo obvezne in prostovoljne načine ter krepitev zmogljivosti in druge spremljevalne ukrepe. Oblikovanje posebnih politik, zakonodaje in drugih ukrepov na področju odgovornega ravnanja podjetij bo odvisno od političnih, upravnih in pravnih okoliščin posameznih držav.</w:t>
      </w:r>
    </w:p>
    <w:bookmarkEnd w:id="5"/>
    <w:p w14:paraId="0494AB36" w14:textId="77777777" w:rsidR="00A55002" w:rsidRPr="008A691D" w:rsidRDefault="00A55002" w:rsidP="00A55002">
      <w:pPr>
        <w:pStyle w:val="Para1"/>
        <w:rPr>
          <w:strike/>
          <w:lang w:val="sl"/>
        </w:rPr>
      </w:pPr>
      <w:r>
        <w:rPr>
          <w:lang w:val="sl"/>
        </w:rPr>
        <w:lastRenderedPageBreak/>
        <w:t xml:space="preserve">Politično, gospodarsko, </w:t>
      </w:r>
      <w:proofErr w:type="spellStart"/>
      <w:r>
        <w:rPr>
          <w:lang w:val="sl"/>
        </w:rPr>
        <w:t>okoljsko</w:t>
      </w:r>
      <w:proofErr w:type="spellEnd"/>
      <w:r>
        <w:rPr>
          <w:lang w:val="sl"/>
        </w:rPr>
        <w:t xml:space="preserve">, družbeno, fizično in tehnološko okolje za mednarodno poslovanje se korenito in hitro spreminja. </w:t>
      </w:r>
      <w:r>
        <w:rPr>
          <w:i/>
          <w:iCs/>
          <w:lang w:val="sl"/>
        </w:rPr>
        <w:t xml:space="preserve">Smernice </w:t>
      </w:r>
      <w:r>
        <w:rPr>
          <w:lang w:val="sl"/>
        </w:rPr>
        <w:t xml:space="preserve">so se razvile tako, da odražajo te spremembe. V zadnjih desetletjih se je delež mednarodne trgovine in financ v svetovnem gospodarstvu močno povečal. Velika podjetja še vedno dosegajo velik delež mednarodne trgovine in naložb, povečale pa so se tudi čezmejna trgovina in naložbe malih in srednje velikih podjetij, ki imajo zdaj pomembno vlogo na mednarodnih trgih. Mednarodna podjetja so se tako kot domača podjetja razvila ter imajo širši nabor poslovnih ureditev in organizacijskih oblik. Tehnološki razvoj ter strateška zavezništva in tesnejši odnosi z dobavitelji in izvajalci običajno zabrišejo meje podjetja. Hiter razvoj strukture mednarodnih podjetij se odraža tudi v njihovem poslovanju v nastajajočih gospodarstvih in gospodarstvih v razvoju, katerih delež v čezmejni trgovini in naložbah se povečuje. V nastajajočih gospodarstvih in gospodarstvih v razvoju so se mednarodna podjetja razširila iz primarne proizvodnje in </w:t>
      </w:r>
      <w:proofErr w:type="spellStart"/>
      <w:r>
        <w:rPr>
          <w:lang w:val="sl"/>
        </w:rPr>
        <w:t>ekstraktivnih</w:t>
      </w:r>
      <w:proofErr w:type="spellEnd"/>
      <w:r>
        <w:rPr>
          <w:lang w:val="sl"/>
        </w:rPr>
        <w:t xml:space="preserve"> panog v proizvodnjo, montažo, razvoj domačega trga in storitve. </w:t>
      </w:r>
    </w:p>
    <w:p w14:paraId="5678E107" w14:textId="77777777" w:rsidR="00A55002" w:rsidRPr="008A691D" w:rsidRDefault="00A55002" w:rsidP="00A55002">
      <w:pPr>
        <w:pStyle w:val="Para1"/>
        <w:rPr>
          <w:strike/>
          <w:lang w:val="sl"/>
        </w:rPr>
      </w:pPr>
      <w:r>
        <w:rPr>
          <w:lang w:val="sl"/>
        </w:rPr>
        <w:t xml:space="preserve">Narava, obseg in hitrost gospodarskih sprememb so novi strateški izzivi za podjetja in njihove deležnike. Konkurenčne sile so močne, mednarodna podjetja pa srečujejo z različnimi pravnimi, družbenimi in regulativnimi okolji. Številna mednarodna podjetja so dokazala, da je spoštovanje visokih standardov ravnanja podjetij neločljivo povezano z rastjo in dobičkonosnostjo. Podjetja vse pogosteje izvajajo poslovne modele, ki si prizadevajo za trajnostni razvoj in podpirajo skladnost med gospodarskimi, </w:t>
      </w:r>
      <w:proofErr w:type="spellStart"/>
      <w:r>
        <w:rPr>
          <w:lang w:val="sl"/>
        </w:rPr>
        <w:t>okoljskimi</w:t>
      </w:r>
      <w:proofErr w:type="spellEnd"/>
      <w:r>
        <w:rPr>
          <w:lang w:val="sl"/>
        </w:rPr>
        <w:t xml:space="preserve"> in družbenimi cilji. Podjetja spodbujajo tudi socialni dialog o tem, kaj je odgovorno ravnanje podjetij, in sodelujejo z deležniki, tudi v okviru pobud več deležnikov, pri oblikovanju smernic za odgovorno ravnanje podjetij. </w:t>
      </w:r>
    </w:p>
    <w:p w14:paraId="765D9C09" w14:textId="77777777" w:rsidR="00A55002" w:rsidRPr="008A691D" w:rsidRDefault="00A55002" w:rsidP="00A55002">
      <w:pPr>
        <w:pStyle w:val="Para1"/>
        <w:rPr>
          <w:lang w:val="sl"/>
        </w:rPr>
      </w:pPr>
      <w:r>
        <w:rPr>
          <w:lang w:val="sl"/>
        </w:rPr>
        <w:t xml:space="preserve">Sprejetje </w:t>
      </w:r>
      <w:r>
        <w:rPr>
          <w:i/>
          <w:iCs/>
          <w:lang w:val="sl"/>
        </w:rPr>
        <w:t>smernic</w:t>
      </w:r>
      <w:r>
        <w:rPr>
          <w:lang w:val="sl"/>
        </w:rPr>
        <w:t xml:space="preserve"> leta 1976 in njihove poznejše posodobitve odražajo vse večje zahteve, da podjetja upoštevajo načela in standarde odgovornega ravnanja podjetij. Začetki tega razvoja so povezani z delom Mednarodne organizacije dela na začetku dvajsetega stoletja. Naslednja prelomnica je bilo sprejetje Splošne deklaracije človekovih pravic v Združenih narodih leta 1948.  Sledil je stalni razvoj standardov, pomembnih za številna področja odgovornega ravnanja podjetij. OECD je pomembno prispevala k temu procesu z razvojem standardov na področjih, kot so okolje, boj proti korupciji, interesi potrošnikov, upravljanje podjetij, znanost, tehnologija in inovacije ter obdavčenje.</w:t>
      </w:r>
    </w:p>
    <w:p w14:paraId="003804F4" w14:textId="77777777" w:rsidR="00A55002" w:rsidRPr="008A691D" w:rsidRDefault="00A55002" w:rsidP="00A55002">
      <w:pPr>
        <w:pStyle w:val="Para1"/>
        <w:rPr>
          <w:lang w:val="sl"/>
        </w:rPr>
      </w:pPr>
      <w:r>
        <w:rPr>
          <w:i/>
          <w:iCs/>
          <w:lang w:val="sl"/>
        </w:rPr>
        <w:t>Smernice</w:t>
      </w:r>
      <w:r>
        <w:rPr>
          <w:lang w:val="sl"/>
        </w:rPr>
        <w:t xml:space="preserve"> ostajajo vodilni mednarodni dokument za odgovorno ravnanje podjetij. Pristopnice k </w:t>
      </w:r>
      <w:r>
        <w:rPr>
          <w:i/>
          <w:iCs/>
          <w:lang w:val="sl"/>
        </w:rPr>
        <w:t>smernicam</w:t>
      </w:r>
      <w:r>
        <w:rPr>
          <w:lang w:val="sl"/>
        </w:rPr>
        <w:t xml:space="preserve"> so zavezane k medsebojnemu sodelovanju in sodelovanju z drugimi vladami, da bi pospešile izvajanje </w:t>
      </w:r>
      <w:r>
        <w:rPr>
          <w:i/>
          <w:iCs/>
          <w:lang w:val="sl"/>
        </w:rPr>
        <w:t>smernic</w:t>
      </w:r>
      <w:r>
        <w:rPr>
          <w:lang w:val="sl"/>
        </w:rPr>
        <w:t xml:space="preserve"> v partnerstvu s številnimi podjetji, sindikati in drugimi nevladnimi organizacijami, ki si vsak na svoj način prizadevajo za isti cilj.</w:t>
      </w:r>
    </w:p>
    <w:p w14:paraId="0022A58A" w14:textId="77777777" w:rsidR="00A55002" w:rsidRPr="008A691D" w:rsidRDefault="00A55002" w:rsidP="0042619C">
      <w:pPr>
        <w:pStyle w:val="Para0"/>
        <w:rPr>
          <w:lang w:val="sl"/>
        </w:rPr>
      </w:pPr>
    </w:p>
    <w:p w14:paraId="4C3548A5" w14:textId="77777777" w:rsidR="00A55002" w:rsidRPr="00EC1531" w:rsidRDefault="00A55002" w:rsidP="00A55002">
      <w:pPr>
        <w:pStyle w:val="Naslov1"/>
        <w:framePr w:wrap="notBeside"/>
        <w:numPr>
          <w:ilvl w:val="0"/>
          <w:numId w:val="21"/>
        </w:numPr>
        <w:rPr>
          <w:color w:val="366091" w:themeColor="accent1" w:themeShade="BF"/>
        </w:rPr>
      </w:pPr>
      <w:bookmarkStart w:id="6" w:name="_Toc169086485"/>
      <w:r w:rsidRPr="00EC1531">
        <w:rPr>
          <w:bCs/>
          <w:color w:val="366091" w:themeColor="accent1" w:themeShade="BF"/>
          <w:lang w:val="sl"/>
        </w:rPr>
        <w:lastRenderedPageBreak/>
        <w:t>I. Zasnove in načela</w:t>
      </w:r>
      <w:bookmarkEnd w:id="6"/>
    </w:p>
    <w:p w14:paraId="3330BBEB" w14:textId="77777777" w:rsidR="00A55002" w:rsidRPr="008A691D" w:rsidRDefault="00A55002" w:rsidP="00A55002">
      <w:pPr>
        <w:pStyle w:val="NumberedList"/>
        <w:numPr>
          <w:ilvl w:val="0"/>
          <w:numId w:val="19"/>
        </w:numPr>
        <w:rPr>
          <w:lang w:val="sl"/>
        </w:rPr>
      </w:pPr>
      <w:r>
        <w:rPr>
          <w:i/>
          <w:iCs/>
          <w:lang w:val="sl"/>
        </w:rPr>
        <w:t>Smernice</w:t>
      </w:r>
      <w:r>
        <w:rPr>
          <w:lang w:val="sl"/>
        </w:rPr>
        <w:t xml:space="preserve"> so priporočila, ki jih vlade skupaj naslovijo na mednarodna podjetja. Vsebujejo načela in standarde dobrih praks v skladu z veljavnimi zakoni in mednarodno priznanimi standardi. Podjetja </w:t>
      </w:r>
      <w:r>
        <w:rPr>
          <w:i/>
          <w:iCs/>
          <w:lang w:val="sl"/>
        </w:rPr>
        <w:t>smernice</w:t>
      </w:r>
      <w:r>
        <w:rPr>
          <w:lang w:val="sl"/>
        </w:rPr>
        <w:t xml:space="preserve"> upoštevajo prostovoljno in zanje niso pravno zavezujoče.</w:t>
      </w:r>
      <w:r>
        <w:rPr>
          <w:b/>
          <w:bCs/>
          <w:lang w:val="sl"/>
        </w:rPr>
        <w:t xml:space="preserve"> </w:t>
      </w:r>
      <w:r>
        <w:rPr>
          <w:lang w:val="sl"/>
        </w:rPr>
        <w:t xml:space="preserve">Kljub temu lahko nekatere zadeve, ki jih zajemajo </w:t>
      </w:r>
      <w:r>
        <w:rPr>
          <w:i/>
          <w:iCs/>
          <w:lang w:val="sl"/>
        </w:rPr>
        <w:t>smernice</w:t>
      </w:r>
      <w:r>
        <w:rPr>
          <w:lang w:val="sl"/>
        </w:rPr>
        <w:t>, ureja tudi nacionalna zakonodaja ali mednarodne zaveze.</w:t>
      </w:r>
    </w:p>
    <w:p w14:paraId="6FA6005B" w14:textId="77777777" w:rsidR="00A55002" w:rsidRPr="008A691D" w:rsidRDefault="00A55002" w:rsidP="00A55002">
      <w:pPr>
        <w:pStyle w:val="NumberedList"/>
        <w:numPr>
          <w:ilvl w:val="0"/>
          <w:numId w:val="19"/>
        </w:numPr>
        <w:rPr>
          <w:lang w:val="sl"/>
        </w:rPr>
      </w:pPr>
      <w:r>
        <w:rPr>
          <w:lang w:val="sl"/>
        </w:rPr>
        <w:t xml:space="preserve">Upoštevanje notranje zakonodaje je prva obveznost podjetij. </w:t>
      </w:r>
      <w:r>
        <w:rPr>
          <w:i/>
          <w:iCs/>
          <w:lang w:val="sl"/>
        </w:rPr>
        <w:t>Smernice</w:t>
      </w:r>
      <w:r>
        <w:rPr>
          <w:lang w:val="sl"/>
        </w:rPr>
        <w:t xml:space="preserve"> niso nadomestilo za notranje zakone in druge predpise ter niso pomembnejše od njih. Če vlade ne spoštujejo načel in standardov v skladu s </w:t>
      </w:r>
      <w:r>
        <w:rPr>
          <w:i/>
          <w:iCs/>
          <w:lang w:val="sl"/>
        </w:rPr>
        <w:t>smernicami</w:t>
      </w:r>
      <w:r>
        <w:rPr>
          <w:lang w:val="sl"/>
        </w:rPr>
        <w:t xml:space="preserve"> ali z njimi povezanimi mednarodnimi zavezami, to ne zmanjšuje pričakovanja, da podjetja spoštujejo </w:t>
      </w:r>
      <w:r>
        <w:rPr>
          <w:i/>
          <w:iCs/>
          <w:lang w:val="sl"/>
        </w:rPr>
        <w:t>smernice</w:t>
      </w:r>
      <w:r>
        <w:rPr>
          <w:lang w:val="sl"/>
        </w:rPr>
        <w:t xml:space="preserve">. Čeprav </w:t>
      </w:r>
      <w:r>
        <w:rPr>
          <w:i/>
          <w:iCs/>
          <w:lang w:val="sl"/>
        </w:rPr>
        <w:t>smernice</w:t>
      </w:r>
      <w:r>
        <w:rPr>
          <w:lang w:val="sl"/>
        </w:rPr>
        <w:t xml:space="preserve"> v številnih primerih presegajo zakonodajo, ne smejo biti in niso namenjene temu, da bi podjetje postavile v položaj, v katerem bi se spoprijemalo z nasprotujočimi si zahtevami. V državah, kjer so notranji zakoni in drugi predpisi v nasprotju z načeli in standardi iz </w:t>
      </w:r>
      <w:r>
        <w:rPr>
          <w:i/>
          <w:iCs/>
          <w:lang w:val="sl"/>
        </w:rPr>
        <w:t>smernic</w:t>
      </w:r>
      <w:r>
        <w:rPr>
          <w:lang w:val="sl"/>
        </w:rPr>
        <w:t>, pa naj podjetja poiščejo načine za spoštovanje teh načel in standardov v največji možni meri, tako da ne kršijo notranjega prava.</w:t>
      </w:r>
    </w:p>
    <w:p w14:paraId="4E68A908" w14:textId="77777777" w:rsidR="00A55002" w:rsidRPr="008A691D" w:rsidRDefault="00A55002" w:rsidP="00A55002">
      <w:pPr>
        <w:pStyle w:val="NumberedList"/>
        <w:numPr>
          <w:ilvl w:val="0"/>
          <w:numId w:val="19"/>
        </w:numPr>
        <w:rPr>
          <w:lang w:val="sl"/>
        </w:rPr>
      </w:pPr>
      <w:r>
        <w:rPr>
          <w:lang w:val="sl"/>
        </w:rPr>
        <w:t xml:space="preserve">Ker mednarodna podjetja poslujejo po vsem svetu, naj se mednarodno sodelovanje na tem področju razširi na vse države. Pristopnice k </w:t>
      </w:r>
      <w:r>
        <w:rPr>
          <w:i/>
          <w:iCs/>
          <w:lang w:val="sl"/>
        </w:rPr>
        <w:t>smernicam</w:t>
      </w:r>
      <w:r>
        <w:rPr>
          <w:lang w:val="sl"/>
        </w:rPr>
        <w:t xml:space="preserve"> spodbujajo podjetja, ki poslujejo na njihovih ozemljih ali z njihovih ozemelj, da </w:t>
      </w:r>
      <w:r>
        <w:rPr>
          <w:i/>
          <w:iCs/>
          <w:lang w:val="sl"/>
        </w:rPr>
        <w:t>smernice</w:t>
      </w:r>
      <w:r>
        <w:rPr>
          <w:lang w:val="sl"/>
        </w:rPr>
        <w:t xml:space="preserve"> upoštevajo povsod, kjer poslujejo, ob upoštevanju posebnih okoliščin vsake države gostiteljice.</w:t>
      </w:r>
    </w:p>
    <w:p w14:paraId="2029690E" w14:textId="77777777" w:rsidR="00A55002" w:rsidRPr="008A691D" w:rsidRDefault="00A55002" w:rsidP="00A55002">
      <w:pPr>
        <w:pStyle w:val="NumberedList"/>
        <w:numPr>
          <w:ilvl w:val="0"/>
          <w:numId w:val="19"/>
        </w:numPr>
        <w:rPr>
          <w:lang w:val="sl"/>
        </w:rPr>
      </w:pPr>
      <w:r>
        <w:rPr>
          <w:lang w:val="sl"/>
        </w:rPr>
        <w:t xml:space="preserve">Za namene </w:t>
      </w:r>
      <w:r>
        <w:rPr>
          <w:i/>
          <w:iCs/>
          <w:lang w:val="sl"/>
        </w:rPr>
        <w:t>smernic</w:t>
      </w:r>
      <w:r>
        <w:rPr>
          <w:lang w:val="sl"/>
        </w:rPr>
        <w:t xml:space="preserve"> ni potrebna natančna opredelitev mednarodnih podjetij. Čeprav </w:t>
      </w:r>
      <w:r>
        <w:rPr>
          <w:i/>
          <w:iCs/>
          <w:lang w:val="sl"/>
        </w:rPr>
        <w:t>smernice</w:t>
      </w:r>
      <w:r>
        <w:rPr>
          <w:lang w:val="sl"/>
        </w:rPr>
        <w:t xml:space="preserve"> dopuščajo veliko načinov določanja subjektov, ki se lahko štejejo za mednarodna podjetja za namene </w:t>
      </w:r>
      <w:r>
        <w:rPr>
          <w:i/>
          <w:iCs/>
          <w:lang w:val="sl"/>
        </w:rPr>
        <w:t>smernic</w:t>
      </w:r>
      <w:r>
        <w:rPr>
          <w:lang w:val="sl"/>
        </w:rPr>
        <w:t xml:space="preserve">, so glavni dejavniki, ki jih je treba pri tem upoštevati, mednarodni značaj strukture ali dejavnosti podjetja ter njegova poslovna oblika, namen ali dejavnosti. Ta podjetja delujejo v vseh gospodarskih sektorjih. Običajno vključujejo podjetja ali druge subjekte s sedežem v več kot eni državi, ki so med seboj tako povezani, da lahko na različne načine usklajujejo svoje dejavnosti. Čeprav lahko eden ali več teh subjektov pomembno vpliva na dejavnosti drugih subjektov v skupini, se lahko stopnja njihove samostojnosti v skupini med posameznimi mednarodnimi podjetji zelo razlikuje. Lastništvo je lahko zasebno, državno ali mešano.  </w:t>
      </w:r>
      <w:r>
        <w:rPr>
          <w:i/>
          <w:iCs/>
          <w:lang w:val="sl"/>
        </w:rPr>
        <w:t>Smernice</w:t>
      </w:r>
      <w:r>
        <w:rPr>
          <w:lang w:val="sl"/>
        </w:rPr>
        <w:t xml:space="preserve"> so namenjene vsem subjektom v mednarodnem podjetju (matičnim družbam in/ali lokalnim subjektom).  Od različnih subjektov se pričakuje, da glede na dejansko porazdelitev odgovornosti med njimi sodelujejo in si medsebojno pomagajo pri izvajanju smernic.</w:t>
      </w:r>
    </w:p>
    <w:p w14:paraId="6FB00D0F" w14:textId="77777777" w:rsidR="00A55002" w:rsidRPr="008A691D" w:rsidRDefault="00A55002" w:rsidP="00A55002">
      <w:pPr>
        <w:pStyle w:val="NumberedList"/>
        <w:numPr>
          <w:ilvl w:val="0"/>
          <w:numId w:val="19"/>
        </w:numPr>
        <w:rPr>
          <w:lang w:val="sl"/>
        </w:rPr>
      </w:pPr>
      <w:r>
        <w:rPr>
          <w:lang w:val="sl"/>
        </w:rPr>
        <w:t xml:space="preserve">Namen </w:t>
      </w:r>
      <w:r>
        <w:rPr>
          <w:i/>
          <w:iCs/>
          <w:lang w:val="sl"/>
        </w:rPr>
        <w:t>smernic</w:t>
      </w:r>
      <w:r>
        <w:rPr>
          <w:lang w:val="sl"/>
        </w:rPr>
        <w:t xml:space="preserve"> ni uvajanje razlik pri obravnavi mednarodnih in domačih podjetij; odražajo dobro prakso za oboja. Zato za mednarodna in domača podjetja veljajo enaka pričakovanja glede njihovega ravnanja, kadar koli se </w:t>
      </w:r>
      <w:r>
        <w:rPr>
          <w:i/>
          <w:iCs/>
          <w:lang w:val="sl"/>
        </w:rPr>
        <w:t>smernice</w:t>
      </w:r>
      <w:r>
        <w:rPr>
          <w:lang w:val="sl"/>
        </w:rPr>
        <w:t xml:space="preserve"> uporabljajo za oboja.</w:t>
      </w:r>
    </w:p>
    <w:p w14:paraId="4FF1E385" w14:textId="77777777" w:rsidR="00A55002" w:rsidRPr="008A691D" w:rsidRDefault="00A55002" w:rsidP="00A55002">
      <w:pPr>
        <w:pStyle w:val="NumberedList"/>
        <w:numPr>
          <w:ilvl w:val="0"/>
          <w:numId w:val="19"/>
        </w:numPr>
        <w:rPr>
          <w:lang w:val="sl"/>
        </w:rPr>
      </w:pPr>
      <w:r>
        <w:rPr>
          <w:lang w:val="sl"/>
        </w:rPr>
        <w:t xml:space="preserve">Vlade želijo spodbuditi čim širše spoštovanje </w:t>
      </w:r>
      <w:r>
        <w:rPr>
          <w:i/>
          <w:iCs/>
          <w:lang w:val="sl"/>
        </w:rPr>
        <w:t>smernic</w:t>
      </w:r>
      <w:r>
        <w:rPr>
          <w:lang w:val="sl"/>
        </w:rPr>
        <w:t xml:space="preserve">. Čeprav se pristopnice k </w:t>
      </w:r>
      <w:r>
        <w:rPr>
          <w:i/>
          <w:iCs/>
          <w:lang w:val="sl"/>
        </w:rPr>
        <w:t>smernicam</w:t>
      </w:r>
      <w:r>
        <w:rPr>
          <w:lang w:val="sl"/>
        </w:rPr>
        <w:t xml:space="preserve"> zavedajo, da mala in srednje velika podjetja morda nimajo enakih zmogljivosti kot večja podjetja, jih kljub temu spodbujajo, da priporočila </w:t>
      </w:r>
      <w:r>
        <w:rPr>
          <w:i/>
          <w:iCs/>
          <w:lang w:val="sl"/>
        </w:rPr>
        <w:t>smernic</w:t>
      </w:r>
      <w:r>
        <w:rPr>
          <w:lang w:val="sl"/>
        </w:rPr>
        <w:t xml:space="preserve"> upoštevajo v največji možni meri.</w:t>
      </w:r>
    </w:p>
    <w:p w14:paraId="0DB254E3" w14:textId="77777777" w:rsidR="00A55002" w:rsidRPr="008A691D" w:rsidRDefault="00A55002" w:rsidP="00A55002">
      <w:pPr>
        <w:pStyle w:val="NumberedList"/>
        <w:numPr>
          <w:ilvl w:val="0"/>
          <w:numId w:val="19"/>
        </w:numPr>
        <w:rPr>
          <w:lang w:val="sl"/>
        </w:rPr>
      </w:pPr>
      <w:r>
        <w:rPr>
          <w:lang w:val="sl"/>
        </w:rPr>
        <w:t xml:space="preserve">Pristopnice k </w:t>
      </w:r>
      <w:r>
        <w:rPr>
          <w:i/>
          <w:iCs/>
          <w:lang w:val="sl"/>
        </w:rPr>
        <w:t>smernicam</w:t>
      </w:r>
      <w:r>
        <w:rPr>
          <w:lang w:val="sl"/>
        </w:rPr>
        <w:t xml:space="preserve"> naj </w:t>
      </w:r>
      <w:r>
        <w:rPr>
          <w:i/>
          <w:iCs/>
          <w:lang w:val="sl"/>
        </w:rPr>
        <w:t>smernic</w:t>
      </w:r>
      <w:r>
        <w:rPr>
          <w:lang w:val="sl"/>
        </w:rPr>
        <w:t xml:space="preserve"> ne uporabljajo v protekcionistične namene in naj jih ne uporabljajo tako, da bi postavljale pod vprašaj primerjalno prednost katere koli države, v katero vlagajo mednarodna podjetja.</w:t>
      </w:r>
    </w:p>
    <w:p w14:paraId="0D6F4DB4" w14:textId="77777777" w:rsidR="00A55002" w:rsidRPr="008A691D" w:rsidRDefault="00A55002" w:rsidP="00A55002">
      <w:pPr>
        <w:pStyle w:val="NumberedList"/>
        <w:numPr>
          <w:ilvl w:val="0"/>
          <w:numId w:val="19"/>
        </w:numPr>
        <w:rPr>
          <w:lang w:val="sl"/>
        </w:rPr>
      </w:pPr>
      <w:r>
        <w:rPr>
          <w:lang w:val="sl"/>
        </w:rPr>
        <w:t xml:space="preserve">Vlade imajo pravico predpisati pogoje, pod katerimi mednarodna podjetja poslujejo v njihovih jurisdikcijah, ob upoštevanju mednarodnega prava. Za subjekte mednarodnega podjetja, ki so v različnih državah, veljajo zakoni, ki veljajo v teh državah. Kadar za mednarodna podjetja veljajo </w:t>
      </w:r>
      <w:r>
        <w:rPr>
          <w:lang w:val="sl"/>
        </w:rPr>
        <w:lastRenderedPageBreak/>
        <w:t xml:space="preserve">nasprotujoče si zahteve pristopnic ali tretjih držav, se zadevne vlade spodbujajo, da v dobri veri sodelujejo pri reševanju morebitnih težav. </w:t>
      </w:r>
    </w:p>
    <w:p w14:paraId="02049F94" w14:textId="77777777" w:rsidR="00A55002" w:rsidRPr="008A691D" w:rsidRDefault="00A55002" w:rsidP="00A55002">
      <w:pPr>
        <w:pStyle w:val="NumberedList"/>
        <w:numPr>
          <w:ilvl w:val="0"/>
          <w:numId w:val="19"/>
        </w:numPr>
        <w:rPr>
          <w:lang w:val="sl"/>
        </w:rPr>
      </w:pPr>
      <w:r>
        <w:rPr>
          <w:lang w:val="sl"/>
        </w:rPr>
        <w:t xml:space="preserve">Pristopnice k </w:t>
      </w:r>
      <w:r>
        <w:rPr>
          <w:i/>
          <w:iCs/>
          <w:lang w:val="sl"/>
        </w:rPr>
        <w:t>smernicam</w:t>
      </w:r>
      <w:r>
        <w:rPr>
          <w:lang w:val="sl"/>
        </w:rPr>
        <w:t xml:space="preserve"> so jih sprejele z zavedanjem, da bodo izpolnjevale svojo odgovornost za enako obravnavanje podjetij v skladu z mednarodnim pravom in svojimi pogodbenimi obveznostmi.</w:t>
      </w:r>
    </w:p>
    <w:p w14:paraId="066A9230" w14:textId="77777777" w:rsidR="00A55002" w:rsidRPr="008A691D" w:rsidRDefault="00A55002" w:rsidP="00A55002">
      <w:pPr>
        <w:pStyle w:val="NumberedList"/>
        <w:numPr>
          <w:ilvl w:val="0"/>
          <w:numId w:val="19"/>
        </w:numPr>
        <w:rPr>
          <w:lang w:val="sl"/>
        </w:rPr>
      </w:pPr>
      <w:r>
        <w:rPr>
          <w:lang w:val="sl"/>
        </w:rPr>
        <w:t>Spodbuja se uporaba ustreznih mednarodnih mehanizmov za reševanje sporov, vključno z arbitražo, kot sredstva za lažje reševanje pravnih težav, ki nastanejo med podjetji in vladami držav gostiteljic.</w:t>
      </w:r>
    </w:p>
    <w:p w14:paraId="4176EF5E" w14:textId="77777777" w:rsidR="00A55002" w:rsidRPr="008A691D" w:rsidRDefault="00A55002" w:rsidP="00A55002">
      <w:pPr>
        <w:pStyle w:val="NumberedList"/>
        <w:numPr>
          <w:ilvl w:val="0"/>
          <w:numId w:val="19"/>
        </w:numPr>
        <w:rPr>
          <w:lang w:val="sl"/>
        </w:rPr>
      </w:pPr>
      <w:r>
        <w:rPr>
          <w:lang w:val="sl"/>
        </w:rPr>
        <w:t xml:space="preserve">Pristopnice k </w:t>
      </w:r>
      <w:r>
        <w:rPr>
          <w:i/>
          <w:iCs/>
          <w:lang w:val="sl"/>
        </w:rPr>
        <w:t>smernicam</w:t>
      </w:r>
      <w:r>
        <w:rPr>
          <w:lang w:val="sl"/>
        </w:rPr>
        <w:t xml:space="preserve"> bodo izvajale </w:t>
      </w:r>
      <w:r>
        <w:rPr>
          <w:i/>
          <w:iCs/>
          <w:lang w:val="sl"/>
        </w:rPr>
        <w:t>smernice</w:t>
      </w:r>
      <w:r>
        <w:rPr>
          <w:lang w:val="sl"/>
        </w:rPr>
        <w:t xml:space="preserve"> in spodbujale njihovo uporabo. Ustanovile bodo nacionalne kontaktne točke za odgovorno ravnanje podjetij, ki bodo spodbujale uporabo </w:t>
      </w:r>
      <w:r>
        <w:rPr>
          <w:i/>
          <w:iCs/>
          <w:lang w:val="sl"/>
        </w:rPr>
        <w:t>smernic</w:t>
      </w:r>
      <w:r>
        <w:rPr>
          <w:lang w:val="sl"/>
        </w:rPr>
        <w:t xml:space="preserve"> in delovale kot forum za razpravo o vseh zadevah v zvezi z njimi. Pristopnice bodo sodelovale tudi pri ustreznem pregledu in posvetovanju, da bi obravnavale pomisleke v zvezi z razlago in izvajanjem </w:t>
      </w:r>
      <w:r>
        <w:rPr>
          <w:i/>
          <w:iCs/>
          <w:lang w:val="sl"/>
        </w:rPr>
        <w:t>smernic</w:t>
      </w:r>
      <w:r>
        <w:rPr>
          <w:lang w:val="sl"/>
        </w:rPr>
        <w:t xml:space="preserve"> ter ohranile njihovo stalno ustreznost v spreminjajočem se svetu. </w:t>
      </w:r>
    </w:p>
    <w:p w14:paraId="0AC9AEE7" w14:textId="77777777" w:rsidR="00A55002" w:rsidRPr="00EC1531" w:rsidRDefault="00A55002" w:rsidP="00A55002">
      <w:pPr>
        <w:pStyle w:val="Naslov1"/>
        <w:framePr w:wrap="notBeside"/>
        <w:numPr>
          <w:ilvl w:val="0"/>
          <w:numId w:val="21"/>
        </w:numPr>
        <w:rPr>
          <w:color w:val="366091" w:themeColor="accent1" w:themeShade="BF"/>
        </w:rPr>
      </w:pPr>
      <w:bookmarkStart w:id="7" w:name="_Toc133959675"/>
      <w:bookmarkStart w:id="8" w:name="_Toc131705113"/>
      <w:bookmarkStart w:id="9" w:name="_Toc125028233"/>
      <w:bookmarkStart w:id="10" w:name="_Toc128995046"/>
      <w:bookmarkStart w:id="11" w:name="_Toc120717361"/>
      <w:bookmarkStart w:id="12" w:name="_Toc169086486"/>
      <w:r w:rsidRPr="00EC1531">
        <w:rPr>
          <w:bCs/>
          <w:color w:val="366091" w:themeColor="accent1" w:themeShade="BF"/>
          <w:lang w:val="sl"/>
        </w:rPr>
        <w:lastRenderedPageBreak/>
        <w:t>II. Splošne politike</w:t>
      </w:r>
      <w:bookmarkEnd w:id="7"/>
      <w:bookmarkEnd w:id="8"/>
      <w:bookmarkEnd w:id="9"/>
      <w:bookmarkEnd w:id="10"/>
      <w:bookmarkEnd w:id="11"/>
      <w:bookmarkEnd w:id="12"/>
    </w:p>
    <w:p w14:paraId="76477C3A" w14:textId="77777777" w:rsidR="00A55002" w:rsidRDefault="00A55002" w:rsidP="0042619C">
      <w:pPr>
        <w:pStyle w:val="Para0"/>
      </w:pPr>
      <w:r>
        <w:rPr>
          <w:lang w:val="sl"/>
        </w:rPr>
        <w:t>Podjetja naj v celoti upoštevajo uveljavljene politike v državah, v katerih poslujejo, in upoštevajo stališča drugih deležnikov. V zvezi s tem:</w:t>
      </w:r>
    </w:p>
    <w:p w14:paraId="2F75B2A2" w14:textId="77777777" w:rsidR="00A55002" w:rsidRPr="007E7C5A" w:rsidRDefault="00A55002" w:rsidP="0042619C">
      <w:pPr>
        <w:pStyle w:val="Para0"/>
      </w:pPr>
      <w:r>
        <w:rPr>
          <w:lang w:val="sl"/>
        </w:rPr>
        <w:t>A. naj podjetja:</w:t>
      </w:r>
    </w:p>
    <w:p w14:paraId="5152CA8A" w14:textId="77777777" w:rsidR="00A55002" w:rsidRPr="00E205CD" w:rsidRDefault="00A55002" w:rsidP="00A55002">
      <w:pPr>
        <w:pStyle w:val="NumberedList"/>
        <w:numPr>
          <w:ilvl w:val="0"/>
          <w:numId w:val="17"/>
        </w:numPr>
        <w:rPr>
          <w:lang w:val="pl-PL"/>
        </w:rPr>
      </w:pPr>
      <w:r>
        <w:rPr>
          <w:lang w:val="sl"/>
        </w:rPr>
        <w:t xml:space="preserve">prispevajo h gospodarskemu, </w:t>
      </w:r>
      <w:proofErr w:type="spellStart"/>
      <w:r>
        <w:rPr>
          <w:lang w:val="sl"/>
        </w:rPr>
        <w:t>okoljskemu</w:t>
      </w:r>
      <w:proofErr w:type="spellEnd"/>
      <w:r>
        <w:rPr>
          <w:lang w:val="sl"/>
        </w:rPr>
        <w:t xml:space="preserve"> in družbenemu napredku z namenom doseganja trajnostnega razvoja;</w:t>
      </w:r>
    </w:p>
    <w:p w14:paraId="7030FA3B" w14:textId="77777777" w:rsidR="00A55002" w:rsidRPr="00E205CD" w:rsidRDefault="00A55002" w:rsidP="00A55002">
      <w:pPr>
        <w:pStyle w:val="NumberedList"/>
        <w:numPr>
          <w:ilvl w:val="0"/>
          <w:numId w:val="19"/>
        </w:numPr>
        <w:rPr>
          <w:lang w:val="pl-PL"/>
        </w:rPr>
      </w:pPr>
      <w:r>
        <w:rPr>
          <w:lang w:val="sl"/>
        </w:rPr>
        <w:t>spoštujejo mednarodno priznane človekove pravice tistih, na katere vplivajo njihove dejavnosti;</w:t>
      </w:r>
    </w:p>
    <w:p w14:paraId="21FC8B11" w14:textId="77777777" w:rsidR="00A55002" w:rsidRPr="00E205CD" w:rsidRDefault="00A55002" w:rsidP="00A55002">
      <w:pPr>
        <w:pStyle w:val="NumberedList"/>
        <w:numPr>
          <w:ilvl w:val="0"/>
          <w:numId w:val="19"/>
        </w:numPr>
        <w:rPr>
          <w:lang w:val="pl-PL"/>
        </w:rPr>
      </w:pPr>
      <w:r>
        <w:rPr>
          <w:lang w:val="sl"/>
        </w:rPr>
        <w:t>spodbujajo krepitev lokalnih zmogljivosti s tesnim sodelovanjem z lokalno skupnostjo, vključno s poslovnimi interesi, ter razvijajo dejavnosti podjetja na domačih in tujih trgih v skladu s potrebo po dobri poslovni praksi;</w:t>
      </w:r>
    </w:p>
    <w:p w14:paraId="706FD8B9" w14:textId="77777777" w:rsidR="00A55002" w:rsidRPr="00E205CD" w:rsidRDefault="00A55002" w:rsidP="00A55002">
      <w:pPr>
        <w:pStyle w:val="NumberedList"/>
        <w:numPr>
          <w:ilvl w:val="0"/>
          <w:numId w:val="19"/>
        </w:numPr>
        <w:rPr>
          <w:lang w:val="pl-PL"/>
        </w:rPr>
      </w:pPr>
      <w:r>
        <w:rPr>
          <w:lang w:val="sl"/>
        </w:rPr>
        <w:t>spodbujajo razvoj človeškega kapitala, zlasti z ustvarjanjem zaposlitvenih možnosti in omogočanjem priložnosti za usposabljanje zaposlenih;</w:t>
      </w:r>
    </w:p>
    <w:p w14:paraId="0DDA3156" w14:textId="77777777" w:rsidR="00A55002" w:rsidRPr="00E205CD" w:rsidRDefault="00A55002" w:rsidP="00A55002">
      <w:pPr>
        <w:pStyle w:val="NumberedList"/>
        <w:numPr>
          <w:ilvl w:val="0"/>
          <w:numId w:val="19"/>
        </w:numPr>
        <w:rPr>
          <w:lang w:val="pl-PL"/>
        </w:rPr>
      </w:pPr>
      <w:r>
        <w:rPr>
          <w:lang w:val="sl"/>
        </w:rPr>
        <w:t xml:space="preserve">zagotovijo preglednost in integriteto pri dejavnostih lobiranja ter se vzdržijo iskanja ali sprejemanja izjem, ki niso predvidene v zakonskem ali drugem ureditvenem okviru ter se nanašajo na človekove pravice, okolje, zdravje, varnost, delo, obdavčenje, finančne spodbude ali druge vprašanja; </w:t>
      </w:r>
    </w:p>
    <w:p w14:paraId="06A37B19" w14:textId="77777777" w:rsidR="00A55002" w:rsidRPr="00E205CD" w:rsidRDefault="00A55002" w:rsidP="00A55002">
      <w:pPr>
        <w:pStyle w:val="NumberedList"/>
        <w:numPr>
          <w:ilvl w:val="0"/>
          <w:numId w:val="19"/>
        </w:numPr>
        <w:rPr>
          <w:lang w:val="pl-PL"/>
        </w:rPr>
      </w:pPr>
      <w:r>
        <w:rPr>
          <w:lang w:val="sl"/>
        </w:rPr>
        <w:t>podpirajo in ohranjajo načela dobrega upravljanja podjetij ter razvijajo in uporabljajo dobre prakse upravljanja podjetij, tudi v skupinah podjetij;</w:t>
      </w:r>
    </w:p>
    <w:p w14:paraId="48B6332A" w14:textId="77777777" w:rsidR="00A55002" w:rsidRPr="00E205CD" w:rsidRDefault="00A55002" w:rsidP="00A55002">
      <w:pPr>
        <w:pStyle w:val="NumberedList"/>
        <w:numPr>
          <w:ilvl w:val="0"/>
          <w:numId w:val="19"/>
        </w:numPr>
        <w:rPr>
          <w:lang w:val="pl-PL"/>
        </w:rPr>
      </w:pPr>
      <w:r>
        <w:rPr>
          <w:lang w:val="sl"/>
        </w:rPr>
        <w:t>razvijajo in uporabljajo učinkovite prakse samoregulacije in sisteme upravljanja, ki spodbujajo odnos medsebojnega zaupanja med podjetji in družbami, v katerih delujejo;</w:t>
      </w:r>
    </w:p>
    <w:p w14:paraId="10D5BE3C" w14:textId="77777777" w:rsidR="00A55002" w:rsidRPr="00E205CD" w:rsidRDefault="00A55002" w:rsidP="00A55002">
      <w:pPr>
        <w:pStyle w:val="NumberedList"/>
        <w:numPr>
          <w:ilvl w:val="0"/>
          <w:numId w:val="19"/>
        </w:numPr>
        <w:rPr>
          <w:lang w:val="pl-PL"/>
        </w:rPr>
      </w:pPr>
      <w:r>
        <w:rPr>
          <w:lang w:val="sl"/>
        </w:rPr>
        <w:t>spodbujajo ozaveščenost delavcev, zaposlenih v mednarodnih podjetjih, o politikah podjetja in njihovo upoštevanje z ustreznim razširjanjem teh politik, tudi s programi usposabljanja;</w:t>
      </w:r>
    </w:p>
    <w:p w14:paraId="72EFAD74" w14:textId="77777777" w:rsidR="00A55002" w:rsidRPr="00E205CD" w:rsidRDefault="00A55002" w:rsidP="00A55002">
      <w:pPr>
        <w:pStyle w:val="NumberedList"/>
        <w:numPr>
          <w:ilvl w:val="0"/>
          <w:numId w:val="19"/>
        </w:numPr>
        <w:rPr>
          <w:lang w:val="pl-PL"/>
        </w:rPr>
      </w:pPr>
      <w:r>
        <w:rPr>
          <w:lang w:val="sl"/>
        </w:rPr>
        <w:t xml:space="preserve">se vzdržijo </w:t>
      </w:r>
      <w:proofErr w:type="spellStart"/>
      <w:r>
        <w:rPr>
          <w:lang w:val="sl"/>
        </w:rPr>
        <w:t>diskriminatornih</w:t>
      </w:r>
      <w:proofErr w:type="spellEnd"/>
      <w:r>
        <w:rPr>
          <w:lang w:val="sl"/>
        </w:rPr>
        <w:t xml:space="preserve"> ali disciplinskih ukrepov ali drugih povračilnih ukrepov proti delavcem, predstavnikom sindikatov ali drugim predstavnikom delavcev, ki v dobri veri poročajo vodstvu ali po potrebi pristojnim javnim organom o praksah, ki so v nasprotju z zakonom, </w:t>
      </w:r>
      <w:r>
        <w:rPr>
          <w:i/>
          <w:iCs/>
          <w:lang w:val="sl"/>
        </w:rPr>
        <w:t>smernicami</w:t>
      </w:r>
      <w:r>
        <w:rPr>
          <w:lang w:val="sl"/>
        </w:rPr>
        <w:t xml:space="preserve"> ali politikami podjetja;</w:t>
      </w:r>
    </w:p>
    <w:p w14:paraId="6FDE3B0A" w14:textId="77777777" w:rsidR="00A55002" w:rsidRPr="00E205CD" w:rsidRDefault="00A55002" w:rsidP="00A55002">
      <w:pPr>
        <w:pStyle w:val="NumberedList"/>
        <w:numPr>
          <w:ilvl w:val="0"/>
          <w:numId w:val="19"/>
        </w:numPr>
        <w:rPr>
          <w:bCs/>
          <w:iCs/>
          <w:lang w:val="pl-PL"/>
        </w:rPr>
      </w:pPr>
      <w:bookmarkStart w:id="13" w:name="_Hlk128569868"/>
      <w:r>
        <w:rPr>
          <w:lang w:val="sl"/>
        </w:rPr>
        <w:t xml:space="preserve">se vzdržijo povračilnih ukrepov in sprejmejo ukrepe za preprečevanje uporabe povračilnih ukrepov, vključno s strani subjektov, s katerimi je podjetje v poslovnem razmerju, proti vsem osebam ali skupinam, ki morda poskušajo preiskovati ali preiskujejo dejanske ali morebitne škodljive vplive, povezane s poslovanjem, izdelki ali storitvami podjetja, ali izražajo zaskrbljenost glede njih; to vključuje spodbujanje okolja, v katerem se posamezniki in skupine počutijo varne pri izražanju zaskrbljenosti, in po potrebi prispevanje k odpravljanju nastalih škodljivih vplivov povračilnih ukrepov; </w:t>
      </w:r>
      <w:bookmarkEnd w:id="13"/>
    </w:p>
    <w:p w14:paraId="3B8BF13C" w14:textId="77777777" w:rsidR="00A55002" w:rsidRPr="00E205CD" w:rsidRDefault="00A55002" w:rsidP="00A55002">
      <w:pPr>
        <w:pStyle w:val="NumberedList"/>
        <w:numPr>
          <w:ilvl w:val="0"/>
          <w:numId w:val="19"/>
        </w:numPr>
        <w:rPr>
          <w:lang w:val="pl-PL"/>
        </w:rPr>
      </w:pPr>
      <w:r>
        <w:rPr>
          <w:lang w:val="sl"/>
        </w:rPr>
        <w:t xml:space="preserve">opravijo skrbni pregled poslovanja na podlagi analize tveganja, na primer tako, da ga vključijo v svoje sisteme za obvladovanje tveganj v podjetju, da ugotovijo, preprečijo ter ublažijo dejanske in morebitne škodljive vplive, kot je opisano v 12. in 13. točki, ter poročajo o tem, kako so ti vplivi obravnavani; vrsta in obseg skrbnega pregleda poslovanja sta odvisna od okoliščin posameznega primera; </w:t>
      </w:r>
    </w:p>
    <w:p w14:paraId="02B2555B" w14:textId="77777777" w:rsidR="00A55002" w:rsidRPr="00E205CD" w:rsidRDefault="00A55002" w:rsidP="00A55002">
      <w:pPr>
        <w:pStyle w:val="NumberedList"/>
        <w:numPr>
          <w:ilvl w:val="0"/>
          <w:numId w:val="19"/>
        </w:numPr>
        <w:rPr>
          <w:lang w:val="pl-PL"/>
        </w:rPr>
      </w:pPr>
      <w:r>
        <w:rPr>
          <w:lang w:val="sl"/>
        </w:rPr>
        <w:lastRenderedPageBreak/>
        <w:t xml:space="preserve">si prizadevajo, da s svojimi dejavnostmi ne povzročajo škodljivih vplivov na zadeve, zajete v </w:t>
      </w:r>
      <w:r>
        <w:rPr>
          <w:i/>
          <w:iCs/>
          <w:lang w:val="sl"/>
        </w:rPr>
        <w:t>smernicah</w:t>
      </w:r>
      <w:r>
        <w:rPr>
          <w:lang w:val="sl"/>
        </w:rPr>
        <w:t>, ali k njim prispevajo, in naj obravnavajo takšne vplive, ko ti nastanejo, vključno z odpravljanjem škodljivih vplivov ali sodelovanjem pri odpravljanju;</w:t>
      </w:r>
    </w:p>
    <w:p w14:paraId="0E812D46" w14:textId="77777777" w:rsidR="00A55002" w:rsidRPr="00E205CD" w:rsidRDefault="00A55002" w:rsidP="00A55002">
      <w:pPr>
        <w:pStyle w:val="NumberedList"/>
        <w:numPr>
          <w:ilvl w:val="0"/>
          <w:numId w:val="19"/>
        </w:numPr>
        <w:rPr>
          <w:lang w:val="pl-PL"/>
        </w:rPr>
      </w:pPr>
      <w:r>
        <w:rPr>
          <w:lang w:val="sl"/>
        </w:rPr>
        <w:t>poskušajo preprečiti ali ublažiti škodljivi vpliv, kadar niso prispevala k temu vplivu, kadar je vpliv kljub temu neposredno povezan z njihovim poslovanjem, izdelki ali storitvami na podlagi poslovnega razmerja; namen tega ni prenesti odgovornost s subjekta, ki povzroča škodljivi vpliv, na podjetje, s katerim je v poslovnem razmerju;</w:t>
      </w:r>
    </w:p>
    <w:p w14:paraId="0CB2862A" w14:textId="77777777" w:rsidR="00A55002" w:rsidRPr="00E205CD" w:rsidRDefault="00A55002" w:rsidP="00A55002">
      <w:pPr>
        <w:pStyle w:val="NumberedList"/>
        <w:numPr>
          <w:ilvl w:val="0"/>
          <w:numId w:val="19"/>
        </w:numPr>
        <w:rPr>
          <w:lang w:val="pl-PL"/>
        </w:rPr>
      </w:pPr>
      <w:r>
        <w:rPr>
          <w:lang w:val="sl"/>
        </w:rPr>
        <w:t xml:space="preserve">poleg obravnavanja škodljivih vplivov v zvezi z zadevami, ki jih zajemajo smernice, spodbujajo, kadar je to izvedljivo, subjekte, s katerimi so v poslovnem razmerju, da ravnajo v skladu z načeli odgovornega ravnanja podjetij, ki so v skladu s </w:t>
      </w:r>
      <w:r>
        <w:rPr>
          <w:i/>
          <w:iCs/>
          <w:lang w:val="sl"/>
        </w:rPr>
        <w:t>smernicami</w:t>
      </w:r>
      <w:r>
        <w:rPr>
          <w:lang w:val="sl"/>
        </w:rPr>
        <w:t>;</w:t>
      </w:r>
    </w:p>
    <w:p w14:paraId="37D1B86C" w14:textId="77777777" w:rsidR="00A55002" w:rsidRPr="00E205CD" w:rsidRDefault="00A55002" w:rsidP="00A55002">
      <w:pPr>
        <w:pStyle w:val="NumberedList"/>
        <w:numPr>
          <w:ilvl w:val="0"/>
          <w:numId w:val="19"/>
        </w:numPr>
        <w:rPr>
          <w:lang w:val="pl-PL"/>
        </w:rPr>
      </w:pPr>
      <w:r>
        <w:rPr>
          <w:lang w:val="sl"/>
        </w:rPr>
        <w:t xml:space="preserve">smiselno sodelujejo z ustreznimi deležniki ali njihovimi zakonitimi zastopniki kot del izvajanja skrbnega pregleda poslovanja in naj zagotovijo možnosti za upoštevanje njihovih stališč v zvezi z dejavnostmi, ki lahko pomembno vplivajo nanje v zvezi z zadevami, ki jih zajemajo </w:t>
      </w:r>
      <w:r>
        <w:rPr>
          <w:i/>
          <w:iCs/>
          <w:lang w:val="sl"/>
        </w:rPr>
        <w:t>smernice</w:t>
      </w:r>
      <w:r>
        <w:rPr>
          <w:lang w:val="sl"/>
        </w:rPr>
        <w:t>;</w:t>
      </w:r>
    </w:p>
    <w:p w14:paraId="039CE5CC" w14:textId="77777777" w:rsidR="00A55002" w:rsidRPr="00E205CD" w:rsidRDefault="00A55002" w:rsidP="00A55002">
      <w:pPr>
        <w:pStyle w:val="NumberedList"/>
        <w:numPr>
          <w:ilvl w:val="0"/>
          <w:numId w:val="19"/>
        </w:numPr>
        <w:rPr>
          <w:lang w:val="pl-PL"/>
        </w:rPr>
      </w:pPr>
      <w:r>
        <w:rPr>
          <w:lang w:val="sl"/>
        </w:rPr>
        <w:t xml:space="preserve">se vzdržijo vsakršnega neprimernega vključevanja v politične dejavnosti. </w:t>
      </w:r>
    </w:p>
    <w:p w14:paraId="35287F6D" w14:textId="77777777" w:rsidR="00A55002" w:rsidRPr="008A691D" w:rsidRDefault="00A55002" w:rsidP="0042619C">
      <w:pPr>
        <w:pStyle w:val="Para0"/>
        <w:rPr>
          <w:lang w:val="it-IT"/>
        </w:rPr>
      </w:pPr>
      <w:r>
        <w:rPr>
          <w:lang w:val="sl"/>
        </w:rPr>
        <w:t>B. Podjetja se spodbujajo, da:</w:t>
      </w:r>
    </w:p>
    <w:p w14:paraId="6DAD5AE7" w14:textId="77777777" w:rsidR="00A55002" w:rsidRPr="008A691D" w:rsidRDefault="00A55002" w:rsidP="00A55002">
      <w:pPr>
        <w:pStyle w:val="NumberedList"/>
        <w:numPr>
          <w:ilvl w:val="0"/>
          <w:numId w:val="12"/>
        </w:numPr>
        <w:rPr>
          <w:lang w:val="it-IT"/>
        </w:rPr>
      </w:pPr>
      <w:r>
        <w:rPr>
          <w:lang w:val="sl"/>
        </w:rPr>
        <w:t>sodelujejo v zasebnih pobudah ali pobudah več deležnikov in socialnem dialogu o odgovornem ravnanju podjetij ali jih po potrebi podpirajo, pri tem pa zagotovijo, da so v teh pobudah ustrezno upoštevani njihovi družbeni in gospodarski vplivi na gospodarstva v razvoju ter obstoječe mednarodno priznane standarde.</w:t>
      </w:r>
    </w:p>
    <w:p w14:paraId="2E8535BF" w14:textId="77777777" w:rsidR="00C57049" w:rsidRPr="008A691D" w:rsidRDefault="00C57049" w:rsidP="00C57049">
      <w:pPr>
        <w:pStyle w:val="Para0"/>
        <w:rPr>
          <w:lang w:val="it-IT"/>
        </w:rPr>
        <w:sectPr w:rsidR="00C57049" w:rsidRPr="008A691D" w:rsidSect="00A55002">
          <w:headerReference w:type="even" r:id="rId27"/>
          <w:headerReference w:type="default" r:id="rId28"/>
          <w:footerReference w:type="even" r:id="rId29"/>
          <w:footerReference w:type="default" r:id="rId30"/>
          <w:headerReference w:type="first" r:id="rId31"/>
          <w:footerReference w:type="first" r:id="rId32"/>
          <w:endnotePr>
            <w:numFmt w:val="decimal"/>
            <w:numRestart w:val="eachSect"/>
          </w:endnotePr>
          <w:type w:val="oddPage"/>
          <w:pgSz w:w="11906" w:h="16838" w:code="9"/>
          <w:pgMar w:top="1814" w:right="1304" w:bottom="1758" w:left="1304" w:header="1247" w:footer="1020" w:gutter="0"/>
          <w:cols w:space="708"/>
          <w:docGrid w:linePitch="360"/>
        </w:sectPr>
      </w:pPr>
    </w:p>
    <w:p w14:paraId="476BB488" w14:textId="77777777" w:rsidR="00A55002" w:rsidRPr="00EC1531" w:rsidRDefault="00A55002" w:rsidP="00A55002">
      <w:pPr>
        <w:pStyle w:val="Naslov2"/>
        <w:numPr>
          <w:ilvl w:val="1"/>
          <w:numId w:val="21"/>
        </w:numPr>
        <w:rPr>
          <w:color w:val="366091" w:themeColor="accent1" w:themeShade="BF"/>
          <w:lang w:val="pl-PL"/>
        </w:rPr>
      </w:pPr>
      <w:bookmarkStart w:id="14" w:name="_Toc134041626"/>
      <w:bookmarkStart w:id="15" w:name="_Hlk132720536"/>
      <w:r w:rsidRPr="00EC1531">
        <w:rPr>
          <w:bCs/>
          <w:color w:val="366091" w:themeColor="accent1" w:themeShade="BF"/>
          <w:lang w:val="sl"/>
        </w:rPr>
        <w:t>Komentar k II. poglavju: Splošne politike</w:t>
      </w:r>
      <w:bookmarkEnd w:id="14"/>
    </w:p>
    <w:bookmarkEnd w:id="15"/>
    <w:p w14:paraId="09F99E93" w14:textId="77777777" w:rsidR="00A55002" w:rsidRPr="008A691D" w:rsidRDefault="00A55002" w:rsidP="00715B2E">
      <w:pPr>
        <w:pStyle w:val="Para"/>
        <w:rPr>
          <w:lang w:val="sl"/>
        </w:rPr>
      </w:pPr>
      <w:r>
        <w:rPr>
          <w:lang w:val="sl"/>
        </w:rPr>
        <w:t xml:space="preserve">Poglavje o splošnih politikah </w:t>
      </w:r>
      <w:r>
        <w:rPr>
          <w:i/>
          <w:iCs/>
          <w:lang w:val="sl"/>
        </w:rPr>
        <w:t>smernic</w:t>
      </w:r>
      <w:r>
        <w:rPr>
          <w:lang w:val="sl"/>
        </w:rPr>
        <w:t xml:space="preserve"> je prvo, ki vsebuje posebna priporočila za podjetja. Kot tako je pomembno za določanje okvira za posebna priporočila v naslednjih poglavjih in oblikovanje skupnih temeljnih načel zanje.</w:t>
      </w:r>
    </w:p>
    <w:p w14:paraId="484526B9" w14:textId="77777777" w:rsidR="00A55002" w:rsidRPr="008A691D" w:rsidRDefault="00A55002" w:rsidP="00FB6349">
      <w:pPr>
        <w:pStyle w:val="Para"/>
        <w:rPr>
          <w:lang w:val="sl"/>
        </w:rPr>
      </w:pPr>
      <w:r>
        <w:rPr>
          <w:lang w:val="sl"/>
        </w:rPr>
        <w:t xml:space="preserve">Podjetja se spodbujajo, da sodelujejo z vladami pri razvoju in izvajanju politik ter zakonov. V podporo temu procesu je lahko upoštevanje stališč drugih deležnikov v družbi, vključno z lokalno skupnostjo in tistimi, na katere negativno vplivajo ali bi lahko negativno vplivali dejavnosti in poslovni interesi podjetij. Vlade naj bodo v odnosih s podjetji jasne in naj se o teh istih vprašanjih posvetujejo s podjetji. Podjetja, socialni partnerji in drugi deležniki, kot so organizacije civilne družbe in sindikati, naj se obravnavajo kot partnerji vlade pri razvoju in uporabi prostovoljnih in regulativnih načinov delovanja (katerih del so smernice) politik, ki vplivajo nanje. </w:t>
      </w:r>
    </w:p>
    <w:p w14:paraId="1FEB5F53" w14:textId="77777777" w:rsidR="00B2065D" w:rsidRPr="008A691D" w:rsidRDefault="00A55002" w:rsidP="00715B2E">
      <w:pPr>
        <w:pStyle w:val="Para"/>
        <w:rPr>
          <w:lang w:val="sl"/>
        </w:rPr>
        <w:sectPr w:rsidR="00B2065D" w:rsidRPr="008A691D" w:rsidSect="00C57049">
          <w:footnotePr>
            <w:numRestart w:val="eachSect"/>
          </w:footnotePr>
          <w:endnotePr>
            <w:numFmt w:val="decimal"/>
            <w:numRestart w:val="eachSect"/>
          </w:endnotePr>
          <w:type w:val="continuous"/>
          <w:pgSz w:w="11906" w:h="16838" w:code="9"/>
          <w:pgMar w:top="1814" w:right="1304" w:bottom="1758" w:left="1304" w:header="1247" w:footer="1020" w:gutter="0"/>
          <w:cols w:space="708"/>
          <w:docGrid w:linePitch="360"/>
        </w:sectPr>
      </w:pPr>
      <w:r>
        <w:rPr>
          <w:lang w:val="sl"/>
        </w:rPr>
        <w:t xml:space="preserve">Med dejavnostjo mednarodnih podjetij in trajnostnim razvojem naj ne bo nasprotja, namen </w:t>
      </w:r>
      <w:r>
        <w:rPr>
          <w:i/>
          <w:iCs/>
          <w:lang w:val="sl"/>
        </w:rPr>
        <w:t>smernic</w:t>
      </w:r>
      <w:r>
        <w:rPr>
          <w:lang w:val="sl"/>
        </w:rPr>
        <w:t xml:space="preserve"> pa je spodbujati dopolnjevanje glede tega. Povezave med gospodarskim, družbenim in </w:t>
      </w:r>
      <w:proofErr w:type="spellStart"/>
      <w:r>
        <w:rPr>
          <w:lang w:val="sl"/>
        </w:rPr>
        <w:t>okoljskim</w:t>
      </w:r>
      <w:proofErr w:type="spellEnd"/>
      <w:r>
        <w:rPr>
          <w:lang w:val="sl"/>
        </w:rPr>
        <w:t xml:space="preserve"> napredkom so namreč ključnega pomena za doseganje trajnostnega razvoja.</w:t>
      </w:r>
      <w:r>
        <w:rPr>
          <w:rStyle w:val="Sprotnaopomba-sklic"/>
          <w:lang w:val="sl"/>
        </w:rPr>
        <w:footnoteReference w:customMarkFollows="1" w:id="5"/>
        <w:t>1</w:t>
      </w:r>
    </w:p>
    <w:p w14:paraId="23B4BE02" w14:textId="77777777" w:rsidR="00A55002" w:rsidRPr="008A691D" w:rsidRDefault="00A55002" w:rsidP="00715B2E">
      <w:pPr>
        <w:pStyle w:val="Para"/>
        <w:rPr>
          <w:lang w:val="sl"/>
        </w:rPr>
      </w:pPr>
      <w:r>
        <w:rPr>
          <w:lang w:val="sl"/>
        </w:rPr>
        <w:t>V IV. poglavju je natančneje razloženo splošno priporočilo o človekovih pravicah iz 2. točke odstavka A.</w:t>
      </w:r>
    </w:p>
    <w:p w14:paraId="67EA17CF" w14:textId="77777777" w:rsidR="00A55002" w:rsidRPr="008A691D" w:rsidRDefault="00A55002" w:rsidP="00715B2E">
      <w:pPr>
        <w:pStyle w:val="Para"/>
        <w:rPr>
          <w:lang w:val="sl"/>
        </w:rPr>
      </w:pPr>
      <w:r>
        <w:rPr>
          <w:i/>
          <w:iCs/>
          <w:lang w:val="sl"/>
        </w:rPr>
        <w:t>Smernice</w:t>
      </w:r>
      <w:r>
        <w:rPr>
          <w:lang w:val="sl"/>
        </w:rPr>
        <w:t xml:space="preserve"> tudi priznavajo in spodbujajo prispevek, ki ga lahko mednarodna podjetja s svojimi dejavnostmi v lokalnih skupnostih dajo h krepitvi lokalnih zmogljivosti. Podobno je priporočilo o razvoju človeškega kapitala izrecno in v prihodnost usmerjeno priznanje prispevka k individualnemu človeškemu razvoju, ki ga lahko mednarodna podjetja ponudijo svojim zaposlenim, in ne vključuje le postopkov </w:t>
      </w:r>
      <w:r>
        <w:rPr>
          <w:lang w:val="sl"/>
        </w:rPr>
        <w:lastRenderedPageBreak/>
        <w:t>najemanja delavcev, temveč tudi usposabljanje in drug razvoj zaposlenih. Razvoj človeškega kapitala vključuje tudi pojem nediskriminacije pri postopkih najemanja delavcev, napredovanja, vseživljenjskega učenja in drugega usposabljanja na delovnem mestu.</w:t>
      </w:r>
    </w:p>
    <w:p w14:paraId="1AA04C2C" w14:textId="77777777" w:rsidR="00A55002" w:rsidRPr="008A691D" w:rsidRDefault="00A55002" w:rsidP="00715B2E">
      <w:pPr>
        <w:pStyle w:val="Para1"/>
        <w:numPr>
          <w:ilvl w:val="0"/>
          <w:numId w:val="62"/>
        </w:numPr>
        <w:rPr>
          <w:lang w:val="it-IT"/>
        </w:rPr>
      </w:pPr>
      <w:r>
        <w:rPr>
          <w:lang w:val="sl"/>
        </w:rPr>
        <w:t xml:space="preserve">Podjetja svobodno sodelujejo v javni razpravi. Pri sodelovanju v javnem zagovorništvu naj podjetja ustrezno upoštevajo </w:t>
      </w:r>
      <w:r>
        <w:rPr>
          <w:i/>
          <w:iCs/>
          <w:lang w:val="sl"/>
        </w:rPr>
        <w:t>Priporočilo o načelih za preglednost in integriteto pri lobiranju</w:t>
      </w:r>
      <w:r>
        <w:rPr>
          <w:lang w:val="sl"/>
        </w:rPr>
        <w:t xml:space="preserve"> </w:t>
      </w:r>
      <w:r>
        <w:rPr>
          <w:i/>
          <w:iCs/>
          <w:lang w:val="sl"/>
        </w:rPr>
        <w:t>[</w:t>
      </w:r>
      <w:hyperlink r:id="rId33" w:history="1">
        <w:r>
          <w:rPr>
            <w:rStyle w:val="Hiperpovezava"/>
            <w:rFonts w:asciiTheme="majorHAnsi" w:eastAsia="Calibri" w:hAnsiTheme="majorHAnsi" w:cstheme="majorHAnsi"/>
            <w:i/>
            <w:iCs/>
            <w:lang w:val="sl"/>
          </w:rPr>
          <w:t>OECD/LEGAL/0379</w:t>
        </w:r>
      </w:hyperlink>
      <w:r>
        <w:rPr>
          <w:i/>
          <w:iCs/>
          <w:lang w:val="sl"/>
        </w:rPr>
        <w:t xml:space="preserve">] </w:t>
      </w:r>
      <w:r>
        <w:rPr>
          <w:lang w:val="sl"/>
        </w:rPr>
        <w:t xml:space="preserve">in zagotovijo, da so njihove dejavnosti lobiranja v skladu z njihovimi zavezami in cilji glede zadev, ki jih zajemajo </w:t>
      </w:r>
      <w:r>
        <w:rPr>
          <w:i/>
          <w:iCs/>
          <w:lang w:val="sl"/>
        </w:rPr>
        <w:t>smernice</w:t>
      </w:r>
      <w:r>
        <w:rPr>
          <w:lang w:val="sl"/>
        </w:rPr>
        <w:t xml:space="preserve">. Vlade so odgovorne za vzpostavitev okvira javne integritete, prilagojenega tveganjem, povezanim z lobiranjem javnih uslužbencev. </w:t>
      </w:r>
      <w:r>
        <w:rPr>
          <w:i/>
          <w:iCs/>
          <w:lang w:val="sl"/>
        </w:rPr>
        <w:t>Smernice</w:t>
      </w:r>
      <w:r>
        <w:rPr>
          <w:lang w:val="sl"/>
        </w:rPr>
        <w:t xml:space="preserve"> priporočajo, da se podjetja na splošno izogibajo prizadevanjem za pridobitev izjem, ki niso predvidene v zakonskem ali drugem ureditvenem okviru ter se med drugim nanašajo na človekove pravice, okolje, zdravje, varnost, delo, obdavčenje in finančne spodbude, pri čemer ne posegajo v pravico podjetja, da zahteva spremembe zakonskega ali drugega ureditvenega okvira. Besedi "ali sprejemanja" opozarjata tudi na vlogo države pri ponujanju teh izjem. Čeprav so tovrstne določbe običajno namenjene vladam, so neposredno pomembne tudi za mednarodna podjetja. Pomembno pa je tudi, da so v nekaterih primerih posebne izjeme od zakonov ali drugih politik lahko v skladu s temi zakoni zaradi upravičenih razlogov glede javnega reda. Primeri so navedeni v poglavjih o </w:t>
      </w:r>
      <w:proofErr w:type="spellStart"/>
      <w:r>
        <w:rPr>
          <w:lang w:val="sl"/>
        </w:rPr>
        <w:t>okoljski</w:t>
      </w:r>
      <w:proofErr w:type="spellEnd"/>
      <w:r>
        <w:rPr>
          <w:lang w:val="sl"/>
        </w:rPr>
        <w:t xml:space="preserve"> in konkurenčni politiki.</w:t>
      </w:r>
    </w:p>
    <w:p w14:paraId="12970403" w14:textId="77777777" w:rsidR="00A55002" w:rsidRPr="008A691D" w:rsidRDefault="00A55002" w:rsidP="00A55002">
      <w:pPr>
        <w:pStyle w:val="Para1"/>
        <w:rPr>
          <w:lang w:val="sl"/>
        </w:rPr>
      </w:pPr>
      <w:r>
        <w:rPr>
          <w:i/>
          <w:iCs/>
          <w:lang w:val="sl"/>
        </w:rPr>
        <w:t>Smernice</w:t>
      </w:r>
      <w:r>
        <w:rPr>
          <w:lang w:val="sl"/>
        </w:rPr>
        <w:t xml:space="preserve"> priporočajo, da podjetja uporabljajo dobre prakse upravljanja podjetij, ki izhajajo iz </w:t>
      </w:r>
      <w:r>
        <w:rPr>
          <w:i/>
          <w:iCs/>
          <w:lang w:val="sl"/>
        </w:rPr>
        <w:t>Načel upravljanja podjetij G20/OECD [</w:t>
      </w:r>
      <w:hyperlink r:id="rId34" w:history="1">
        <w:r>
          <w:rPr>
            <w:rStyle w:val="Hiperpovezava"/>
            <w:rFonts w:asciiTheme="majorHAnsi" w:eastAsia="Calibri" w:hAnsiTheme="majorHAnsi" w:cstheme="majorHAnsi"/>
            <w:i/>
            <w:iCs/>
            <w:lang w:val="sl"/>
          </w:rPr>
          <w:t>OECD/LEGAL/0413</w:t>
        </w:r>
      </w:hyperlink>
      <w:r>
        <w:rPr>
          <w:i/>
          <w:iCs/>
          <w:lang w:val="sl"/>
        </w:rPr>
        <w:t>]</w:t>
      </w:r>
      <w:r>
        <w:rPr>
          <w:lang w:val="sl"/>
        </w:rPr>
        <w:t>. Načela pozivajo k zaščiti in omogočanju uveljavljanja pravic delničarjev, vključno s pravičnim obravnavanjem delničarjev. Podjetja naj spoštujejo pravice deležnikov, določene z zakonom ali medsebojnimi dogovori, in spodbujajo dejavno sodelovanje z deležniki pri ustvarjanju premoženja, delovnih mest ter trajnostnih in odpornih podjetij.</w:t>
      </w:r>
    </w:p>
    <w:p w14:paraId="46819A44" w14:textId="77777777" w:rsidR="00A55002" w:rsidRPr="008A691D" w:rsidRDefault="00A55002" w:rsidP="00A55002">
      <w:pPr>
        <w:pStyle w:val="Para1"/>
        <w:rPr>
          <w:lang w:val="sl"/>
        </w:rPr>
      </w:pPr>
      <w:r>
        <w:rPr>
          <w:lang w:val="sl"/>
        </w:rPr>
        <w:t>V skladu z načeli nadzorni odbor matične družbe zagotovi strateško vodenje podjetja in učinkovito spremljanje upravljanja, je odgovoren podjetju in delničarjem ter pri tem upošteva interese deležnikov. Pri prevzemanju teh obveznosti mora nadzorni odbor zagotoviti celovitost računovodskega sistema in sistema finančnega poročanja podjetja, vključno z neodvisno revizijo, ustreznimi kontrolnimi sistemi, zlasti upravljanjem tveganj ter finančnim in operativnim nadzorom, ter skladnost z zakonodajo in ustreznimi standardi.</w:t>
      </w:r>
    </w:p>
    <w:p w14:paraId="7507FEDD" w14:textId="77777777" w:rsidR="00A55002" w:rsidRPr="008A691D" w:rsidRDefault="00A55002" w:rsidP="00A55002">
      <w:pPr>
        <w:pStyle w:val="Para1"/>
        <w:rPr>
          <w:lang w:val="sl"/>
        </w:rPr>
      </w:pPr>
      <w:r>
        <w:rPr>
          <w:lang w:val="sl"/>
        </w:rPr>
        <w:t>Načela veljajo tudi za javne delniške družbe v okviru skupin podjetij, čeprav imajo lahko odbori hčerinskih podjetij obveznosti po zakonodaji jurisdikcije, v kateri so ustanovljeni. Sistemi skladnosti in nadzora naj bodo razširjeni na ta hčerinska podjetja, kjer je to mogoče. Poleg tega odbor pri spremljanju upravljanja tudi stalno preverja notranje strukture, da se jasno razmeji odgovornost vodstva v celotni skupini.</w:t>
      </w:r>
    </w:p>
    <w:p w14:paraId="4EC94E29" w14:textId="77777777" w:rsidR="00A55002" w:rsidRPr="008A691D" w:rsidRDefault="00A55002" w:rsidP="00A55002">
      <w:pPr>
        <w:pStyle w:val="Para1"/>
        <w:rPr>
          <w:lang w:val="sl"/>
        </w:rPr>
      </w:pPr>
      <w:r>
        <w:rPr>
          <w:lang w:val="sl"/>
        </w:rPr>
        <w:t>Za mednarodna podjetja v državni lasti veljajo enaka priporočila kot za podjetja v zasebni lasti, vendar je javni nadzor pogosto večji, kadar je končni lastnik država. Smernice OECD o upravljanju podjetij v državni lasti (</w:t>
      </w:r>
      <w:r>
        <w:rPr>
          <w:i/>
          <w:iCs/>
          <w:lang w:val="sl"/>
        </w:rPr>
        <w:t>OECD</w:t>
      </w:r>
      <w:r>
        <w:rPr>
          <w:lang w:val="sl"/>
        </w:rPr>
        <w:t xml:space="preserve"> </w:t>
      </w:r>
      <w:proofErr w:type="spellStart"/>
      <w:r>
        <w:rPr>
          <w:i/>
          <w:iCs/>
          <w:lang w:val="sl"/>
        </w:rPr>
        <w:t>Guidelines</w:t>
      </w:r>
      <w:proofErr w:type="spellEnd"/>
      <w:r>
        <w:rPr>
          <w:i/>
          <w:iCs/>
          <w:lang w:val="sl"/>
        </w:rPr>
        <w:t xml:space="preserve"> on </w:t>
      </w:r>
      <w:proofErr w:type="spellStart"/>
      <w:r>
        <w:rPr>
          <w:i/>
          <w:iCs/>
          <w:lang w:val="sl"/>
        </w:rPr>
        <w:t>Corporate</w:t>
      </w:r>
      <w:proofErr w:type="spellEnd"/>
      <w:r>
        <w:rPr>
          <w:i/>
          <w:iCs/>
          <w:lang w:val="sl"/>
        </w:rPr>
        <w:t xml:space="preserve"> </w:t>
      </w:r>
      <w:proofErr w:type="spellStart"/>
      <w:r>
        <w:rPr>
          <w:i/>
          <w:iCs/>
          <w:lang w:val="sl"/>
        </w:rPr>
        <w:t>Governance</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State-Owned</w:t>
      </w:r>
      <w:proofErr w:type="spellEnd"/>
      <w:r>
        <w:rPr>
          <w:i/>
          <w:iCs/>
          <w:lang w:val="sl"/>
        </w:rPr>
        <w:t xml:space="preserve"> </w:t>
      </w:r>
      <w:proofErr w:type="spellStart"/>
      <w:r>
        <w:rPr>
          <w:i/>
          <w:iCs/>
          <w:lang w:val="sl"/>
        </w:rPr>
        <w:t>Enterprises</w:t>
      </w:r>
      <w:proofErr w:type="spellEnd"/>
      <w:r>
        <w:rPr>
          <w:lang w:val="sl"/>
        </w:rPr>
        <w:t>) so koristen in posebej prilagojen vodnik za ta podjetja, priporočila, ki jih ponujajo, pa lahko bistveno izboljšajo upravljanje.</w:t>
      </w:r>
    </w:p>
    <w:p w14:paraId="1BC847B3" w14:textId="77777777" w:rsidR="00A55002" w:rsidRPr="008A691D" w:rsidRDefault="00A55002" w:rsidP="00A55002">
      <w:pPr>
        <w:pStyle w:val="Para1"/>
        <w:rPr>
          <w:lang w:val="sl"/>
        </w:rPr>
      </w:pPr>
      <w:r>
        <w:rPr>
          <w:lang w:val="sl"/>
        </w:rPr>
        <w:t>Čeprav so za izboljšanje pravnega in institucionalnega ureditvenega okvira v glavnem odgovorne vlade, pa je kakovostno upravljanje podjetij za podjetja zelo smiselno s poslovnega vidika.</w:t>
      </w:r>
    </w:p>
    <w:p w14:paraId="6D735878" w14:textId="77777777" w:rsidR="00A55002" w:rsidRPr="008A691D" w:rsidRDefault="00A55002" w:rsidP="00A55002">
      <w:pPr>
        <w:pStyle w:val="Para1"/>
        <w:rPr>
          <w:lang w:val="sl"/>
        </w:rPr>
      </w:pPr>
      <w:r>
        <w:rPr>
          <w:lang w:val="sl"/>
        </w:rPr>
        <w:t xml:space="preserve">Vse več nevladnih instrumentov in ukrepov za samoregulacijo obravnava vidike obnašanja podjetij ter odnose med podjetji in družbo. Zanimiv razvoj na tem področju poteka v finančnem sektorju. Podjetja se zavedajo, da imajo njihove dejavnosti pogosto družbene in </w:t>
      </w:r>
      <w:proofErr w:type="spellStart"/>
      <w:r>
        <w:rPr>
          <w:lang w:val="sl"/>
        </w:rPr>
        <w:t>okoljske</w:t>
      </w:r>
      <w:proofErr w:type="spellEnd"/>
      <w:r>
        <w:rPr>
          <w:lang w:val="sl"/>
        </w:rPr>
        <w:t xml:space="preserve"> posledice. Tako so podjetja, ki so občutljiva za doseganje teh ciljev, uvedla prakse samoregulacije in sisteme upravljanja ter sodelujejo v povezanih pobudah več deležnikov in s tem prispevajo k trajnostnemu razvoju. Prakse samoregulacije in pobude več deležnikov naj bodo verodostojne in pregledne. Kadar so take pobude osredotočene na skrbni pregled poslovanja za odgovorno ravnanje podjetij, lahko uskladitev z ustreznimi mednarodnimi standardi, kot so </w:t>
      </w:r>
      <w:r>
        <w:rPr>
          <w:i/>
          <w:iCs/>
          <w:lang w:val="sl"/>
        </w:rPr>
        <w:t>smernice</w:t>
      </w:r>
      <w:r>
        <w:rPr>
          <w:lang w:val="sl"/>
        </w:rPr>
        <w:t xml:space="preserve">, prispeva k večji učinkovitosti, hkrati pa zmanjša zapletenost in stroške za podjetja, ki sodelujejo v takih pobudah. Zato razvoj takšnih praks lahko spodbuja konstruktivne odnose med podjetji </w:t>
      </w:r>
      <w:r>
        <w:rPr>
          <w:lang w:val="sl"/>
        </w:rPr>
        <w:lastRenderedPageBreak/>
        <w:t>in družbami, v katerih delujejo. Čeprav lahko podjetja sodelujejo na ravni panoge ali več deležnikov, so še vedno individualno odgovorna za zagotavljanje učinkovitega skrbnega pregleda poslovanja.</w:t>
      </w:r>
    </w:p>
    <w:p w14:paraId="7D15E781" w14:textId="77777777" w:rsidR="00A55002" w:rsidRPr="008A691D" w:rsidRDefault="00A55002" w:rsidP="00A55002">
      <w:pPr>
        <w:pStyle w:val="Para1"/>
        <w:rPr>
          <w:rFonts w:eastAsia="Times New Roman"/>
          <w:lang w:val="sl"/>
        </w:rPr>
      </w:pPr>
      <w:r>
        <w:rPr>
          <w:rFonts w:eastAsia="Times New Roman"/>
          <w:lang w:val="sl"/>
        </w:rPr>
        <w:t>Na podlagi učinkovitih praks samoregulacije se od podjetij pričakuje, da spodbujajo ozaveščenost zaposlenih o politikah podjetja. Priporočajo se tudi zaščitni ukrepi za zaščito dejavnosti "</w:t>
      </w:r>
      <w:proofErr w:type="spellStart"/>
      <w:r>
        <w:rPr>
          <w:rFonts w:eastAsia="Times New Roman"/>
          <w:lang w:val="sl"/>
        </w:rPr>
        <w:t>žvižgaštva</w:t>
      </w:r>
      <w:proofErr w:type="spellEnd"/>
      <w:r>
        <w:rPr>
          <w:rFonts w:eastAsia="Times New Roman"/>
          <w:lang w:val="sl"/>
        </w:rPr>
        <w:t xml:space="preserve">" v dobri veri, vključno z zaščito zaposlenih, ki pristojnim javnim organom poročajo o praksah, ki so v nasprotju z zakonom, če ni pravočasnih popravnih ukrepov ali če obstaja razumna nevarnost negativnega ukrepa v zvezi z zaposlitvijo. Čeprav je takšna zaščita zlasti pomembna za notranje kontrole, etiko in programe skladnosti, povezane s preprečevanjem korupcije, ki so obravnavani v VII. poglavju, ter </w:t>
      </w:r>
      <w:proofErr w:type="spellStart"/>
      <w:r>
        <w:rPr>
          <w:rFonts w:eastAsia="Times New Roman"/>
          <w:lang w:val="sl"/>
        </w:rPr>
        <w:t>okoljske</w:t>
      </w:r>
      <w:proofErr w:type="spellEnd"/>
      <w:r>
        <w:rPr>
          <w:rFonts w:eastAsia="Times New Roman"/>
          <w:lang w:val="sl"/>
        </w:rPr>
        <w:t xml:space="preserve"> pobude, je pomembna tudi za druga priporočila v </w:t>
      </w:r>
      <w:r>
        <w:rPr>
          <w:rFonts w:eastAsia="Times New Roman"/>
          <w:i/>
          <w:iCs/>
          <w:lang w:val="sl"/>
        </w:rPr>
        <w:t>smernicah</w:t>
      </w:r>
      <w:r>
        <w:rPr>
          <w:rFonts w:eastAsia="Times New Roman"/>
          <w:lang w:val="sl"/>
        </w:rPr>
        <w:t xml:space="preserve">. </w:t>
      </w:r>
    </w:p>
    <w:p w14:paraId="4C5F4011" w14:textId="77777777" w:rsidR="00A55002" w:rsidRPr="008A691D" w:rsidRDefault="00A55002" w:rsidP="00A55002">
      <w:pPr>
        <w:pStyle w:val="Para1"/>
        <w:rPr>
          <w:rFonts w:eastAsia="Times New Roman"/>
          <w:bCs/>
          <w:iCs/>
          <w:lang w:val="sl"/>
        </w:rPr>
      </w:pPr>
      <w:r>
        <w:rPr>
          <w:rFonts w:eastAsia="Times New Roman"/>
          <w:lang w:val="sl"/>
        </w:rPr>
        <w:t xml:space="preserve">Podjetja naj sprejmejo ukrepe, da ustvarijo prostor, v katerem je mogoče varno izraziti zaskrbljenost glede škodljivih vplivov, povezanih z njihovimi dejavnostmi ali dejavnostmi subjektov, s katerimi so v poslovnem razmerju. Za zaščito državljanskega prostora ter preprečevanje škode skupinam in posameznikom, ki poskušajo preiskovati, preiskujejo ali izražajo takšne pomisleke ali poročajo o njih, je pomembno, da se podjetja vzdržijo uporabe povračilnih ukrepov in sprejmejo ukrepe za preprečevanje njihove uporabe. Povračilni ukrepi vključujejo povračilne ali </w:t>
      </w:r>
      <w:proofErr w:type="spellStart"/>
      <w:r>
        <w:rPr>
          <w:rFonts w:eastAsia="Times New Roman"/>
          <w:lang w:val="sl"/>
        </w:rPr>
        <w:t>diskriminatorne</w:t>
      </w:r>
      <w:proofErr w:type="spellEnd"/>
      <w:r>
        <w:rPr>
          <w:rFonts w:eastAsia="Times New Roman"/>
          <w:lang w:val="sl"/>
        </w:rPr>
        <w:t xml:space="preserve"> ukrepe, katerih namen je cenzurirati, ustrahovati, poškodovati ali utišati tiste, ki so kritični, kot so grožnje, blatenje ugleda, žaljivke, nadlegovanje, ustrahovanje, nadzor, strateške tožbe proti sodelovanju javnosti, poskusi kriminalizacije zakonitih dejavnosti, fizični napadi in umori.</w:t>
      </w:r>
    </w:p>
    <w:p w14:paraId="7D299DEB" w14:textId="77777777" w:rsidR="00A55002" w:rsidRPr="008A691D" w:rsidRDefault="00A55002" w:rsidP="00A55002">
      <w:pPr>
        <w:pStyle w:val="Para1"/>
        <w:rPr>
          <w:b/>
          <w:i/>
          <w:u w:val="single"/>
          <w:lang w:val="sl"/>
        </w:rPr>
      </w:pPr>
      <w:r>
        <w:rPr>
          <w:lang w:val="sl"/>
        </w:rPr>
        <w:t xml:space="preserve">Za namene </w:t>
      </w:r>
      <w:r>
        <w:rPr>
          <w:i/>
          <w:iCs/>
          <w:lang w:val="sl"/>
        </w:rPr>
        <w:t>smernic</w:t>
      </w:r>
      <w:r>
        <w:rPr>
          <w:lang w:val="sl"/>
        </w:rPr>
        <w:t xml:space="preserve"> se skrbni pregled poslovanja razume kot proces, s katerim lahko podjetja ugotavljajo, preprečujejo in blažijo svoje dejanske in morebitne škodljive vplive ter odgovarjajo za to, kako jih obravnavajo, kot sestavni del poslovnega odločanja in upravljanja tveganj. Smernice OECD za skrbni pregled poslovanja za odgovorno ravnanje podjetij in sektorski priročniki OECD o skrbnem pregledu poslovanja pomagajo podjetjem razumeti in izvajati priporočila o skrbnem pregledu poslovanja iz </w:t>
      </w:r>
      <w:r>
        <w:rPr>
          <w:i/>
          <w:iCs/>
          <w:lang w:val="sl"/>
        </w:rPr>
        <w:t>smernic</w:t>
      </w:r>
      <w:r>
        <w:rPr>
          <w:lang w:val="sl"/>
        </w:rPr>
        <w:t xml:space="preserve">. Poleg tega si prizadevajo spodbujati skupno razumevanje vlad in deležnikov glede skrbnega pregleda poslovanja na podlagi analize tveganja za odgovorno ravnanje podjetij. V ta namen Smernice OECD za skrbni pregled poslovanja za odgovorno ravnanje podjetij določajo okvir skrbnega pregleda poslovanja, ki so se ga vlade zavezale dejavno podpirati in spremljati. V njih so opisani ti ukrepi: 1. vključitev odgovornega ravnanja podjetij v politike in sisteme upravljanja; 2. ugotavljanje in ocenjevanje dejanskih ter morebitnih škodljivih vplivov, povezanih s poslovanjem, izdelki ali storitvami podjetja; 3. odpravljanje, preprečevanje in zmanjševanje škodljivih vplivov; 4. spremljanje izvajanja in rezultatov; 5. obveščanje o tem, kako se vplivi obravnavajo; 6. odpravljanje škodljivih vplivov ali sodelovanje pri odpravljanju, kadar je to primerno. V njih so predlagani tudi praktični ukrepi za izvajanje teh ukrepov. Vsi praktični ukrepi, navedeni v smernicah za skrbni pregled poslovanja, niso primerni za vse razmere. </w:t>
      </w:r>
    </w:p>
    <w:p w14:paraId="409C4718" w14:textId="77777777" w:rsidR="00A55002" w:rsidRPr="008A691D" w:rsidRDefault="00A55002" w:rsidP="00A55002">
      <w:pPr>
        <w:pStyle w:val="Para1"/>
        <w:rPr>
          <w:b/>
          <w:i/>
          <w:u w:val="single"/>
          <w:lang w:val="sl"/>
        </w:rPr>
      </w:pPr>
      <w:r>
        <w:rPr>
          <w:lang w:val="sl"/>
        </w:rPr>
        <w:t xml:space="preserve">Skrbni pregled poslovanja je mogoče vključiti v širše sisteme obvladovanja tveganj v podjetju, pri čemer naj se ne omejuje le na ugotavljanje in obvladovanje pomembnih tveganj za podjetje, ampak naj vključuje tudi tveganja škodljivih vplivov, povezanih z zadevami, ki jih zajemajo </w:t>
      </w:r>
      <w:r>
        <w:rPr>
          <w:i/>
          <w:iCs/>
          <w:lang w:val="sl"/>
        </w:rPr>
        <w:t>smernice</w:t>
      </w:r>
      <w:r>
        <w:rPr>
          <w:lang w:val="sl"/>
        </w:rPr>
        <w:t xml:space="preserve">. Morebitne vplive je treba obravnavati s preprečevanjem ali ublažitvijo, dejanske vplive pa z odpravljanjem. </w:t>
      </w:r>
      <w:r>
        <w:rPr>
          <w:i/>
          <w:iCs/>
          <w:lang w:val="sl"/>
        </w:rPr>
        <w:t>Smernice</w:t>
      </w:r>
      <w:r>
        <w:rPr>
          <w:lang w:val="sl"/>
        </w:rPr>
        <w:t xml:space="preserve"> se nanašajo na tiste škodljive vplive, ki jih povzroči ali k njim prispeva podjetje ali so neposredno povezani z njegovim poslovanjem, izdelki ali storitvami na podlagi poslovnega razmerja, kot je opisano v 12. in 13. točki odstavka A. Skrbni pregled poslovanja lahko podjetjem pomaga, da se izognejo tveganju takšnih škodljivih vplivov. V tem priporočilu je treba "prispevanje k" škodljivemu vplivu razlagati kot znatni prispevek, kar pomeni dejavnost, ki povzroči, da drug subjekt povzroči škodljivi vpliv, mu to omogoči ali ga k temu spodbudi, in ne vključuje manjših ali nepomembnih prispevkov. Odnos podjetja do škodljivega vpliva ni statičen. Lahko se spreminja, na primer z razvojem razmer in glede na to, v kolikšni meri skrbni pregled poslovanja in ukrepi, sprejeti za obravnavanje ugotovljenih tveganj in vplivov, zmanjšujejo tveganje nastanka vplivov. </w:t>
      </w:r>
    </w:p>
    <w:p w14:paraId="46602DF9" w14:textId="77777777" w:rsidR="00A55002" w:rsidRPr="008A691D" w:rsidRDefault="00A55002" w:rsidP="00A55002">
      <w:pPr>
        <w:pStyle w:val="Para1"/>
        <w:rPr>
          <w:lang w:val="sl"/>
        </w:rPr>
      </w:pPr>
      <w:r>
        <w:rPr>
          <w:lang w:val="sl"/>
        </w:rPr>
        <w:t xml:space="preserve">Izraz "poslovno razmerje" vključuje razmerja s poslovnimi partnerji, podizvajalci, jemalci franšiz, podjetji, v katera se vlaga, strankami in partnerji v skupnih podvigih, subjekti v dobavni verigi, ki dobavljajo </w:t>
      </w:r>
      <w:r>
        <w:rPr>
          <w:lang w:val="sl"/>
        </w:rPr>
        <w:lastRenderedPageBreak/>
        <w:t xml:space="preserve">izdelke ali storitve, ki prispevajo k lastnemu poslovanju, proizvodom ali storitvam podjetja ali ki prejemajo, licencirajo, kupujejo ali uporabljajo izdelke ali storitve podjetja, ter vsemi drugimi nedržavnimi ali državnimi subjekti, neposredno povezanimi z njegovim poslovanjem, izdelki ali storitvami. Razmerja s posameznimi potrošniki, ki so fizične osebe in delujejo za namene, ki niso povezani s poslovno, trgovinsko ali vladno dejavnostjo, se v skladu s </w:t>
      </w:r>
      <w:r>
        <w:rPr>
          <w:i/>
          <w:iCs/>
          <w:lang w:val="sl"/>
        </w:rPr>
        <w:t>smernicami</w:t>
      </w:r>
      <w:r>
        <w:rPr>
          <w:lang w:val="sl"/>
        </w:rPr>
        <w:t xml:space="preserve"> na splošno ne štejejo za "poslovna razmerja", čeprav podjetje lahko prispeva k škodljivim vplivom, ki jih ta razmerja povzročajo. Poslovna razmerja vključujejo razmerja, ki presegajo pogodbena, "prvovrstna" ali neposredna razmerja. Subjekti, s katerimi je podjetje v poslovnem razmerju, lahko delujejo v pristopnicah ali iz njih, lahko pa tudi ne. Sposobnost podjetja, da ugotovi, prepreči ter ublaži dejanske in morebitne škodljive vplive, kot je opisano v 11. točki odstavka A, se lahko razlikuje med različnimi vrstami poslovnih razmerij, pa tudi zaradi drugih dejavnikov, vključno z dejavniki, opisanimi v 24. odstavku komentarja.</w:t>
      </w:r>
    </w:p>
    <w:p w14:paraId="72D08385" w14:textId="77777777" w:rsidR="00A55002" w:rsidRPr="008A691D" w:rsidRDefault="00A55002" w:rsidP="00A55002">
      <w:pPr>
        <w:pStyle w:val="Para1"/>
        <w:rPr>
          <w:lang w:val="sl"/>
        </w:rPr>
      </w:pPr>
      <w:r>
        <w:rPr>
          <w:lang w:val="sl"/>
        </w:rPr>
        <w:t xml:space="preserve">Priporočilo iz 11. točke odstavka A se uporablja za zadeve, ki jih zajemajo </w:t>
      </w:r>
      <w:r>
        <w:rPr>
          <w:i/>
          <w:iCs/>
          <w:lang w:val="sl"/>
        </w:rPr>
        <w:t>smernice</w:t>
      </w:r>
      <w:r>
        <w:rPr>
          <w:lang w:val="sl"/>
        </w:rPr>
        <w:t xml:space="preserve"> in so povezane s škodljivimi vplivi, povezanimi s poslovanjem, izdelki in storitvami podjetja; priporočilo iz 11. točke odstavka A se ne uporablja za poglavji o konkurenci in obdavčenju. V celotnih </w:t>
      </w:r>
      <w:r>
        <w:rPr>
          <w:i/>
          <w:iCs/>
          <w:lang w:val="sl"/>
        </w:rPr>
        <w:t>smernicah</w:t>
      </w:r>
      <w:r>
        <w:rPr>
          <w:lang w:val="sl"/>
        </w:rPr>
        <w:t xml:space="preserve"> je treba priporočila, povezana s skrbnim pregledom poslovanja, brati v skladu z 11. do 13. točko odstavka A in povezanimi komentarji.</w:t>
      </w:r>
    </w:p>
    <w:p w14:paraId="44526BE5" w14:textId="77777777" w:rsidR="00A55002" w:rsidRPr="008A691D" w:rsidRDefault="00A55002" w:rsidP="00A55002">
      <w:pPr>
        <w:pStyle w:val="Para1"/>
        <w:rPr>
          <w:lang w:val="sl"/>
        </w:rPr>
      </w:pPr>
      <w:r>
        <w:rPr>
          <w:lang w:val="sl"/>
        </w:rPr>
        <w:t xml:space="preserve">Na vrsto in obseg skrbnega pregleda poslovanja, tj. posebne ukrepe, ki jih je treba sprejeti glede na posamezne okoliščine, vplivajo dejavniki, kot so okoliščine poslovanja podjetja in posebna priporočila v </w:t>
      </w:r>
      <w:r>
        <w:rPr>
          <w:i/>
          <w:iCs/>
          <w:lang w:val="sl"/>
        </w:rPr>
        <w:t>smernicah</w:t>
      </w:r>
      <w:r>
        <w:rPr>
          <w:lang w:val="sl"/>
        </w:rPr>
        <w:t>, pri čemer naj bodo ti ukrepi sorazmerni z velikostjo podjetja, njegovo vpletenostjo v škodljive vplive in resnostjo škodljivih vplivov. Pri tem naj ukrepi, ki jih podjetje sprejme za izvajanje skrbnega pregleda poslovanja, temeljijo na tveganju, naj bodo sorazmerni z resnostjo in verjetnostjo škodljivega vpliva ter ustrezni in sorazmerni glede na njegove okoliščine. Kadar ni mogoče obravnavati vseh ugotovljenih vplivov hkrati, naj podjetje določi vrstni red sprejemanja ukrepov glede na resnost in verjetnost škodljivega vpliva.</w:t>
      </w:r>
      <w:r>
        <w:rPr>
          <w:b/>
          <w:bCs/>
          <w:i/>
          <w:iCs/>
          <w:u w:val="single"/>
          <w:lang w:val="sl"/>
        </w:rPr>
        <w:t xml:space="preserve"> </w:t>
      </w:r>
    </w:p>
    <w:p w14:paraId="2901FD4B" w14:textId="77777777" w:rsidR="00A55002" w:rsidRPr="008A691D" w:rsidRDefault="00A55002" w:rsidP="00A55002">
      <w:pPr>
        <w:pStyle w:val="Para1"/>
        <w:rPr>
          <w:bCs/>
          <w:iCs/>
          <w:lang w:val="sl"/>
        </w:rPr>
      </w:pPr>
      <w:r>
        <w:rPr>
          <w:i/>
          <w:iCs/>
          <w:lang w:val="sl"/>
        </w:rPr>
        <w:t>Smernice</w:t>
      </w:r>
      <w:r>
        <w:rPr>
          <w:lang w:val="sl"/>
        </w:rPr>
        <w:t xml:space="preserve"> priznavajo, da za večino podjetij morda ne bo izvedljivo, da ocenijo vse posamezne subjekte, s katerimi so v poslovnem razmerju, in z njimi sodelujejo. Kadar imajo podjetja veliko število dobaviteljev in drugih poslovnih razmerij, se priporoča, da opredelijo splošna področja, na katerih je tveganje škodljivih vplivov največje, in na podlagi te ocene tveganja določijo prednostna področja za skrbni pregled poslovanja v skladu z ukrepi, opisanimi v 19. odstavku komentarja. Pri skrbnem pregledu na podlagi analize tveganja v zvezi z izdelki ali storitvami podjetja naj se upoštevajo znane ali razumno predvidljive okoliščine, povezane z uporabo izdelka ali storitve v skladu z njegovim predvidenim namenom ali v razmerah razumno predvidljive neustrezne uporabe ali zlorabe, ki lahko povzročijo škodljive vplive. Posebna priporočila za skrbni pregled poslovanja v zvezi s posameznimi vprašanji so navedena v ustreznih poglavjih.</w:t>
      </w:r>
    </w:p>
    <w:p w14:paraId="4C5EFC90" w14:textId="77777777" w:rsidR="00A55002" w:rsidRPr="008A691D" w:rsidRDefault="00A55002" w:rsidP="00A55002">
      <w:pPr>
        <w:pStyle w:val="Para1"/>
        <w:rPr>
          <w:lang w:val="sl"/>
        </w:rPr>
      </w:pPr>
      <w:r>
        <w:rPr>
          <w:lang w:val="sl"/>
        </w:rPr>
        <w:t>Kadar podjetje povzroči ali bi lahko povzročilo škodljivi vpliv, naj sprejme potrebne ukrepe za odpravo ali preprečitev tega vpliva.</w:t>
      </w:r>
    </w:p>
    <w:p w14:paraId="730C03BD" w14:textId="77777777" w:rsidR="00A55002" w:rsidRPr="008A691D" w:rsidRDefault="00A55002" w:rsidP="00A55002">
      <w:pPr>
        <w:pStyle w:val="Para1"/>
        <w:rPr>
          <w:lang w:val="sl"/>
        </w:rPr>
      </w:pPr>
      <w:r>
        <w:rPr>
          <w:lang w:val="sl"/>
        </w:rPr>
        <w:t xml:space="preserve">Kadar podjetje prispeva ali bi lahko prispevalo k škodljivemu vplivu, naj sprejme potrebne ukrepe za odpravo ali preprečitev tega prispevka ter uporabi svoj vpliv, da čim bolj ublaži preostale škodljive vplive. Šteje se, da ima podjetje vpliv, kadar ima možnost spremeniti nepravilno ravnanje subjekta, ki povzroča škodo.  </w:t>
      </w:r>
    </w:p>
    <w:p w14:paraId="2EF86B4A" w14:textId="77777777" w:rsidR="00A55002" w:rsidRPr="008A691D" w:rsidRDefault="00A55002" w:rsidP="00A55002">
      <w:pPr>
        <w:pStyle w:val="Para1"/>
        <w:rPr>
          <w:bCs/>
          <w:iCs/>
          <w:lang w:val="sl"/>
        </w:rPr>
      </w:pPr>
      <w:r>
        <w:rPr>
          <w:i/>
          <w:iCs/>
          <w:lang w:val="sl"/>
        </w:rPr>
        <w:t>Smernice</w:t>
      </w:r>
      <w:r>
        <w:rPr>
          <w:lang w:val="sl"/>
        </w:rPr>
        <w:t xml:space="preserve"> priznavajo, da se odgovornost ne sme prenesti s subjekta, ki povzroča škodljivi vpliv, na podjetje, s katerim je v poslovnem razmerju. Kadar je podjetje na podlagi poslovnega razmerja neposredno povezano s škodljivim vplivom, vendar ga ne povzroča in k njemu ne prispeva, ni odgovorno za odpravljanje škodljivega vpliva, čeprav lahko prevzame vlogo pri tem, temveč za to, da samo ali v sodelovanju z drugimi subjekti vpliva na subjekt, ki povzroča škodljivi vpliv, da ta učinek prepreči, ublaži ali odpravi. Če podjetje nima zadostnega vpliva, naj razmisli, kako bi ta vpliv povečalo. Podjetja lahko uporabijo ali povečajo vpliv na več načinov, da vplivajo na subjekte, s katerimi so v poslovnem razmerju, na primer s podporo, usposabljanjem in krepitvijo zmogljivosti; s sodelovanjem, da bi jih spodbudila k </w:t>
      </w:r>
      <w:r>
        <w:rPr>
          <w:lang w:val="sl"/>
        </w:rPr>
        <w:lastRenderedPageBreak/>
        <w:t xml:space="preserve">preprečevanju in/ali ublažitvi vplivov; z vključevanjem pričakovanj glede odgovornega ravnanja podjetij in skrbnega pregleda poslovanja v gospodarske pogodbe, kot so pogodbe o upravljanju, zahteve za </w:t>
      </w:r>
      <w:proofErr w:type="spellStart"/>
      <w:r>
        <w:rPr>
          <w:lang w:val="sl"/>
        </w:rPr>
        <w:t>predkvalifikacijo</w:t>
      </w:r>
      <w:proofErr w:type="spellEnd"/>
      <w:r>
        <w:rPr>
          <w:lang w:val="sl"/>
        </w:rPr>
        <w:t xml:space="preserve"> za morebitne dobavitelje, glasovalni delniški zaupniki ter licenčne ali franšizne pogodbe; s povezovanjem poslovnih spodbud z uspešnostjo pri odgovornem ravnanju podjetij; s sodelovanjem z regulatorji in oblikovalci politik pri odgovornem ravnanju podjetij; z obveščanjem o možnosti odgovorne prekinitve sodelovanja, če pričakovanja glede odgovornega ravnanja podjetij niso upoštevana, s sodelovanjem z drugimi podjetji (na ravni sektorja, tveganja ali države) za združevanje vpliva in izvajanje skupnih standardov odgovornega ravnanja podjetij. Drugi dejavniki, pomembni za določitev ustreznega odziva na ugotovljena tveganja, so med drugim resnost in verjetnost škodljivih vplivov ter stopnja pomembnosti tega dobavitelja za podjetje.   </w:t>
      </w:r>
    </w:p>
    <w:p w14:paraId="0B38B2A7" w14:textId="77777777" w:rsidR="00A55002" w:rsidRPr="008A691D" w:rsidRDefault="00A55002" w:rsidP="00A55002">
      <w:pPr>
        <w:pStyle w:val="Para1"/>
        <w:rPr>
          <w:bCs/>
          <w:iCs/>
          <w:lang w:val="sl"/>
        </w:rPr>
      </w:pPr>
      <w:r>
        <w:rPr>
          <w:i/>
          <w:iCs/>
          <w:lang w:val="sl"/>
        </w:rPr>
        <w:t>Smernice</w:t>
      </w:r>
      <w:r>
        <w:rPr>
          <w:lang w:val="sl"/>
        </w:rPr>
        <w:t xml:space="preserve"> priznavajo praktične omejitve glede stopnje vpliva, ki ga podjetja imajo ali bi ga lahko imela, da bi spremenila ravnanje subjektov, s katerimi so v poslovnem razmerju. Te so povezane z značilnostmi izdelka in/ali storitve, številom dobaviteljev in drugih poslovnih razmerij, strukturo in zapletenostjo dobavne verige ali vrsto poslovnega razmerja ali škodljivega učinka. Na primer, v nekaterih primerih imajo lahko podjetja po opravljeni storitvi ali prodaji ali ponovni prodaji izdelka zmanjšano zmožnost spremljanja svojih vplivov ali uveljavljanja ali ustvarjanja vpliva. V takšnih primerih so lahko prizadevanja za ugotavljanje dejanskih in morebitnih vplivov ter sprejemanje preventivnih ali blažilnih ukrepov še posebej pomembna pred prodajo in ob prodaji. </w:t>
      </w:r>
    </w:p>
    <w:p w14:paraId="192A700F" w14:textId="77777777" w:rsidR="00A55002" w:rsidRPr="008A691D" w:rsidRDefault="00A55002" w:rsidP="00A55002">
      <w:pPr>
        <w:pStyle w:val="Para1"/>
        <w:rPr>
          <w:rFonts w:eastAsia="Times New Roman"/>
          <w:lang w:val="sl"/>
        </w:rPr>
      </w:pPr>
      <w:r>
        <w:rPr>
          <w:lang w:val="sl"/>
        </w:rPr>
        <w:t xml:space="preserve">Ustrezni odzivi v zvezi s poslovnim razmerjem lahko vključujejo nadaljevanje razmerja ob prizadevanjih za zmanjšanje tveganja; začasno prekinitev razmerja med zmanjševanjem tveganja; v skrajnem primeru prekinitev sodelovanja po neuspešnih poskusih zmanjšanja tveganja ali če podjetje meni, da zmanjšanje tveganja ni mogoče, ali zaradi resnosti škodljivega vpliva. Če podjetja lahko nadaljujejo razmerje in dokažejo realno možnost za izboljšanje ali dejansko izboljšanje v nekem časovnem obdobju, je to pogosto boljše, kot če sodelovanje prekinejo. Podjetje naj upošteva tudi morebitne družbene, </w:t>
      </w:r>
      <w:proofErr w:type="spellStart"/>
      <w:r>
        <w:rPr>
          <w:lang w:val="sl"/>
        </w:rPr>
        <w:t>okoljske</w:t>
      </w:r>
      <w:proofErr w:type="spellEnd"/>
      <w:r>
        <w:rPr>
          <w:lang w:val="sl"/>
        </w:rPr>
        <w:t xml:space="preserve"> in gospodarske škodljive vplive, povezane z odločitvijo o prekinitvi poslovnega razmerja. Ko se podjetja odločajo o prekinitvi poslovnega razmerja, naj to storijo odgovorno, tudi tako, da se pravočasno in smiselno posvetujejo z ustreznimi deležniki ter, kadar je to mogoče, sprejmejo razumne in ustrezne ukrepe za preprečitev ali ublažitev škodljivih vplivov, povezanih s prekinitvijo sodelovanja.</w:t>
      </w:r>
    </w:p>
    <w:p w14:paraId="0C19BC8E" w14:textId="77777777" w:rsidR="00A55002" w:rsidRPr="008A691D" w:rsidRDefault="00A55002" w:rsidP="00A55002">
      <w:pPr>
        <w:pStyle w:val="Para1"/>
        <w:rPr>
          <w:lang w:val="sl"/>
        </w:rPr>
      </w:pPr>
      <w:r>
        <w:rPr>
          <w:lang w:val="sl"/>
        </w:rPr>
        <w:t xml:space="preserve">Podjetja lahko tudi sodelujejo z dobavitelji in drugimi subjekti, s katerimi so v poslovnem razmerju, da v sodelovanju z drugimi deležniki izboljšajo njihovo uspešnost, tudi z usposabljanjem osebja in drugimi oblikami krepitve zmogljivosti, ter podpirajo vključevanje načel odgovornega ravnanja podjetij, ki so v skladu s </w:t>
      </w:r>
      <w:r>
        <w:rPr>
          <w:i/>
          <w:iCs/>
          <w:lang w:val="sl"/>
        </w:rPr>
        <w:t>smernicami</w:t>
      </w:r>
      <w:r>
        <w:rPr>
          <w:lang w:val="sl"/>
        </w:rPr>
        <w:t>, v njihove poslovne prakse. Pri tem je še posebej pomembno sodelovanje z malimi in srednje velikimi podjetji, s katerimi so v poslovnem razmerju, ter podpiranje teh podjetij. Kadar bi subjekti, s katerimi je podjetje v poslovnem razmerju, lahko bili izpostavljeni nasprotujočim si zahtevam, ki jih na primer postavljajo različni kupci ali ponudniki storitev, se podjetja spodbujajo, da ob upoštevanju pomislekov glede nekonkurenčnosti sodelujejo v skupnih prizadevanjih na ravni panoge z drugimi podjetji za uskladitev politik skrbnega pregleda poslovanja in strategij obvladovanja tveganja, tudi z izmenjavo informacij.</w:t>
      </w:r>
    </w:p>
    <w:p w14:paraId="5263438A" w14:textId="77777777" w:rsidR="00A55002" w:rsidRPr="008A691D" w:rsidRDefault="00A55002" w:rsidP="00A55002">
      <w:pPr>
        <w:pStyle w:val="Para1"/>
        <w:rPr>
          <w:lang w:val="sl"/>
        </w:rPr>
      </w:pPr>
      <w:r>
        <w:rPr>
          <w:lang w:val="sl"/>
        </w:rPr>
        <w:t xml:space="preserve">Podjetja se spodbujajo tudi k sodelovanju v zasebnih pobudah ali pobudah več deležnikov in socialnem dialogu o odgovornem ravnanju podjetij, </w:t>
      </w:r>
      <w:bookmarkStart w:id="16" w:name="_Hlk132809057"/>
      <w:r>
        <w:rPr>
          <w:lang w:val="sl"/>
        </w:rPr>
        <w:t>kot so pobude, sprejete v skladu s sklepom Sveta o Smernicah OECD za mednarodna podjetja o odgovornem ravnanju podjetij (</w:t>
      </w:r>
      <w:proofErr w:type="spellStart"/>
      <w:r>
        <w:rPr>
          <w:i/>
          <w:iCs/>
          <w:lang w:val="sl"/>
        </w:rPr>
        <w:t>Decision</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the</w:t>
      </w:r>
      <w:proofErr w:type="spellEnd"/>
      <w:r>
        <w:rPr>
          <w:i/>
          <w:iCs/>
          <w:lang w:val="sl"/>
        </w:rPr>
        <w:t xml:space="preserve"> </w:t>
      </w:r>
      <w:proofErr w:type="spellStart"/>
      <w:r>
        <w:rPr>
          <w:i/>
          <w:iCs/>
          <w:lang w:val="sl"/>
        </w:rPr>
        <w:t>Council</w:t>
      </w:r>
      <w:proofErr w:type="spellEnd"/>
      <w:r>
        <w:rPr>
          <w:i/>
          <w:iCs/>
          <w:lang w:val="sl"/>
        </w:rPr>
        <w:t xml:space="preserve"> on </w:t>
      </w:r>
      <w:proofErr w:type="spellStart"/>
      <w:r>
        <w:rPr>
          <w:i/>
          <w:iCs/>
          <w:lang w:val="sl"/>
        </w:rPr>
        <w:t>the</w:t>
      </w:r>
      <w:proofErr w:type="spellEnd"/>
      <w:r>
        <w:rPr>
          <w:i/>
          <w:iCs/>
          <w:lang w:val="sl"/>
        </w:rPr>
        <w:t xml:space="preserve"> OECD </w:t>
      </w:r>
      <w:proofErr w:type="spellStart"/>
      <w:r>
        <w:rPr>
          <w:i/>
          <w:iCs/>
          <w:lang w:val="sl"/>
        </w:rPr>
        <w:t>Guidelines</w:t>
      </w:r>
      <w:proofErr w:type="spellEnd"/>
      <w:r>
        <w:rPr>
          <w:i/>
          <w:iCs/>
          <w:lang w:val="sl"/>
        </w:rPr>
        <w:t xml:space="preserve"> </w:t>
      </w:r>
      <w:proofErr w:type="spellStart"/>
      <w:r>
        <w:rPr>
          <w:i/>
          <w:iCs/>
          <w:lang w:val="sl"/>
        </w:rPr>
        <w:t>for</w:t>
      </w:r>
      <w:proofErr w:type="spellEnd"/>
      <w:r>
        <w:rPr>
          <w:i/>
          <w:iCs/>
          <w:lang w:val="sl"/>
        </w:rPr>
        <w:t xml:space="preserve"> </w:t>
      </w:r>
      <w:proofErr w:type="spellStart"/>
      <w:r>
        <w:rPr>
          <w:i/>
          <w:iCs/>
          <w:lang w:val="sl"/>
        </w:rPr>
        <w:t>Multinational</w:t>
      </w:r>
      <w:proofErr w:type="spellEnd"/>
      <w:r>
        <w:rPr>
          <w:i/>
          <w:iCs/>
          <w:lang w:val="sl"/>
        </w:rPr>
        <w:t xml:space="preserve"> </w:t>
      </w:r>
      <w:proofErr w:type="spellStart"/>
      <w:r>
        <w:rPr>
          <w:i/>
          <w:iCs/>
          <w:lang w:val="sl"/>
        </w:rPr>
        <w:t>Enterprises</w:t>
      </w:r>
      <w:proofErr w:type="spellEnd"/>
      <w:r>
        <w:rPr>
          <w:i/>
          <w:iCs/>
          <w:lang w:val="sl"/>
        </w:rPr>
        <w:t xml:space="preserve"> on </w:t>
      </w:r>
      <w:proofErr w:type="spellStart"/>
      <w:r>
        <w:rPr>
          <w:i/>
          <w:iCs/>
          <w:lang w:val="sl"/>
        </w:rPr>
        <w:t>Responsible</w:t>
      </w:r>
      <w:proofErr w:type="spellEnd"/>
      <w:r>
        <w:rPr>
          <w:i/>
          <w:iCs/>
          <w:lang w:val="sl"/>
        </w:rPr>
        <w:t xml:space="preserve"> Business </w:t>
      </w:r>
      <w:proofErr w:type="spellStart"/>
      <w:r>
        <w:rPr>
          <w:i/>
          <w:iCs/>
          <w:lang w:val="sl"/>
        </w:rPr>
        <w:t>Conduct</w:t>
      </w:r>
      <w:proofErr w:type="spellEnd"/>
      <w:r>
        <w:rPr>
          <w:lang w:val="sl"/>
        </w:rPr>
        <w:t>), vključno s priloženimi postopki.</w:t>
      </w:r>
      <w:bookmarkEnd w:id="16"/>
    </w:p>
    <w:p w14:paraId="4522E890" w14:textId="77777777" w:rsidR="00A55002" w:rsidRPr="008A691D" w:rsidRDefault="00A55002" w:rsidP="00A55002">
      <w:pPr>
        <w:pStyle w:val="Para1"/>
        <w:rPr>
          <w:bCs/>
          <w:iCs/>
          <w:lang w:val="sl"/>
        </w:rPr>
      </w:pPr>
      <w:r>
        <w:rPr>
          <w:lang w:val="sl"/>
        </w:rPr>
        <w:t xml:space="preserve">Smiselno sodelovanje z deležniki je ključen sestavni del postopka skrbnega pregleda poslovanja. V nekaterih primerih je lahko sodelovanje z deležniki tudi pravica sama po sebi. Sodelovanje z deležniki vključuje interaktivne postopke sodelovanja z ustreznimi deležniki, na primer s sestanki, obravnavami ali posvetovanji. Zadevni deležniki so osebe ali skupine ali njihovi zakoniti zastopniki, ki imajo pravice ali interese, povezane z zadevami, ki jih zajemajo </w:t>
      </w:r>
      <w:r>
        <w:rPr>
          <w:i/>
          <w:iCs/>
          <w:lang w:val="sl"/>
        </w:rPr>
        <w:t>smernice</w:t>
      </w:r>
      <w:r>
        <w:rPr>
          <w:lang w:val="sl"/>
        </w:rPr>
        <w:t xml:space="preserve">, na katere vplivajo ali bi lahko vplivali škodljivi </w:t>
      </w:r>
      <w:r>
        <w:rPr>
          <w:lang w:val="sl"/>
        </w:rPr>
        <w:lastRenderedPageBreak/>
        <w:t>vplivi, povezani s poslovanjem, izdelki ali storitvami podjetja. Podjetja lahko prednostno določijo deležnike, ki so najbolj prizadeti ali bi lahko bili prizadeti, in jih vključijo v sodelovanje. Stopnja vpliva na deležnike lahko vpliva na stopnjo sodelovanja. Smiselno sodelovanje z deležniki se nanaša na stalno sodelovanje z deležniki, ki je dvosmerno, poteka v dobri veri udeležencev na obeh straneh in se odziva na stališča deležnikov. Da bi bilo sodelovanje z deležniki smiselno in učinkovito, je treba zagotoviti, da je pravočasno, dostopno, primerno in varno za deležnike, ter opredeliti in odpraviti morebitne ovire za sodelovanje z deležniki, ki so v ranljivem ali marginaliziranem položaju. Smernice OECD za skrbni pregled poslovanja za odgovorno ravnanje podjetij in ustrezne smernice OECD za posamezne sektorje vključujejo praktično podporo podjetjem pri sodelovanju z deležniki, tudi kot del skrbnega pregleda poslovanja podjetja. To sodelovanje je še posebej pomembno pri načrtovanju in sprejemanju odločitev glede projektov ali drugih dejavnosti, ki vključujejo na primer intenzivno rabo zemljišč ali vode in bi lahko pomembno vplivale na lokalne skupnosti.</w:t>
      </w:r>
    </w:p>
    <w:p w14:paraId="6740B793" w14:textId="77777777" w:rsidR="00A55002" w:rsidRPr="008A691D" w:rsidRDefault="00A55002" w:rsidP="00A55002">
      <w:pPr>
        <w:pStyle w:val="Para1"/>
        <w:rPr>
          <w:lang w:val="sl"/>
        </w:rPr>
      </w:pPr>
      <w:r>
        <w:rPr>
          <w:lang w:val="sl"/>
        </w:rPr>
        <w:t xml:space="preserve">Nazadnje je pomembno opozoriti, da samoregulacija in druge podobne pobude, vključno s </w:t>
      </w:r>
      <w:r>
        <w:rPr>
          <w:i/>
          <w:iCs/>
          <w:lang w:val="sl"/>
        </w:rPr>
        <w:t>smernicami</w:t>
      </w:r>
      <w:r>
        <w:rPr>
          <w:lang w:val="sl"/>
        </w:rPr>
        <w:t>, ne bi smele nezakonito omejevati konkurence, poleg tega jih ne bi smeli obravnavati kot nadomestilo za učinkovito zakonodajo in ureditev s strani vlad. Razume se, da naj se mednarodna podjetja pri razvoju kodeksov in praks samoregulacije izogibajo učinkom, ki izkrivljajo trgovino ali naložbe.</w:t>
      </w:r>
    </w:p>
    <w:p w14:paraId="38CF6562" w14:textId="77777777" w:rsidR="00A55002" w:rsidRPr="00EC1531" w:rsidRDefault="00A55002" w:rsidP="00A55002">
      <w:pPr>
        <w:pStyle w:val="Naslov1"/>
        <w:framePr w:wrap="notBeside"/>
        <w:numPr>
          <w:ilvl w:val="0"/>
          <w:numId w:val="21"/>
        </w:numPr>
        <w:rPr>
          <w:color w:val="366091" w:themeColor="accent1" w:themeShade="BF"/>
        </w:rPr>
      </w:pPr>
      <w:bookmarkStart w:id="17" w:name="_Toc169086487"/>
      <w:r w:rsidRPr="00EC1531">
        <w:rPr>
          <w:bCs/>
          <w:color w:val="366091" w:themeColor="accent1" w:themeShade="BF"/>
          <w:lang w:val="sl"/>
        </w:rPr>
        <w:lastRenderedPageBreak/>
        <w:t>III. Razkritje</w:t>
      </w:r>
      <w:bookmarkEnd w:id="17"/>
      <w:r w:rsidRPr="00EC1531">
        <w:rPr>
          <w:bCs/>
          <w:color w:val="366091" w:themeColor="accent1" w:themeShade="BF"/>
          <w:lang w:val="sl"/>
        </w:rPr>
        <w:t xml:space="preserve"> </w:t>
      </w:r>
    </w:p>
    <w:p w14:paraId="0771386C" w14:textId="77777777" w:rsidR="00A55002" w:rsidRPr="008A691D" w:rsidRDefault="00A55002" w:rsidP="00A55002">
      <w:pPr>
        <w:pStyle w:val="Para1"/>
        <w:numPr>
          <w:ilvl w:val="0"/>
          <w:numId w:val="23"/>
        </w:numPr>
        <w:rPr>
          <w:lang w:val="sl"/>
        </w:rPr>
      </w:pPr>
      <w:r>
        <w:rPr>
          <w:lang w:val="sl"/>
        </w:rPr>
        <w:t xml:space="preserve">Podjetja naj upoštevajo uveljavljene politike razkritja v državah in sektorjih, v katerih delujejo, ter stališča in zahteve delničarjev in drugih ustreznih deležnikov po informacijah. Podjetja naj o vseh pomembnih zadevah razkrijejo dovolj podrobne informacije, ki naj bodo redne, pravočasne, jasne, popolne, natančne in primerljive. Te informacije naj se razkrijejo za celotno podjetje in po potrebi po poslovnih področjih ali geografskih območjih. Politike podjetij glede razkritja informacij naj bodo prilagojene vrsti, velikosti in lokaciji podjetja, pri čemer je treba ustrezno upoštevati stroške, poslovno zaupnost in druge pomisleke glede konkurenčnosti. </w:t>
      </w:r>
    </w:p>
    <w:p w14:paraId="1D8E3638" w14:textId="77777777" w:rsidR="00A55002" w:rsidRPr="008A691D" w:rsidRDefault="00A55002" w:rsidP="00A55002">
      <w:pPr>
        <w:pStyle w:val="Para1"/>
        <w:rPr>
          <w:lang w:val="sl"/>
        </w:rPr>
      </w:pPr>
      <w:r>
        <w:rPr>
          <w:lang w:val="sl"/>
        </w:rPr>
        <w:t>Politike razkritja podjetij naj med drugim vključujejo te pomembne informacije:</w:t>
      </w:r>
    </w:p>
    <w:p w14:paraId="73C2B18C" w14:textId="77777777" w:rsidR="00A55002" w:rsidRPr="008A691D" w:rsidRDefault="00A55002" w:rsidP="00A55002">
      <w:pPr>
        <w:pStyle w:val="Para0"/>
        <w:numPr>
          <w:ilvl w:val="0"/>
          <w:numId w:val="24"/>
        </w:numPr>
        <w:rPr>
          <w:lang w:val="it-IT"/>
        </w:rPr>
      </w:pPr>
      <w:r>
        <w:rPr>
          <w:lang w:val="sl"/>
        </w:rPr>
        <w:t>finančne in poslovne rezultate podjetja;</w:t>
      </w:r>
    </w:p>
    <w:p w14:paraId="0F223256" w14:textId="77777777" w:rsidR="00A55002" w:rsidRPr="008A691D" w:rsidRDefault="00A55002" w:rsidP="00A55002">
      <w:pPr>
        <w:pStyle w:val="Para0"/>
        <w:numPr>
          <w:ilvl w:val="0"/>
          <w:numId w:val="24"/>
        </w:numPr>
        <w:rPr>
          <w:lang w:val="it-IT"/>
        </w:rPr>
      </w:pPr>
      <w:r>
        <w:rPr>
          <w:lang w:val="sl"/>
        </w:rPr>
        <w:t>cilje podjetja in informacije, povezane s trajnostnim razvojem;</w:t>
      </w:r>
    </w:p>
    <w:p w14:paraId="2DF1C511" w14:textId="77777777" w:rsidR="00A55002" w:rsidRPr="008A691D" w:rsidRDefault="00A55002" w:rsidP="00A55002">
      <w:pPr>
        <w:pStyle w:val="Para0"/>
        <w:numPr>
          <w:ilvl w:val="0"/>
          <w:numId w:val="24"/>
        </w:numPr>
        <w:rPr>
          <w:lang w:val="de-DE"/>
        </w:rPr>
      </w:pPr>
      <w:r>
        <w:rPr>
          <w:lang w:val="sl"/>
        </w:rPr>
        <w:t>kapitalske strukture, strukture skupin in njihove nadzorne ureditve;</w:t>
      </w:r>
    </w:p>
    <w:p w14:paraId="2F21DD04" w14:textId="77777777" w:rsidR="00A55002" w:rsidRPr="008A691D" w:rsidRDefault="00A55002" w:rsidP="00A55002">
      <w:pPr>
        <w:pStyle w:val="Para0"/>
        <w:numPr>
          <w:ilvl w:val="0"/>
          <w:numId w:val="24"/>
        </w:numPr>
        <w:rPr>
          <w:lang w:val="de-DE"/>
        </w:rPr>
      </w:pPr>
      <w:r>
        <w:rPr>
          <w:lang w:val="sl"/>
        </w:rPr>
        <w:t>glavne lastniške deleže, vključno z upravičenimi lastniki, in glasovalne pravice;</w:t>
      </w:r>
    </w:p>
    <w:p w14:paraId="4128B300" w14:textId="77777777" w:rsidR="00A55002" w:rsidRPr="008A691D" w:rsidRDefault="00A55002" w:rsidP="00A55002">
      <w:pPr>
        <w:pStyle w:val="Para0"/>
        <w:numPr>
          <w:ilvl w:val="0"/>
          <w:numId w:val="24"/>
        </w:numPr>
        <w:rPr>
          <w:lang w:val="de-DE"/>
        </w:rPr>
      </w:pPr>
      <w:r>
        <w:rPr>
          <w:lang w:val="sl"/>
        </w:rPr>
        <w:t>informacije o sestavi upravnega odbora in njegovih članov, vključno z njihovo usposobljenostjo, postopkom izbire, drugimi vodstvenimi položaji v podjetju, in o tem, ali upravni odbor vsakega člana upravnega odbora šteje za neodvisnega;</w:t>
      </w:r>
    </w:p>
    <w:p w14:paraId="5167EAF4" w14:textId="77777777" w:rsidR="00A55002" w:rsidRPr="008A691D" w:rsidRDefault="00A55002" w:rsidP="00A55002">
      <w:pPr>
        <w:pStyle w:val="Para0"/>
        <w:numPr>
          <w:ilvl w:val="0"/>
          <w:numId w:val="24"/>
        </w:numPr>
        <w:rPr>
          <w:lang w:val="de-DE"/>
        </w:rPr>
      </w:pPr>
      <w:r>
        <w:rPr>
          <w:lang w:val="sl"/>
        </w:rPr>
        <w:t>prejemke članov upravnega odbora in ključnih vodstvenih delavcev;</w:t>
      </w:r>
    </w:p>
    <w:p w14:paraId="1AAD7852" w14:textId="77777777" w:rsidR="00A55002" w:rsidRPr="00211D1E" w:rsidRDefault="00A55002" w:rsidP="00A55002">
      <w:pPr>
        <w:pStyle w:val="Para0"/>
        <w:numPr>
          <w:ilvl w:val="0"/>
          <w:numId w:val="24"/>
        </w:numPr>
      </w:pPr>
      <w:r>
        <w:rPr>
          <w:lang w:val="sl"/>
        </w:rPr>
        <w:t>transakcije s povezanimi strankami;</w:t>
      </w:r>
    </w:p>
    <w:p w14:paraId="0BEDA7ED" w14:textId="77777777" w:rsidR="00A55002" w:rsidRPr="00211D1E" w:rsidRDefault="00A55002" w:rsidP="00A55002">
      <w:pPr>
        <w:pStyle w:val="Para0"/>
        <w:numPr>
          <w:ilvl w:val="0"/>
          <w:numId w:val="24"/>
        </w:numPr>
      </w:pPr>
      <w:r>
        <w:rPr>
          <w:lang w:val="sl"/>
        </w:rPr>
        <w:t xml:space="preserve">predvidljive dejavnike tveganja; </w:t>
      </w:r>
    </w:p>
    <w:p w14:paraId="374FE32C" w14:textId="77777777" w:rsidR="00A55002" w:rsidRPr="00E205CD" w:rsidRDefault="00A55002" w:rsidP="00A55002">
      <w:pPr>
        <w:pStyle w:val="Para0"/>
        <w:numPr>
          <w:ilvl w:val="0"/>
          <w:numId w:val="24"/>
        </w:numPr>
        <w:rPr>
          <w:i/>
          <w:lang w:val="pl-PL"/>
        </w:rPr>
      </w:pPr>
      <w:r>
        <w:rPr>
          <w:lang w:val="sl"/>
        </w:rPr>
        <w:t xml:space="preserve">strukture in politike upravljanja, vključno z obsegom skladnosti z nacionalnimi kodeksi ali politikami upravljanja podjetij in postopkom njihovega izvajanja; </w:t>
      </w:r>
    </w:p>
    <w:p w14:paraId="0ECAF20B" w14:textId="77777777" w:rsidR="00A55002" w:rsidRPr="00E205CD" w:rsidRDefault="00A55002" w:rsidP="00A55002">
      <w:pPr>
        <w:pStyle w:val="Para0"/>
        <w:numPr>
          <w:ilvl w:val="0"/>
          <w:numId w:val="24"/>
        </w:numPr>
        <w:rPr>
          <w:lang w:val="pl-PL"/>
        </w:rPr>
      </w:pPr>
      <w:r>
        <w:rPr>
          <w:lang w:val="sl"/>
        </w:rPr>
        <w:t>dolžniške pogodbe, vključno s tveganjem neizpolnjevanja dogovorov.</w:t>
      </w:r>
    </w:p>
    <w:p w14:paraId="1AB4486B" w14:textId="77777777" w:rsidR="00A55002" w:rsidRPr="00211D1E" w:rsidRDefault="00A55002" w:rsidP="00A55002">
      <w:pPr>
        <w:pStyle w:val="Para1"/>
      </w:pPr>
      <w:bookmarkStart w:id="18" w:name="_Hlk117090214"/>
      <w:r>
        <w:rPr>
          <w:lang w:val="sl"/>
        </w:rPr>
        <w:t xml:space="preserve">Pomembno je tudi, da podjetja sporočijo informacije o odgovornem ravnanju podjetij, tudi v okviru svoje odgovornosti za izvedbo skrbnega pregleda. </w:t>
      </w:r>
      <w:bookmarkEnd w:id="18"/>
      <w:r>
        <w:rPr>
          <w:lang w:val="sl"/>
        </w:rPr>
        <w:t xml:space="preserve">Nekatere od teh informacij so lahko pomembne tudi v skladu z 2. odstavkom. Informacije o odgovornem ravnanju podjetij lahko vključujejo: </w:t>
      </w:r>
    </w:p>
    <w:p w14:paraId="114B0219" w14:textId="77777777" w:rsidR="00A55002" w:rsidRPr="0071606A" w:rsidRDefault="00A55002" w:rsidP="00A55002">
      <w:pPr>
        <w:pStyle w:val="Para0"/>
        <w:numPr>
          <w:ilvl w:val="0"/>
          <w:numId w:val="25"/>
        </w:numPr>
      </w:pPr>
      <w:r>
        <w:rPr>
          <w:lang w:val="sl"/>
        </w:rPr>
        <w:t xml:space="preserve">vrednostne izjave ali izjave o ravnanju podjetij, namenjene javnemu razkritju, vključno s politikami o vprašanjih odgovornega ravnanja podjetja, ki izražajo zavezanost podjetja načelom in standardom iz </w:t>
      </w:r>
      <w:r>
        <w:rPr>
          <w:i/>
          <w:iCs/>
          <w:lang w:val="sl"/>
        </w:rPr>
        <w:t>smernic</w:t>
      </w:r>
      <w:r>
        <w:rPr>
          <w:lang w:val="sl"/>
        </w:rPr>
        <w:t>, ter načrte za izvajanje skrbnega pregleda poslovanja;</w:t>
      </w:r>
    </w:p>
    <w:p w14:paraId="059C28AA" w14:textId="77777777" w:rsidR="00A55002" w:rsidRPr="00211D1E" w:rsidRDefault="00A55002" w:rsidP="00A55002">
      <w:pPr>
        <w:pStyle w:val="Para0"/>
        <w:numPr>
          <w:ilvl w:val="0"/>
          <w:numId w:val="25"/>
        </w:numPr>
      </w:pPr>
      <w:r>
        <w:rPr>
          <w:lang w:val="sl"/>
        </w:rPr>
        <w:t>politike in druge kodekse ravnanja, h katerim se je podjetje zavezalo, datum njihovega sprejetja ter države in subjekte, za katere veljajo;</w:t>
      </w:r>
    </w:p>
    <w:p w14:paraId="52D0C258" w14:textId="77777777" w:rsidR="00A55002" w:rsidRPr="00211D1E" w:rsidRDefault="00A55002" w:rsidP="00A55002">
      <w:pPr>
        <w:pStyle w:val="Para0"/>
        <w:numPr>
          <w:ilvl w:val="0"/>
          <w:numId w:val="25"/>
        </w:numPr>
      </w:pPr>
      <w:r>
        <w:rPr>
          <w:lang w:val="sl"/>
        </w:rPr>
        <w:t>informacije o ukrepih, sprejetih za vključitev politik o vprašanjih odgovornega ravnanja podjetij v organe upravljanja in nadzora podjetja;</w:t>
      </w:r>
    </w:p>
    <w:p w14:paraId="2DBC99D7" w14:textId="77777777" w:rsidR="00A55002" w:rsidRPr="00211D1E" w:rsidRDefault="00A55002" w:rsidP="00A55002">
      <w:pPr>
        <w:pStyle w:val="Para0"/>
        <w:numPr>
          <w:ilvl w:val="0"/>
          <w:numId w:val="25"/>
        </w:numPr>
      </w:pPr>
      <w:r>
        <w:rPr>
          <w:lang w:val="sl"/>
        </w:rPr>
        <w:t>opredeljena področja pomembnih vplivov ali tveganj podjetja, opredeljene, prednostno razvrščene in ocenjene škodljive vplive ali tveganja ter merila za prednostno razvrščanje;</w:t>
      </w:r>
    </w:p>
    <w:p w14:paraId="376687DA" w14:textId="77777777" w:rsidR="00A55002" w:rsidRPr="00211D1E" w:rsidRDefault="00A55002" w:rsidP="00A55002">
      <w:pPr>
        <w:pStyle w:val="Para0"/>
        <w:numPr>
          <w:ilvl w:val="0"/>
          <w:numId w:val="25"/>
        </w:numPr>
      </w:pPr>
      <w:r>
        <w:rPr>
          <w:lang w:val="sl"/>
        </w:rPr>
        <w:lastRenderedPageBreak/>
        <w:t>uspešnost podjetja v zvezi z izjavami iz točke a) 3. odstavka in kodekse iz točke b) 3. odstavka, vključno z ukrepi, sprejetimi za preprečitev ali ublažitev tveganj ali vplivov iz točk c) in d) 3. odstavka, če je mogoče, vključno z ocenjenimi roki in merili za izboljšanje ter njihovimi rezultati, vključno z odpravljanjem škodljivih vplivov ali sodelovanjem pri odpravljanju;</w:t>
      </w:r>
    </w:p>
    <w:p w14:paraId="73767941" w14:textId="77777777" w:rsidR="00A55002" w:rsidRPr="00E205CD" w:rsidRDefault="00A55002" w:rsidP="00A55002">
      <w:pPr>
        <w:pStyle w:val="Para0"/>
        <w:numPr>
          <w:ilvl w:val="0"/>
          <w:numId w:val="25"/>
        </w:numPr>
        <w:rPr>
          <w:lang w:val="pl-PL"/>
        </w:rPr>
      </w:pPr>
      <w:r>
        <w:rPr>
          <w:lang w:val="sl"/>
        </w:rPr>
        <w:t>informacije o sistemih notranje revizije, upravljanja tveganj in zagotavljanja skladnosti s predpisi;</w:t>
      </w:r>
    </w:p>
    <w:p w14:paraId="2316A242" w14:textId="77777777" w:rsidR="00A55002" w:rsidRPr="008A691D" w:rsidRDefault="00A55002" w:rsidP="00A55002">
      <w:pPr>
        <w:pStyle w:val="Para0"/>
        <w:numPr>
          <w:ilvl w:val="0"/>
          <w:numId w:val="25"/>
        </w:numPr>
        <w:rPr>
          <w:lang w:val="it-IT"/>
        </w:rPr>
      </w:pPr>
      <w:r>
        <w:rPr>
          <w:lang w:val="sl"/>
        </w:rPr>
        <w:t>informacije o odnosih z delavci in drugimi deležniki;</w:t>
      </w:r>
    </w:p>
    <w:p w14:paraId="365B8A54" w14:textId="77777777" w:rsidR="00A55002" w:rsidRPr="008A691D" w:rsidRDefault="00A55002" w:rsidP="00A55002">
      <w:pPr>
        <w:pStyle w:val="Para0"/>
        <w:numPr>
          <w:ilvl w:val="0"/>
          <w:numId w:val="25"/>
        </w:numPr>
        <w:rPr>
          <w:lang w:val="it-IT"/>
        </w:rPr>
      </w:pPr>
      <w:r>
        <w:rPr>
          <w:lang w:val="sl"/>
        </w:rPr>
        <w:t xml:space="preserve">dodatne informacije v skladu s priporočili za razkritje informacij o odgovornem ravnanju podjetij iz IV. in VI. poglavja. </w:t>
      </w:r>
    </w:p>
    <w:p w14:paraId="70D695E0" w14:textId="77777777" w:rsidR="00A55002" w:rsidRPr="008A691D" w:rsidRDefault="00A55002" w:rsidP="00A55002">
      <w:pPr>
        <w:pStyle w:val="Para1"/>
        <w:rPr>
          <w:lang w:val="sl"/>
        </w:rPr>
      </w:pPr>
      <w:r>
        <w:rPr>
          <w:lang w:val="sl"/>
        </w:rPr>
        <w:t xml:space="preserve">Podjetja naj pripravijo in razkrijejo informacije v skladu z mednarodno priznanimi računovodskimi standardi in standardi razkritja ter naj se vzdržijo objave nezadostnih ali nejasnih informacij. Letno zunanjo revizijo naj opravi neodvisen in usposobljen revizor v skladu z mednarodno priznanimi revizijskimi, etičnimi standardi in standardi neodvisnosti, da upravnemu odboru in delničarjem da razumno zagotovilo, da so računovodski izkazi v vseh pomembnih pogledih pripravljeni v skladu z veljavnim okvirom finančnega poročanja. Da bi podjetja povečala verodostojnost informacij o odgovornem ravnanju podjetij, lahko zaprosijo za zunanjo potrditev takih informacij.  </w:t>
      </w:r>
    </w:p>
    <w:p w14:paraId="734098A6" w14:textId="77777777" w:rsidR="00A55002" w:rsidRPr="00EC1531" w:rsidRDefault="00A55002" w:rsidP="00A55002">
      <w:pPr>
        <w:pStyle w:val="Naslov2"/>
        <w:numPr>
          <w:ilvl w:val="1"/>
          <w:numId w:val="21"/>
        </w:numPr>
        <w:rPr>
          <w:color w:val="366091" w:themeColor="accent1" w:themeShade="BF"/>
        </w:rPr>
      </w:pPr>
      <w:bookmarkStart w:id="19" w:name="_Toc134041627"/>
      <w:r w:rsidRPr="00EC1531">
        <w:rPr>
          <w:bCs/>
          <w:color w:val="366091" w:themeColor="accent1" w:themeShade="BF"/>
          <w:lang w:val="sl"/>
        </w:rPr>
        <w:t>Komentar k III. poglavju: Razkritje</w:t>
      </w:r>
      <w:bookmarkEnd w:id="19"/>
    </w:p>
    <w:p w14:paraId="102D1643" w14:textId="77777777" w:rsidR="00A55002" w:rsidRPr="008A691D" w:rsidRDefault="00A55002" w:rsidP="00A55002">
      <w:pPr>
        <w:pStyle w:val="Para1"/>
        <w:numPr>
          <w:ilvl w:val="0"/>
          <w:numId w:val="26"/>
        </w:numPr>
        <w:rPr>
          <w:lang w:val="sl"/>
        </w:rPr>
      </w:pPr>
      <w:r>
        <w:rPr>
          <w:lang w:val="sl"/>
        </w:rPr>
        <w:t xml:space="preserve">Namen tega poglavja je prispevati k večji preglednosti in odgovornosti pri poslovanju mednarodnih podjetij. Jasne in popolne informacije o podjetjih so pomembne za različne uporabnike, od delničarjev, morebitnih vlagateljev in finančne skupnosti do drugih skupin, kot so delavci, lokalne skupnosti, posebne interesne skupine, vlade in družba na splošno. Da bi javnost bolje razumela strukturo in dejavnosti podjetij, njihove podjetniške politike in uspešnost v zvezi z </w:t>
      </w:r>
      <w:proofErr w:type="spellStart"/>
      <w:r>
        <w:rPr>
          <w:lang w:val="sl"/>
        </w:rPr>
        <w:t>okoljskimi</w:t>
      </w:r>
      <w:proofErr w:type="spellEnd"/>
      <w:r>
        <w:rPr>
          <w:lang w:val="sl"/>
        </w:rPr>
        <w:t>, socialnimi in upravljavskimi zadevami, naj bodo podjetja pri svojem poslovanju pregledna in naj se odzivajo na vse večje zahteve javnosti po informacijah.</w:t>
      </w:r>
    </w:p>
    <w:p w14:paraId="2CBBC8DB" w14:textId="77777777" w:rsidR="00A55002" w:rsidRPr="008A691D" w:rsidRDefault="00A55002" w:rsidP="00A55002">
      <w:pPr>
        <w:pStyle w:val="Para1"/>
        <w:rPr>
          <w:lang w:val="sl"/>
        </w:rPr>
      </w:pPr>
      <w:r>
        <w:rPr>
          <w:lang w:val="sl"/>
        </w:rPr>
        <w:t xml:space="preserve">Prvi sklop priporočil za razkritje je enak tistim, ki so opisana v </w:t>
      </w:r>
      <w:r>
        <w:rPr>
          <w:i/>
          <w:iCs/>
          <w:lang w:val="sl"/>
        </w:rPr>
        <w:t>Načelih upravljanja podjetij G20/OECD [</w:t>
      </w:r>
      <w:hyperlink r:id="rId35" w:history="1">
        <w:r>
          <w:rPr>
            <w:rStyle w:val="Hiperpovezava"/>
            <w:i/>
            <w:iCs/>
            <w:lang w:val="sl"/>
          </w:rPr>
          <w:t>OECD/LEGAL/0413</w:t>
        </w:r>
      </w:hyperlink>
      <w:r>
        <w:rPr>
          <w:i/>
          <w:iCs/>
          <w:lang w:val="sl"/>
        </w:rPr>
        <w:t>]</w:t>
      </w:r>
      <w:r>
        <w:rPr>
          <w:lang w:val="sl"/>
        </w:rPr>
        <w:t xml:space="preserve">. V njihovih opombah so navedeni dodatni napotki, priporočila v </w:t>
      </w:r>
      <w:r>
        <w:rPr>
          <w:i/>
          <w:iCs/>
          <w:lang w:val="sl"/>
        </w:rPr>
        <w:t>smernicah</w:t>
      </w:r>
      <w:r>
        <w:rPr>
          <w:lang w:val="sl"/>
        </w:rPr>
        <w:t xml:space="preserve"> pa je treba razlagati v povezavi z njimi. Prvi sklop priporočil za razkritje se osredotoča predvsem na javne delniške družbe in na vse pomembne zadeve v zvezi s podjetjem. Pomembne informacije je mogoče opredeliti kot informacije, za katere se lahko upravičeno pričakuje, da bo njihova opustitev ali napačna navedba vplivala na vlagateljevo oceno vrednosti podjetja. Običajno vključujejo vrednost, časovno razporeditev in gotovost prihodnjih denarnih tokov podjetja. Pomembne informacije je mogoče opredeliti tudi kot informacije, ki bi se razumnemu vlagatelju zdele pomembne pri sprejemanju odločitve o naložbi ali glasovanju. Če se ta priporočila za razkritje uporabljajo glede na naravo, velikost in lokacijo podjetij, so lahko tudi koristno orodje za izboljšanje upravljanja v podjetjih, ki ne kotirajo na borzi, na primer v zasebnih podjetjih ali podjetjih v državni lasti. Ta sklop priporočil za razkritje zahteva dovolj podrobne redne, pravočasne, zanesljive, jasne, popolne, točne in primerljive informacije o vseh pomembnih zadevah v zvezi s podjetjem, vključno s finančnim položajem, uspešnostjo, trajnostnim razvojem, lastništvom in upravljanjem podjetja. Delničarje zanimajo tudi informacije o prejemkih upravnega odbora in vodstvenih delavcev, vključno s povezavo med prejemki in dolgoročno uspešnostjo, trajnostnim razvojem in odpornostjo podjetja. Od podjetij se tudi pričakuje, da pravočasno razkrijejo informacije, vključno s pomembnimi spremembami politik prejemkov, ki se uporabljajo za člane upravnega odbora in ključne vodstvene delavce, ter ravni ali zneske prejemkov na standardizirani in primerljivi podlagi, da lahko vlagatelji ocenijo stroške in koristi načrtov prejemkov ter prispevek programov spodbud, kot so programi delniških opcij, k uspešnosti. Pomembne transakcije s povezanimi strankami in predvidljivi dejavniki tveganja so dodatne pomembne informacije, ki naj se razkrijejo. </w:t>
      </w:r>
    </w:p>
    <w:p w14:paraId="3B153C18" w14:textId="77777777" w:rsidR="00A55002" w:rsidRPr="008A691D" w:rsidRDefault="00A55002" w:rsidP="00A55002">
      <w:pPr>
        <w:pStyle w:val="Para1"/>
        <w:rPr>
          <w:iCs/>
          <w:lang w:val="sl"/>
        </w:rPr>
      </w:pPr>
      <w:r>
        <w:rPr>
          <w:i/>
          <w:iCs/>
          <w:lang w:val="sl"/>
        </w:rPr>
        <w:lastRenderedPageBreak/>
        <w:t>Smernice</w:t>
      </w:r>
      <w:r>
        <w:rPr>
          <w:lang w:val="sl"/>
        </w:rPr>
        <w:t xml:space="preserve"> vključujejo drugi sklop priporočil za razkritje informacij o odgovornem ravnanju podjetij, vključno z dejanskimi ali morebitnimi škodljivimi vplivi podjetja na ljudi, okolje in družbo ter s tem povezanimi postopki skrbnega pregleda poslovanja, ki so lahko pomembne za odločanje vlagatelja in tudi za širši krog deležnikov, med drugim za delavce, predstavnike delavcev, lokalne skupnosti in civilno družbo. V okviru razkritja so postopki skrbnega pregleda poslovanja, kot so opisani v 3. odstavku, lahko koristno sredstvo, s katerim lahko podjetja zagotovijo, da učinkovito in dosledno ter verodostojno prepoznavajo in sporočajo ustrezne informacije o odgovornem ravnanju podjetij, vključno z informacijami, ki so lahko pomembne. Tako lahko podjetja s skrbnim pregledom poslovanja prepoznajo pomembna tveganja in vplive ter izboljšajo ustreznost, kakovost in primerljivost informacij, razkritih v skladu z 2. in 3. odstavkom. Poleg tega je lahko skrbni pregled poslovanja sredstvo za zagotavljanje verodostojnega poročanja o ciljih in zavezah podjetja, ki morda niso jasno določljivi ali merljivi. Več jurisdikcij dovoljuje ali zahteva upoštevanje interesov deležnikov, številna podjetja pa poleg informacij o finančni uspešnosti zagotavljajo informacije tudi o drugih temah, s katerimi lahko dokažejo zavezanost odgovornim poslovnim praksam in njihovo uspešnost na splošno. </w:t>
      </w:r>
      <w:bookmarkStart w:id="20" w:name="_Hlk117090083"/>
      <w:r>
        <w:rPr>
          <w:lang w:val="sl"/>
        </w:rPr>
        <w:t>Ta druga vrsta razkritja – ali komuniciranje z javnostjo in drugimi osebami, na katere neposredno vplivajo dejavnosti ali poslovna razmerja podjetja – se lahko nanaša na subjekte, ki presegajo tiste, zajete v računovodskih izkazih podjetja. Na primer, zajema lahko tudi informacije o dejavnostih podizvajalcev, dobaviteljev, partnerjev v skupnih podvigih</w:t>
      </w:r>
      <w:bookmarkEnd w:id="20"/>
      <w:r>
        <w:rPr>
          <w:lang w:val="sl"/>
        </w:rPr>
        <w:t xml:space="preserve"> ali drugih osebah, s katerimi je podjetje v poslovnem razmerju. </w:t>
      </w:r>
    </w:p>
    <w:p w14:paraId="38AF49F3" w14:textId="77777777" w:rsidR="00A55002" w:rsidRPr="008A691D" w:rsidRDefault="00A55002" w:rsidP="00A55002">
      <w:pPr>
        <w:pStyle w:val="Para1"/>
        <w:rPr>
          <w:bCs/>
          <w:iCs/>
          <w:lang w:val="sl"/>
        </w:rPr>
      </w:pPr>
      <w:r>
        <w:rPr>
          <w:lang w:val="sl"/>
        </w:rPr>
        <w:t xml:space="preserve">Dva sklopa razkritij iz 2. in 3. odstavka sta medsebojno povezana in nekatere informacije so lahko pomembne za oba. Za določanje informacij, ki naj se razkrijejo v skladu z 2. odstavkom, </w:t>
      </w:r>
      <w:r>
        <w:rPr>
          <w:i/>
          <w:iCs/>
          <w:lang w:val="sl"/>
        </w:rPr>
        <w:t>smernice</w:t>
      </w:r>
      <w:r>
        <w:rPr>
          <w:lang w:val="sl"/>
        </w:rPr>
        <w:t xml:space="preserve"> uporabljajo koncept pomembnosti. Informacije iz 2. odstavka, vključno s tistimi, ki so povezane z vprašanji odgovornega ravnanja podjetij in skrbnega pregleda poslovanja, se lahko štejejo za pomembne tudi, če se lahko upravičeno pričakuje, da bo njihova opustitev ali napačna navedba vplivala na vlagateljevo oceno vrednosti podjetja, časovni razpored in gotovost prihodnjih denarnih tokov podjetja ali na vlagateljeve odločitve o naložbah ali glasovanju. Določitev, katere informacije so pomembne, se lahko spreminja s časom in glede na lokalne okoliščine, posebne okoliščine podjetja ter zahteve jurisdikcije. Uporabniki finančnih informacij in udeleženci na trgu potrebujejo informacije o razumno predvidljivih pomembnih tveganjih, ki lahko vključujejo: tveganja, ki so značilna za panogo ali geografska območja, na katerih podjetje deluje; odvisnost od blaga in dobavnih verig; tveganja finančnih trgov, vključno z obrestnim ali valutnim tveganjem; tveganja, povezana z izvedenimi finančnimi instrumenti in </w:t>
      </w:r>
      <w:proofErr w:type="spellStart"/>
      <w:r>
        <w:rPr>
          <w:lang w:val="sl"/>
        </w:rPr>
        <w:t>zunajbilančnimi</w:t>
      </w:r>
      <w:proofErr w:type="spellEnd"/>
      <w:r>
        <w:rPr>
          <w:lang w:val="sl"/>
        </w:rPr>
        <w:t xml:space="preserve"> transakcijami; tveganja ravnanja podjetij; tveganja digitalne varnosti; tveganja skladnosti in tveganja za trajnostni razvoj, zlasti tveganja, povezana s podnebjem. Nekatere jurisdikcije lahko zahtevajo ali priporočajo tudi razkritje zadev, povezanih s trajnostnim razvojem, ki so ključne za delovno silo podjetja in ključne deležnike, ali razkritje vpliva podjetja na tveganja, ki jih ni mogoče razpršiti.</w:t>
      </w:r>
    </w:p>
    <w:p w14:paraId="37B4B1F7" w14:textId="77777777" w:rsidR="00A55002" w:rsidRPr="008A691D" w:rsidRDefault="00A55002" w:rsidP="00A55002">
      <w:pPr>
        <w:pStyle w:val="Para1"/>
        <w:rPr>
          <w:bCs/>
          <w:iCs/>
          <w:lang w:val="sl"/>
        </w:rPr>
      </w:pPr>
      <w:r>
        <w:rPr>
          <w:lang w:val="sl"/>
        </w:rPr>
        <w:t xml:space="preserve">V zvezi z informacijami, razkritimi v skladu s 3. odstavkom, so lahko tveganja in vplivi, ki se morda ne zdijo finančno pomembni, vendar so pomembni za ljudi in planet, v nekem trenutku finančno pomembni za podjetje. </w:t>
      </w:r>
    </w:p>
    <w:p w14:paraId="2A1C1D89" w14:textId="77777777" w:rsidR="00A55002" w:rsidRPr="008A691D" w:rsidRDefault="00A55002" w:rsidP="00A55002">
      <w:pPr>
        <w:pStyle w:val="Para1"/>
        <w:rPr>
          <w:iCs/>
          <w:lang w:val="sl"/>
        </w:rPr>
      </w:pPr>
      <w:r>
        <w:rPr>
          <w:lang w:val="sl"/>
        </w:rPr>
        <w:t xml:space="preserve">Priporočila za razkritje v tem poglavju in v celotnih </w:t>
      </w:r>
      <w:r>
        <w:rPr>
          <w:i/>
          <w:iCs/>
          <w:lang w:val="sl"/>
        </w:rPr>
        <w:t>smernicah</w:t>
      </w:r>
      <w:r>
        <w:rPr>
          <w:lang w:val="sl"/>
        </w:rPr>
        <w:t xml:space="preserve"> podjetjem naj ne nalagajo nerazumnih upravnih ali stroškovnih bremen. Poleg tega naj se od podjetij ne pričakuje, da razkrijejo informacije, ki bi lahko ogrozile njihov konkurenčni položaj, razen če je razkritje potrebno za celovito obveščanje vlagateljev o odločitvah in za preprečevanje zavajanja vlagateljev.</w:t>
      </w:r>
    </w:p>
    <w:p w14:paraId="13A5CB37" w14:textId="77777777" w:rsidR="00A55002" w:rsidRPr="008A691D" w:rsidRDefault="00A55002" w:rsidP="00A55002">
      <w:pPr>
        <w:pStyle w:val="Para1"/>
        <w:rPr>
          <w:bCs/>
          <w:iCs/>
          <w:lang w:val="sl"/>
        </w:rPr>
      </w:pPr>
      <w:r>
        <w:rPr>
          <w:lang w:val="sl"/>
        </w:rPr>
        <w:t>Podjetja naj pripravijo in razkrijejo informacije v skladu z mednarodno priznanimi računovodskimi standardi in standardi razkritja. Letno zunanjo revizijo naj opravi neodvisen in usposobljen revizor v skladu z mednarodno priznanimi revizijskimi, etičnimi standardi in standardi neodvisnosti, da bi dal razumno zagotovilo, da so računovodski izkazi v vseh pomembnih pogledih pripravljeni v skladu z veljavnim okvirom finančnega poročanja.</w:t>
      </w:r>
    </w:p>
    <w:p w14:paraId="5A71CA88" w14:textId="77777777" w:rsidR="00A55002" w:rsidRPr="008A691D" w:rsidRDefault="00A55002" w:rsidP="00A55002">
      <w:pPr>
        <w:pStyle w:val="Para1"/>
        <w:rPr>
          <w:iCs/>
          <w:lang w:val="sl"/>
        </w:rPr>
      </w:pPr>
      <w:r>
        <w:rPr>
          <w:lang w:val="sl"/>
        </w:rPr>
        <w:t xml:space="preserve">Številna podjetja so sprejela ukrepe, ki jim bodo v pomoč pri spoštovanju zakonodaje in standardov ravnanja podjetij ter bodo povečali preglednost njihovega poslovanja. Vedno več podjetij je izdalo </w:t>
      </w:r>
      <w:r>
        <w:rPr>
          <w:lang w:val="sl"/>
        </w:rPr>
        <w:lastRenderedPageBreak/>
        <w:t xml:space="preserve">prostovoljne kodekse ravnanja podjetij, ki so izraz zavezanosti mednarodnim standardom ali etičnim vrednotam na področjih, kot so okolje, vključno s podnebnimi spremembami, biotska raznovrstnost, človekove pravice, standardi dela, varstvo potrošnikov ali obdavčitev. Razvili so se ali se razvijajo in se bodo še naprej razvijali specializirani sistemi upravljanja, da bi podjetjem pomagali spoštovati te zaveze – ti vključujejo informacijske sisteme, operativne postopke in zahteve za usposabljanje. </w:t>
      </w:r>
    </w:p>
    <w:p w14:paraId="5A739D2B" w14:textId="77777777" w:rsidR="00A55002" w:rsidRPr="008A691D" w:rsidRDefault="00A55002" w:rsidP="00A55002">
      <w:pPr>
        <w:pStyle w:val="Para1"/>
        <w:rPr>
          <w:bCs/>
          <w:iCs/>
          <w:lang w:val="sl"/>
        </w:rPr>
      </w:pPr>
      <w:r>
        <w:rPr>
          <w:lang w:val="sl"/>
        </w:rPr>
        <w:t>Od podjetij se lahko zahteva, da poročajo v skladu s širšimi standardi za razkritje, ki jih predpišejo regulativni organi ali organi, ki urejajo kotiranje, in če je to v skladu s pravnimi zahtevami in zahtevami glede razkritja v posamezni jurisdikciji, naj si podjetja prizadevajo za sprejetje nastajajočih najboljših svetovnih praks in razvijajočih se standardov razkritja, na primer o podnebju in emisijah, ter za uskladitev z njimi. Podjetja sodelujejo z nevladnimi in medvladnimi organizacijami pri razvoju standardov poročanja, ki povečujejo sposobnost podjetij, da sporočajo, kako njihove dejavnosti vplivajo na trajnostni razvoj.</w:t>
      </w:r>
    </w:p>
    <w:p w14:paraId="20616BB1" w14:textId="77777777" w:rsidR="00A55002" w:rsidRPr="008A691D" w:rsidRDefault="00A55002" w:rsidP="00A55002">
      <w:pPr>
        <w:pStyle w:val="Para1"/>
        <w:rPr>
          <w:iCs/>
          <w:lang w:val="sl"/>
        </w:rPr>
      </w:pPr>
      <w:r>
        <w:rPr>
          <w:lang w:val="sl"/>
        </w:rPr>
        <w:t xml:space="preserve">Podjetja se spodbujajo, da proaktivno sporočajo pomembne informacije o odgovornem ravnanju podjetij, zagotavljajo lahko dostopne, uporabniku prijazne, pravočasne, točne, jasne in popolne informacije, zagotavljajo gospodaren dostop do objavljenih informacij ter razmislijo o uporabi informacijskih tehnologij za dosego tega cilja. Informacije, ki so na voljo uporabnikom na domačih trgih, naj bodo na voljo tudi vsem zainteresiranim uporabnikom ob upoštevanju dostopnosti. Podjetja naj si prizadevajo, da so informacije ustrezno predstavljene za različne ciljne javnosti, in lahko sprejmejo posebne ukrepe, da zagotovijo dostop do informacij skupnostim, ki nimajo dostopa do spletnih ali tiskanih medijev (na primer oddaljene ali revne skupnosti, na katere dejavnosti podjetja neposredno vplivajo). </w:t>
      </w:r>
    </w:p>
    <w:p w14:paraId="546D1C72" w14:textId="77777777" w:rsidR="00A55002" w:rsidRPr="008A691D" w:rsidRDefault="00A55002" w:rsidP="00A55002">
      <w:pPr>
        <w:pStyle w:val="Para1"/>
        <w:rPr>
          <w:bCs/>
          <w:iCs/>
          <w:lang w:val="sl"/>
        </w:rPr>
      </w:pPr>
      <w:r>
        <w:rPr>
          <w:lang w:val="sl"/>
        </w:rPr>
        <w:t xml:space="preserve">Če informacije o odgovornem ravnanju podjetij pregleda neodvisni, pristojni in usposobljeni subjekt v skladu z mednarodno priznanimi standardi dajanja zagotovil, to lahko utemelji in poveča zaupanje v razkrite informacije ter prispeva h kakovostnejšemu in </w:t>
      </w:r>
      <w:proofErr w:type="spellStart"/>
      <w:r>
        <w:rPr>
          <w:lang w:val="sl"/>
        </w:rPr>
        <w:t>primerljivejšemu</w:t>
      </w:r>
      <w:proofErr w:type="spellEnd"/>
      <w:r>
        <w:rPr>
          <w:lang w:val="sl"/>
        </w:rPr>
        <w:t xml:space="preserve"> poročanju.</w:t>
      </w:r>
    </w:p>
    <w:p w14:paraId="78E935A0" w14:textId="77777777" w:rsidR="00A55002" w:rsidRPr="00EC1531" w:rsidRDefault="00A55002" w:rsidP="00A55002">
      <w:pPr>
        <w:pStyle w:val="Naslov1"/>
        <w:framePr w:wrap="notBeside"/>
        <w:numPr>
          <w:ilvl w:val="0"/>
          <w:numId w:val="21"/>
        </w:numPr>
        <w:rPr>
          <w:color w:val="366091" w:themeColor="accent1" w:themeShade="BF"/>
        </w:rPr>
      </w:pPr>
      <w:bookmarkStart w:id="21" w:name="_Toc169086488"/>
      <w:r w:rsidRPr="00EC1531">
        <w:rPr>
          <w:bCs/>
          <w:color w:val="366091" w:themeColor="accent1" w:themeShade="BF"/>
          <w:lang w:val="sl"/>
        </w:rPr>
        <w:lastRenderedPageBreak/>
        <w:t>IV. Človekove pravice</w:t>
      </w:r>
      <w:bookmarkEnd w:id="21"/>
    </w:p>
    <w:p w14:paraId="25BB30C4" w14:textId="77777777" w:rsidR="00A55002" w:rsidRPr="00E205CD" w:rsidRDefault="00A55002" w:rsidP="0042619C">
      <w:pPr>
        <w:pStyle w:val="Para0"/>
        <w:rPr>
          <w:lang w:val="sl"/>
        </w:rPr>
      </w:pPr>
      <w:r>
        <w:rPr>
          <w:lang w:val="sl"/>
        </w:rPr>
        <w:t>Države imajo dolžnost varovati človekove pravice. Podjetja naj v okviru mednarodno priznanih človekovih pravic, mednarodnih obveznosti držav, v katerih delujejo, na področju človekovih pravic ter ustreznih notranjih zakonov in drugih predpisov:</w:t>
      </w:r>
    </w:p>
    <w:p w14:paraId="194A8993" w14:textId="77777777" w:rsidR="00A55002" w:rsidRPr="00E205CD" w:rsidRDefault="00A55002" w:rsidP="00A55002">
      <w:pPr>
        <w:pStyle w:val="NumberedList"/>
        <w:numPr>
          <w:ilvl w:val="0"/>
          <w:numId w:val="13"/>
        </w:numPr>
        <w:rPr>
          <w:lang w:val="sl"/>
        </w:rPr>
      </w:pPr>
      <w:r>
        <w:rPr>
          <w:lang w:val="sl"/>
        </w:rPr>
        <w:t>spoštujejo človekove pravice, kar pomeni, da se izogibajo kršitvam človekovih pravic drugih in obravnavajo škodljive vplive na človekove pravice, s katerimi so povezana;</w:t>
      </w:r>
    </w:p>
    <w:p w14:paraId="5B8C92FC" w14:textId="77777777" w:rsidR="00A55002" w:rsidRPr="00E205CD" w:rsidRDefault="00A55002" w:rsidP="00A55002">
      <w:pPr>
        <w:pStyle w:val="NumberedList"/>
        <w:numPr>
          <w:ilvl w:val="0"/>
          <w:numId w:val="19"/>
        </w:numPr>
        <w:rPr>
          <w:lang w:val="sl"/>
        </w:rPr>
      </w:pPr>
      <w:r>
        <w:rPr>
          <w:lang w:val="sl"/>
        </w:rPr>
        <w:t>si v okviru svojih dejavnosti prizadevajo, da ne povzročajo škodljivih vplivov na človekove pravice ali prispevajo k njim, in obravnavajo takšne vplive, ko nastanejo;</w:t>
      </w:r>
    </w:p>
    <w:p w14:paraId="3AEFAB6F" w14:textId="77777777" w:rsidR="00A55002" w:rsidRPr="00E205CD" w:rsidRDefault="00A55002" w:rsidP="00A55002">
      <w:pPr>
        <w:pStyle w:val="NumberedList"/>
        <w:numPr>
          <w:ilvl w:val="0"/>
          <w:numId w:val="19"/>
        </w:numPr>
        <w:rPr>
          <w:lang w:val="sl"/>
        </w:rPr>
      </w:pPr>
      <w:r>
        <w:rPr>
          <w:lang w:val="sl"/>
        </w:rPr>
        <w:t>poiščejo načine za preprečevanje ali ublažitev škodljivih vplivov na človekove pravice, ki so neposredno povezani z njihovim poslovanjem, izdelki ali storitvami na podlagi poslovnega razmerja, tudi če ne prispevajo k tem vplivom;</w:t>
      </w:r>
    </w:p>
    <w:p w14:paraId="17908BA8" w14:textId="77777777" w:rsidR="00A55002" w:rsidRPr="00E205CD" w:rsidRDefault="00A55002" w:rsidP="00A55002">
      <w:pPr>
        <w:pStyle w:val="NumberedList"/>
        <w:numPr>
          <w:ilvl w:val="0"/>
          <w:numId w:val="19"/>
        </w:numPr>
        <w:rPr>
          <w:lang w:val="sl"/>
        </w:rPr>
      </w:pPr>
      <w:r>
        <w:rPr>
          <w:lang w:val="sl"/>
        </w:rPr>
        <w:t>imajo javno dostopno politično zavezo o spoštovanju človekovih pravic;</w:t>
      </w:r>
    </w:p>
    <w:p w14:paraId="1F4A66B4" w14:textId="77777777" w:rsidR="00A55002" w:rsidRPr="00E205CD" w:rsidRDefault="00A55002" w:rsidP="00A55002">
      <w:pPr>
        <w:pStyle w:val="NumberedList"/>
        <w:numPr>
          <w:ilvl w:val="0"/>
          <w:numId w:val="19"/>
        </w:numPr>
        <w:rPr>
          <w:lang w:val="sl"/>
        </w:rPr>
      </w:pPr>
      <w:r>
        <w:rPr>
          <w:lang w:val="sl"/>
        </w:rPr>
        <w:t>izvajajo skrbni pregled spoštovanja človekovih pravic, kot je primerno glede na njihovo velikost, vrsto in okoliščine dejavnosti ter resnost tveganj škodljivih vplivov na človekove pravice;</w:t>
      </w:r>
    </w:p>
    <w:p w14:paraId="0452C37D" w14:textId="77777777" w:rsidR="00A55002" w:rsidRPr="00E205CD" w:rsidRDefault="00A55002" w:rsidP="00A55002">
      <w:pPr>
        <w:pStyle w:val="NumberedList"/>
        <w:numPr>
          <w:ilvl w:val="0"/>
          <w:numId w:val="19"/>
        </w:numPr>
        <w:rPr>
          <w:lang w:val="sl"/>
        </w:rPr>
      </w:pPr>
      <w:r>
        <w:rPr>
          <w:lang w:val="sl"/>
        </w:rPr>
        <w:t>z zakonitimi postopki odpravijo škodljive vplive na človekove pravice ali sodelujejo pri odpravi teh vplivov, kadar ugotovijo, da so te vplive povzročila ali k njim prispevala.</w:t>
      </w:r>
    </w:p>
    <w:p w14:paraId="76223972" w14:textId="77777777" w:rsidR="00A55002" w:rsidRPr="00EC1531" w:rsidRDefault="00A55002" w:rsidP="00A55002">
      <w:pPr>
        <w:pStyle w:val="Naslov2"/>
        <w:numPr>
          <w:ilvl w:val="1"/>
          <w:numId w:val="21"/>
        </w:numPr>
        <w:rPr>
          <w:color w:val="366091" w:themeColor="accent1" w:themeShade="BF"/>
          <w:lang w:val="it-IT"/>
        </w:rPr>
      </w:pPr>
      <w:bookmarkStart w:id="22" w:name="_Toc134041628"/>
      <w:r w:rsidRPr="00EC1531">
        <w:rPr>
          <w:bCs/>
          <w:color w:val="366091" w:themeColor="accent1" w:themeShade="BF"/>
          <w:lang w:val="sl"/>
        </w:rPr>
        <w:t>Komentar k IV. poglavju: Človekove pravice</w:t>
      </w:r>
      <w:bookmarkEnd w:id="22"/>
    </w:p>
    <w:p w14:paraId="1A02BC9B" w14:textId="77777777" w:rsidR="00A55002" w:rsidRPr="008A691D" w:rsidRDefault="00A55002" w:rsidP="00A55002">
      <w:pPr>
        <w:pStyle w:val="Para1"/>
        <w:rPr>
          <w:lang w:val="sl"/>
        </w:rPr>
      </w:pPr>
      <w:r>
        <w:rPr>
          <w:lang w:val="sl"/>
        </w:rPr>
        <w:t>V uvodnem odstavku tega poglavja je določen okvir za posebna priporočila v zvezi s spoštovanjem človekovih pravic v podjetjih. Temelji na okviru Združenih narodov za varovanje, spoštovanje in pravna sredstva za podjetja in človekove pravice (</w:t>
      </w:r>
      <w:proofErr w:type="spellStart"/>
      <w:r>
        <w:rPr>
          <w:i/>
          <w:iCs/>
          <w:lang w:val="sl"/>
        </w:rPr>
        <w:t>The</w:t>
      </w:r>
      <w:proofErr w:type="spellEnd"/>
      <w:r>
        <w:rPr>
          <w:i/>
          <w:iCs/>
          <w:lang w:val="sl"/>
        </w:rPr>
        <w:t xml:space="preserve"> UN "</w:t>
      </w:r>
      <w:proofErr w:type="spellStart"/>
      <w:r>
        <w:rPr>
          <w:i/>
          <w:iCs/>
          <w:lang w:val="sl"/>
        </w:rPr>
        <w:t>Protect</w:t>
      </w:r>
      <w:proofErr w:type="spellEnd"/>
      <w:r>
        <w:rPr>
          <w:i/>
          <w:iCs/>
          <w:lang w:val="sl"/>
        </w:rPr>
        <w:t xml:space="preserve">, </w:t>
      </w:r>
      <w:proofErr w:type="spellStart"/>
      <w:r>
        <w:rPr>
          <w:i/>
          <w:iCs/>
          <w:lang w:val="sl"/>
        </w:rPr>
        <w:t>Respect</w:t>
      </w:r>
      <w:proofErr w:type="spellEnd"/>
      <w:r>
        <w:rPr>
          <w:i/>
          <w:iCs/>
          <w:lang w:val="sl"/>
        </w:rPr>
        <w:t xml:space="preserve"> </w:t>
      </w:r>
      <w:proofErr w:type="spellStart"/>
      <w:r>
        <w:rPr>
          <w:i/>
          <w:iCs/>
          <w:lang w:val="sl"/>
        </w:rPr>
        <w:t>and</w:t>
      </w:r>
      <w:proofErr w:type="spellEnd"/>
      <w:r>
        <w:rPr>
          <w:i/>
          <w:iCs/>
          <w:lang w:val="sl"/>
        </w:rPr>
        <w:t xml:space="preserve"> </w:t>
      </w:r>
      <w:proofErr w:type="spellStart"/>
      <w:r>
        <w:rPr>
          <w:i/>
          <w:iCs/>
          <w:lang w:val="sl"/>
        </w:rPr>
        <w:t>Remedy</w:t>
      </w:r>
      <w:proofErr w:type="spellEnd"/>
      <w:r>
        <w:rPr>
          <w:i/>
          <w:iCs/>
          <w:lang w:val="sl"/>
        </w:rPr>
        <w:t xml:space="preserve">" </w:t>
      </w:r>
      <w:proofErr w:type="spellStart"/>
      <w:r>
        <w:rPr>
          <w:i/>
          <w:iCs/>
          <w:lang w:val="sl"/>
        </w:rPr>
        <w:t>Framework</w:t>
      </w:r>
      <w:proofErr w:type="spellEnd"/>
      <w:r>
        <w:rPr>
          <w:i/>
          <w:iCs/>
          <w:lang w:val="sl"/>
        </w:rPr>
        <w:t xml:space="preserve"> </w:t>
      </w:r>
      <w:proofErr w:type="spellStart"/>
      <w:r>
        <w:rPr>
          <w:i/>
          <w:iCs/>
          <w:lang w:val="sl"/>
        </w:rPr>
        <w:t>for</w:t>
      </w:r>
      <w:proofErr w:type="spellEnd"/>
      <w:r>
        <w:rPr>
          <w:i/>
          <w:iCs/>
          <w:lang w:val="sl"/>
        </w:rPr>
        <w:t xml:space="preserve"> Business </w:t>
      </w:r>
      <w:proofErr w:type="spellStart"/>
      <w:r>
        <w:rPr>
          <w:i/>
          <w:iCs/>
          <w:lang w:val="sl"/>
        </w:rPr>
        <w:t>and</w:t>
      </w:r>
      <w:proofErr w:type="spellEnd"/>
      <w:r>
        <w:rPr>
          <w:i/>
          <w:iCs/>
          <w:lang w:val="sl"/>
        </w:rPr>
        <w:t xml:space="preserve"> Human </w:t>
      </w:r>
      <w:proofErr w:type="spellStart"/>
      <w:r>
        <w:rPr>
          <w:i/>
          <w:iCs/>
          <w:lang w:val="sl"/>
        </w:rPr>
        <w:t>Rights</w:t>
      </w:r>
      <w:proofErr w:type="spellEnd"/>
      <w:r>
        <w:rPr>
          <w:lang w:val="sl"/>
        </w:rPr>
        <w:t>) in je v skladu z Vodilnimi načeli ZN o podjetništvu in človekovih pravicah (</w:t>
      </w:r>
      <w:proofErr w:type="spellStart"/>
      <w:r>
        <w:rPr>
          <w:i/>
          <w:iCs/>
          <w:lang w:val="sl"/>
        </w:rPr>
        <w:t>Guiding</w:t>
      </w:r>
      <w:proofErr w:type="spellEnd"/>
      <w:r>
        <w:rPr>
          <w:i/>
          <w:iCs/>
          <w:lang w:val="sl"/>
        </w:rPr>
        <w:t xml:space="preserve"> </w:t>
      </w:r>
      <w:proofErr w:type="spellStart"/>
      <w:r>
        <w:rPr>
          <w:i/>
          <w:iCs/>
          <w:lang w:val="sl"/>
        </w:rPr>
        <w:t>Principles</w:t>
      </w:r>
      <w:proofErr w:type="spellEnd"/>
      <w:r>
        <w:rPr>
          <w:i/>
          <w:iCs/>
          <w:lang w:val="sl"/>
        </w:rPr>
        <w:t xml:space="preserve"> on Business </w:t>
      </w:r>
      <w:proofErr w:type="spellStart"/>
      <w:r>
        <w:rPr>
          <w:i/>
          <w:iCs/>
          <w:lang w:val="sl"/>
        </w:rPr>
        <w:t>and</w:t>
      </w:r>
      <w:proofErr w:type="spellEnd"/>
      <w:r>
        <w:rPr>
          <w:i/>
          <w:iCs/>
          <w:lang w:val="sl"/>
        </w:rPr>
        <w:t xml:space="preserve"> Human </w:t>
      </w:r>
      <w:proofErr w:type="spellStart"/>
      <w:r>
        <w:rPr>
          <w:i/>
          <w:iCs/>
          <w:lang w:val="sl"/>
        </w:rPr>
        <w:t>Rights</w:t>
      </w:r>
      <w:proofErr w:type="spellEnd"/>
      <w:r>
        <w:rPr>
          <w:lang w:val="sl"/>
        </w:rPr>
        <w:t>) za njihovo izvajanje ter s Tristransko deklaracijo MOD o načelih glede mednarodnih podjetij in socialne politike (</w:t>
      </w:r>
      <w:r>
        <w:rPr>
          <w:i/>
          <w:iCs/>
          <w:lang w:val="sl"/>
        </w:rPr>
        <w:t xml:space="preserve">ILO </w:t>
      </w:r>
      <w:proofErr w:type="spellStart"/>
      <w:r>
        <w:rPr>
          <w:i/>
          <w:iCs/>
          <w:lang w:val="sl"/>
        </w:rPr>
        <w:t>Tripartite</w:t>
      </w:r>
      <w:proofErr w:type="spellEnd"/>
      <w:r>
        <w:rPr>
          <w:i/>
          <w:iCs/>
          <w:lang w:val="sl"/>
        </w:rPr>
        <w:t xml:space="preserve"> </w:t>
      </w:r>
      <w:proofErr w:type="spellStart"/>
      <w:r>
        <w:rPr>
          <w:i/>
          <w:iCs/>
          <w:lang w:val="sl"/>
        </w:rPr>
        <w:t>Declaration</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Principles</w:t>
      </w:r>
      <w:proofErr w:type="spellEnd"/>
      <w:r>
        <w:rPr>
          <w:i/>
          <w:iCs/>
          <w:lang w:val="sl"/>
        </w:rPr>
        <w:t xml:space="preserve"> </w:t>
      </w:r>
      <w:proofErr w:type="spellStart"/>
      <w:r>
        <w:rPr>
          <w:i/>
          <w:iCs/>
          <w:lang w:val="sl"/>
        </w:rPr>
        <w:t>concerning</w:t>
      </w:r>
      <w:proofErr w:type="spellEnd"/>
      <w:r>
        <w:rPr>
          <w:i/>
          <w:iCs/>
          <w:lang w:val="sl"/>
        </w:rPr>
        <w:t xml:space="preserve"> </w:t>
      </w:r>
      <w:proofErr w:type="spellStart"/>
      <w:r>
        <w:rPr>
          <w:i/>
          <w:iCs/>
          <w:lang w:val="sl"/>
        </w:rPr>
        <w:t>Multinational</w:t>
      </w:r>
      <w:proofErr w:type="spellEnd"/>
      <w:r>
        <w:rPr>
          <w:i/>
          <w:iCs/>
          <w:lang w:val="sl"/>
        </w:rPr>
        <w:t xml:space="preserve"> </w:t>
      </w:r>
      <w:proofErr w:type="spellStart"/>
      <w:r>
        <w:rPr>
          <w:i/>
          <w:iCs/>
          <w:lang w:val="sl"/>
        </w:rPr>
        <w:t>Enterprises</w:t>
      </w:r>
      <w:proofErr w:type="spellEnd"/>
      <w:r>
        <w:rPr>
          <w:i/>
          <w:iCs/>
          <w:lang w:val="sl"/>
        </w:rPr>
        <w:t xml:space="preserve"> </w:t>
      </w:r>
      <w:proofErr w:type="spellStart"/>
      <w:r>
        <w:rPr>
          <w:i/>
          <w:iCs/>
          <w:lang w:val="sl"/>
        </w:rPr>
        <w:t>and</w:t>
      </w:r>
      <w:proofErr w:type="spellEnd"/>
      <w:r>
        <w:rPr>
          <w:i/>
          <w:iCs/>
          <w:lang w:val="sl"/>
        </w:rPr>
        <w:t xml:space="preserve"> Social </w:t>
      </w:r>
      <w:proofErr w:type="spellStart"/>
      <w:r>
        <w:rPr>
          <w:i/>
          <w:iCs/>
          <w:lang w:val="sl"/>
        </w:rPr>
        <w:t>Policy</w:t>
      </w:r>
      <w:proofErr w:type="spellEnd"/>
      <w:r>
        <w:rPr>
          <w:lang w:val="sl"/>
        </w:rPr>
        <w:t xml:space="preserve">). </w:t>
      </w:r>
    </w:p>
    <w:p w14:paraId="760A5940" w14:textId="77777777" w:rsidR="00A55002" w:rsidRPr="008A691D" w:rsidRDefault="00A55002" w:rsidP="00A55002">
      <w:pPr>
        <w:pStyle w:val="Para1"/>
        <w:rPr>
          <w:lang w:val="sl"/>
        </w:rPr>
      </w:pPr>
      <w:r>
        <w:rPr>
          <w:lang w:val="sl"/>
        </w:rPr>
        <w:t xml:space="preserve">V uvodnem in prvem odstavku se priznava, da imajo države dolžnost varovati človekove pravice in da naj podjetja ne glede na svojo velikost, sektor, okoliščine delovanja, lastništvo in strukturo spoštujejo človekove pravice povsod, kjer delujejo. Spoštovanje človekovih pravic je svetovni standard pričakovanega ravnanja podjetij neodvisno od zmožnosti in/ali pripravljenosti držav, da izpolnijo svoje obveznosti glede spoštovanja človekovih pravic, in teh obveznosti ne zmanjšuje. </w:t>
      </w:r>
    </w:p>
    <w:p w14:paraId="060EEF61" w14:textId="77777777" w:rsidR="00A55002" w:rsidRPr="008A691D" w:rsidRDefault="00A55002" w:rsidP="00A55002">
      <w:pPr>
        <w:pStyle w:val="Para1"/>
        <w:rPr>
          <w:lang w:val="sl"/>
        </w:rPr>
      </w:pPr>
      <w:r>
        <w:rPr>
          <w:lang w:val="sl"/>
        </w:rPr>
        <w:t>Če država ne izvaja ustreznih notranjih zakonov ali mednarodnih obveznosti na področju spoštovanja človekovih pravic ali morda deluje v nasprotju s takšnimi zakoni ali mednarodnimi obveznostmi, to ne zmanjšuje pričakovanja, da podjetja spoštujejo človekove pravice. V državah, kjer so notranji zakoni in drugi predpisi v nasprotju z mednarodno priznanimi človekovimi pravicami, naj podjetja poiščejo načine za njihovo spoštovanje v največji možni meri, tako da ne kršijo notranjega prava, v skladu z 2. odstavkom poglavja o zasnovah in načelih.</w:t>
      </w:r>
    </w:p>
    <w:p w14:paraId="06020AEC" w14:textId="77777777" w:rsidR="00A55002" w:rsidRPr="008A691D" w:rsidRDefault="00A55002" w:rsidP="00A55002">
      <w:pPr>
        <w:pStyle w:val="Para1"/>
        <w:rPr>
          <w:lang w:val="sl"/>
        </w:rPr>
      </w:pPr>
      <w:r>
        <w:rPr>
          <w:lang w:val="sl"/>
        </w:rPr>
        <w:t xml:space="preserve">V vseh primerih in ne glede na državo ali posebne okoliščine delovanja podjetij se je treba sklicevati vsaj na mednarodno priznane človekove pravice, izražene v Mednarodni listini o človekovih </w:t>
      </w:r>
      <w:r>
        <w:rPr>
          <w:lang w:val="sl"/>
        </w:rPr>
        <w:lastRenderedPageBreak/>
        <w:t>pravicah, ki jo sestavljajo Splošna deklaracija človekovih pravic in glavni instrumenti, s katerimi je bila kodificirana: Mednarodni pakt o državljanskih in političnih pravicah in Mednarodni pakt o ekonomskih, socialnih in kulturnih pravicah, ter na načela glede temeljnih pravic, določena v Deklaraciji Mednarodne organizacije dela o temeljnih načelih in pravicah pri delu.</w:t>
      </w:r>
    </w:p>
    <w:p w14:paraId="1769B96F" w14:textId="77777777" w:rsidR="00A55002" w:rsidRPr="008A691D" w:rsidRDefault="00A55002" w:rsidP="00A55002">
      <w:pPr>
        <w:pStyle w:val="Para1"/>
        <w:rPr>
          <w:lang w:val="sl"/>
        </w:rPr>
      </w:pPr>
      <w:r>
        <w:rPr>
          <w:lang w:val="sl"/>
        </w:rPr>
        <w:t xml:space="preserve">Podjetja lahko vplivajo na skoraj celotni nabor mednarodno priznanih človekovih pravic. V praksi so lahko nekatere človekove pravice v nekaterih panogah ali okoliščinah bolj izpostavljene tveganju škodljivih vplivov kot druge, zato jim bo namenjeno več pozornosti. Ker pa se razmere lahko spremenijo, je treba redno pregledovati spoštovanje vseh pravic. Glede na okoliščine bodo podjetja morda morala upoštevati dodatne standarde. Podjetja naj na primer spoštujejo človekove pravice posameznikov, ki pripadajo posebnim skupinam ali populacijam, ki jim je treba nameniti posebno pozornost, če bi podjetja lahko imela škodljive vplive na njihove človekove pravice. Podjetja naj posebno pozornost namenijo morebitnim posebnim škodljivim vplivom na posameznike, na primer zagovornike človekovih pravic, ki so lahko zaradi marginalizacije, ranljivosti ali drugih okoliščin bolj ogroženi, in sicer kot posamezniki ali kot pripadniki nekaterih skupin ali populacij, vključno z domorodnimi ljudstvi. Smernice OECD za skrbni pregled poslovanja, vključno s Smernicami OECD za skrbni pregled poslovanja za odgovorno ravnanje podjetij, Smernicami OECD za skrbni pregled poslovanja pri smiselnem sodelovanju z deležniki v </w:t>
      </w:r>
      <w:proofErr w:type="spellStart"/>
      <w:r>
        <w:rPr>
          <w:lang w:val="sl"/>
        </w:rPr>
        <w:t>ekstraktivnem</w:t>
      </w:r>
      <w:proofErr w:type="spellEnd"/>
      <w:r>
        <w:rPr>
          <w:lang w:val="sl"/>
        </w:rPr>
        <w:t xml:space="preserve"> sektorju in Smernicami OECD-FAO za odgovorne kmetijske dobavne verige, zagotavljajo dodatne praktične napotke v zvezi s tem, tudi v zvezi s prostovoljnim, predhodnim in informiranim soglasjem (FPIC). V instrumentih Združenih narodov so podrobno opredeljene pravice domorodnih ljudstev (Deklaracija OZN o pravicah domorodnih ljudstev), oseb, ki pripadajo narodnim ali etničnim, verskim in jezikovnim manjšinam, žensk, otrok, invalidov ter delavcev migrantov in njihovih družin. Poleg tega naj podjetja v razmerah oboroženih spopadov spoštujejo standarde mednarodnega humanitarnega prava. V razmerah oboroženega spopada ali povečanega tveganja hudih zlorab naj podjetja izvajajo okrepljen skrbni pregled poslovanja v zvezi s škodljivimi vplivi, vključno s kršitvami mednarodnega humanitarnega prava. </w:t>
      </w:r>
    </w:p>
    <w:p w14:paraId="4DFB858E" w14:textId="77777777" w:rsidR="00A55002" w:rsidRPr="008A691D" w:rsidRDefault="00A55002" w:rsidP="00A55002">
      <w:pPr>
        <w:pStyle w:val="Para1"/>
        <w:rPr>
          <w:lang w:val="sl"/>
        </w:rPr>
      </w:pPr>
      <w:r>
        <w:rPr>
          <w:lang w:val="sl"/>
        </w:rPr>
        <w:t>Obravnavanje dejanskih in morebitnih škodljivih vplivov na človekove pravice iz 1. odstavka vključuje sprejetje ustreznih ukrepov za ugotavljanje in preprečevanje škodljivih vplivov, kjer je to mogoče, in ublažitev morebitnih vplivov na človekove pravice, odpravljanje dejanskih vplivov ter poročanje o tem, kako so bili obravnavani škodljivi vplivi na človekove pravice. Izraz "kršitev" se nanaša na škodljive vplive, ki jih podjetje lahko ima na človekove pravice posameznikov.</w:t>
      </w:r>
    </w:p>
    <w:p w14:paraId="453F7533" w14:textId="77777777" w:rsidR="00A55002" w:rsidRPr="008A691D" w:rsidRDefault="00A55002" w:rsidP="00A55002">
      <w:pPr>
        <w:pStyle w:val="Para1"/>
        <w:rPr>
          <w:lang w:val="sl"/>
        </w:rPr>
      </w:pPr>
      <w:r>
        <w:rPr>
          <w:lang w:val="sl"/>
        </w:rPr>
        <w:t>V 2. odstavku se priporoča, da si podjetja prizadevajo, da s svojimi dejavnostmi ne povzročajo škodljivih vplivov na človekove pravice ali k njim prispevajo, in obravnavajo takšne vplive, ko ti nastanejo. "Dejavnosti" lahko vključujejo tako dejanja kot opustitve. Kadar podjetje povzroči ali bi lahko povzročilo škodljiv vpliv na človekove pravice, naj sprejme potrebne ukrepe za njegovo odpravo ali preprečitev. Kadar podjetje prispeva ali bi lahko prispevalo k takšnemu vplivu, naj sprejme potrebne ukrepe za odpravo ali preprečitev tega prispevka ter uporabi svoj vpliv, da čim bolj ublaži preostali škodljivi vpliv. Šteje se, da ima podjetje vpliv, kadar ima možnost spremeniti prakse subjekta, s katerimi ta povzroča škodljive vplive na človekove pravice.</w:t>
      </w:r>
    </w:p>
    <w:p w14:paraId="2E7FEC7C" w14:textId="77777777" w:rsidR="00A55002" w:rsidRPr="008A691D" w:rsidRDefault="00A55002" w:rsidP="00A55002">
      <w:pPr>
        <w:pStyle w:val="Para1"/>
        <w:rPr>
          <w:lang w:val="sl"/>
        </w:rPr>
      </w:pPr>
      <w:r>
        <w:rPr>
          <w:lang w:val="sl"/>
        </w:rPr>
        <w:t xml:space="preserve">V 3. odstavku so obravnavani bolj zapleteni primeri, ko podjetje ni prispevalo k škodljivemu vplivu na človekove pravice, vendar je ta vpliv kljub temu neposredno povezan z njegovim poslovanjem, izdelki ali storitvami zaradi njegovega poslovnega razmerja z drugim subjektom. Namen 3. odstavka tega ni prenesti odgovornost s subjekta, ki povzroča škodljiv vpliv na človekove pravice, na podjetje, s katerim je v poslovnem razmerju. Da bi podjetje izpolnilo pričakovanja iz 3. odstavka, bi moralo samo ali po potrebi v sodelovanju z drugimi subjekti uporabiti in po potrebi okrepiti svoj vpliv, da bi vplivalo na subjekt, ki povzroča škodljivi vpliv na človekove pravice, da ta vpliv prepreči ali ublaži. "Poslovna razmerja" vključujejo razmerja s poslovnimi partnerji, subjekti v dobavni verigi podjetja in z vsemi drugimi nedržavnimi ali državnimi subjekti, ki so neposredno povezani s poslovanjem, izdelki ali storitvami podjetja. Med dejavniki, ki se upoštevajo pri določanju ustreznega ukrepa v takih primerih, so vpliv podjetja na zadevni subjekt, </w:t>
      </w:r>
      <w:r>
        <w:rPr>
          <w:lang w:val="sl"/>
        </w:rPr>
        <w:lastRenderedPageBreak/>
        <w:t>pomembnost poslovnega razmerja za podjetje, resnost vpliva in ali bi prekinitev poslovnega razmerja s subjektom imela škodljive učinke na človekove pravice.</w:t>
      </w:r>
    </w:p>
    <w:p w14:paraId="7CA02B68" w14:textId="77777777" w:rsidR="00A55002" w:rsidRPr="008A691D" w:rsidRDefault="00A55002" w:rsidP="00A55002">
      <w:pPr>
        <w:pStyle w:val="Para1"/>
        <w:rPr>
          <w:lang w:val="sl"/>
        </w:rPr>
      </w:pPr>
      <w:r>
        <w:rPr>
          <w:lang w:val="sl"/>
        </w:rPr>
        <w:t xml:space="preserve">V 4. odstavku se priporoča, da podjetja svojo zavezo k spoštovanju človekovih pravic izrazijo z javno dostopno izjavo o politiki: ki </w:t>
      </w:r>
      <w:r>
        <w:rPr>
          <w:i/>
          <w:iCs/>
          <w:lang w:val="sl"/>
        </w:rPr>
        <w:t>(i)</w:t>
      </w:r>
      <w:r>
        <w:rPr>
          <w:lang w:val="sl"/>
        </w:rPr>
        <w:t xml:space="preserve"> je odobrena na najvišji ravni podjetja; </w:t>
      </w:r>
      <w:r>
        <w:rPr>
          <w:i/>
          <w:iCs/>
          <w:lang w:val="sl"/>
        </w:rPr>
        <w:t>(ii)</w:t>
      </w:r>
      <w:r>
        <w:rPr>
          <w:lang w:val="sl"/>
        </w:rPr>
        <w:t xml:space="preserve"> temelji na ustreznem notranjem in/ali zunanjem strokovnem znanju in izkušnjah; </w:t>
      </w:r>
      <w:r>
        <w:rPr>
          <w:i/>
          <w:iCs/>
          <w:lang w:val="sl"/>
        </w:rPr>
        <w:t>(iii)</w:t>
      </w:r>
      <w:r>
        <w:rPr>
          <w:lang w:val="sl"/>
        </w:rPr>
        <w:t xml:space="preserve"> določa pričakovanja podjetja glede človekovih pravic zaposlenih, poslovnih partnerjev in drugih oseb, ki so neposredno povezane z njegovim poslovanjem, izdelki ali storitvami; </w:t>
      </w:r>
      <w:r>
        <w:rPr>
          <w:i/>
          <w:iCs/>
          <w:lang w:val="sl"/>
        </w:rPr>
        <w:t>(iv)</w:t>
      </w:r>
      <w:r>
        <w:rPr>
          <w:lang w:val="sl"/>
        </w:rPr>
        <w:t xml:space="preserve"> o kateri so bili znotraj in zunaj podjetja obveščeni vsi zaposleni, poslovni partnerji in druge ustrezne osebe; </w:t>
      </w:r>
      <w:r>
        <w:rPr>
          <w:i/>
          <w:iCs/>
          <w:lang w:val="sl"/>
        </w:rPr>
        <w:t>(v)</w:t>
      </w:r>
      <w:r>
        <w:rPr>
          <w:lang w:val="sl"/>
        </w:rPr>
        <w:t xml:space="preserve"> ki se odraža v operativnih politikah in postopkih, potrebnih za njeno uveljavitev v celotnem podjetju.</w:t>
      </w:r>
    </w:p>
    <w:p w14:paraId="27AE373C" w14:textId="77777777" w:rsidR="00A55002" w:rsidRPr="008A691D" w:rsidRDefault="00A55002" w:rsidP="00A55002">
      <w:pPr>
        <w:pStyle w:val="Para1"/>
        <w:rPr>
          <w:lang w:val="sl"/>
        </w:rPr>
      </w:pPr>
      <w:r>
        <w:rPr>
          <w:lang w:val="sl"/>
        </w:rPr>
        <w:t xml:space="preserve">V 5. odstavku se priporoča, da podjetja izvajajo skrbni pregled spoštovanja človekovih pravic. Postopek vključuje ocenjevanje dejanskih in morebitnih vplivov na človekove pravice, vključevanje ugotovitev in ukrepanje na njihovi podlagi, spremljanje odzivov in obveščanje o obravnavanju vplivov. Skrbni pregled spoštovanja človekovih pravic je mogoče vključiti v širše sisteme obvladovanja tveganj v podjetju, pri čemer naj se ne omejuje le na ugotavljanje in obvladovanje pomembnih tveganj za podjetje, ampak naj vključuje tudi tveganja za imetnike pravic. Gre za stalno izvajanje, pri čemer se priznava, da se tveganja za človekove pravice sčasoma lahko spremenijo z razvojem dejavnosti in okoliščin delovanja podjetja. Dopolnilne smernice za skrbni pregled poslovanja, tudi v zvezi z dobavnimi verigami, in ustrezno odzivanje na tveganja, ki se pojavljajo v dobavnih verigah, so navedeni v 11. do 13. točki odstavka A poglavja o splošnih politikah in njihovem komentarju. Poleg tega so bile pripravljene dodatne smernice za posamezne sektorje in vprašanja tveganja ter tudi na medsektorski ravni v okviru Smernic OECD za skrbni pregled poslovanja za odgovorno ravnanje podjetij. Izvedba skrbnega pregleda spoštovanja človekovih pravic lahko vključuje upoštevanje različnih in medsebojno prepletajočih se tveganj, vključno s tistimi, ki so povezana s posameznimi značilnostmi ali ranljivimi ali marginaliziranimi skupinami. V zvezi s tem je pomembno smiselno sodelovanje z deležniki, pomembno pa je lahko tudi upoštevanje načinov za doseganje čim boljšega trajnostnega razvoja za take skupine. </w:t>
      </w:r>
    </w:p>
    <w:p w14:paraId="6189B56A" w14:textId="77777777" w:rsidR="00A55002" w:rsidRPr="008A691D" w:rsidRDefault="00A55002" w:rsidP="00A55002">
      <w:pPr>
        <w:pStyle w:val="Para1"/>
        <w:rPr>
          <w:lang w:val="sl"/>
        </w:rPr>
      </w:pPr>
      <w:r>
        <w:rPr>
          <w:lang w:val="sl"/>
        </w:rPr>
        <w:t xml:space="preserve">Kadar podjetja v postopku skrbnega pregleda spoštovanja človekovih pravic ali kako drugače ugotovijo, da so povzročila škodljivi vpliv ali prispevala k njemu, </w:t>
      </w:r>
      <w:r>
        <w:rPr>
          <w:i/>
          <w:iCs/>
          <w:lang w:val="sl"/>
        </w:rPr>
        <w:t>smernice</w:t>
      </w:r>
      <w:r>
        <w:rPr>
          <w:lang w:val="sl"/>
        </w:rPr>
        <w:t xml:space="preserve"> priporočajo, da podjetja z zakonitimi postopki odpravijo škodljive vplive ali sodelujejo pri odpravi teh vplivov. Podjetja naj vzpostavijo postopke, ki omogočajo odpravo škodljivih vplivov, ali naj v njih sodelujejo. V nekaterih primerih je potrebno sodelovanje s sodnimi ali državnimi nesodnimi mehanizmi. V drugih primerih so lahko mehanizmi za pritožbe na operativni ravni za tiste, na katere bi lahko vplivale dejavnosti podjetij, učinkovito sredstvo za zagotavljanje takih postopkov, če izpolnjujejo glavna merila: so legitimni, dostopni, predvidljivi, pravični, skladni s smernicami, pregledni, skladni s pravicami, so vir stalnega učenja ter temeljijo na dialogu in sodelovanju z namenom iskanja dogovorjenih rešitev. Takšne mehanizme lahko upravlja podjetje samo ali v sodelovanju z drugimi deležniki in so lahko vir stalnega učenja. Mehanizmi za pritožbe na operativni ravni naj se ne uporabljajo za zmanjševanje vloge sindikatov pri reševanju sporov v zvezi z delom, poleg tega naj ti mehanizmi ne preprečujejo dostopa do sodnih ali nesodnih mehanizmov za pritožbe, vključno z nacionalnimi kontaktnimi točkami v skladu s </w:t>
      </w:r>
      <w:r>
        <w:rPr>
          <w:i/>
          <w:iCs/>
          <w:lang w:val="sl"/>
        </w:rPr>
        <w:t>smernicami</w:t>
      </w:r>
      <w:r>
        <w:rPr>
          <w:lang w:val="sl"/>
        </w:rPr>
        <w:t>.</w:t>
      </w:r>
    </w:p>
    <w:p w14:paraId="7B017B52" w14:textId="77777777" w:rsidR="00A55002" w:rsidRPr="00EC1531" w:rsidRDefault="00A55002" w:rsidP="00A55002">
      <w:pPr>
        <w:pStyle w:val="Naslov1"/>
        <w:framePr w:wrap="notBeside"/>
        <w:numPr>
          <w:ilvl w:val="0"/>
          <w:numId w:val="21"/>
        </w:numPr>
        <w:rPr>
          <w:color w:val="366091" w:themeColor="accent1" w:themeShade="BF"/>
          <w:lang w:val="it-IT"/>
        </w:rPr>
      </w:pPr>
      <w:bookmarkStart w:id="23" w:name="_Toc169086489"/>
      <w:r w:rsidRPr="00EC1531">
        <w:rPr>
          <w:bCs/>
          <w:color w:val="366091" w:themeColor="accent1" w:themeShade="BF"/>
          <w:lang w:val="sl"/>
        </w:rPr>
        <w:lastRenderedPageBreak/>
        <w:t>V. Zaposlovanje in odnosi med delodajalci in delavci</w:t>
      </w:r>
      <w:bookmarkEnd w:id="23"/>
    </w:p>
    <w:p w14:paraId="02E4F480" w14:textId="77777777" w:rsidR="00A55002" w:rsidRPr="008A691D" w:rsidRDefault="00A55002" w:rsidP="0042619C">
      <w:pPr>
        <w:pStyle w:val="Para0"/>
        <w:rPr>
          <w:lang w:val="it-IT"/>
        </w:rPr>
      </w:pPr>
      <w:r>
        <w:rPr>
          <w:lang w:val="sl"/>
        </w:rPr>
        <w:t>Podjetja naj v skladu z veljavnimi zakoni in drugimi predpisi, prevladujočimi odnosi med delodajalci in delojemalci ter praksami zaposlovanja in veljavnimi mednarodnimi standardi dela, pri čemer se izogibajo vsem nezakonitim praksam na področju zaposlovanja in odnosov med delodajalci in delavci, ter v skladu s pričakovanji glede skrbnega pregleda poslovanja, opisanimi v II. in IV. poglavju:</w:t>
      </w:r>
    </w:p>
    <w:p w14:paraId="248481C8" w14:textId="77777777" w:rsidR="00A55002" w:rsidRPr="008A691D" w:rsidRDefault="00A55002" w:rsidP="00A55002">
      <w:pPr>
        <w:pStyle w:val="Para1"/>
        <w:numPr>
          <w:ilvl w:val="0"/>
          <w:numId w:val="27"/>
        </w:numPr>
        <w:rPr>
          <w:lang w:val="it-IT"/>
        </w:rPr>
      </w:pPr>
      <w:r>
        <w:rPr>
          <w:lang w:val="sl"/>
        </w:rPr>
        <w:t xml:space="preserve"> </w:t>
      </w:r>
    </w:p>
    <w:p w14:paraId="0A73A0BE" w14:textId="77777777" w:rsidR="00A55002" w:rsidRPr="008A691D" w:rsidRDefault="00A55002" w:rsidP="00A55002">
      <w:pPr>
        <w:pStyle w:val="BulletedList2"/>
        <w:numPr>
          <w:ilvl w:val="0"/>
          <w:numId w:val="14"/>
        </w:numPr>
        <w:rPr>
          <w:lang w:val="it-IT"/>
        </w:rPr>
      </w:pPr>
      <w:r>
        <w:rPr>
          <w:lang w:val="sl"/>
        </w:rPr>
        <w:t xml:space="preserve">spoštujejo pravico delavcev do ustanavljanja sindikatov in predstavniških organizacij po lastni izbiri ali do včlanitve vanje, vključno s tem, da ne posegajo v odločitev delavcev, da ustanovijo sindikat ali predstavniško organizacijo po lastni izbiri ali se vanjo včlanijo; </w:t>
      </w:r>
    </w:p>
    <w:p w14:paraId="10EA3D4B" w14:textId="77777777" w:rsidR="00A55002" w:rsidRPr="008A691D" w:rsidRDefault="00A55002" w:rsidP="00A55002">
      <w:pPr>
        <w:pStyle w:val="BulletedList2"/>
        <w:numPr>
          <w:ilvl w:val="0"/>
          <w:numId w:val="14"/>
        </w:numPr>
        <w:rPr>
          <w:lang w:val="it-IT"/>
        </w:rPr>
      </w:pPr>
      <w:r>
        <w:rPr>
          <w:lang w:val="sl"/>
        </w:rPr>
        <w:t>spoštujejo pravico delavcev do priznanja sindikatov in predstavniških organizacij po lastni izbiri za namene kolektivnih pogajanj in se s temi predstavniki individualno ali prek združenj delodajalcev konstruktivno pogajajo, da bi se dogovorili o pogojih zaposlitve;</w:t>
      </w:r>
    </w:p>
    <w:p w14:paraId="053E166E" w14:textId="77777777" w:rsidR="00A55002" w:rsidRPr="008A691D" w:rsidRDefault="00A55002" w:rsidP="00A55002">
      <w:pPr>
        <w:pStyle w:val="BulletedList2"/>
        <w:numPr>
          <w:ilvl w:val="0"/>
          <w:numId w:val="14"/>
        </w:numPr>
        <w:rPr>
          <w:lang w:val="it-IT"/>
        </w:rPr>
      </w:pPr>
      <w:r>
        <w:rPr>
          <w:lang w:val="sl"/>
        </w:rPr>
        <w:t>prispevajo k učinkoviti odpravi dela otrok ter nemudoma sprejmejo takojšnje in učinkovite ukrepe za odpravo najhujših oblik dela otrok;</w:t>
      </w:r>
    </w:p>
    <w:p w14:paraId="39EF2592" w14:textId="77777777" w:rsidR="00A55002" w:rsidRPr="008A691D" w:rsidRDefault="00A55002" w:rsidP="00A55002">
      <w:pPr>
        <w:pStyle w:val="BulletedList2"/>
        <w:numPr>
          <w:ilvl w:val="0"/>
          <w:numId w:val="14"/>
        </w:numPr>
        <w:rPr>
          <w:lang w:val="it-IT"/>
        </w:rPr>
      </w:pPr>
      <w:r>
        <w:rPr>
          <w:lang w:val="sl"/>
        </w:rPr>
        <w:t>prispevajo k odpravi vseh oblik prisilnega ali obveznega dela ter nemudoma sprejmejo takojšnje in učinkovite ukrepe za odpravo prisilnega ali obveznega dela;</w:t>
      </w:r>
    </w:p>
    <w:p w14:paraId="268120F1" w14:textId="77777777" w:rsidR="00A55002" w:rsidRPr="008A691D" w:rsidRDefault="00A55002" w:rsidP="00A55002">
      <w:pPr>
        <w:pStyle w:val="BulletedList2"/>
        <w:numPr>
          <w:ilvl w:val="0"/>
          <w:numId w:val="14"/>
        </w:numPr>
        <w:rPr>
          <w:lang w:val="it-IT"/>
        </w:rPr>
      </w:pPr>
      <w:r>
        <w:rPr>
          <w:lang w:val="sl"/>
        </w:rPr>
        <w:t>pri svojem delovanju upoštevajo načelo enakih možnosti in enakega obravnavanja pri zaposlovanju ter ne diskriminirajo svojih delavcev glede zaposlitve ali poklica na podlagi rase, barve kože, spola, starosti, vere, političnega prepričanja, narodne pripadnosti ali socialnega porekla, statusa invalida ali drugega statusa, razen če selektivnost glede značilnosti delavcev pomeni uresničevanje vladne politike, ki izrecno spodbuja večjo enakost možnosti zaposlovanja, ali je povezana z zahtevami delovnega mesta;</w:t>
      </w:r>
    </w:p>
    <w:p w14:paraId="42D97B4B" w14:textId="77777777" w:rsidR="00A55002" w:rsidRPr="008A691D" w:rsidRDefault="00A55002" w:rsidP="00A55002">
      <w:pPr>
        <w:pStyle w:val="BulletedList2"/>
        <w:numPr>
          <w:ilvl w:val="0"/>
          <w:numId w:val="14"/>
        </w:numPr>
        <w:rPr>
          <w:bCs/>
          <w:iCs/>
          <w:lang w:val="it-IT"/>
        </w:rPr>
      </w:pPr>
      <w:r>
        <w:rPr>
          <w:lang w:val="sl"/>
        </w:rPr>
        <w:t>zagotovijo varno in zdravo delovno okolje v skladu z Deklaracijo Mednarodne organizacije dela o temeljnih načelih in pravicah iz dela;</w:t>
      </w:r>
    </w:p>
    <w:p w14:paraId="2C5BB980" w14:textId="77777777" w:rsidR="00A55002" w:rsidRPr="008A691D" w:rsidRDefault="00A55002" w:rsidP="00A55002">
      <w:pPr>
        <w:pStyle w:val="Para1"/>
        <w:rPr>
          <w:lang w:val="it-IT"/>
        </w:rPr>
      </w:pPr>
      <w:r>
        <w:rPr>
          <w:lang w:val="sl"/>
        </w:rPr>
        <w:t xml:space="preserve"> </w:t>
      </w:r>
    </w:p>
    <w:p w14:paraId="55E82164" w14:textId="77777777" w:rsidR="00A55002" w:rsidRPr="008A691D" w:rsidRDefault="00A55002" w:rsidP="00A55002">
      <w:pPr>
        <w:pStyle w:val="BulletedList2"/>
        <w:numPr>
          <w:ilvl w:val="0"/>
          <w:numId w:val="15"/>
        </w:numPr>
        <w:rPr>
          <w:lang w:val="it-IT"/>
        </w:rPr>
      </w:pPr>
      <w:r>
        <w:rPr>
          <w:lang w:val="sl"/>
        </w:rPr>
        <w:t>zagotovijo predstavnikom delavcev zmogljivosti, ki so potrebne za pomoč pri oblikovanju učinkovitih kolektivnih pogodb;</w:t>
      </w:r>
    </w:p>
    <w:p w14:paraId="4555D484" w14:textId="77777777" w:rsidR="00A55002" w:rsidRPr="008A691D" w:rsidRDefault="00A55002" w:rsidP="00A55002">
      <w:pPr>
        <w:pStyle w:val="BulletedList2"/>
        <w:numPr>
          <w:ilvl w:val="0"/>
          <w:numId w:val="15"/>
        </w:numPr>
        <w:rPr>
          <w:lang w:val="it-IT"/>
        </w:rPr>
      </w:pPr>
      <w:r>
        <w:rPr>
          <w:lang w:val="sl"/>
        </w:rPr>
        <w:t>predstavnikom delavcev pravočasno zagotovijo informacije, ki so potrebne za smiselna pogajanja o pogojih zaposlitve;</w:t>
      </w:r>
    </w:p>
    <w:p w14:paraId="08C6A7F8" w14:textId="77777777" w:rsidR="00A55002" w:rsidRPr="008A691D" w:rsidRDefault="00A55002" w:rsidP="00A55002">
      <w:pPr>
        <w:pStyle w:val="BulletedList2"/>
        <w:numPr>
          <w:ilvl w:val="0"/>
          <w:numId w:val="15"/>
        </w:numPr>
        <w:rPr>
          <w:lang w:val="it-IT"/>
        </w:rPr>
      </w:pPr>
      <w:r>
        <w:rPr>
          <w:lang w:val="sl"/>
        </w:rPr>
        <w:t>delavcem in njihovim predstavnikom zagotovijo informacije, ki jim omogočajo, da dobijo dejansko in pošteno predstavo o uspešnosti subjekta ali po potrebi podjetja kot celote;</w:t>
      </w:r>
    </w:p>
    <w:p w14:paraId="48268AAB" w14:textId="77777777" w:rsidR="00A55002" w:rsidRPr="008A691D" w:rsidRDefault="00A55002" w:rsidP="00A55002">
      <w:pPr>
        <w:pStyle w:val="Para1"/>
        <w:rPr>
          <w:lang w:val="it-IT"/>
        </w:rPr>
      </w:pPr>
      <w:r>
        <w:rPr>
          <w:lang w:val="sl"/>
        </w:rPr>
        <w:t>spodbujajo posvetovanja in sodelovanje med delodajalci in delavci ter njihovimi predstavniki v okviru zakonitih postopkov, struktur ali mehanizmov o zadevah skupnega pomena;</w:t>
      </w:r>
    </w:p>
    <w:p w14:paraId="09A29718" w14:textId="77777777" w:rsidR="00A55002" w:rsidRPr="008A691D" w:rsidRDefault="00A55002" w:rsidP="00A55002">
      <w:pPr>
        <w:pStyle w:val="Para1"/>
        <w:rPr>
          <w:lang w:val="it-IT"/>
        </w:rPr>
      </w:pPr>
      <w:r>
        <w:rPr>
          <w:lang w:val="sl"/>
        </w:rPr>
        <w:t xml:space="preserve"> </w:t>
      </w:r>
    </w:p>
    <w:p w14:paraId="3D8B2672" w14:textId="77777777" w:rsidR="00A55002" w:rsidRPr="008A691D" w:rsidRDefault="00A55002" w:rsidP="00A55002">
      <w:pPr>
        <w:pStyle w:val="Para0"/>
        <w:numPr>
          <w:ilvl w:val="0"/>
          <w:numId w:val="28"/>
        </w:numPr>
        <w:rPr>
          <w:lang w:val="it-IT"/>
        </w:rPr>
      </w:pPr>
      <w:bookmarkStart w:id="24" w:name="_Hlk124931526"/>
      <w:r>
        <w:rPr>
          <w:lang w:val="sl"/>
        </w:rPr>
        <w:lastRenderedPageBreak/>
        <w:t xml:space="preserve">pri svojem poslovanju upoštevajo standarde zaposlovanja, pogodbene dogovore ter odnose med delodajalci in delavci; </w:t>
      </w:r>
    </w:p>
    <w:p w14:paraId="1E4EBC22" w14:textId="77777777" w:rsidR="00A55002" w:rsidRPr="008A691D" w:rsidRDefault="00A55002" w:rsidP="00A55002">
      <w:pPr>
        <w:pStyle w:val="Para0"/>
        <w:numPr>
          <w:ilvl w:val="0"/>
          <w:numId w:val="28"/>
        </w:numPr>
        <w:rPr>
          <w:lang w:val="sl"/>
        </w:rPr>
      </w:pPr>
      <w:r>
        <w:rPr>
          <w:lang w:val="sl"/>
        </w:rPr>
        <w:t>kadar mednarodna podjetja poslujejo v drugih državah, naj plače, ugodnosti in pogoji dela, ki jih ponujajo v okviru svojih dejavnosti, ne bodo manj ugodni za delavce od tistih, ki jih ponujajo primerljivi delodajalci v državi gostiteljici. Če primerljivih delodajalcev ni, naj podjetja v skladu z vladnimi politikami in veljavnimi mednarodnimi standardi zagotavljajo najboljše možne plače, ugodnosti in pogoje dela. Ti so povezani z gospodarskim položajem podjetja, vendar naj bodo primerni vsaj za zadovoljevanje osnovnih potreb delavcev in njihovih družin;</w:t>
      </w:r>
    </w:p>
    <w:p w14:paraId="4D941A39" w14:textId="77777777" w:rsidR="00A55002" w:rsidRPr="008A691D" w:rsidRDefault="00A55002" w:rsidP="00A55002">
      <w:pPr>
        <w:pStyle w:val="Para0"/>
        <w:numPr>
          <w:ilvl w:val="0"/>
          <w:numId w:val="28"/>
        </w:numPr>
        <w:rPr>
          <w:lang w:val="it-IT"/>
        </w:rPr>
      </w:pPr>
      <w:r>
        <w:rPr>
          <w:lang w:val="sl"/>
        </w:rPr>
        <w:t>ohranjajo najvišje standarde varnosti in zdravja pri delu;</w:t>
      </w:r>
      <w:bookmarkEnd w:id="24"/>
    </w:p>
    <w:p w14:paraId="45BEED8D" w14:textId="77777777" w:rsidR="00A55002" w:rsidRPr="008A691D" w:rsidRDefault="00A55002" w:rsidP="00A55002">
      <w:pPr>
        <w:pStyle w:val="Para1"/>
        <w:rPr>
          <w:lang w:val="it-IT"/>
        </w:rPr>
      </w:pPr>
      <w:r>
        <w:rPr>
          <w:lang w:val="sl"/>
        </w:rPr>
        <w:t>pri svojem poslovanju v največji možni meri zaposlujejo lokalne delavce in zagotavljajo usposabljanje za izboljšanje ravni usposobljenosti v sodelovanju s predstavniki delavcev in po potrebi z ustreznimi vladnimi organi;</w:t>
      </w:r>
    </w:p>
    <w:p w14:paraId="48AC02D4" w14:textId="77777777" w:rsidR="00A55002" w:rsidRPr="008A691D" w:rsidRDefault="00A55002" w:rsidP="00A55002">
      <w:pPr>
        <w:pStyle w:val="Para1"/>
        <w:rPr>
          <w:lang w:val="sl"/>
        </w:rPr>
      </w:pPr>
      <w:r>
        <w:rPr>
          <w:lang w:val="sl"/>
        </w:rPr>
        <w:t>pri načrtovanju sprememb v svojem poslovanju, ki bi pomembno vplivale na zaposlovanje, zlasti ob zaprtju subjekta, kar bi povzročilo kolektivno čakanje na delo ali odpuščanja, o takšnih spremembah ustrezno obvestijo predstavnike prizadetih delavcev in njihove organizacije ter po potrebi ustrezne vladne organe ter sodelujejo s predstavniki delavcev in ustreznimi vladnimi organi, da bi v največji možni meri ublažila škodljive učinke takšnih sprememb. Glede na posebne okoliščine vsakega primera bi bilo primerno, če bi vodstvo lahko dalo takšno obvestilo pred sprejetjem končne odločitve. Za zagotovitev smiselnega sodelovanja za ublažitev učinkov takšnih odločitev se lahko uporabijo tudi druga sredstva;</w:t>
      </w:r>
    </w:p>
    <w:p w14:paraId="09F5593C" w14:textId="77777777" w:rsidR="00A55002" w:rsidRPr="008A691D" w:rsidRDefault="00A55002" w:rsidP="00A55002">
      <w:pPr>
        <w:pStyle w:val="Para1"/>
        <w:rPr>
          <w:lang w:val="sl"/>
        </w:rPr>
      </w:pPr>
      <w:r>
        <w:rPr>
          <w:lang w:val="sl"/>
        </w:rPr>
        <w:t>pri dobronamernih pogajanjih s predstavniki delavcev o pogojih zaposlovanja ali ko delavci uresničujejo pravico do organiziranja, ne grozijo s prenosom celotne poslovne enote ali njenega dela iz zadevne države ali s premestitvijo delavcev iz sestavnih delov podjetja v drugih državah, da bi nepošteno vplivala na ta pogajanja ali ovirala uresničevanje pravice do organiziranja ali kolektivnih pogajanj;</w:t>
      </w:r>
    </w:p>
    <w:p w14:paraId="246CFA96" w14:textId="77777777" w:rsidR="00A55002" w:rsidRPr="008A691D" w:rsidRDefault="00A55002" w:rsidP="00A55002">
      <w:pPr>
        <w:pStyle w:val="Para1"/>
        <w:rPr>
          <w:lang w:val="sl"/>
        </w:rPr>
      </w:pPr>
      <w:r>
        <w:rPr>
          <w:lang w:val="sl"/>
        </w:rPr>
        <w:t>omogočajo pooblaščenim predstavnikom delavcev, ki so zaposleni pri njih, da sodelujejo pri kolektivnih pogajanjih ali obravnavanju odnosov med zaposlenimi in vodstvom ter omogočajo udeležencem, da se o zadevah skupnega pomena posvetujejo s predstavniki vodstva, ki so pooblaščeni za sprejemanje odločitev o teh zadevah.</w:t>
      </w:r>
    </w:p>
    <w:p w14:paraId="03D61148" w14:textId="77777777" w:rsidR="00A55002" w:rsidRPr="00EC1531" w:rsidRDefault="00A55002" w:rsidP="00A55002">
      <w:pPr>
        <w:pStyle w:val="Naslov2"/>
        <w:numPr>
          <w:ilvl w:val="1"/>
          <w:numId w:val="21"/>
        </w:numPr>
        <w:rPr>
          <w:color w:val="366091" w:themeColor="accent1" w:themeShade="BF"/>
          <w:lang w:val="it-IT"/>
        </w:rPr>
      </w:pPr>
      <w:r w:rsidRPr="00EC1531">
        <w:rPr>
          <w:bCs/>
          <w:color w:val="366091" w:themeColor="accent1" w:themeShade="BF"/>
          <w:lang w:val="sl"/>
        </w:rPr>
        <w:t>Komentar k V. poglavju: Zaposlovanje in odnosi med delodajalci in delavci</w:t>
      </w:r>
    </w:p>
    <w:p w14:paraId="4661A0E4" w14:textId="77777777" w:rsidR="00A55002" w:rsidRPr="008A691D" w:rsidRDefault="00A55002" w:rsidP="00A55002">
      <w:pPr>
        <w:pStyle w:val="Para1"/>
        <w:numPr>
          <w:ilvl w:val="0"/>
          <w:numId w:val="29"/>
        </w:numPr>
        <w:rPr>
          <w:lang w:val="sl"/>
        </w:rPr>
      </w:pPr>
      <w:r>
        <w:rPr>
          <w:lang w:val="sl"/>
        </w:rPr>
        <w:t>To poglavje se začne z uvodnim odstavkom, ki vključuje sklicevanje na "veljavne" zakone in druge predpise, s čimer se priznava, da lahko za mednarodna podjetja, ki poslujejo pod pristojnostjo posameznih držav, veljajo nacionalne in mednarodne ravni urejanja zaposlovanja ter razmerij med delodajalci in delavci. Izraza "prevladujoči odnosi med delodajalci in delojemalci" in "prakse zaposlovanja" sta dovolj široka, da omogočata različne razlage glede na različne nacionalne okoliščine – na primer različne pogajalske možnosti, ki jih delavcem zagotavljajo nacionalni zakoni in predpisi.</w:t>
      </w:r>
    </w:p>
    <w:p w14:paraId="2A662B56" w14:textId="77777777" w:rsidR="00A55002" w:rsidRPr="008A691D" w:rsidRDefault="00A55002" w:rsidP="00A55002">
      <w:pPr>
        <w:pStyle w:val="Para1"/>
        <w:rPr>
          <w:lang w:val="sl"/>
        </w:rPr>
      </w:pPr>
      <w:r>
        <w:rPr>
          <w:lang w:val="sl"/>
        </w:rPr>
        <w:t xml:space="preserve">Mednarodna organizacija dela (MOD) je pristojni organ za določanje in obravnavanje mednarodnih standardov dela ter za spodbujanje temeljnih pravic pri delu, kot so priznane v Deklaraciji o temeljnih načelih in pravicah pri delu. </w:t>
      </w:r>
      <w:r>
        <w:rPr>
          <w:i/>
          <w:iCs/>
          <w:lang w:val="sl"/>
        </w:rPr>
        <w:t>Smernice</w:t>
      </w:r>
      <w:r>
        <w:rPr>
          <w:lang w:val="sl"/>
        </w:rPr>
        <w:t xml:space="preserve"> imajo kot </w:t>
      </w:r>
      <w:proofErr w:type="spellStart"/>
      <w:r>
        <w:rPr>
          <w:lang w:val="sl"/>
        </w:rPr>
        <w:t>nezavezujoči</w:t>
      </w:r>
      <w:proofErr w:type="spellEnd"/>
      <w:r>
        <w:rPr>
          <w:lang w:val="sl"/>
        </w:rPr>
        <w:t xml:space="preserve"> instrument vlogo pri spodbujanju spoštovanja teh standardov in načel v mednarodnih podjetjih. Določbe tega poglavja o </w:t>
      </w:r>
      <w:r>
        <w:rPr>
          <w:i/>
          <w:iCs/>
          <w:lang w:val="sl"/>
        </w:rPr>
        <w:t>smernicah</w:t>
      </w:r>
      <w:r>
        <w:rPr>
          <w:lang w:val="sl"/>
        </w:rPr>
        <w:t xml:space="preserve"> povzemajo ustrezne določbe deklaracije in tudi Tristransko deklaracijo MOD o načelih glede mednarodnih podjetij in socialne politike (Deklaracija MOD o mednarodnih podjetjih). Deklaracija MOD o mednarodnih podjetjih vsebuje načela na področju zaposlovanja, usposabljanja, delovnih pogojev ter odnosov med delodajalci in delavci, </w:t>
      </w:r>
      <w:r>
        <w:rPr>
          <w:i/>
          <w:iCs/>
          <w:lang w:val="sl"/>
        </w:rPr>
        <w:t>smernice</w:t>
      </w:r>
      <w:r>
        <w:rPr>
          <w:lang w:val="sl"/>
        </w:rPr>
        <w:t xml:space="preserve"> OECD pa zajemajo vse glavne vidike ravnanja podjetij. </w:t>
      </w:r>
      <w:r>
        <w:rPr>
          <w:i/>
          <w:iCs/>
          <w:lang w:val="sl"/>
        </w:rPr>
        <w:t>Smernice</w:t>
      </w:r>
      <w:r>
        <w:rPr>
          <w:lang w:val="sl"/>
        </w:rPr>
        <w:t xml:space="preserve"> OECD in Deklaracija MOD o mednarodnih podjetjih se nanašajo na vedenje, ki se pričakuje od podjetij, naj bi bile vzporedne in si ne nasprotujejo. Deklaracija MOD o mednarodnih podjetjih je zato lahko koristna pri razumevanju </w:t>
      </w:r>
      <w:r>
        <w:rPr>
          <w:i/>
          <w:iCs/>
          <w:lang w:val="sl"/>
        </w:rPr>
        <w:t>smernic</w:t>
      </w:r>
      <w:r>
        <w:rPr>
          <w:lang w:val="sl"/>
        </w:rPr>
        <w:t xml:space="preserve">, </w:t>
      </w:r>
      <w:r>
        <w:rPr>
          <w:lang w:val="sl"/>
        </w:rPr>
        <w:lastRenderedPageBreak/>
        <w:t xml:space="preserve">če vsebuje več podrobnosti. Vendar so odgovornosti za nadaljnje postopke v skladu z Deklaracijo MOD o mednarodnih podjetjih in </w:t>
      </w:r>
      <w:r>
        <w:rPr>
          <w:i/>
          <w:iCs/>
          <w:lang w:val="sl"/>
        </w:rPr>
        <w:t>smernicami</w:t>
      </w:r>
      <w:r>
        <w:rPr>
          <w:lang w:val="sl"/>
        </w:rPr>
        <w:t xml:space="preserve"> institucionalno ločene.</w:t>
      </w:r>
    </w:p>
    <w:p w14:paraId="2C995A49" w14:textId="77777777" w:rsidR="00A55002" w:rsidRPr="008A691D" w:rsidRDefault="00A55002" w:rsidP="00A55002">
      <w:pPr>
        <w:pStyle w:val="Para1"/>
        <w:rPr>
          <w:lang w:val="sl"/>
        </w:rPr>
      </w:pPr>
      <w:r>
        <w:rPr>
          <w:lang w:val="sl"/>
        </w:rPr>
        <w:t xml:space="preserve">Terminologija, uporabljena v </w:t>
      </w:r>
      <w:proofErr w:type="spellStart"/>
      <w:r>
        <w:rPr>
          <w:lang w:val="sl"/>
        </w:rPr>
        <w:t>V</w:t>
      </w:r>
      <w:proofErr w:type="spellEnd"/>
      <w:r>
        <w:rPr>
          <w:lang w:val="sl"/>
        </w:rPr>
        <w:t xml:space="preserve">. poglavju, je skladna s terminologijo, uporabljeno v Deklaraciji MOD o mednarodnih podjetjih. Če delovnega razmerja ni, se od podjetij kljub temu pričakuje, da ravnajo v skladu s priporočili o skrbnem pregledu poslovanja na podlagi tveganja in o dobavni verigi iz 11. do 14. točke odstavka A II. poglavja o splošnih politikah. To je še posebej pomembno v sektorjih, kjer so neformalnost, kratkoročne delovne ureditve, pomanjkanje dostojnega dela in digitalna preobrazba lahko pogostejši. </w:t>
      </w:r>
    </w:p>
    <w:p w14:paraId="12296668" w14:textId="77777777" w:rsidR="00A55002" w:rsidRPr="008A691D" w:rsidRDefault="00A55002" w:rsidP="00A55002">
      <w:pPr>
        <w:pStyle w:val="Para1"/>
        <w:rPr>
          <w:lang w:val="sl"/>
        </w:rPr>
      </w:pPr>
      <w:r>
        <w:rPr>
          <w:lang w:val="sl"/>
        </w:rPr>
        <w:t xml:space="preserve">Ta priporočila ne posegajo v resnična civilna in poslovna razmerja, temveč poskušajo posameznikom v delovnem razmerju zagotoviti varstvo, ki jim pripada v okviru </w:t>
      </w:r>
      <w:r>
        <w:rPr>
          <w:i/>
          <w:iCs/>
          <w:lang w:val="sl"/>
        </w:rPr>
        <w:t>smernic</w:t>
      </w:r>
      <w:r>
        <w:rPr>
          <w:lang w:val="sl"/>
        </w:rPr>
        <w:t xml:space="preserve">. </w:t>
      </w:r>
    </w:p>
    <w:p w14:paraId="594A6CFC" w14:textId="77777777" w:rsidR="00A55002" w:rsidRPr="008A691D" w:rsidRDefault="00A55002" w:rsidP="00A55002">
      <w:pPr>
        <w:pStyle w:val="Para1"/>
        <w:rPr>
          <w:lang w:val="sl"/>
        </w:rPr>
      </w:pPr>
      <w:bookmarkStart w:id="25" w:name="_Hlk132996037"/>
      <w:r>
        <w:rPr>
          <w:lang w:val="sl"/>
        </w:rPr>
        <w:t>V 1. odstavku tega poglavja so zajeta vsa temeljna načela in pravice pri delu, ki jih vsebuje Deklaracija MOD o temeljnih načelih in pravicah pri delu, in sicer svoboda združevanja in pravica do kolektivnih pogajanj, učinkovita odprava dela otrok, odprava vseh oblik prisilnega ali obveznega dela, nediskriminacija pri zaposlovanju in poklicu ter spodbujanje varnega in zdravega delovnega okolja. Ta načela in pravice so bili razviti v obliki posebnih pravic in obveznosti v konvencijah MOD, ki so priznane kot temeljne.</w:t>
      </w:r>
    </w:p>
    <w:bookmarkEnd w:id="25"/>
    <w:p w14:paraId="1743EB26" w14:textId="77777777" w:rsidR="00A55002" w:rsidRPr="008A691D" w:rsidRDefault="00A55002" w:rsidP="00A55002">
      <w:pPr>
        <w:pStyle w:val="Para1"/>
        <w:rPr>
          <w:lang w:val="sl"/>
        </w:rPr>
      </w:pPr>
      <w:r>
        <w:rPr>
          <w:lang w:val="sl"/>
        </w:rPr>
        <w:t xml:space="preserve">V točki c) 1. odstavka je priporočeno, da mednarodna podjetja prispevajo k dejanski odpravi dela otrok v smislu Deklaracije MOD o temeljnih načelih in pravicah pri delu. Dolgoletni instrumenti MOD o delu otrok so konvencija št. 138 in priporočilo št. 146 (oba sprejeta leta 1973) o najnižji starosti za zaposlitev ter konvencija št. 182 in priporočilo št. 190 MOD o najhujših oblikah dela otrok. Mednarodna podjetja imajo s svojimi praksami upravljanja dela, ustvarjanjem kakovostnih, dobro plačanih in dostojnih delovnih mest ter s svojim prispevkom h gospodarski rasti lahko pozitivno vlogo pri odpravljanju temeljnih vzrokov revščine na splošno in zlasti dela otrok. Pomembno je priznati in spodbujati vlogo mednarodnih podjetij pri iskanju trajne rešitve težave dela otrok. V zvezi s tem je še posebej pomemben dvig standardov izobraževanja otrok, ki živijo v državah gostiteljicah. </w:t>
      </w:r>
    </w:p>
    <w:p w14:paraId="23A0BDFD" w14:textId="77777777" w:rsidR="00A55002" w:rsidRPr="008A691D" w:rsidRDefault="00A55002" w:rsidP="00A55002">
      <w:pPr>
        <w:pStyle w:val="Para1"/>
        <w:rPr>
          <w:lang w:val="sl"/>
        </w:rPr>
      </w:pPr>
      <w:r>
        <w:rPr>
          <w:lang w:val="sl"/>
        </w:rPr>
        <w:t>V točki d) 1. odstavka je priporočeno, da podjetja prispevajo k odpravi vseh oblik prisilnega in obveznega dela, kar je še eno načelo, ki izhaja iz Deklaracije MOD o temeljnih načelih in pravicah pri delu ter je v Mednarodnem paktu o državljanskih in političnih pravicah (MPDPP) priznano kot človekova pravica biti prost prisilnega in obveznega dela. Sklicevanje na to temeljno delovno pravico temelji na konvenciji MOD št. 29 iz leta 1930 in njenem protokolu iz leta 2014 ter konvenciji št. 105 iz leta 1957. Konvencija št. 29 poziva vlade, naj "v najkrajšem možnem času odpravijo uporabo prisilnega ali obveznega dela v vseh njegovih oblikah", konvencija št. 105 pa poziva vlade, naj "odpravijo vse oblike prisilnega ali obveznega dela in naj ga ne uporabljajo" za nekatere naštete namene (na primer kot sredstvo politične prisile ali delovne discipline) ter "sprejmejo učinkovite ukrepe, da zagotovijo [njegovo] takojšnjo in popolno odpravo". Hkrati se razume, da je MOD pristojni organ za obravnavo težavnega vprašanja zaporskega dela, zlasti ko gre za najemanje zapornikov pri zasebnikih, podjetjih ali združenjih (ali dajanje zapornikov na razpolago zasebnikom, podjetjem ali združenjem). Podjetja naj sprejmejo potrebne ukrepe za preprečevanje trgovine z ljudmi, vključno z namenom prisilnega dela, in naj obravnavajo prisilna sredstva, vključno z dolžniškim suženjstvom. Podjetja naj se odzovejo na kazalnike, ki so navedeni v Kazalnikih prisilnega dela MOD (</w:t>
      </w:r>
      <w:r>
        <w:rPr>
          <w:i/>
          <w:iCs/>
          <w:lang w:val="sl"/>
        </w:rPr>
        <w:t xml:space="preserve">ILO </w:t>
      </w:r>
      <w:proofErr w:type="spellStart"/>
      <w:r>
        <w:rPr>
          <w:i/>
          <w:iCs/>
          <w:lang w:val="sl"/>
        </w:rPr>
        <w:t>Indicators</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Forced</w:t>
      </w:r>
      <w:proofErr w:type="spellEnd"/>
      <w:r>
        <w:rPr>
          <w:i/>
          <w:iCs/>
          <w:lang w:val="sl"/>
        </w:rPr>
        <w:t xml:space="preserve"> </w:t>
      </w:r>
      <w:proofErr w:type="spellStart"/>
      <w:r>
        <w:rPr>
          <w:i/>
          <w:iCs/>
          <w:lang w:val="sl"/>
        </w:rPr>
        <w:t>Labour</w:t>
      </w:r>
      <w:proofErr w:type="spellEnd"/>
      <w:r>
        <w:rPr>
          <w:lang w:val="sl"/>
        </w:rPr>
        <w:t>), in naj povečajo preglednost ukrepov, sprejetih za odpravo tveganj prisilnega dela, povezanih z njihovim poslovanjem, izdelki in storitvami.</w:t>
      </w:r>
    </w:p>
    <w:p w14:paraId="68A55AB0" w14:textId="77777777" w:rsidR="00A55002" w:rsidRPr="008A691D" w:rsidRDefault="00A55002" w:rsidP="00A55002">
      <w:pPr>
        <w:pStyle w:val="Para1"/>
        <w:rPr>
          <w:b/>
          <w:i/>
          <w:u w:val="single"/>
          <w:lang w:val="sl"/>
        </w:rPr>
      </w:pPr>
      <w:r>
        <w:rPr>
          <w:lang w:val="sl"/>
        </w:rPr>
        <w:t xml:space="preserve">Šteje se, da sklicevanje na načelo nediskriminacije pri zaposlovanju in poklicu v točki e) 1. odstavka velja za pogoje poslovanja, kot so najemanje delavcev, dodelitev dela, razrešitev, za plačilo in prejemke, napredovanje, premestitev, prenehanje delovnega razmerja, usposabljanje in upokojitev. Glede na seznam nedopustnih razlogov za diskriminacijo, ki je povzet iz konvencije MOD št. 111 o diskriminaciji (pri zaposlovanju in poklicih), konvencije MOD št. 100, konvencije MOD št. 183 o varstvu materinstva, konvencije št. 159 o zaposlovanju (invalidov), priporočila MOD št. 162 o starejših delavcih in priporočila št. 200 o HIV in aidsu pri delu, je vsako razlikovanje, izključevanje ali dajanje prednosti iz teh razlogov kršitev konvencij, priporočil in kodeksov. Izraz "drug status" se za namene </w:t>
      </w:r>
      <w:r>
        <w:rPr>
          <w:i/>
          <w:iCs/>
          <w:lang w:val="sl"/>
        </w:rPr>
        <w:t>smernic</w:t>
      </w:r>
      <w:r>
        <w:rPr>
          <w:lang w:val="sl"/>
        </w:rPr>
        <w:t xml:space="preserve"> nanaša na </w:t>
      </w:r>
      <w:r>
        <w:rPr>
          <w:lang w:val="sl"/>
        </w:rPr>
        <w:lastRenderedPageBreak/>
        <w:t>sindikalno dejavnost in osebne značilnosti, kot so starost, invalidnost, spol, nosečnost, zakonski stan, spolna usmerjenost ali status okužbe z virusom HIV. V skladu z določbami iz točke e) 1. odstavka se od podjetij pričakuje, da spodbujajo enake možnosti za vse s posebnim poudarkom na enakih merilih za izbiro, plačilo, usposabljanje in napredovanje ter na enaki uporabi teh meril ter da preprečujejo diskriminacijo ali odpuščanje zaradi poroke, nosečnosti ali družinskih obveznosti delavcev. V zvezi s tem je pomembna konvencija MOD št. 190 o nasilju in nadlegovanju.</w:t>
      </w:r>
    </w:p>
    <w:p w14:paraId="2A951297" w14:textId="77777777" w:rsidR="00A55002" w:rsidRPr="008A691D" w:rsidRDefault="00A55002" w:rsidP="00A55002">
      <w:pPr>
        <w:pStyle w:val="Para1"/>
        <w:rPr>
          <w:bCs/>
          <w:iCs/>
          <w:lang w:val="sl"/>
        </w:rPr>
      </w:pPr>
      <w:r>
        <w:rPr>
          <w:lang w:val="sl"/>
        </w:rPr>
        <w:t xml:space="preserve">V točki f) 1. odstavka se priporoča vsem podjetjem, da zagotovijo varno in zdravo delovno okolje, vključno s preprečevanjem nezgod in poškodb, ki izhajajo iz dela, so povezane z delom ali se zgodijo med delom, z zmanjševanjem vzrokov za nevarnosti, povezane z delovnim okoljem, kolikor je to razumno izvedljivo. </w:t>
      </w:r>
    </w:p>
    <w:p w14:paraId="33F6FFFA" w14:textId="77777777" w:rsidR="00A55002" w:rsidRPr="008A691D" w:rsidRDefault="00A55002" w:rsidP="00A55002">
      <w:pPr>
        <w:pStyle w:val="Para1"/>
        <w:rPr>
          <w:lang w:val="it-IT"/>
        </w:rPr>
      </w:pPr>
      <w:r>
        <w:rPr>
          <w:lang w:val="sl"/>
        </w:rPr>
        <w:t>V točki c) 2. odstavka tega poglavja se pričakuje, da informacije, ki jih podjetja zagotovijo svojim delavcem in njihovim predstavnikom, le-tem omogočijo, da dobijo "dejansko in pošteno predstavo" o uspešnosti. Nanašajo se na: strukturo podjetja, njegov gospodarski in finančni položaj ter obete, škodljive vplive na okolje, zdravje in varnost, trende zaposlovanja in pričakovane bistvene spremembe v poslovanju, ob upoštevanju zakonitih zahtev poslovne zaupnosti. Upoštevanje poslovne zaupnosti pomeni, da se nekatere informacije ne smejo zagotoviti ali pa se ne smejo zagotoviti brez zaščitnih ukrepov.</w:t>
      </w:r>
    </w:p>
    <w:p w14:paraId="25C6DA7C" w14:textId="77777777" w:rsidR="00A55002" w:rsidRPr="008A691D" w:rsidRDefault="00A55002" w:rsidP="00A55002">
      <w:pPr>
        <w:pStyle w:val="Para1"/>
        <w:rPr>
          <w:lang w:val="sl"/>
        </w:rPr>
      </w:pPr>
      <w:r>
        <w:rPr>
          <w:lang w:val="sl"/>
        </w:rPr>
        <w:t>Sklicevanje na posvetovalne oblike sodelovanja delavcev v 3. odstavku poglavja je povzeto iz priporočila MOD št. 94 o posvetovanju in sodelovanju med delodajalci in delavci na ravni podjetja. Poleg tega je v skladu z določbo iz Deklaracije MOD o mednarodnih podjetjih. Takšna posvetovanja naj ne nadomestijo pravice delavcev do pogajanj o pogojih zaposlitve. Priporočilo o posvetovanjih v zvezi z delovnimi ureditvami vsebuje tudi 8. odstavek.</w:t>
      </w:r>
    </w:p>
    <w:p w14:paraId="58B89785" w14:textId="77777777" w:rsidR="00A55002" w:rsidRPr="008A691D" w:rsidRDefault="00A55002" w:rsidP="00A55002">
      <w:pPr>
        <w:pStyle w:val="Para1"/>
        <w:rPr>
          <w:lang w:val="sl"/>
        </w:rPr>
      </w:pPr>
      <w:r>
        <w:rPr>
          <w:lang w:val="sl"/>
        </w:rPr>
        <w:t xml:space="preserve">V 4. odstavku se standardi zaposlovanja ter odnosi med delodajalci in delavci razumejo tako, da vključujejo nadomestila in ureditev delovnega časa. Sklicevanje na varnost in zdravje pri delu pomeni, da se od mednarodnih podjetij pričakuje, da upoštevajo prevladujoče regulativne standarde in industrijske norme, da bi čim bolj zmanjšala tveganje nesreč in poškodb, ki izhajajo iz zaposlitve, so povezane z zaposlitvijo ali se zgodijo med zaposlitvijo. To spodbuja podjetja, da si prizadevajo za povečanje uspešnosti na področju varnosti in zdravja pri delu v vseh delih svojega poslovanja, tudi če tega morda formalno ne zahtevajo veljavni predpisi v državah, v katerih poslujejo. Poleg tega se podjetja spodbujajo, da spoštujejo možnost delavcev, da se umaknejo iz delovnega okolja, za katero upravičeno menijo, da pomeni neposredno in resno tveganje za zdravje ali varnost. Zaradi pomembnosti in komplementarnosti povezanih priporočil so pomisleki o zdravju in varnosti izraženi tudi drugje v </w:t>
      </w:r>
      <w:r>
        <w:rPr>
          <w:i/>
          <w:iCs/>
          <w:lang w:val="sl"/>
        </w:rPr>
        <w:t>smernicah</w:t>
      </w:r>
      <w:r>
        <w:rPr>
          <w:lang w:val="sl"/>
        </w:rPr>
        <w:t xml:space="preserve">, zlasti v poglavjih o interesih potrošnikov in okolju. Priporočilo MOD št. 194 o poklicnih boleznih vsebuje okvirni seznam poklicnih bolezni ter kodekse ravnanja in smernice, ki jih lahko podjetja upoštevajo pri izvajanju tega priporočila iz </w:t>
      </w:r>
      <w:r>
        <w:rPr>
          <w:i/>
          <w:iCs/>
          <w:lang w:val="sl"/>
        </w:rPr>
        <w:t>smernic</w:t>
      </w:r>
      <w:r>
        <w:rPr>
          <w:lang w:val="sl"/>
        </w:rPr>
        <w:t>. Dodatni napotki za podjetja o varnosti in zdravju pri delu so na voljo v IV. delu (ukrepi na ravni podjetij) konvencije MOD št. 155 o varnosti in zdravju pri delu ter v Smernicah o sistemih zagotavljanja varnosti in zdravja pri delu (</w:t>
      </w:r>
      <w:proofErr w:type="spellStart"/>
      <w:r>
        <w:rPr>
          <w:i/>
          <w:iCs/>
          <w:lang w:val="sl"/>
        </w:rPr>
        <w:t>Guidelines</w:t>
      </w:r>
      <w:proofErr w:type="spellEnd"/>
      <w:r>
        <w:rPr>
          <w:i/>
          <w:iCs/>
          <w:lang w:val="sl"/>
        </w:rPr>
        <w:t xml:space="preserve"> on </w:t>
      </w:r>
      <w:proofErr w:type="spellStart"/>
      <w:r>
        <w:rPr>
          <w:i/>
          <w:iCs/>
          <w:lang w:val="sl"/>
        </w:rPr>
        <w:t>Occupational</w:t>
      </w:r>
      <w:proofErr w:type="spellEnd"/>
      <w:r>
        <w:rPr>
          <w:i/>
          <w:iCs/>
          <w:lang w:val="sl"/>
        </w:rPr>
        <w:t xml:space="preserve"> </w:t>
      </w:r>
      <w:proofErr w:type="spellStart"/>
      <w:r>
        <w:rPr>
          <w:i/>
          <w:iCs/>
          <w:lang w:val="sl"/>
        </w:rPr>
        <w:t>Safety</w:t>
      </w:r>
      <w:proofErr w:type="spellEnd"/>
      <w:r>
        <w:rPr>
          <w:i/>
          <w:iCs/>
          <w:lang w:val="sl"/>
        </w:rPr>
        <w:t xml:space="preserve"> </w:t>
      </w:r>
      <w:proofErr w:type="spellStart"/>
      <w:r>
        <w:rPr>
          <w:i/>
          <w:iCs/>
          <w:lang w:val="sl"/>
        </w:rPr>
        <w:t>and</w:t>
      </w:r>
      <w:proofErr w:type="spellEnd"/>
      <w:r>
        <w:rPr>
          <w:i/>
          <w:iCs/>
          <w:lang w:val="sl"/>
        </w:rPr>
        <w:t xml:space="preserve"> </w:t>
      </w:r>
      <w:proofErr w:type="spellStart"/>
      <w:r>
        <w:rPr>
          <w:i/>
          <w:iCs/>
          <w:lang w:val="sl"/>
        </w:rPr>
        <w:t>Health</w:t>
      </w:r>
      <w:proofErr w:type="spellEnd"/>
      <w:r>
        <w:rPr>
          <w:i/>
          <w:iCs/>
          <w:lang w:val="sl"/>
        </w:rPr>
        <w:t xml:space="preserve"> Management </w:t>
      </w:r>
      <w:proofErr w:type="spellStart"/>
      <w:r>
        <w:rPr>
          <w:i/>
          <w:iCs/>
          <w:lang w:val="sl"/>
        </w:rPr>
        <w:t>Systems</w:t>
      </w:r>
      <w:proofErr w:type="spellEnd"/>
      <w:r>
        <w:rPr>
          <w:lang w:val="sl"/>
        </w:rPr>
        <w:t xml:space="preserve"> (ILO-OSH)).</w:t>
      </w:r>
    </w:p>
    <w:p w14:paraId="3C99A64E" w14:textId="77777777" w:rsidR="00A55002" w:rsidRPr="008A691D" w:rsidRDefault="00A55002" w:rsidP="00A55002">
      <w:pPr>
        <w:pStyle w:val="Para1"/>
        <w:rPr>
          <w:lang w:val="sl"/>
        </w:rPr>
      </w:pPr>
      <w:r>
        <w:rPr>
          <w:lang w:val="sl"/>
        </w:rPr>
        <w:t xml:space="preserve">V skladu s priporočilom iz 5. odstavka poglavja se mednarodna podjetja spodbujajo, da zaposlijo ustrezno lokalno delovno silo, vključno z vodstvenim osebjem, in ji zagotovijo usposabljanje. Usposabljanje za nadgradnjo in prekvalifikacijo naj predvidi prihodnje spremembe dejavnosti in potreb delodajalcev, vključno s tistimi, ki se odzivajo na družbene, </w:t>
      </w:r>
      <w:proofErr w:type="spellStart"/>
      <w:r>
        <w:rPr>
          <w:lang w:val="sl"/>
        </w:rPr>
        <w:t>okoljske</w:t>
      </w:r>
      <w:proofErr w:type="spellEnd"/>
      <w:r>
        <w:rPr>
          <w:lang w:val="sl"/>
        </w:rPr>
        <w:t xml:space="preserve"> in tehnološke spremembe, tveganja in priložnosti, povezane z avtomatizacijo, digitalizacijo, pravičnim prehodom in trajnostnim razvojem. Besedilo v tem odstavku o usposabljanju in ravneh usposobljenosti dopolnjuje besedilo v 4. točki odstavka A poglavja o splošnih politikah o spodbujanju oblikovanja človeškega kapitala. Sklicevanje na lokalne delavce dopolnjuje besedilo o spodbujanju krepitve lokalnih zmogljivosti v 3. točki odstavka A poglavja o splošnih politikah. V skladu s priporočilom MOD št. 195 o razvoju človeških virov se podjetja tudi spodbujajo, da kar najbolj vlagajo v usposabljanje in vseživljenjsko učenje ter hkrati zagotavljajo enake možnosti za </w:t>
      </w:r>
      <w:r>
        <w:rPr>
          <w:lang w:val="sl"/>
        </w:rPr>
        <w:lastRenderedPageBreak/>
        <w:t xml:space="preserve">usposabljanje žensk in drugih ranljivih skupin, kot so mladi, </w:t>
      </w:r>
      <w:proofErr w:type="spellStart"/>
      <w:r>
        <w:rPr>
          <w:lang w:val="sl"/>
        </w:rPr>
        <w:t>nizkokvalificirane</w:t>
      </w:r>
      <w:proofErr w:type="spellEnd"/>
      <w:r>
        <w:rPr>
          <w:lang w:val="sl"/>
        </w:rPr>
        <w:t xml:space="preserve"> osebe, invalidi, migranti, starejši delavci in domorodna ljudstva.</w:t>
      </w:r>
    </w:p>
    <w:p w14:paraId="6D8DC1C5" w14:textId="77777777" w:rsidR="00A55002" w:rsidRPr="008A691D" w:rsidRDefault="00A55002" w:rsidP="00A55002">
      <w:pPr>
        <w:pStyle w:val="Para1"/>
        <w:rPr>
          <w:bCs/>
          <w:iCs/>
          <w:lang w:val="sl"/>
        </w:rPr>
      </w:pPr>
      <w:r>
        <w:rPr>
          <w:lang w:val="sl"/>
        </w:rPr>
        <w:t>Podjetja imajo pomembno vlogo pri spodbujanju in ustvarjanju dostojnega dela. V 6. odstavku se priporoča, da podjetja predstavnike delavcev in ustrezne vladne organe v razumnem roku obvestijo o spremembah v svojem poslovanju, ki pomembno vplivajo na preživetje delavcev, zlasti o zaprtju podjetja ali prehodu na avtomatizacijo, ki vključuje kolektivno ali obsežno čakanje na delo ali odpuščanje. Kot je navedeno v tej določbi, je njen namen omogočiti sodelovanje za ublažitev učinkov takšnih sprememb. To je pomembno načelo, ki se v veliki meri odraža v zakonodaji in praksi pristopnic na področju odnosov med delodajalci in delavci, čeprav načini zagotavljanja priložnosti za smiselno sodelovanje niso enaki v vseh državah pristopnicah. V odstavku je tudi navedeno, da bi bilo primerno, če bi glede na posebne okoliščine vodstvo lahko dalo takšno obvestilo pred sprejetjem končne odločitve. Obvestilo pred sprejetjem končne odločitve je dejansko uveljavljeno v zakonodaji in praksi na področju odnosov med delodajalci in delavci v številnih državah pristopnicah. Vendar to ni edino sredstvo za zagotovitev možnosti za smiselno sodelovanje za ublažitev učinkov takšnih odločitev, zakoni in prakse drugih pristopnic pa predvidevajo tudi druga sredstva, kot so določena obdobja, v katerih je treba opraviti posvetovanja, preden se odločitve lahko izvedejo.</w:t>
      </w:r>
    </w:p>
    <w:p w14:paraId="724F8EAF" w14:textId="77777777" w:rsidR="00A55002" w:rsidRPr="00EC1531" w:rsidRDefault="00A55002" w:rsidP="00A55002">
      <w:pPr>
        <w:pStyle w:val="Naslov1"/>
        <w:framePr w:wrap="notBeside"/>
        <w:numPr>
          <w:ilvl w:val="0"/>
          <w:numId w:val="21"/>
        </w:numPr>
        <w:rPr>
          <w:color w:val="366091" w:themeColor="accent1" w:themeShade="BF"/>
        </w:rPr>
      </w:pPr>
      <w:bookmarkStart w:id="26" w:name="_Toc169086490"/>
      <w:r w:rsidRPr="00EC1531">
        <w:rPr>
          <w:bCs/>
          <w:color w:val="366091" w:themeColor="accent1" w:themeShade="BF"/>
          <w:lang w:val="sl"/>
        </w:rPr>
        <w:lastRenderedPageBreak/>
        <w:t>VI. Okolje</w:t>
      </w:r>
      <w:bookmarkEnd w:id="26"/>
    </w:p>
    <w:p w14:paraId="7121D3F8" w14:textId="77777777" w:rsidR="00A55002" w:rsidRPr="008A691D" w:rsidRDefault="00A55002" w:rsidP="0042619C">
      <w:pPr>
        <w:pStyle w:val="Para0"/>
        <w:rPr>
          <w:lang w:val="sl"/>
        </w:rPr>
      </w:pPr>
      <w:r>
        <w:rPr>
          <w:lang w:val="sl"/>
        </w:rPr>
        <w:t xml:space="preserve">Podjetja imajo ključno vlogo pri spodbujanju trajnostnih gospodarstev in lahko prispevajo k učinkovitemu in naprednemu odzivu na svetovne, regionalne in lokalne </w:t>
      </w:r>
      <w:proofErr w:type="spellStart"/>
      <w:r>
        <w:rPr>
          <w:lang w:val="sl"/>
        </w:rPr>
        <w:t>okoljske</w:t>
      </w:r>
      <w:proofErr w:type="spellEnd"/>
      <w:r>
        <w:rPr>
          <w:lang w:val="sl"/>
        </w:rPr>
        <w:t xml:space="preserve"> izzive, vključno z resno grožnjo podnebnih sprememb. Podjetja naj izvajajo svoje dejavnosti v skladu z zakoni, drugimi predpisi in upravnimi praksami držav, v katerih poslujejo, ter ob upoštevanju ustreznih mednarodnih sporazumov, načel, ciljev in standardov, pri čemer naj ustrezno upoštevajo potrebo po varovanju okolja ter posledično delavcev, skupnosti in širše družbe, preprečujejo in odpravljajo škodljive vplive na okolje ter prispevajo k širšemu cilju trajnostnega razvoja. Podjetja lahko povzročajo številne škodljive vplive na okolje. Ti med drugim vključujejo:</w:t>
      </w:r>
    </w:p>
    <w:p w14:paraId="39CDCFCC" w14:textId="77777777" w:rsidR="00A55002" w:rsidRPr="00A7328A" w:rsidRDefault="00A55002" w:rsidP="00A55002">
      <w:pPr>
        <w:pStyle w:val="Para0"/>
        <w:numPr>
          <w:ilvl w:val="0"/>
          <w:numId w:val="30"/>
        </w:numPr>
      </w:pPr>
      <w:r>
        <w:rPr>
          <w:lang w:val="sl"/>
        </w:rPr>
        <w:t>podnebne spremembe;</w:t>
      </w:r>
    </w:p>
    <w:p w14:paraId="27A9A4F2" w14:textId="77777777" w:rsidR="00A55002" w:rsidRPr="00A460A7" w:rsidRDefault="00A55002" w:rsidP="00A55002">
      <w:pPr>
        <w:pStyle w:val="Para0"/>
        <w:numPr>
          <w:ilvl w:val="0"/>
          <w:numId w:val="30"/>
        </w:numPr>
      </w:pPr>
      <w:r>
        <w:rPr>
          <w:lang w:val="sl"/>
        </w:rPr>
        <w:t>izgubo biotske raznovrstnosti;</w:t>
      </w:r>
    </w:p>
    <w:p w14:paraId="3229979B" w14:textId="77777777" w:rsidR="00A55002" w:rsidRPr="00A460A7" w:rsidRDefault="00A55002" w:rsidP="00A55002">
      <w:pPr>
        <w:pStyle w:val="Para0"/>
        <w:numPr>
          <w:ilvl w:val="0"/>
          <w:numId w:val="30"/>
        </w:numPr>
      </w:pPr>
      <w:r>
        <w:rPr>
          <w:lang w:val="sl"/>
        </w:rPr>
        <w:t>degradacijo kopenskih, morskih in sladkovodnih ekosistemov;</w:t>
      </w:r>
    </w:p>
    <w:p w14:paraId="00A9D7ED" w14:textId="77777777" w:rsidR="00A55002" w:rsidRPr="00A460A7" w:rsidRDefault="00A55002" w:rsidP="00A55002">
      <w:pPr>
        <w:pStyle w:val="Para0"/>
        <w:numPr>
          <w:ilvl w:val="0"/>
          <w:numId w:val="30"/>
        </w:numPr>
      </w:pPr>
      <w:r>
        <w:rPr>
          <w:lang w:val="sl"/>
        </w:rPr>
        <w:t>krčenje gozdov;</w:t>
      </w:r>
    </w:p>
    <w:p w14:paraId="0ECD3E92" w14:textId="77777777" w:rsidR="00A55002" w:rsidRPr="00A460A7" w:rsidRDefault="00A55002" w:rsidP="00A55002">
      <w:pPr>
        <w:pStyle w:val="Para0"/>
        <w:numPr>
          <w:ilvl w:val="0"/>
          <w:numId w:val="30"/>
        </w:numPr>
      </w:pPr>
      <w:r>
        <w:rPr>
          <w:lang w:val="sl"/>
        </w:rPr>
        <w:t>onesnaževanje zraka, vode in tal;</w:t>
      </w:r>
    </w:p>
    <w:p w14:paraId="72E6259A" w14:textId="77777777" w:rsidR="00A55002" w:rsidRPr="00E205CD" w:rsidRDefault="00A55002" w:rsidP="00A55002">
      <w:pPr>
        <w:pStyle w:val="Para0"/>
        <w:numPr>
          <w:ilvl w:val="0"/>
          <w:numId w:val="30"/>
        </w:numPr>
        <w:rPr>
          <w:lang w:val="pl-PL"/>
        </w:rPr>
      </w:pPr>
      <w:r>
        <w:rPr>
          <w:lang w:val="sl"/>
        </w:rPr>
        <w:t>nepravilno ravnanje z odpadki, vključno z nevarnimi snovmi.</w:t>
      </w:r>
    </w:p>
    <w:p w14:paraId="023D83FE" w14:textId="77777777" w:rsidR="00A55002" w:rsidRPr="00E205CD" w:rsidRDefault="00A55002" w:rsidP="0042619C">
      <w:pPr>
        <w:pStyle w:val="Para0"/>
        <w:rPr>
          <w:bCs/>
          <w:iCs/>
          <w:lang w:val="pl-PL"/>
        </w:rPr>
      </w:pPr>
      <w:bookmarkStart w:id="27" w:name="_Hlk132624683"/>
      <w:r>
        <w:rPr>
          <w:lang w:val="sl"/>
        </w:rPr>
        <w:t>Pomembne razlike med vplivi na okolje so opisane v komentarju k temu poglavju, vključno s podnebnimi spremembami in kako naj se odnos posameznega podjetja do teh vplivov obravnava v ustreznih okvirih</w:t>
      </w:r>
      <w:bookmarkEnd w:id="27"/>
      <w:r>
        <w:rPr>
          <w:lang w:val="sl"/>
        </w:rPr>
        <w:t xml:space="preserve">. </w:t>
      </w:r>
    </w:p>
    <w:p w14:paraId="0CFD4686" w14:textId="77777777" w:rsidR="00A55002" w:rsidRPr="00A460A7" w:rsidRDefault="00A55002" w:rsidP="0042619C">
      <w:pPr>
        <w:pStyle w:val="Para0"/>
      </w:pPr>
      <w:r>
        <w:rPr>
          <w:lang w:val="sl"/>
        </w:rPr>
        <w:t>Podjetja naj zlasti:</w:t>
      </w:r>
    </w:p>
    <w:p w14:paraId="6B872C57" w14:textId="77777777" w:rsidR="00A55002" w:rsidRPr="00BA7554" w:rsidRDefault="00A55002" w:rsidP="00A55002">
      <w:pPr>
        <w:pStyle w:val="NumberedList"/>
        <w:numPr>
          <w:ilvl w:val="0"/>
          <w:numId w:val="16"/>
        </w:numPr>
      </w:pPr>
      <w:r>
        <w:rPr>
          <w:lang w:val="sl"/>
        </w:rPr>
        <w:t>vzpostavijo in vzdržujejo sistem ravnanja z okoljem, ki je primeren za podjetje in je povezan s poslovanjem, izdelki in storitvami podjetja v njihovem celotnem življenjskem ciklu, vključno z izvajanjem skrbnega pregleda na podlagi tveganja, opisanim v II. poglavju, glede škodljivih vplivov na okolje, tudi s tem, da:</w:t>
      </w:r>
    </w:p>
    <w:p w14:paraId="3BBCF624" w14:textId="77777777" w:rsidR="00A55002" w:rsidRPr="00475B05" w:rsidRDefault="00A55002" w:rsidP="00A55002">
      <w:pPr>
        <w:pStyle w:val="NumberedList"/>
        <w:numPr>
          <w:ilvl w:val="3"/>
          <w:numId w:val="38"/>
        </w:numPr>
      </w:pPr>
      <w:r>
        <w:rPr>
          <w:lang w:val="sl"/>
        </w:rPr>
        <w:t xml:space="preserve">ugotavljajo in ocenjujejo škodljive vplive na okolje, povezane z njihovim poslovanjem, izdelki ali storitvami, vključno z zbiranjem in ocenjevanjem ustreznih in pravočasnih informacij o škodljivih vplivih, povezanih z njihovim poslovanjem, izdelki in storitvami, in kadar imajo dejavnosti lahko pomembne škodljive vplive na okolje, pripravijo ustrezno presojo vplivov na okolje; </w:t>
      </w:r>
    </w:p>
    <w:p w14:paraId="5B3B8709" w14:textId="77777777" w:rsidR="00A55002" w:rsidRPr="008A691D" w:rsidRDefault="00A55002" w:rsidP="00A55002">
      <w:pPr>
        <w:pStyle w:val="NumberedList"/>
        <w:numPr>
          <w:ilvl w:val="3"/>
          <w:numId w:val="38"/>
        </w:numPr>
        <w:rPr>
          <w:lang w:val="sl"/>
        </w:rPr>
      </w:pPr>
      <w:r>
        <w:rPr>
          <w:lang w:val="sl"/>
        </w:rPr>
        <w:t xml:space="preserve">določijo in izvajajo merljive cilje, ciljne vrednosti in strategije za obravnavanje škodljivih vplivov na okolje, povezanih z njihovim poslovanjem, izdelki in storitvami, ter za izboljšanje </w:t>
      </w:r>
      <w:proofErr w:type="spellStart"/>
      <w:r>
        <w:rPr>
          <w:lang w:val="sl"/>
        </w:rPr>
        <w:t>okoljske</w:t>
      </w:r>
      <w:proofErr w:type="spellEnd"/>
      <w:r>
        <w:rPr>
          <w:lang w:val="sl"/>
        </w:rPr>
        <w:t xml:space="preserve"> uspešnosti. Ciljne vrednosti naj bodo znanstveno utemeljene, naj bodo v skladu z ustreznimi nacionalnimi politikami in mednarodnimi zavezami in cilji ter naj temeljijo na najboljši praksi;  </w:t>
      </w:r>
    </w:p>
    <w:p w14:paraId="15B85ACF" w14:textId="77777777" w:rsidR="00A55002" w:rsidRPr="008A691D" w:rsidRDefault="00A55002" w:rsidP="00A55002">
      <w:pPr>
        <w:pStyle w:val="NumberedList"/>
        <w:numPr>
          <w:ilvl w:val="3"/>
          <w:numId w:val="38"/>
        </w:numPr>
        <w:rPr>
          <w:lang w:val="sl"/>
        </w:rPr>
      </w:pPr>
      <w:r>
        <w:rPr>
          <w:lang w:val="sl"/>
        </w:rPr>
        <w:t xml:space="preserve">redno preverjajo učinkovitost strategij in spremljajo napredek pri doseganju </w:t>
      </w:r>
      <w:proofErr w:type="spellStart"/>
      <w:r>
        <w:rPr>
          <w:lang w:val="sl"/>
        </w:rPr>
        <w:t>okoljskih</w:t>
      </w:r>
      <w:proofErr w:type="spellEnd"/>
      <w:r>
        <w:rPr>
          <w:lang w:val="sl"/>
        </w:rPr>
        <w:t xml:space="preserve"> ciljev in ciljnih vrednosti ter redno preverjajo nadaljnjo ustreznost ciljev, ciljnih vrednosti in strategij;</w:t>
      </w:r>
    </w:p>
    <w:p w14:paraId="5C80784F" w14:textId="77777777" w:rsidR="00A55002" w:rsidRPr="008A691D" w:rsidRDefault="00A55002" w:rsidP="00A55002">
      <w:pPr>
        <w:pStyle w:val="NumberedList"/>
        <w:numPr>
          <w:ilvl w:val="3"/>
          <w:numId w:val="38"/>
        </w:numPr>
        <w:rPr>
          <w:lang w:val="sl"/>
        </w:rPr>
      </w:pPr>
      <w:r>
        <w:rPr>
          <w:lang w:val="sl"/>
        </w:rPr>
        <w:t xml:space="preserve">zagotavljajo javnosti, delavcem in drugim ustreznim deležnikom ustrezne, merljive, preverljive (kjer je to primerno) in pravočasne informacije o vplivih na okolje, povezanih z njihovim poslovanjem, izdelki in storitvami, na podlagi najboljših razpoložljivih </w:t>
      </w:r>
      <w:r>
        <w:rPr>
          <w:lang w:val="sl"/>
        </w:rPr>
        <w:lastRenderedPageBreak/>
        <w:t xml:space="preserve">informacij ter o napredku pri doseganju ciljnih vrednosti in ciljev, kot je opisano točki b) 1. odstavka; </w:t>
      </w:r>
    </w:p>
    <w:p w14:paraId="479468FB" w14:textId="77777777" w:rsidR="00A55002" w:rsidRPr="008A691D" w:rsidRDefault="00A55002" w:rsidP="00A55002">
      <w:pPr>
        <w:pStyle w:val="NumberedList"/>
        <w:numPr>
          <w:ilvl w:val="3"/>
          <w:numId w:val="38"/>
        </w:numPr>
        <w:rPr>
          <w:lang w:val="sl"/>
        </w:rPr>
      </w:pPr>
      <w:r>
        <w:rPr>
          <w:lang w:val="sl"/>
        </w:rPr>
        <w:t>odpravijo škodljive vplive na okolje, ki jih je podjetje povzročilo ali k njim prispevalo, ali sodelujejo pri odpravi takšnih vplivov in vplivajo na druge subjekte, ki povzročajo škodljive vplive na okolje ali k njim prispevajo, da jih odpravijo;</w:t>
      </w:r>
    </w:p>
    <w:p w14:paraId="238C4FCF" w14:textId="77777777" w:rsidR="00A55002" w:rsidRPr="008A691D" w:rsidRDefault="00A55002" w:rsidP="00A55002">
      <w:pPr>
        <w:pStyle w:val="NumberedList"/>
        <w:numPr>
          <w:ilvl w:val="0"/>
          <w:numId w:val="19"/>
        </w:numPr>
        <w:rPr>
          <w:lang w:val="sl"/>
        </w:rPr>
      </w:pPr>
      <w:r>
        <w:rPr>
          <w:lang w:val="sl"/>
        </w:rPr>
        <w:t>smiselno sodelujejo z ustreznimi deležniki, na katere vplivajo škodljivi vplivi na okolje, povezani s poslovanjem podjetja, njegovimi izdelki ali storitvami;</w:t>
      </w:r>
    </w:p>
    <w:p w14:paraId="58DE7DE2" w14:textId="77777777" w:rsidR="00A55002" w:rsidRPr="008A691D" w:rsidRDefault="00A55002" w:rsidP="00A55002">
      <w:pPr>
        <w:pStyle w:val="NumberedList"/>
        <w:numPr>
          <w:ilvl w:val="0"/>
          <w:numId w:val="19"/>
        </w:numPr>
        <w:rPr>
          <w:lang w:val="sl"/>
        </w:rPr>
      </w:pPr>
      <w:r>
        <w:rPr>
          <w:lang w:val="sl"/>
        </w:rPr>
        <w:t>ob nevarnosti resne ali nepopravljive škode za okolje, pri čemer se upoštevata tudi zdravje in varnost ljudi, v skladu z znanstvenim in tehničnim razumevanjem tveganj ne uporabljajo pomanjkanja popolne znanstvene gotovosti ali poti kot razlog za odlaganje stroškovno učinkovitih ukrepov za preprečevanje ali zmanjševanje takšne škode;</w:t>
      </w:r>
    </w:p>
    <w:p w14:paraId="6A901E17" w14:textId="77777777" w:rsidR="00A55002" w:rsidRPr="008A691D" w:rsidRDefault="00A55002" w:rsidP="00A55002">
      <w:pPr>
        <w:pStyle w:val="NumberedList"/>
        <w:numPr>
          <w:ilvl w:val="0"/>
          <w:numId w:val="19"/>
        </w:numPr>
        <w:rPr>
          <w:lang w:val="sl"/>
        </w:rPr>
      </w:pPr>
      <w:r>
        <w:rPr>
          <w:lang w:val="sl"/>
        </w:rPr>
        <w:t>vzdržujejo načrte ukrepov ob nepredvidljivih dogodkih za preprečevanje, zmanjševanje in obvladovanje resne škode za okolje in zdravje, ki jo povzroča njihovo poslovanje, vključno z nesrečami in izrednimi razmerami, ter mehanizme za takojšnje poročanje pristojnim organom;</w:t>
      </w:r>
    </w:p>
    <w:p w14:paraId="35DF5423" w14:textId="77777777" w:rsidR="00A55002" w:rsidRPr="008A691D" w:rsidRDefault="00A55002" w:rsidP="00A55002">
      <w:pPr>
        <w:pStyle w:val="NumberedList"/>
        <w:numPr>
          <w:ilvl w:val="0"/>
          <w:numId w:val="19"/>
        </w:numPr>
        <w:rPr>
          <w:lang w:val="sl"/>
        </w:rPr>
      </w:pPr>
      <w:r>
        <w:rPr>
          <w:lang w:val="sl"/>
        </w:rPr>
        <w:t xml:space="preserve">si nenehno prizadevajo za izboljšanje </w:t>
      </w:r>
      <w:proofErr w:type="spellStart"/>
      <w:r>
        <w:rPr>
          <w:lang w:val="sl"/>
        </w:rPr>
        <w:t>okoljske</w:t>
      </w:r>
      <w:proofErr w:type="spellEnd"/>
      <w:r>
        <w:rPr>
          <w:lang w:val="sl"/>
        </w:rPr>
        <w:t xml:space="preserve"> uspešnosti na ravni podjetja in po potrebi subjektov, s katerimi so v poslovnem razmerju, vključno s tem, da:</w:t>
      </w:r>
    </w:p>
    <w:p w14:paraId="53AB9F40" w14:textId="77777777" w:rsidR="00A55002" w:rsidRPr="008A691D" w:rsidRDefault="00A55002" w:rsidP="00A55002">
      <w:pPr>
        <w:pStyle w:val="NumberedList"/>
        <w:numPr>
          <w:ilvl w:val="3"/>
          <w:numId w:val="39"/>
        </w:numPr>
        <w:rPr>
          <w:lang w:val="sl"/>
        </w:rPr>
      </w:pPr>
      <w:r>
        <w:rPr>
          <w:lang w:val="sl"/>
        </w:rPr>
        <w:t xml:space="preserve">uvedejo tehnologije, po možnosti najboljše razpoložljive tehnologije, za izboljšanje </w:t>
      </w:r>
      <w:proofErr w:type="spellStart"/>
      <w:r>
        <w:rPr>
          <w:lang w:val="sl"/>
        </w:rPr>
        <w:t>okoljske</w:t>
      </w:r>
      <w:proofErr w:type="spellEnd"/>
      <w:r>
        <w:rPr>
          <w:lang w:val="sl"/>
        </w:rPr>
        <w:t xml:space="preserve"> uspešnosti;</w:t>
      </w:r>
    </w:p>
    <w:p w14:paraId="7A094099" w14:textId="77777777" w:rsidR="00A55002" w:rsidRPr="008A691D" w:rsidRDefault="00A55002" w:rsidP="00A55002">
      <w:pPr>
        <w:pStyle w:val="NumberedList"/>
        <w:numPr>
          <w:ilvl w:val="3"/>
          <w:numId w:val="39"/>
        </w:numPr>
        <w:rPr>
          <w:lang w:val="sl"/>
        </w:rPr>
      </w:pPr>
      <w:r>
        <w:rPr>
          <w:lang w:val="sl"/>
        </w:rPr>
        <w:t>razvijajo in zagotavljajo izdelke ali storitve, ki nimajo nepotrebnih vplivov na okolje, so varni pri predvideni uporabi, so trajni, popravljivi in jih je mogoče ponovno uporabiti, reciklirati ali varno odstraniti ter so proizvedeni na okolju prijazen način, pri katerem se naravni viri uporabljajo trajnostno in se čim bolj zmanjšajo poraba energije in materialov ter nastajanje onesnaževanja, emisij toplogrednih plinov in odpadkov, zlasti nevarnih odpadkov;</w:t>
      </w:r>
    </w:p>
    <w:p w14:paraId="5000326E" w14:textId="77777777" w:rsidR="00A55002" w:rsidRPr="008A691D" w:rsidRDefault="00A55002" w:rsidP="00A55002">
      <w:pPr>
        <w:pStyle w:val="NumberedList"/>
        <w:numPr>
          <w:ilvl w:val="3"/>
          <w:numId w:val="39"/>
        </w:numPr>
        <w:rPr>
          <w:lang w:val="sl"/>
        </w:rPr>
      </w:pPr>
      <w:r>
        <w:rPr>
          <w:lang w:val="sl"/>
        </w:rPr>
        <w:t xml:space="preserve">spodbujajo višje ravni ozaveščenosti strank o posledicah uporabe proizvodov in storitev podjetja za okolje, vključno z zagotavljanjem ustreznih in natančnih informacij o njihovih vplivih na okolje (na primer o emisijah toplogrednih plinov, vplivih na biotsko raznovrstnost, učinkoviti rabi naravnih virov, popravljivosti in možnosti recikliranja ali drugih </w:t>
      </w:r>
      <w:proofErr w:type="spellStart"/>
      <w:r>
        <w:rPr>
          <w:lang w:val="sl"/>
        </w:rPr>
        <w:t>okoljskih</w:t>
      </w:r>
      <w:proofErr w:type="spellEnd"/>
      <w:r>
        <w:rPr>
          <w:lang w:val="sl"/>
        </w:rPr>
        <w:t xml:space="preserve"> vprašanjih);</w:t>
      </w:r>
    </w:p>
    <w:p w14:paraId="329B81C0" w14:textId="77777777" w:rsidR="00A55002" w:rsidRPr="008A691D" w:rsidRDefault="00A55002" w:rsidP="00A55002">
      <w:pPr>
        <w:pStyle w:val="NumberedList"/>
        <w:numPr>
          <w:ilvl w:val="0"/>
          <w:numId w:val="19"/>
        </w:numPr>
        <w:rPr>
          <w:lang w:val="sl"/>
        </w:rPr>
      </w:pPr>
      <w:r>
        <w:rPr>
          <w:lang w:val="sl"/>
        </w:rPr>
        <w:t xml:space="preserve">zagotovijo ustrezno izobraževanje in usposabljanje delavcev na področju okolja, zdravja in varnosti, vključno z ravnanjem z nevarnimi in nenevarnimi snovmi in odpadki ter preprečevanjem </w:t>
      </w:r>
      <w:proofErr w:type="spellStart"/>
      <w:r>
        <w:rPr>
          <w:lang w:val="sl"/>
        </w:rPr>
        <w:t>okoljskih</w:t>
      </w:r>
      <w:proofErr w:type="spellEnd"/>
      <w:r>
        <w:rPr>
          <w:lang w:val="sl"/>
        </w:rPr>
        <w:t xml:space="preserve"> nesreč, pa tudi na bolj splošnih področjih ravnanja z okoljem, kot so postopki presoje vplivov na okolje, odnosi z javnostmi in </w:t>
      </w:r>
      <w:proofErr w:type="spellStart"/>
      <w:r>
        <w:rPr>
          <w:lang w:val="sl"/>
        </w:rPr>
        <w:t>okoljske</w:t>
      </w:r>
      <w:proofErr w:type="spellEnd"/>
      <w:r>
        <w:rPr>
          <w:lang w:val="sl"/>
        </w:rPr>
        <w:t xml:space="preserve"> tehnologije. Zagotovijo naj podporo, vključno s krepitvijo zmogljivosti na področju ravnanja z okoljem, dobaviteljem in drugim subjektom in osebam, s katerimi so v poslovnem razmerju, zlasti malim in srednje velikim podjetjem ter malim lastnikom, kadar je to primerno in izvedljivo;</w:t>
      </w:r>
    </w:p>
    <w:p w14:paraId="12CD69C9" w14:textId="77777777" w:rsidR="00A55002" w:rsidRPr="008A691D" w:rsidRDefault="00A55002" w:rsidP="00A55002">
      <w:pPr>
        <w:pStyle w:val="NumberedList"/>
        <w:numPr>
          <w:ilvl w:val="0"/>
          <w:numId w:val="19"/>
        </w:numPr>
        <w:rPr>
          <w:lang w:val="sl"/>
        </w:rPr>
      </w:pPr>
      <w:r>
        <w:rPr>
          <w:lang w:val="sl"/>
        </w:rPr>
        <w:t xml:space="preserve">prispevajo k razvoju </w:t>
      </w:r>
      <w:proofErr w:type="spellStart"/>
      <w:r>
        <w:rPr>
          <w:lang w:val="sl"/>
        </w:rPr>
        <w:t>okoljsko</w:t>
      </w:r>
      <w:proofErr w:type="spellEnd"/>
      <w:r>
        <w:rPr>
          <w:lang w:val="sl"/>
        </w:rPr>
        <w:t xml:space="preserve"> odgovorne in gospodarsko učinkovite javne politike, na primer s partnerstvi ali pobudami, ki bodo okrepile </w:t>
      </w:r>
      <w:proofErr w:type="spellStart"/>
      <w:r>
        <w:rPr>
          <w:lang w:val="sl"/>
        </w:rPr>
        <w:t>okoljsko</w:t>
      </w:r>
      <w:proofErr w:type="spellEnd"/>
      <w:r>
        <w:rPr>
          <w:lang w:val="sl"/>
        </w:rPr>
        <w:t xml:space="preserve"> ozaveščenost in varstvo okolja. </w:t>
      </w:r>
    </w:p>
    <w:p w14:paraId="6D5FFEFC" w14:textId="77777777" w:rsidR="00A55002" w:rsidRPr="00EC1531" w:rsidRDefault="00A55002" w:rsidP="00A55002">
      <w:pPr>
        <w:pStyle w:val="Naslov2"/>
        <w:numPr>
          <w:ilvl w:val="1"/>
          <w:numId w:val="21"/>
        </w:numPr>
        <w:rPr>
          <w:color w:val="366091" w:themeColor="accent1" w:themeShade="BF"/>
        </w:rPr>
      </w:pPr>
      <w:r w:rsidRPr="00EC1531">
        <w:rPr>
          <w:bCs/>
          <w:color w:val="366091" w:themeColor="accent1" w:themeShade="BF"/>
          <w:lang w:val="sl"/>
        </w:rPr>
        <w:t>Komentar k VI. poglavju: Okolje</w:t>
      </w:r>
    </w:p>
    <w:p w14:paraId="16C607E1" w14:textId="77777777" w:rsidR="00A55002" w:rsidRPr="008A691D" w:rsidRDefault="00A55002" w:rsidP="00A55002">
      <w:pPr>
        <w:pStyle w:val="Para1"/>
        <w:rPr>
          <w:lang w:val="sl"/>
        </w:rPr>
      </w:pPr>
      <w:r>
        <w:rPr>
          <w:lang w:val="sl"/>
        </w:rPr>
        <w:t xml:space="preserve">Za doseganje </w:t>
      </w:r>
      <w:proofErr w:type="spellStart"/>
      <w:r>
        <w:rPr>
          <w:lang w:val="sl"/>
        </w:rPr>
        <w:t>okoljskih</w:t>
      </w:r>
      <w:proofErr w:type="spellEnd"/>
      <w:r>
        <w:rPr>
          <w:lang w:val="sl"/>
        </w:rPr>
        <w:t xml:space="preserve"> ciljev je potreben način, ki vključuje celotno družbo. </w:t>
      </w:r>
      <w:r>
        <w:rPr>
          <w:i/>
          <w:iCs/>
          <w:lang w:val="sl"/>
        </w:rPr>
        <w:t>Smernice</w:t>
      </w:r>
      <w:r>
        <w:rPr>
          <w:lang w:val="sl"/>
        </w:rPr>
        <w:t xml:space="preserve"> določajo pričakovanja, kako naj se podjetja izogibajo škodljivim vplivom na okolje in jih obravnavajo ter prispevajo k doseganju ciljev blaženja podnebnih sprememb in prilagajanja podnebnim spremembam; ohranjanja, obnavljanja in trajnostne rabe biotske raznovrstnosti; trajnostne, učinkovite in zakonite rabe zemljišč, virov in energije; trajnostne porabe in proizvodnje, tudi s spodbujanjem krožnega gospodarstva, ter preprečevanja in zmanjševanja onesnaževanja ter nadzora nad njim. </w:t>
      </w:r>
      <w:bookmarkStart w:id="28" w:name="_Hlk132753487"/>
      <w:r>
        <w:rPr>
          <w:lang w:val="sl"/>
        </w:rPr>
        <w:t xml:space="preserve">Mednarodne zaveze, večstranski </w:t>
      </w:r>
      <w:r>
        <w:rPr>
          <w:lang w:val="sl"/>
        </w:rPr>
        <w:lastRenderedPageBreak/>
        <w:t xml:space="preserve">sporazumi in drugi ureditveni okviri so pomembno merilo za razumevanje </w:t>
      </w:r>
      <w:proofErr w:type="spellStart"/>
      <w:r>
        <w:rPr>
          <w:lang w:val="sl"/>
        </w:rPr>
        <w:t>okoljskih</w:t>
      </w:r>
      <w:proofErr w:type="spellEnd"/>
      <w:r>
        <w:rPr>
          <w:lang w:val="sl"/>
        </w:rPr>
        <w:t xml:space="preserve"> vprašanj in pričakovanj. </w:t>
      </w:r>
      <w:bookmarkStart w:id="29" w:name="_Hlk129009102"/>
      <w:bookmarkEnd w:id="28"/>
      <w:r>
        <w:rPr>
          <w:lang w:val="sl"/>
        </w:rPr>
        <w:t>Nekateri mednarodni sporazumi vsebujejo skupne vladne cilje in morda podrobno ne določajo odgovornosti posameznih podjetij v zvezi s temi cilji. V takih primerih so pomembna napotila ustrezni ureditveni okviri, nacionalna politika in splošno priznani standardi ravnanja z okoljem in zaščitnih ukrepov ter znanstveni dokazi.</w:t>
      </w:r>
      <w:bookmarkEnd w:id="29"/>
      <w:r>
        <w:rPr>
          <w:lang w:val="sl"/>
        </w:rPr>
        <w:t xml:space="preserve"> Besedilo poglavja o okolju na splošno odraža načela in cilje iz Deklaracije iz Ria o okolju in razvoju, Agende 21 (v okviru Deklaracije iz Ria) in Agende Združenih narodov za trajnostni razvoj do leta 2030. </w:t>
      </w:r>
      <w:bookmarkStart w:id="30" w:name="_Hlk131754667"/>
      <w:bookmarkEnd w:id="30"/>
      <w:r>
        <w:rPr>
          <w:lang w:val="sl"/>
        </w:rPr>
        <w:t xml:space="preserve">Besedilo je skladno tudi z Okvirno konvencijo Združenih narodov o spremembi podnebja (UNFCCC), Pariškim sporazumom, Konvencijo o biološki raznovrstnosti, </w:t>
      </w:r>
      <w:proofErr w:type="spellStart"/>
      <w:r>
        <w:rPr>
          <w:lang w:val="sl"/>
        </w:rPr>
        <w:t>Kunming</w:t>
      </w:r>
      <w:proofErr w:type="spellEnd"/>
      <w:r>
        <w:rPr>
          <w:lang w:val="sl"/>
        </w:rPr>
        <w:t xml:space="preserve">-montrealskim globalnim okvirom za biotsko raznovrstnost, ustreznimi regionalnimi konvencijami o dostopu do informacij, sodelovanju javnosti pri odločanju in dostopu do pravnega varstva v </w:t>
      </w:r>
      <w:proofErr w:type="spellStart"/>
      <w:r>
        <w:rPr>
          <w:lang w:val="sl"/>
        </w:rPr>
        <w:t>okoljskih</w:t>
      </w:r>
      <w:proofErr w:type="spellEnd"/>
      <w:r>
        <w:rPr>
          <w:lang w:val="sl"/>
        </w:rPr>
        <w:t xml:space="preserve"> zadevah, Konvencijo Združenih narodov o boju proti dezertifikaciji, ustreznimi regionalnimi </w:t>
      </w:r>
      <w:proofErr w:type="spellStart"/>
      <w:r>
        <w:rPr>
          <w:lang w:val="sl"/>
        </w:rPr>
        <w:t>okoljskimi</w:t>
      </w:r>
      <w:proofErr w:type="spellEnd"/>
      <w:r>
        <w:rPr>
          <w:lang w:val="sl"/>
        </w:rPr>
        <w:t xml:space="preserve"> sporazumi ter odraža standarde iz instrumentov, kot so standard ISO za sisteme ravnanja z okoljem, standardi </w:t>
      </w:r>
      <w:proofErr w:type="spellStart"/>
      <w:r>
        <w:rPr>
          <w:lang w:val="sl"/>
        </w:rPr>
        <w:t>okoljskega</w:t>
      </w:r>
      <w:proofErr w:type="spellEnd"/>
      <w:r>
        <w:rPr>
          <w:lang w:val="sl"/>
        </w:rPr>
        <w:t xml:space="preserve"> in družbenega delovanja Mednarodne finančne korporacije ter strateški pristop k mednarodnemu ravnanju s kemikalijami (SAICM). </w:t>
      </w:r>
    </w:p>
    <w:p w14:paraId="4628FFCE" w14:textId="77777777" w:rsidR="00A55002" w:rsidRPr="008A691D" w:rsidRDefault="00A55002" w:rsidP="00A55002">
      <w:pPr>
        <w:pStyle w:val="Para1"/>
        <w:rPr>
          <w:lang w:val="sl"/>
        </w:rPr>
      </w:pPr>
      <w:r>
        <w:rPr>
          <w:lang w:val="sl"/>
        </w:rPr>
        <w:t xml:space="preserve">V okviru </w:t>
      </w:r>
      <w:r>
        <w:rPr>
          <w:i/>
          <w:iCs/>
          <w:lang w:val="sl"/>
        </w:rPr>
        <w:t>smernic</w:t>
      </w:r>
      <w:r>
        <w:rPr>
          <w:lang w:val="sl"/>
        </w:rPr>
        <w:t xml:space="preserve"> je treba "ravnanje z okoljem" razlagati v najširšem pomenu, saj zajema dejavnosti, katerih cilj je razumevanje vplivov na okolje in </w:t>
      </w:r>
      <w:proofErr w:type="spellStart"/>
      <w:r>
        <w:rPr>
          <w:lang w:val="sl"/>
        </w:rPr>
        <w:t>okoljskih</w:t>
      </w:r>
      <w:proofErr w:type="spellEnd"/>
      <w:r>
        <w:rPr>
          <w:lang w:val="sl"/>
        </w:rPr>
        <w:t xml:space="preserve"> tveganj, preprečevanje in obravnavanje vplivov na okolje, povezanih s poslovanjem, proizvodi in storitvami podjetja, upoštevanje deleža podjetja pri skupnih vplivih in nenehno prizadevanje za izboljšanje </w:t>
      </w:r>
      <w:proofErr w:type="spellStart"/>
      <w:r>
        <w:rPr>
          <w:lang w:val="sl"/>
        </w:rPr>
        <w:t>okoljske</w:t>
      </w:r>
      <w:proofErr w:type="spellEnd"/>
      <w:r>
        <w:rPr>
          <w:lang w:val="sl"/>
        </w:rPr>
        <w:t xml:space="preserve"> uspešnosti podjetja. Ravnanje z okoljem vključuje tudi izvajanje skrbnega pregleda na podlagi tveganja v zvezi s škodljivimi vplivi na okolje. V skladu z II. poglavjem sta vrsta in obseg skrbnega pregleda na področju okolja odvisna od okoliščin posameznega podjetja. Omejitve pri izvajanju skrbnega pregleda na področju okolja lahko vključujejo pomanjkanje razpoložljivih </w:t>
      </w:r>
      <w:proofErr w:type="spellStart"/>
      <w:r>
        <w:rPr>
          <w:lang w:val="sl"/>
        </w:rPr>
        <w:t>okoljskih</w:t>
      </w:r>
      <w:proofErr w:type="spellEnd"/>
      <w:r>
        <w:rPr>
          <w:lang w:val="sl"/>
        </w:rPr>
        <w:t xml:space="preserve"> podatkov ali tehnologij. Skrbni pregled vključuje tudi določanje prednostnih nalog na podlagi tveganja. Odvisen je tudi od tega, v kolikšni meri je mogoče razumno predvideti vplive na okolje, povezane s poslovanjem, izdelki ali storitvami podjetja. Ravnanje z okoljem je pomemben del trajnostnega razvoja in lahko vključuje uskladitev širokega nabora prednostnih nalog, vključno s tistimi, ki so določene v nacionalnih prednostnih nalogah in ciljih trajnostnega razvoja. Ravnanje z okoljem je odgovornost in priložnost podjetja. </w:t>
      </w:r>
      <w:bookmarkStart w:id="31" w:name="_Hlk128750447"/>
      <w:r>
        <w:rPr>
          <w:lang w:val="sl"/>
        </w:rPr>
        <w:t xml:space="preserve">Mednarodna podjetja imajo v obeh pogledih pomembno vlogo. Zato morajo vodje teh podjetij v okviru svojih poslovnih strategij </w:t>
      </w:r>
      <w:proofErr w:type="spellStart"/>
      <w:r>
        <w:rPr>
          <w:lang w:val="sl"/>
        </w:rPr>
        <w:t>okoljskim</w:t>
      </w:r>
      <w:proofErr w:type="spellEnd"/>
      <w:r>
        <w:rPr>
          <w:lang w:val="sl"/>
        </w:rPr>
        <w:t xml:space="preserve"> vprašanjem nameniti ustrezno pozornost. Za izboljšanje </w:t>
      </w:r>
      <w:proofErr w:type="spellStart"/>
      <w:r>
        <w:rPr>
          <w:lang w:val="sl"/>
        </w:rPr>
        <w:t>okoljske</w:t>
      </w:r>
      <w:proofErr w:type="spellEnd"/>
      <w:r>
        <w:rPr>
          <w:lang w:val="sl"/>
        </w:rPr>
        <w:t xml:space="preserve"> uspešnosti je potrebna zavezanost sistematičnemu načinu delovanja in nenehnemu izboljševanju sistema. Sistem ravnanja z okoljem zagotavlja notranji okvir, ki je potreben za vključitev </w:t>
      </w:r>
      <w:proofErr w:type="spellStart"/>
      <w:r>
        <w:rPr>
          <w:lang w:val="sl"/>
        </w:rPr>
        <w:t>okoljskih</w:t>
      </w:r>
      <w:proofErr w:type="spellEnd"/>
      <w:r>
        <w:rPr>
          <w:lang w:val="sl"/>
        </w:rPr>
        <w:t xml:space="preserve"> vidikov v poslovne dejavnosti. Vzpostavitev takega sistema naj bi pomagala zagotoviti delničarjem, delavcem, skupnostim in drugim pomembnim deležnikom, da si podjetje dejavno prizadeva za varstvo okolja pred škodljivimi vplivi svojih dejavnosti.</w:t>
      </w:r>
      <w:bookmarkEnd w:id="31"/>
    </w:p>
    <w:p w14:paraId="2DEA5D1A" w14:textId="77777777" w:rsidR="00A55002" w:rsidRPr="008A691D" w:rsidRDefault="00A55002" w:rsidP="00A55002">
      <w:pPr>
        <w:pStyle w:val="Para1"/>
        <w:rPr>
          <w:lang w:val="sl"/>
        </w:rPr>
      </w:pPr>
      <w:bookmarkStart w:id="32" w:name="_Hlk128586136"/>
      <w:r>
        <w:rPr>
          <w:lang w:val="sl"/>
        </w:rPr>
        <w:t>V uvodnem odstavku tega poglavja je naveden neizčrpni seznam škodljivih vplivov na okolje, ki so lahko povezani s poslovnimi dejavnostmi. Številne dejavnosti podjetij lahko povzročijo škodljive vplive na okolje. Škodljivi vplivi na okolje so pomembne spremembe v okolju ali živih organizmih, ki škodljivo vplivajo na sestavo, odpornost, produktivnost ali nosilno zmogljivost naravnih in upravljanih ekosistemov ali na delovanje družbenogospodarskih sistemov ali ljudi. Škodljive vplive na okolje je treba oceniti na podlagi najboljših razpoložljivih znanstvenih spoznanj.</w:t>
      </w:r>
      <w:bookmarkStart w:id="33" w:name="_Hlk128750669"/>
      <w:r>
        <w:rPr>
          <w:lang w:val="sl"/>
        </w:rPr>
        <w:t xml:space="preserve"> </w:t>
      </w:r>
      <w:bookmarkEnd w:id="33"/>
      <w:r>
        <w:rPr>
          <w:lang w:val="sl"/>
        </w:rPr>
        <w:t xml:space="preserve">V skladu s </w:t>
      </w:r>
      <w:r>
        <w:rPr>
          <w:i/>
          <w:iCs/>
          <w:lang w:val="sl"/>
        </w:rPr>
        <w:t>smernicami</w:t>
      </w:r>
      <w:r>
        <w:rPr>
          <w:lang w:val="sl"/>
        </w:rPr>
        <w:t>, kot je navedeno v II. poglavju, podjetje "povzroči" škodljivi vpliv na okolje, če njegove dejavnosti same po sebi zadoščajo za nastanek škodljivega vpliva. Podjetje "prispeva" k škodljivemu vplivu na okolje, če njegove dejavnosti skupaj z dejavnostmi drugih subjektov povzročijo vpliv ali če dejavnosti podjetja povzročijo, da drug subjekt povzroči škodljivi vpliv, mu to omogočijo ali ga k temu spodbudijo. Škodljivi vplivi na okolje so lahko neposredno povezani s poslovanjem podjetja, njegovimi izdelki ali storitvami na podlagi poslovnega razmerja, tudi če ne prispevajo k tem vplivom.</w:t>
      </w:r>
    </w:p>
    <w:p w14:paraId="13026B11" w14:textId="77777777" w:rsidR="00A55002" w:rsidRPr="008A691D" w:rsidRDefault="00A55002" w:rsidP="00A55002">
      <w:pPr>
        <w:pStyle w:val="Para1"/>
        <w:rPr>
          <w:bCs/>
          <w:lang w:val="sl"/>
        </w:rPr>
      </w:pPr>
      <w:proofErr w:type="spellStart"/>
      <w:r>
        <w:rPr>
          <w:lang w:val="sl"/>
        </w:rPr>
        <w:t>Okoljski</w:t>
      </w:r>
      <w:proofErr w:type="spellEnd"/>
      <w:r>
        <w:rPr>
          <w:lang w:val="sl"/>
        </w:rPr>
        <w:t xml:space="preserve"> vplivi so lahko skupni in medsebojno povezani ali izolirani; lahko so lokalni ali čezmejni. Nekateri </w:t>
      </w:r>
      <w:proofErr w:type="spellStart"/>
      <w:r>
        <w:rPr>
          <w:lang w:val="sl"/>
        </w:rPr>
        <w:t>okoljski</w:t>
      </w:r>
      <w:proofErr w:type="spellEnd"/>
      <w:r>
        <w:rPr>
          <w:lang w:val="sl"/>
        </w:rPr>
        <w:t xml:space="preserve"> vplivi so dobro znani, pri nekaterih pa so njihov obseg, vrsta in vzroki zanje lahko slabše znani, se razvijajo ali celo niso znani. Zato bo v nekaterih primerih na podlagi razpoložljivih znanstvenih spoznanj in informacij mogoče oceniti, v kolikšni meri podjetje prispeva k škodljivemu vplivu na okolje, v </w:t>
      </w:r>
      <w:r>
        <w:rPr>
          <w:lang w:val="sl"/>
        </w:rPr>
        <w:lastRenderedPageBreak/>
        <w:t xml:space="preserve">nekaterih primerih pa bo takšna ocena morda zelo zahtevna. V tem primeru je treba za namene </w:t>
      </w:r>
      <w:r>
        <w:rPr>
          <w:i/>
          <w:iCs/>
          <w:lang w:val="sl"/>
        </w:rPr>
        <w:t>smernic</w:t>
      </w:r>
      <w:r>
        <w:rPr>
          <w:lang w:val="sl"/>
        </w:rPr>
        <w:t xml:space="preserve"> pri presoji, v kolikšni meri podjetje prispeva k škodljivim vplivom, upoštevati, v kolikšni meri so njegove dejavnosti v skladu s splošno priznanimi standardi, postopki ravnanja z okoljem in zaščitnimi ukrepi glede dobre </w:t>
      </w:r>
      <w:proofErr w:type="spellStart"/>
      <w:r>
        <w:rPr>
          <w:lang w:val="sl"/>
        </w:rPr>
        <w:t>okoljske</w:t>
      </w:r>
      <w:proofErr w:type="spellEnd"/>
      <w:r>
        <w:rPr>
          <w:lang w:val="sl"/>
        </w:rPr>
        <w:t xml:space="preserve"> prakse, merili in standardi, določenimi v veljavnih </w:t>
      </w:r>
      <w:proofErr w:type="spellStart"/>
      <w:r>
        <w:rPr>
          <w:lang w:val="sl"/>
        </w:rPr>
        <w:t>okoljskih</w:t>
      </w:r>
      <w:proofErr w:type="spellEnd"/>
      <w:r>
        <w:rPr>
          <w:lang w:val="sl"/>
        </w:rPr>
        <w:t xml:space="preserve"> predpisih in ureditvenih okvirih, ter ustreznimi mednarodnimi sporazumi.</w:t>
      </w:r>
      <w:bookmarkStart w:id="34" w:name="_Hlk128586080"/>
      <w:bookmarkEnd w:id="34"/>
      <w:r>
        <w:rPr>
          <w:lang w:val="sl"/>
        </w:rPr>
        <w:t xml:space="preserve"> </w:t>
      </w:r>
      <w:bookmarkEnd w:id="32"/>
    </w:p>
    <w:p w14:paraId="5ED21CA0" w14:textId="77777777" w:rsidR="00A55002" w:rsidRPr="008A691D" w:rsidRDefault="00A55002" w:rsidP="00A55002">
      <w:pPr>
        <w:pStyle w:val="Para1"/>
        <w:rPr>
          <w:lang w:val="sl"/>
        </w:rPr>
      </w:pPr>
      <w:r>
        <w:rPr>
          <w:lang w:val="sl"/>
        </w:rPr>
        <w:t xml:space="preserve">Škodljivi vplivi na okolje so pogosto tesno povezani z drugimi zadevami, ki jih zajemajo </w:t>
      </w:r>
      <w:r>
        <w:rPr>
          <w:i/>
          <w:iCs/>
          <w:lang w:val="sl"/>
        </w:rPr>
        <w:t>smernice</w:t>
      </w:r>
      <w:r>
        <w:rPr>
          <w:lang w:val="sl"/>
        </w:rPr>
        <w:t xml:space="preserve">, kot so zdravje in varnost, vplivi na delavce in skupnosti, dostop do sredstev za preživljanje ali lastninska pravica na zemljiščih. Poleg tega bosta izvedba skrbnega pregleda na področju okolja in obvladovanje škodljivih vplivov na okolje pogosto vključevala upoštevanje več </w:t>
      </w:r>
      <w:proofErr w:type="spellStart"/>
      <w:r>
        <w:rPr>
          <w:lang w:val="sl"/>
        </w:rPr>
        <w:t>okoljskih</w:t>
      </w:r>
      <w:proofErr w:type="spellEnd"/>
      <w:r>
        <w:rPr>
          <w:lang w:val="sl"/>
        </w:rPr>
        <w:t xml:space="preserve">, družbenih in razvojnih prednostnih nalog. Zlasti preambula Pariškega sporazuma upošteva nujnost pravičnega prehoda, delovne sile ter ustvarjanja dostojnega dela in kakovostnih delovnih mest v skladu z nacionalno opredeljenimi razvojnimi prednostnimi nalogami ter priznava, da morajo pogodbenice pri sprejemanju ukrepov za obravnavanje podnebnih sprememb spoštovati, spodbujati in upoštevati svoje obveznosti.  V zvezi s tem je pomembno, da podjetja ocenijo in obravnavajo družbene vplive pri ravnanju z okoljem in dejavnostih skrbnega pregleda ter sprejmejo ukrepe za preprečevanje in ublažitev takšnih škodljivih vplivov tako pri opuščanju okolju škodljivih praks kot tudi pri prehodu na okolju prijaznejše panoge ali prakse, kot je uporaba obnovljivih virov energije. Pri tem bo pomembno, da podjetja spoštujejo delavske pravice, vključno s sodelovanjem v socialnem dialogu in kolektivnih pogajanjih, kot je opisano v </w:t>
      </w:r>
      <w:proofErr w:type="spellStart"/>
      <w:r>
        <w:rPr>
          <w:lang w:val="sl"/>
        </w:rPr>
        <w:t>V</w:t>
      </w:r>
      <w:proofErr w:type="spellEnd"/>
      <w:r>
        <w:rPr>
          <w:lang w:val="sl"/>
        </w:rPr>
        <w:t>. poglavju, smiselno sodelujejo z ustreznimi deležniki in, kjer je to ustrezno, odgovorno prekinejo sodelovanje, kot je opisano v II. poglavju.</w:t>
      </w:r>
    </w:p>
    <w:p w14:paraId="3DA121D5" w14:textId="77777777" w:rsidR="00A55002" w:rsidRPr="008A691D" w:rsidRDefault="00A55002" w:rsidP="00A55002">
      <w:pPr>
        <w:pStyle w:val="Para1"/>
        <w:rPr>
          <w:lang w:val="sl"/>
        </w:rPr>
      </w:pPr>
      <w:r>
        <w:rPr>
          <w:lang w:val="sl"/>
        </w:rPr>
        <w:t xml:space="preserve">Poleg večje </w:t>
      </w:r>
      <w:proofErr w:type="spellStart"/>
      <w:r>
        <w:rPr>
          <w:lang w:val="sl"/>
        </w:rPr>
        <w:t>okoljske</w:t>
      </w:r>
      <w:proofErr w:type="spellEnd"/>
      <w:r>
        <w:rPr>
          <w:lang w:val="sl"/>
        </w:rPr>
        <w:t xml:space="preserve"> uspešnosti lahko podjetja z uvedbo sistema ravnanja z okoljem pridobijo tudi gospodarske koristi z zmanjšanjem stroškov poslovanja in zavarovanja, boljšim varčevanjem z energijo in viri, zmanjšanjem stroškov za skladnost in odgovornost, večjo trajnostjo in odpornostjo, boljšim dostopom do kapitala in znanja, boljšim zadovoljstvom strank ter boljšimi odnosi s skupnostjo in javnostjo.</w:t>
      </w:r>
    </w:p>
    <w:p w14:paraId="699BBDF2" w14:textId="77777777" w:rsidR="00A55002" w:rsidRPr="008A691D" w:rsidRDefault="00A55002" w:rsidP="00A55002">
      <w:pPr>
        <w:pStyle w:val="Para1"/>
        <w:rPr>
          <w:bCs/>
          <w:lang w:val="sl"/>
        </w:rPr>
      </w:pPr>
      <w:r>
        <w:rPr>
          <w:lang w:val="sl"/>
        </w:rPr>
        <w:t xml:space="preserve">Obveščanje o vplivih na okolje, povezanih s poslovanjem, izdelki in storitvami podjetja, ter smiselno sodelovanje z deležniki sta sestavni del skrbnega pregleda in se lahko zahtevata tudi z zakonom. Pri tem so koristna napotila standardi poročanja, kot so Global </w:t>
      </w:r>
      <w:proofErr w:type="spellStart"/>
      <w:r>
        <w:rPr>
          <w:lang w:val="sl"/>
        </w:rPr>
        <w:t>Reporting</w:t>
      </w:r>
      <w:proofErr w:type="spellEnd"/>
      <w:r>
        <w:rPr>
          <w:lang w:val="sl"/>
        </w:rPr>
        <w:t xml:space="preserve"> </w:t>
      </w:r>
      <w:proofErr w:type="spellStart"/>
      <w:r>
        <w:rPr>
          <w:lang w:val="sl"/>
        </w:rPr>
        <w:t>Initiative</w:t>
      </w:r>
      <w:proofErr w:type="spellEnd"/>
      <w:r>
        <w:rPr>
          <w:lang w:val="sl"/>
        </w:rPr>
        <w:t xml:space="preserve"> in drugi standardi </w:t>
      </w:r>
      <w:proofErr w:type="spellStart"/>
      <w:r>
        <w:rPr>
          <w:lang w:val="sl"/>
        </w:rPr>
        <w:t>okoljskega</w:t>
      </w:r>
      <w:proofErr w:type="spellEnd"/>
      <w:r>
        <w:rPr>
          <w:lang w:val="sl"/>
        </w:rPr>
        <w:t xml:space="preserve"> poročanja. Glej tudi III. poglavje o razkritju. Smiselno sodelovanje in komuniciranje z deležniki, kot so zaposleni, stranke, vlagatelji, dobavitelji, izvajalci, lokalne skupnosti, posamezniki ali skupine, ki so ranljivi ali marginalizirani, osebe s posebnimi pravicami ali zakonitimi lastninskimi pravicami in domorodna ljudstva, ter z javnostjo na splošno je še posebej pomembno, kadar so ti deležniki prizadeti ali bi lahko bili prizadeti zaradi takšnih vplivov in kadar gre za redke ali ogrožene </w:t>
      </w:r>
      <w:proofErr w:type="spellStart"/>
      <w:r>
        <w:rPr>
          <w:lang w:val="sl"/>
        </w:rPr>
        <w:t>okoljske</w:t>
      </w:r>
      <w:proofErr w:type="spellEnd"/>
      <w:r>
        <w:rPr>
          <w:lang w:val="sl"/>
        </w:rPr>
        <w:t xml:space="preserve"> dobrine, bodisi na regionalni, nacionalni ali mednarodni ravni. </w:t>
      </w:r>
    </w:p>
    <w:p w14:paraId="16D2D764" w14:textId="77777777" w:rsidR="00A55002" w:rsidRPr="008A691D" w:rsidRDefault="00A55002" w:rsidP="00A55002">
      <w:pPr>
        <w:pStyle w:val="Para1"/>
        <w:rPr>
          <w:bCs/>
          <w:lang w:val="sl"/>
        </w:rPr>
      </w:pPr>
      <w:r>
        <w:rPr>
          <w:lang w:val="sl"/>
        </w:rPr>
        <w:t xml:space="preserve">Podjetja se spodbujajo, da sprejmejo vzorce trajnostne porabe in proizvodnje, vključno z učinkovito rabo naravnih virov, krožnim gospodarstvom in drugimi modeli. Podjetja lahko s takšnimi praksami bistveno zmanjšajo svoje škodljive vplive na okolje. Učinkovita raba naravnih virov spodbuja učinkovitejšo in uspešnejšo rabo virov in materialov, vključno z okolju prijazno oskrbo s surovinami. Poleg tega so načini krožnega gospodarstva po potrebi pomembni kot eno od razpoložljivih sredstev za doseganje trajnostnega razvoja. Glede na nacionalne prednostne naloge in okoliščine je krožno gospodarstvo model, pri katerem so izdelki in materiali zasnovani tako, da jih je mogoče ponovno uporabiti, popraviti, predelati, reciklirati in tako čim dlje ohraniti v gospodarstvu, skupaj z viri, iz katerih so izdelani, in pri katerem se prepreči ali čim bolj zmanjša nastajanje odpadkov, zlasti nevarnih, ter preprečijo in zmanjšajo emisije toplogrednih plinov. </w:t>
      </w:r>
    </w:p>
    <w:p w14:paraId="319DCF13" w14:textId="77777777" w:rsidR="00A55002" w:rsidRPr="008A691D" w:rsidRDefault="00A55002" w:rsidP="00A55002">
      <w:pPr>
        <w:pStyle w:val="Para1"/>
        <w:rPr>
          <w:lang w:val="sl"/>
        </w:rPr>
      </w:pPr>
      <w:r>
        <w:rPr>
          <w:lang w:val="sl"/>
        </w:rPr>
        <w:t xml:space="preserve">Osnovno izhodišče </w:t>
      </w:r>
      <w:r>
        <w:rPr>
          <w:i/>
          <w:iCs/>
          <w:lang w:val="sl"/>
        </w:rPr>
        <w:t>smernic</w:t>
      </w:r>
      <w:r>
        <w:rPr>
          <w:lang w:val="sl"/>
        </w:rPr>
        <w:t xml:space="preserve"> je, da morajo podjetja čim prej in proaktivno ukrepati, da bi se izognila škodljivim vplivom na okolje. </w:t>
      </w:r>
    </w:p>
    <w:p w14:paraId="0E1DEB24" w14:textId="77777777" w:rsidR="00A55002" w:rsidRPr="008A691D" w:rsidRDefault="00A55002" w:rsidP="00A55002">
      <w:pPr>
        <w:pStyle w:val="Para1"/>
        <w:rPr>
          <w:lang w:val="sl"/>
        </w:rPr>
      </w:pPr>
      <w:r>
        <w:rPr>
          <w:i/>
          <w:iCs/>
          <w:lang w:val="sl"/>
        </w:rPr>
        <w:t>Smernice</w:t>
      </w:r>
      <w:r>
        <w:rPr>
          <w:lang w:val="sl"/>
        </w:rPr>
        <w:t xml:space="preserve"> niso namenjene ponovni razlagi obstoječih instrumentov ali ustvarjanju novih zavez ali precedensov s strani vlad – njihov namen je le priporočiti, kako naj se previdnostni ukrepi izvajajo na ravni podjetij. Priznava se, da je pri tem potrebno nekaj prožnosti glede na posebne okoliščine, v katerih se </w:t>
      </w:r>
      <w:r>
        <w:rPr>
          <w:lang w:val="sl"/>
        </w:rPr>
        <w:lastRenderedPageBreak/>
        <w:t xml:space="preserve">izvaja. Poleg tega se priznava, da vlade določajo osnovni okvir na tem področju glede na svoje zmožnosti in so odgovorne za redno posvetovanje z deležniki o najustreznejšem prihodnjem ravnanju, pri čemer zagotavljajo preglednost in sledijo znanstvenim dognanjem. </w:t>
      </w:r>
    </w:p>
    <w:p w14:paraId="2CD27263" w14:textId="77777777" w:rsidR="00A55002" w:rsidRPr="008A691D" w:rsidRDefault="00A55002" w:rsidP="00A55002">
      <w:pPr>
        <w:pStyle w:val="Para1"/>
        <w:rPr>
          <w:bCs/>
          <w:lang w:val="sl"/>
        </w:rPr>
      </w:pPr>
      <w:r>
        <w:rPr>
          <w:lang w:val="sl"/>
        </w:rPr>
        <w:t>Podjetja pomembno prispevajo k doseganju neto ničelnih emisij toplogrednih plinov in podnebno odpornega gospodarstva, ki je potrebno za doseganje mednarodno dogovorjenih ciljev o blaženju podnebnih sprememb in prilagajanju podnebnim spremembam.</w:t>
      </w:r>
      <w:r>
        <w:rPr>
          <w:shd w:val="clear" w:color="auto" w:fill="FFFFFF"/>
          <w:lang w:val="sl"/>
        </w:rPr>
        <w:t xml:space="preserve"> Med prehodom na ničelne neto emisije toplogrednih plinov bodo številne poslovne dejavnosti vključevale neko raven emisij toplogrednih plinov ali zmanjšanje ponorov ogljika. </w:t>
      </w:r>
      <w:r>
        <w:rPr>
          <w:lang w:val="sl"/>
        </w:rPr>
        <w:t>Podjetja naj zagotovijo, da so njihove emisije toplogrednih plinov in vpliv na ponore ogljika skladni z mednarodno dogovorjenimi cilji glede svetovne temperature, ki temeljijo na najboljših razpoložljivih znanstvenih dognanjih, vključno z ocenami Medvladnega foruma o podnebnih spremembah (IPCC).</w:t>
      </w:r>
    </w:p>
    <w:p w14:paraId="207AFD2F" w14:textId="77777777" w:rsidR="00A55002" w:rsidRPr="008A691D" w:rsidRDefault="00A55002" w:rsidP="00A55002">
      <w:pPr>
        <w:pStyle w:val="Para1"/>
        <w:rPr>
          <w:lang w:val="sl"/>
        </w:rPr>
      </w:pPr>
      <w:r>
        <w:rPr>
          <w:lang w:val="sl"/>
        </w:rPr>
        <w:t xml:space="preserve">To vključuje uvedbo in izvajanje znanstveno utemeljenih politik, strategij in prehodnih načrtov za blaženje podnebnih sprememb in prilagajanje podnebnim spremembam ter sprejemanje, izvajanje, spremljanje kratkoročnih, srednjeročnih in dolgoročnih ciljev za blaženje podnebnih sprememb ter poročanje o njih. Ti cilji morajo biti znanstveno utemeljeni, morajo vključevati absolutne cilje zmanjšanja emisij toplogrednih plinov in po potrebi tudi cilje zmanjšanja emisij toplogrednih plinov, ki temeljijo na intenzivnosti, ter upoštevati obseg 1, 2 in, kolikor je to mogoče na podlagi najboljših razpoložljivih informacij, obseg 3 emisij toplogrednih plinov. Pomembno bo redno poročati o ciljih, jih pregledovati in posodabljati glede na njihovo ustreznost in pomembnost, in sicer na podlagi najnovejših razpoložljivih znanstvenih dokazov ter ob razvoju in posodabljanju različnih nacionalnih ali panožnih poti prehoda. Podjetja naj dajejo prednost odpravi ali zmanjšanju virov emisij pred izravnalnimi, kompenzacijskimi ali </w:t>
      </w:r>
      <w:proofErr w:type="spellStart"/>
      <w:r>
        <w:rPr>
          <w:lang w:val="sl"/>
        </w:rPr>
        <w:t>nevtralizacijskimi</w:t>
      </w:r>
      <w:proofErr w:type="spellEnd"/>
      <w:r>
        <w:rPr>
          <w:lang w:val="sl"/>
        </w:rPr>
        <w:t xml:space="preserve"> ukrepi. Kot skrajni ukrep za obravnavanje nezmanjšanih emisij se lahko upoštevajo emisijski dobropisi ali </w:t>
      </w:r>
      <w:proofErr w:type="spellStart"/>
      <w:r>
        <w:rPr>
          <w:lang w:val="sl"/>
        </w:rPr>
        <w:t>ogljične</w:t>
      </w:r>
      <w:proofErr w:type="spellEnd"/>
      <w:r>
        <w:rPr>
          <w:lang w:val="sl"/>
        </w:rPr>
        <w:t xml:space="preserve"> izravnave. Emisijski dobropisi ali </w:t>
      </w:r>
      <w:proofErr w:type="spellStart"/>
      <w:r>
        <w:rPr>
          <w:lang w:val="sl"/>
        </w:rPr>
        <w:t>ogljične</w:t>
      </w:r>
      <w:proofErr w:type="spellEnd"/>
      <w:r>
        <w:rPr>
          <w:lang w:val="sl"/>
        </w:rPr>
        <w:t xml:space="preserve"> izravnave morajo zagotavljati visoko stopnjo </w:t>
      </w:r>
      <w:proofErr w:type="spellStart"/>
      <w:r>
        <w:rPr>
          <w:lang w:val="sl"/>
        </w:rPr>
        <w:t>okoljske</w:t>
      </w:r>
      <w:proofErr w:type="spellEnd"/>
      <w:r>
        <w:rPr>
          <w:lang w:val="sl"/>
        </w:rPr>
        <w:t xml:space="preserve"> celovitosti in ne smejo odvračati pozornosti od potrebe po zmanjšanju emisij ter ne smejo prispevati k ohranjanju procesov in infrastruktur, ki intenzivno proizvajajo toplogredne pline. Podjetja naj javno poročajo o svoji odvisnosti od kakršnih koli emisijskih dobropisov ali </w:t>
      </w:r>
      <w:proofErr w:type="spellStart"/>
      <w:r>
        <w:rPr>
          <w:lang w:val="sl"/>
        </w:rPr>
        <w:t>ogljičnih</w:t>
      </w:r>
      <w:proofErr w:type="spellEnd"/>
      <w:r>
        <w:rPr>
          <w:lang w:val="sl"/>
        </w:rPr>
        <w:t xml:space="preserve"> izravnav in o njihovih pomembnih značilnostih. Takšno poročanje naj se razlikuje od poročanja o zmanjšanju emisij in naj ga dopolnjuje.</w:t>
      </w:r>
      <w:r>
        <w:rPr>
          <w:i/>
          <w:iCs/>
          <w:lang w:val="sl"/>
        </w:rPr>
        <w:t xml:space="preserve"> </w:t>
      </w:r>
    </w:p>
    <w:p w14:paraId="294FB6E9" w14:textId="77777777" w:rsidR="00A55002" w:rsidRPr="008A691D" w:rsidRDefault="00A55002" w:rsidP="00A55002">
      <w:pPr>
        <w:pStyle w:val="Para1"/>
        <w:rPr>
          <w:bCs/>
          <w:lang w:val="sl"/>
        </w:rPr>
      </w:pPr>
      <w:r>
        <w:rPr>
          <w:lang w:val="sl"/>
        </w:rPr>
        <w:t xml:space="preserve">Uporaba vpliva in zagotavljanje tehnologije pod obojestransko sprejemljivimi pogoji, tehnična pomoč in financiranje dobaviteljem ter druga poslovna razmerja za prizadevanja za blaženje podnebnih sprememb in prilagajanje podnebnim spremembam bodo ključnega pomena za doseganje ciljev in obravnavanje vplivov. </w:t>
      </w:r>
    </w:p>
    <w:p w14:paraId="7228E361" w14:textId="77777777" w:rsidR="00A55002" w:rsidRPr="008A691D" w:rsidRDefault="00A55002" w:rsidP="00A55002">
      <w:pPr>
        <w:pStyle w:val="Para1"/>
        <w:rPr>
          <w:bCs/>
          <w:lang w:val="sl"/>
        </w:rPr>
      </w:pPr>
      <w:r>
        <w:rPr>
          <w:lang w:val="sl"/>
        </w:rPr>
        <w:t xml:space="preserve">Doseganje odpornosti proti podnebnim spremembam in prilagajanje podnebnim spremembam sta ključnega pomena pri dolgoročnem globalnem odzivu na podnebne spremembe za zaščito ljudi in ekosistemov, zanju pa bosta potrebna sodelovanje in podpora vseh delov družbe. Podjetja naj se izogibajo dejavnostim, ki ogrožajo prilagajanje skupnosti, delavcev in ekosistemov podnebnim spremembam in njihovo odpornost proti njim. </w:t>
      </w:r>
    </w:p>
    <w:p w14:paraId="25A7FF2B" w14:textId="77777777" w:rsidR="00A55002" w:rsidRPr="008A691D" w:rsidRDefault="00A55002" w:rsidP="00A55002">
      <w:pPr>
        <w:pStyle w:val="Para1"/>
        <w:rPr>
          <w:b/>
          <w:u w:val="single"/>
          <w:lang w:val="sl"/>
        </w:rPr>
      </w:pPr>
      <w:r>
        <w:rPr>
          <w:lang w:val="sl"/>
        </w:rPr>
        <w:t xml:space="preserve">Ohranjanje biotske raznovrstnosti ter trajnostno upravljanje in raba naravnih virov in ekosistemov, vključno na primer z gozdovi, oceani, šotišči in mokrišči, so zelo pomembni za zdravje in preživetje ljudi, preživetje vrst ter blaženje podnebnih sprememb in prilagajanje podnebnim spremembam. Podjetja naj prispevajo k ohranjanju biotske raznovrstnosti, trajnostni rabi njenih sestavin ter pošteni in pravični delitvi koristi, ki izhajajo iz rabe genskih virov. Podjetja naj tudi preprečujejo in obravnavajo degradacijo zemljišč, morij in sladke vode, vključno s krčenjem gozdov, v skladu s cilji trajnostnega razvoja Združenih narodov, zlasti cilja 15.2, strateškega načrta Združenih narodov za gozdove 2017–2030 in deklaracije voditeljev o gozdovih in rabi zemljišč iz Glasgowa iz leta 2021, katerih cilj je do leta 2030 ustaviti in obrniti trend izginjanja gozdov in degradacije zemljišč. </w:t>
      </w:r>
      <w:bookmarkStart w:id="35" w:name="_Hlk128739292"/>
      <w:r>
        <w:rPr>
          <w:lang w:val="sl"/>
        </w:rPr>
        <w:t xml:space="preserve">Prizadevanja naj vključujejo izvajanje poostrenega skrbnega nadzora v zvezi z morebitnimi škodljivimi vplivi na biotsko raznovrstnost v narodnih parkih, rezervatih in drugih zavarovanih območjih, vključno z območji svetovne naravne dediščine Unesca, območji, </w:t>
      </w:r>
      <w:r>
        <w:rPr>
          <w:lang w:val="sl"/>
        </w:rPr>
        <w:lastRenderedPageBreak/>
        <w:t xml:space="preserve">zavarovanimi v skladu s Konvencijo o biološki raznovrstnosti, in kot so opredeljena v notranjem pravu, ter na zavarovane vrste. </w:t>
      </w:r>
      <w:bookmarkEnd w:id="35"/>
      <w:r>
        <w:rPr>
          <w:lang w:val="sl"/>
        </w:rPr>
        <w:t>Podjetja naj po potrebi ter v skladu s svojimi zmožnostmi in notranjo zakonodajo držav, v katerih poslujejo, prispevajo tudi k trajnostnemu gospodarjenju z zemljišči in gozdovi, vključno z obnovo, pogozdovanjem, ponovnim pogozdovanjem, vključno z zmanjševanjem degradacije zemljišč, morja in sladke vode. Prizadevanja podjetij za preprečevanje ali ublažitev škodljivih vplivov na biotsko raznovrstnost naj temeljijo na hierarhiji ublažitve škodljivih vplivov: najprej naj skušajo preprečiti škodo biotski raznovrstnosti; kadar preprečevanje ni mogoče, naj škodo zmanjšajo ali zmanjšajo do najmanjše mogoče mere; izravnave in obnovo naj uporabijo kot zadnjo možnost za škodljive vplive, ki jih ni mogoče preprečiti.</w:t>
      </w:r>
      <w:r>
        <w:rPr>
          <w:b/>
          <w:bCs/>
          <w:i/>
          <w:iCs/>
          <w:u w:val="single"/>
          <w:lang w:val="sl"/>
        </w:rPr>
        <w:t xml:space="preserve">  </w:t>
      </w:r>
    </w:p>
    <w:p w14:paraId="38F4E312" w14:textId="77777777" w:rsidR="00A55002" w:rsidRPr="008A691D" w:rsidRDefault="00A55002" w:rsidP="00A55002">
      <w:pPr>
        <w:pStyle w:val="Para1"/>
        <w:rPr>
          <w:b/>
          <w:bCs/>
          <w:i/>
          <w:lang w:val="sl"/>
        </w:rPr>
      </w:pPr>
      <w:r>
        <w:rPr>
          <w:lang w:val="sl"/>
        </w:rPr>
        <w:t>Škodljivi vplivi na okolje, zlasti na biotsko raznovrstnost ter degradacijo zemljišč, morja in sladke vode, so lahko povezani z odgovornim upravljanjem lastništva zemljišč, gozdov in ribištva. Kot je navedeno v prostovoljnih smernicah o odgovornem upravljanju lastništva zemljišč, ribištva in gozdov v okviru nacionalne prehranske varnosti (</w:t>
      </w:r>
      <w:proofErr w:type="spellStart"/>
      <w:r>
        <w:rPr>
          <w:i/>
          <w:iCs/>
          <w:lang w:val="sl"/>
        </w:rPr>
        <w:t>Voluntary</w:t>
      </w:r>
      <w:proofErr w:type="spellEnd"/>
      <w:r>
        <w:rPr>
          <w:i/>
          <w:iCs/>
          <w:lang w:val="sl"/>
        </w:rPr>
        <w:t xml:space="preserve"> </w:t>
      </w:r>
      <w:proofErr w:type="spellStart"/>
      <w:r>
        <w:rPr>
          <w:i/>
          <w:iCs/>
          <w:lang w:val="sl"/>
        </w:rPr>
        <w:t>Guidelines</w:t>
      </w:r>
      <w:proofErr w:type="spellEnd"/>
      <w:r>
        <w:rPr>
          <w:i/>
          <w:iCs/>
          <w:lang w:val="sl"/>
        </w:rPr>
        <w:t xml:space="preserve"> on </w:t>
      </w:r>
      <w:proofErr w:type="spellStart"/>
      <w:r>
        <w:rPr>
          <w:i/>
          <w:iCs/>
          <w:lang w:val="sl"/>
        </w:rPr>
        <w:t>the</w:t>
      </w:r>
      <w:proofErr w:type="spellEnd"/>
      <w:r>
        <w:rPr>
          <w:i/>
          <w:iCs/>
          <w:lang w:val="sl"/>
        </w:rPr>
        <w:t xml:space="preserve"> </w:t>
      </w:r>
      <w:proofErr w:type="spellStart"/>
      <w:r>
        <w:rPr>
          <w:i/>
          <w:iCs/>
          <w:lang w:val="sl"/>
        </w:rPr>
        <w:t>Responsible</w:t>
      </w:r>
      <w:proofErr w:type="spellEnd"/>
      <w:r>
        <w:rPr>
          <w:i/>
          <w:iCs/>
          <w:lang w:val="sl"/>
        </w:rPr>
        <w:t xml:space="preserve"> </w:t>
      </w:r>
      <w:proofErr w:type="spellStart"/>
      <w:r>
        <w:rPr>
          <w:i/>
          <w:iCs/>
          <w:lang w:val="sl"/>
        </w:rPr>
        <w:t>Governance</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Tenure</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Land</w:t>
      </w:r>
      <w:proofErr w:type="spellEnd"/>
      <w:r>
        <w:rPr>
          <w:i/>
          <w:iCs/>
          <w:lang w:val="sl"/>
        </w:rPr>
        <w:t xml:space="preserve">, </w:t>
      </w:r>
      <w:proofErr w:type="spellStart"/>
      <w:r>
        <w:rPr>
          <w:i/>
          <w:iCs/>
          <w:lang w:val="sl"/>
        </w:rPr>
        <w:t>Fisheries</w:t>
      </w:r>
      <w:proofErr w:type="spellEnd"/>
      <w:r>
        <w:rPr>
          <w:i/>
          <w:iCs/>
          <w:lang w:val="sl"/>
        </w:rPr>
        <w:t xml:space="preserve"> </w:t>
      </w:r>
      <w:proofErr w:type="spellStart"/>
      <w:r>
        <w:rPr>
          <w:i/>
          <w:iCs/>
          <w:lang w:val="sl"/>
        </w:rPr>
        <w:t>and</w:t>
      </w:r>
      <w:proofErr w:type="spellEnd"/>
      <w:r>
        <w:rPr>
          <w:i/>
          <w:iCs/>
          <w:lang w:val="sl"/>
        </w:rPr>
        <w:t xml:space="preserve"> </w:t>
      </w:r>
      <w:proofErr w:type="spellStart"/>
      <w:r>
        <w:rPr>
          <w:i/>
          <w:iCs/>
          <w:lang w:val="sl"/>
        </w:rPr>
        <w:t>Forests</w:t>
      </w:r>
      <w:proofErr w:type="spellEnd"/>
      <w:r>
        <w:rPr>
          <w:i/>
          <w:iCs/>
          <w:lang w:val="sl"/>
        </w:rPr>
        <w:t xml:space="preserve"> in </w:t>
      </w:r>
      <w:proofErr w:type="spellStart"/>
      <w:r>
        <w:rPr>
          <w:i/>
          <w:iCs/>
          <w:lang w:val="sl"/>
        </w:rPr>
        <w:t>the</w:t>
      </w:r>
      <w:proofErr w:type="spellEnd"/>
      <w:r>
        <w:rPr>
          <w:i/>
          <w:iCs/>
          <w:lang w:val="sl"/>
        </w:rPr>
        <w:t xml:space="preserve"> </w:t>
      </w:r>
      <w:proofErr w:type="spellStart"/>
      <w:r>
        <w:rPr>
          <w:i/>
          <w:iCs/>
          <w:lang w:val="sl"/>
        </w:rPr>
        <w:t>Context</w:t>
      </w:r>
      <w:proofErr w:type="spellEnd"/>
      <w:r>
        <w:rPr>
          <w:i/>
          <w:iCs/>
          <w:lang w:val="sl"/>
        </w:rPr>
        <w:t xml:space="preserve"> </w:t>
      </w:r>
      <w:proofErr w:type="spellStart"/>
      <w:r>
        <w:rPr>
          <w:i/>
          <w:iCs/>
          <w:lang w:val="sl"/>
        </w:rPr>
        <w:t>of</w:t>
      </w:r>
      <w:proofErr w:type="spellEnd"/>
      <w:r>
        <w:rPr>
          <w:i/>
          <w:iCs/>
          <w:lang w:val="sl"/>
        </w:rPr>
        <w:t xml:space="preserve"> </w:t>
      </w:r>
      <w:proofErr w:type="spellStart"/>
      <w:r>
        <w:rPr>
          <w:i/>
          <w:iCs/>
          <w:lang w:val="sl"/>
        </w:rPr>
        <w:t>National</w:t>
      </w:r>
      <w:proofErr w:type="spellEnd"/>
      <w:r>
        <w:rPr>
          <w:i/>
          <w:iCs/>
          <w:lang w:val="sl"/>
        </w:rPr>
        <w:t xml:space="preserve"> </w:t>
      </w:r>
      <w:proofErr w:type="spellStart"/>
      <w:r>
        <w:rPr>
          <w:i/>
          <w:iCs/>
          <w:lang w:val="sl"/>
        </w:rPr>
        <w:t>Food</w:t>
      </w:r>
      <w:proofErr w:type="spellEnd"/>
      <w:r>
        <w:rPr>
          <w:i/>
          <w:iCs/>
          <w:lang w:val="sl"/>
        </w:rPr>
        <w:t xml:space="preserve"> </w:t>
      </w:r>
      <w:proofErr w:type="spellStart"/>
      <w:r>
        <w:rPr>
          <w:i/>
          <w:iCs/>
          <w:lang w:val="sl"/>
        </w:rPr>
        <w:t>Security</w:t>
      </w:r>
      <w:proofErr w:type="spellEnd"/>
      <w:r>
        <w:rPr>
          <w:i/>
          <w:iCs/>
          <w:lang w:val="sl"/>
        </w:rPr>
        <w:t xml:space="preserve"> – </w:t>
      </w:r>
      <w:proofErr w:type="spellStart"/>
      <w:r>
        <w:rPr>
          <w:i/>
          <w:iCs/>
          <w:lang w:val="sl"/>
        </w:rPr>
        <w:t>VGGTs</w:t>
      </w:r>
      <w:proofErr w:type="spellEnd"/>
      <w:r>
        <w:rPr>
          <w:lang w:val="sl"/>
        </w:rPr>
        <w:t xml:space="preserve">), ima lahko odgovorno upravljanje lastništva zemljišč, gozdov in ribištva pomembno vlogo pri podpiranju trajnostne rabe okolja. Pri tem prostovoljne smernice o odgovornem upravljanju lastništva pozivajo k naložbam, ki ne povzročajo škode, in varujejo pred razlastitvijo zakonitih imetnikov lastninske pravice in </w:t>
      </w:r>
      <w:proofErr w:type="spellStart"/>
      <w:r>
        <w:rPr>
          <w:lang w:val="sl"/>
        </w:rPr>
        <w:t>okoljsko</w:t>
      </w:r>
      <w:proofErr w:type="spellEnd"/>
      <w:r>
        <w:rPr>
          <w:lang w:val="sl"/>
        </w:rPr>
        <w:t xml:space="preserve"> škodo.</w:t>
      </w:r>
    </w:p>
    <w:p w14:paraId="25B80A33" w14:textId="77777777" w:rsidR="00A55002" w:rsidRPr="008A691D" w:rsidRDefault="00A55002" w:rsidP="00A55002">
      <w:pPr>
        <w:pStyle w:val="Para1"/>
        <w:rPr>
          <w:lang w:val="sl"/>
        </w:rPr>
      </w:pPr>
      <w:r>
        <w:rPr>
          <w:i/>
          <w:iCs/>
          <w:lang w:val="sl"/>
        </w:rPr>
        <w:t>Smernice</w:t>
      </w:r>
      <w:r>
        <w:rPr>
          <w:lang w:val="sl"/>
        </w:rPr>
        <w:t xml:space="preserve"> tudi spodbujajo podjetja, da si prizadevajo za povečanje </w:t>
      </w:r>
      <w:proofErr w:type="spellStart"/>
      <w:r>
        <w:rPr>
          <w:lang w:val="sl"/>
        </w:rPr>
        <w:t>okoljske</w:t>
      </w:r>
      <w:proofErr w:type="spellEnd"/>
      <w:r>
        <w:rPr>
          <w:lang w:val="sl"/>
        </w:rPr>
        <w:t xml:space="preserve"> uspešnosti v vseh delih svojega poslovanja, tudi če tega morda formalno ne zahteva obstoječa praksa v državah, v katerih poslujejo. Pri tem naj podjetja ustrezno upoštevajo svoje družbene in gospodarske vplive na države v razvoju. </w:t>
      </w:r>
    </w:p>
    <w:p w14:paraId="206C0625" w14:textId="77777777" w:rsidR="00A55002" w:rsidRPr="008A691D" w:rsidRDefault="00A55002" w:rsidP="00A55002">
      <w:pPr>
        <w:pStyle w:val="Para1"/>
        <w:rPr>
          <w:b/>
          <w:u w:val="single"/>
          <w:lang w:val="sl"/>
        </w:rPr>
      </w:pPr>
      <w:r>
        <w:rPr>
          <w:lang w:val="sl"/>
        </w:rPr>
        <w:t xml:space="preserve">Mednarodna podjetja imajo na primer pogosto dostop do obstoječih in inovativnih tehnologij ali operativnih postopkov, z uporabo katerih bi lahko izboljšala splošno </w:t>
      </w:r>
      <w:proofErr w:type="spellStart"/>
      <w:r>
        <w:rPr>
          <w:lang w:val="sl"/>
        </w:rPr>
        <w:t>okoljsko</w:t>
      </w:r>
      <w:proofErr w:type="spellEnd"/>
      <w:r>
        <w:rPr>
          <w:lang w:val="sl"/>
        </w:rPr>
        <w:t xml:space="preserve"> uspešnost. Mednarodna podjetja pogosto veljajo za vodilna na svojih področjih, zato ne smemo spregledati možnosti "demonstracijskega učinka" na druga podjetja. Z zagotavljanjem, da ima tudi okolje držav, v katerih poslujejo mednarodna podjetja, koristi od razpoložljivih in inovativnih tehnologij in praks, se krepi podpora mednarodnim naložbenim dejavnostim na splošno. </w:t>
      </w:r>
    </w:p>
    <w:p w14:paraId="6B347515" w14:textId="77777777" w:rsidR="00A55002" w:rsidRPr="008A691D" w:rsidRDefault="00A55002" w:rsidP="00A55002">
      <w:pPr>
        <w:pStyle w:val="Para1"/>
        <w:rPr>
          <w:b/>
          <w:u w:val="single"/>
          <w:lang w:val="sl"/>
        </w:rPr>
      </w:pPr>
      <w:r>
        <w:rPr>
          <w:lang w:val="sl"/>
        </w:rPr>
        <w:t xml:space="preserve">Podjetja imajo pomembno vlogo pri usposabljanju in izobraževanju svojih zaposlenih in drugih deležnikov v zvezi z ravnanjem z okoljem. To odgovornost naj izvajajo čim širše, zlasti na področjih, ki so neposredno povezana z zdravjem in varnostjo ljudi. Podjetja naj s svojimi </w:t>
      </w:r>
      <w:proofErr w:type="spellStart"/>
      <w:r>
        <w:rPr>
          <w:lang w:val="sl"/>
        </w:rPr>
        <w:t>okoljskimi</w:t>
      </w:r>
      <w:proofErr w:type="spellEnd"/>
      <w:r>
        <w:rPr>
          <w:lang w:val="sl"/>
        </w:rPr>
        <w:t xml:space="preserve"> politikami, zahtevami in standardi na jasen in dostopen način seznanijo tudi svoje poslovne partnerje. </w:t>
      </w:r>
    </w:p>
    <w:p w14:paraId="567C96F2" w14:textId="77777777" w:rsidR="00A55002" w:rsidRPr="008A691D" w:rsidRDefault="00A55002" w:rsidP="00A55002">
      <w:pPr>
        <w:pStyle w:val="Para1"/>
        <w:rPr>
          <w:lang w:val="sl"/>
        </w:rPr>
      </w:pPr>
      <w:r>
        <w:rPr>
          <w:lang w:val="sl"/>
        </w:rPr>
        <w:t>Podjetja naj spoštujejo standarde dobrobiti živali, ki so usklajeni s Kodeksom za zdravje kopenskih živali Svetovne organizacije za zdravje živali (WOAH). Žival se dobro počuti, če je zdrava, ji je udobno, je dobro nahranjena in na varnem, ne trpi zaradi neprijetnih stanj, kot so bolečina, strah in stiska, ter lahko izraža svoje prirojeno vedenje, ki je pomembno za njeno telesno in duševno stanje. Za dobrobit živali je treba preprečevati bolezni in zagotoviti ustrezno veterinarsko oskrbo, zavetje, upravljanje in prehrano, spodbudno in varno okolje, humano ravnanje ter humani zakol ali usmrtitev. Poleg tega naj podjetja upoštevajo smernice za prevoz živih živali, ki so jih pripravile ustrezne mednarodne organizacije.</w:t>
      </w:r>
    </w:p>
    <w:p w14:paraId="04B7A68C" w14:textId="77777777" w:rsidR="00A55002" w:rsidRPr="00EC1531" w:rsidRDefault="00A55002" w:rsidP="0042619C">
      <w:pPr>
        <w:pStyle w:val="Naslov1"/>
        <w:framePr w:wrap="notBeside" w:x="1606" w:y="-88"/>
        <w:numPr>
          <w:ilvl w:val="0"/>
          <w:numId w:val="21"/>
        </w:numPr>
        <w:rPr>
          <w:color w:val="366091" w:themeColor="accent1" w:themeShade="BF"/>
          <w:lang w:val="sl"/>
        </w:rPr>
      </w:pPr>
      <w:bookmarkStart w:id="36" w:name="_Toc169086491"/>
      <w:r w:rsidRPr="00EC1531">
        <w:rPr>
          <w:bCs/>
          <w:color w:val="366091" w:themeColor="accent1" w:themeShade="BF"/>
          <w:lang w:val="sl"/>
        </w:rPr>
        <w:lastRenderedPageBreak/>
        <w:t>VII. Boj proti podkupovanju in drugim oblikam korupcije</w:t>
      </w:r>
      <w:bookmarkEnd w:id="36"/>
    </w:p>
    <w:p w14:paraId="147CFA2A" w14:textId="77777777" w:rsidR="00A55002" w:rsidRPr="008A691D" w:rsidRDefault="00A55002" w:rsidP="0042619C">
      <w:pPr>
        <w:pStyle w:val="Para0"/>
        <w:rPr>
          <w:szCs w:val="24"/>
          <w:lang w:val="sl"/>
        </w:rPr>
      </w:pPr>
      <w:r>
        <w:rPr>
          <w:lang w:val="sl"/>
        </w:rPr>
        <w:t xml:space="preserve">Škodljivi vplivi na zadeve, zajete v </w:t>
      </w:r>
      <w:r>
        <w:rPr>
          <w:i/>
          <w:iCs/>
          <w:lang w:val="sl"/>
        </w:rPr>
        <w:t>smernicah</w:t>
      </w:r>
      <w:r>
        <w:rPr>
          <w:lang w:val="sl"/>
        </w:rPr>
        <w:t xml:space="preserve">, se pogosto omogočajo s korupcijo. Zato izvajanje učinkovitih </w:t>
      </w:r>
      <w:r>
        <w:rPr>
          <w:color w:val="222222"/>
          <w:lang w:val="sl"/>
        </w:rPr>
        <w:t xml:space="preserve">protikorupcijskih ukrepov v podjetju lahko pomembno prispeva k preprečevanju drugih škodljivih vplivov, obravnavanih v </w:t>
      </w:r>
      <w:r>
        <w:rPr>
          <w:i/>
          <w:iCs/>
          <w:color w:val="222222"/>
          <w:lang w:val="sl"/>
        </w:rPr>
        <w:t>smernicah</w:t>
      </w:r>
      <w:r>
        <w:rPr>
          <w:color w:val="222222"/>
          <w:lang w:val="sl"/>
        </w:rPr>
        <w:t xml:space="preserve">. </w:t>
      </w:r>
      <w:r>
        <w:rPr>
          <w:lang w:val="sl"/>
        </w:rPr>
        <w:t>Podjetja naj ne sodelujejo pri nobenem podkupovanju ali drugih oblikah korupcije.</w:t>
      </w:r>
      <w:r>
        <w:rPr>
          <w:szCs w:val="24"/>
          <w:lang w:val="sl"/>
        </w:rPr>
        <w:t xml:space="preserve"> </w:t>
      </w:r>
    </w:p>
    <w:p w14:paraId="1995E4AB" w14:textId="77777777" w:rsidR="00A55002" w:rsidRPr="007E7C5A" w:rsidRDefault="00A55002" w:rsidP="0042619C">
      <w:pPr>
        <w:pStyle w:val="Para0"/>
        <w:rPr>
          <w:b/>
          <w:i/>
        </w:rPr>
      </w:pPr>
      <w:r>
        <w:rPr>
          <w:lang w:val="sl"/>
        </w:rPr>
        <w:t xml:space="preserve">Podjetja naj zlasti:  </w:t>
      </w:r>
    </w:p>
    <w:p w14:paraId="26722B92" w14:textId="77777777" w:rsidR="00A55002" w:rsidRPr="008A691D" w:rsidRDefault="00A55002" w:rsidP="00A55002">
      <w:pPr>
        <w:pStyle w:val="NumberedList"/>
        <w:numPr>
          <w:ilvl w:val="0"/>
          <w:numId w:val="40"/>
        </w:numPr>
        <w:rPr>
          <w:lang w:val="sl"/>
        </w:rPr>
      </w:pPr>
      <w:r>
        <w:rPr>
          <w:lang w:val="sl"/>
        </w:rPr>
        <w:t>ne sodelujejo pri nobenem koruptivnem dejanju, vključno s ponujanjem, obljubljanjem ali dajanjem kakršnih koli neupravičenih denarnih ali drugih koristi uradnikom ali osebam, zaposlenim pri fizičnih ali pravnih osebah, s katerimi je podjetje v poslovnem razmerju, ali njihovim sorodnikom ali družabnikom. Prav tako naj ne zahtevajo ali sprejemajo nobenih neupravičenih denarnih ali drugih koristi od uradnikov ali oseb, zaposlenih pri fizičnih ali pravnih osebah, s katerimi je podjetje v poslovnem razmerju, ali privolijo v take koristi. Podjetja naj ne uporabljajo tretjih oseb ali drugih posrednikov, vključno z zastopniki, svetovalci, predstavniki, distributerji, konzorciji, pogodbenimi sodelavci, dobavitelji in partnerji pri skupnih podvigih za posredovanje neupravičenih denarnih ali drugih koristi uradnikom ali osebam, zaposlenim pri fizičnih ali pravnih osebah, s katerimi je podjetje v poslovnem razmerju, ali njihovim sorodnikom ali družabnikom;</w:t>
      </w:r>
      <w:r>
        <w:rPr>
          <w:b/>
          <w:bCs/>
          <w:i/>
          <w:iCs/>
          <w:lang w:val="sl"/>
        </w:rPr>
        <w:t xml:space="preserve"> </w:t>
      </w:r>
    </w:p>
    <w:p w14:paraId="04FE4367" w14:textId="77777777" w:rsidR="00A55002" w:rsidRPr="008A691D" w:rsidRDefault="00A55002" w:rsidP="00A55002">
      <w:pPr>
        <w:pStyle w:val="NumberedList"/>
        <w:numPr>
          <w:ilvl w:val="0"/>
          <w:numId w:val="19"/>
        </w:numPr>
        <w:rPr>
          <w:lang w:val="sl"/>
        </w:rPr>
      </w:pPr>
      <w:r>
        <w:rPr>
          <w:lang w:val="sl"/>
        </w:rPr>
        <w:t>razvijajo in sprejemajo ustrezne programe ali ukrepe notranjega nadzora, etike in skladnosti, da ustrezno preprečijo, zaznajo in obravnavajo podkupovanje in druge oblike korupcije. Te programe in ukrepe razvijajo na podlagi presoje tveganj ob upoštevanju posameznih okoliščin podjetja, zlasti dejavnikov tveganja za podjetje, povezanih s podkupovanjem in drugimi oblikami korupcije (vključno z njegovim geografskim območjem in industrijskim področjem poslovanja, drugimi vprašanji odgovornega ravnanja podjetij, zakonodajnim okoljem, vrsto poslovnih razmerij, posli s tujimi vladami ter uporabo tretjih oseb). Ti programi ali ukrepi notranjega nadzora, etike in skladnosti naj vključujejo sistem finančnih in računovodskih postopkov, vključno s sistemom notranjega nadzora, ki so smiselno zasnovani tako, da zagotavljajo vzdrževanje poštenih in točnih poslovnih knjig, registrov nasprotij interesov, zapisov in finančnih poročil, s čimer se zagotavlja, da se ne morejo uporabiti za izvajanje ali prikrivanje podkupovanja ali drugih koruptivnih dejanj. Posamezne okoliščine in tveganja naj se redno spremljajo in po potrebi znova ocenijo, da se določi dodelitev sredstev za zagotavljanje skladnosti, zagotovita prilagoditev in nadaljnja učinkovitost programov ali ukrepov notranjega nadzora, etike in skladnosti podjetja ter zmanjša tveganje vpletenosti podjetja v podkupovanje ali druge oblike korupcije. Ti programi ali ukrepi notranjega nadzora, etike in skladnosti, s katerimi se preprečujejo in zaznavajo vse oblike korupcije, naj vključujejo izvajanje skrbnih pregledov poslovanja na podlagi analize tveganja, kot je opisano v II. poglavju;</w:t>
      </w:r>
    </w:p>
    <w:p w14:paraId="296C8536" w14:textId="77777777" w:rsidR="00A55002" w:rsidRPr="008A691D" w:rsidRDefault="00A55002" w:rsidP="00A55002">
      <w:pPr>
        <w:pStyle w:val="NumberedList"/>
        <w:numPr>
          <w:ilvl w:val="0"/>
          <w:numId w:val="19"/>
        </w:numPr>
        <w:rPr>
          <w:szCs w:val="24"/>
          <w:lang w:val="sl"/>
        </w:rPr>
      </w:pPr>
      <w:r>
        <w:rPr>
          <w:szCs w:val="24"/>
          <w:lang w:val="sl"/>
        </w:rPr>
        <w:t xml:space="preserve">v svojih programih ali ukrepih notranjega nadzora, etike in skladnosti prepovejo uporabo ali odvračajo od uporabe manjših </w:t>
      </w:r>
      <w:proofErr w:type="spellStart"/>
      <w:r>
        <w:rPr>
          <w:szCs w:val="24"/>
          <w:lang w:val="sl"/>
        </w:rPr>
        <w:t>pospešitvenih</w:t>
      </w:r>
      <w:proofErr w:type="spellEnd"/>
      <w:r>
        <w:rPr>
          <w:szCs w:val="24"/>
          <w:lang w:val="sl"/>
        </w:rPr>
        <w:t xml:space="preserve"> plačil, ki so v državah, kjer se izvajajo, praviloma nezakonita, kadar pa se tako plačilo izvede, ga natančno navedejo v poslovnih knjigah in finančni evidenci;</w:t>
      </w:r>
    </w:p>
    <w:p w14:paraId="433F2456" w14:textId="77777777" w:rsidR="00A55002" w:rsidRPr="008A691D" w:rsidRDefault="00A55002" w:rsidP="00A55002">
      <w:pPr>
        <w:pStyle w:val="NumberedList"/>
        <w:numPr>
          <w:ilvl w:val="0"/>
          <w:numId w:val="19"/>
        </w:numPr>
        <w:rPr>
          <w:szCs w:val="24"/>
          <w:lang w:val="sl"/>
        </w:rPr>
      </w:pPr>
      <w:r>
        <w:rPr>
          <w:szCs w:val="24"/>
          <w:lang w:val="sl"/>
        </w:rPr>
        <w:lastRenderedPageBreak/>
        <w:t>ob upoštevanju posameznih tveganj v zvezi s podkupovanjem in drugimi oblikami korupcije zagotavljajo pravilno dokumentirane skrbne preglede poslovanja, ki se nanašajo na najemanje ter ustrezno in redno nadzorovanje zastopnikov, ter da je plačilo zastopnikov ustrezno in izplačano le za zakonite storitve. Po potrebi naj se hrani posodobljen seznam zastopnikov, najetih za poslovanje z javnimi organi in podjetji v državni lasti, ki se da na razpolago pristojnim oblastem, v skladu z veljavnimi zahtevami za javno razkritje. Podjetja naj z ustreznimi ukrepi zagotovijo, da njihovi zastopniki pri svojih odnosih z uradniki ne izvajajo nedovoljenega vplivanja in upoštevajo poklicne standarde;</w:t>
      </w:r>
      <w:r>
        <w:rPr>
          <w:b/>
          <w:bCs/>
          <w:i/>
          <w:iCs/>
          <w:szCs w:val="24"/>
          <w:u w:val="single"/>
          <w:lang w:val="sl"/>
        </w:rPr>
        <w:t xml:space="preserve"> </w:t>
      </w:r>
    </w:p>
    <w:p w14:paraId="6861C82A" w14:textId="77777777" w:rsidR="00A55002" w:rsidRPr="008A691D" w:rsidRDefault="00A55002" w:rsidP="00A55002">
      <w:pPr>
        <w:pStyle w:val="NumberedList"/>
        <w:numPr>
          <w:ilvl w:val="0"/>
          <w:numId w:val="19"/>
        </w:numPr>
        <w:rPr>
          <w:szCs w:val="24"/>
          <w:lang w:val="sl"/>
        </w:rPr>
      </w:pPr>
      <w:r>
        <w:rPr>
          <w:szCs w:val="24"/>
          <w:lang w:val="sl"/>
        </w:rPr>
        <w:t xml:space="preserve">povečajo preglednost svojih dejavnosti v boju proti podkupovanju in drugim oblikam korupcije ter spodbujajo kulturo integritete. Ukrepi lahko vključujejo </w:t>
      </w:r>
      <w:r>
        <w:rPr>
          <w:i/>
          <w:iCs/>
          <w:szCs w:val="24"/>
          <w:lang w:val="sl"/>
        </w:rPr>
        <w:t>i)</w:t>
      </w:r>
      <w:r>
        <w:rPr>
          <w:szCs w:val="24"/>
          <w:lang w:val="sl"/>
        </w:rPr>
        <w:t xml:space="preserve"> močno, izrecno in vidno podporo in zavzetost upravnega odbora ali enakovrednega upravnega organa ter višjega vodstva za programe notranjega nadzora, etike in skladnosti podjetja; </w:t>
      </w:r>
      <w:r>
        <w:rPr>
          <w:i/>
          <w:iCs/>
          <w:szCs w:val="24"/>
          <w:lang w:val="sl"/>
        </w:rPr>
        <w:t>ii)</w:t>
      </w:r>
      <w:r>
        <w:rPr>
          <w:szCs w:val="24"/>
          <w:lang w:val="sl"/>
        </w:rPr>
        <w:t xml:space="preserve"> jasno izraženo in vidno politiko podjetja, ki prepoveduje podkupovanje in druge oblike korupcije ter je lahko dostopna vsem zaposlenim in ustreznim tretjim osebam, vključno s tujimi podrejenimi družbami, zastopniki in drugimi posredniki, ter </w:t>
      </w:r>
      <w:r>
        <w:rPr>
          <w:i/>
          <w:iCs/>
          <w:szCs w:val="24"/>
          <w:lang w:val="sl"/>
        </w:rPr>
        <w:t>iii)</w:t>
      </w:r>
      <w:r>
        <w:rPr>
          <w:szCs w:val="24"/>
          <w:lang w:val="sl"/>
        </w:rPr>
        <w:t xml:space="preserve"> razkrivanje sistemov upravljanja in programov ali ukrepov notranjega nadzora, etike in skladnosti, ki jih podjetja sprejmejo za spoštovanje teh zavez. Podjetja naj tudi podpirajo odprtost in dialog z javnostjo, da spodbujajo njeno zavedanje o boju proti podkupovanju in drugim oblikam korupcije ter sodelovanje v njem. Podjetja se spodbujajo, da brez poseganja v notranjo zakonodajo in zahteve razkrijejo vsako kršitev, povezano s podkupovanjem in drugimi oblikami korupcije, ter ukrepe, ki so jih sprejela za obravnavanje primerov suma podkupovanja in drugih oblik korupcije. Ti ukrepi lahko vključujejo postopke za prepoznavanje, raziskovanje in prijavljanje kršitev ter pristno in proaktivno sodelovanje z organi pregona;</w:t>
      </w:r>
      <w:r>
        <w:rPr>
          <w:b/>
          <w:bCs/>
          <w:i/>
          <w:iCs/>
          <w:szCs w:val="24"/>
          <w:u w:val="single"/>
          <w:lang w:val="sl"/>
        </w:rPr>
        <w:t xml:space="preserve"> </w:t>
      </w:r>
    </w:p>
    <w:p w14:paraId="0A48D3B2" w14:textId="77777777" w:rsidR="00A55002" w:rsidRPr="008A691D" w:rsidRDefault="00A55002" w:rsidP="00A55002">
      <w:pPr>
        <w:pStyle w:val="NumberedList"/>
        <w:numPr>
          <w:ilvl w:val="0"/>
          <w:numId w:val="19"/>
        </w:numPr>
        <w:rPr>
          <w:szCs w:val="24"/>
          <w:lang w:val="sl"/>
        </w:rPr>
      </w:pPr>
      <w:r>
        <w:rPr>
          <w:szCs w:val="24"/>
          <w:lang w:val="sl"/>
        </w:rPr>
        <w:t xml:space="preserve"> spodbujajo ozaveščenost o politikah podjetja in programih ali ukrepih notranjega nadzora, etike in skladnosti ter skladnost s temi politikami, programi ali ukrepi za boj proti podkupovanju in drugim oblikam korupcije med zaposlenimi in fizičnimi ali pravnimi osebami, povezanimi s poslovnim razmerjem, z ustreznim razširjanjem teh politik, programov ali ukrepov ter s programi usposabljanja in disciplinskimi postopki, ki upoštevajo ustrezni jezik, kulturo in tehnološke ovire; </w:t>
      </w:r>
    </w:p>
    <w:p w14:paraId="26EDFE60" w14:textId="77777777" w:rsidR="00A55002" w:rsidRPr="008A691D" w:rsidRDefault="00A55002" w:rsidP="00A55002">
      <w:pPr>
        <w:pStyle w:val="NumberedList"/>
        <w:numPr>
          <w:ilvl w:val="0"/>
          <w:numId w:val="19"/>
        </w:numPr>
        <w:rPr>
          <w:szCs w:val="24"/>
          <w:lang w:val="it-IT"/>
        </w:rPr>
      </w:pPr>
      <w:r>
        <w:rPr>
          <w:szCs w:val="24"/>
          <w:lang w:val="sl"/>
        </w:rPr>
        <w:t xml:space="preserve"> ne dajejo nezakonitih prispevkov kandidatom za javne funkcije ali političnim strankam ali drugim organizacijam, povezanim s političnimi strankami ali političnimi kandidati. Politični prispevki naj bodo povsem v skladu z notranjo zakonodajo, vključno z zahtevami glede javnega razkritja, in zanje naj bo potrebna odobritev višjega vodstva. To pomeni tudi, da se od delavcev ne zahteva, da podpirajo političnega kandidata ali politično organizacijo.</w:t>
      </w:r>
      <w:bookmarkStart w:id="37" w:name="_Hlk121344800"/>
      <w:bookmarkEnd w:id="37"/>
      <w:r>
        <w:rPr>
          <w:szCs w:val="24"/>
          <w:lang w:val="sl"/>
        </w:rPr>
        <w:t xml:space="preserve"> </w:t>
      </w:r>
    </w:p>
    <w:p w14:paraId="134470E2" w14:textId="77777777" w:rsidR="00A55002" w:rsidRPr="00EC1531" w:rsidRDefault="00A55002" w:rsidP="00A55002">
      <w:pPr>
        <w:pStyle w:val="Naslov2"/>
        <w:numPr>
          <w:ilvl w:val="1"/>
          <w:numId w:val="21"/>
        </w:numPr>
        <w:rPr>
          <w:color w:val="366091" w:themeColor="accent1" w:themeShade="BF"/>
          <w:lang w:val="it-IT"/>
        </w:rPr>
      </w:pPr>
      <w:r w:rsidRPr="00EC1531">
        <w:rPr>
          <w:bCs/>
          <w:color w:val="366091" w:themeColor="accent1" w:themeShade="BF"/>
          <w:lang w:val="sl"/>
        </w:rPr>
        <w:t>Komentar k VII. poglavju: Boj proti podkupovanju in drugim oblikam korupcije</w:t>
      </w:r>
    </w:p>
    <w:p w14:paraId="43AB56EF" w14:textId="77777777" w:rsidR="00A55002" w:rsidRPr="008A691D" w:rsidRDefault="00A55002" w:rsidP="00A55002">
      <w:pPr>
        <w:pStyle w:val="Para1"/>
        <w:numPr>
          <w:ilvl w:val="0"/>
          <w:numId w:val="31"/>
        </w:numPr>
        <w:rPr>
          <w:b/>
          <w:i/>
          <w:u w:val="single"/>
          <w:lang w:val="sl"/>
        </w:rPr>
      </w:pPr>
      <w:r>
        <w:rPr>
          <w:lang w:val="sl"/>
        </w:rPr>
        <w:t xml:space="preserve">Izraz podkupovanje in druge oblike korupcije naj se dosledno razlaga z dokumenti, navedenimi v nadaljevanju. Korupcija vključuje podkupovanje uradnikov ali oseb, zaposlenih pri fizičnih ali pravnih osebah, povezanih s poslovnimi razmerji. Lahko vključuje tudi trgovanje z vplivom, poneverbo ter zlorabo sponzorstva in dobrodelnih donacij. Podjetja naj na primer neposredno ali posredno ne ponujajo, obljubljajo, dajejo ali zahtevajo podkupnine ali druge neupravičene koristi, da bi pridobila ali ohranila posel ali drugo neprimerno korist. Podjetja naj se tudi uprejo napeljevanju k dajanju podkupnin in izsiljevanju. Čeprav nasprotje interesov samo po sebi ni korupcija, se vse bolj priznava, da nasprotje med zasebnimi interesi in javnimi nalogami uradnikov lahko povzroči korupcijo, če ni ustrezno obvladano. </w:t>
      </w:r>
      <w:r>
        <w:rPr>
          <w:i/>
          <w:iCs/>
          <w:lang w:val="sl"/>
        </w:rPr>
        <w:t>Konvencija o boju proti podkupovanju tujih uradnikov v mednarodnem poslovanju</w:t>
      </w:r>
      <w:r>
        <w:rPr>
          <w:lang w:val="sl"/>
        </w:rPr>
        <w:t xml:space="preserve"> </w:t>
      </w:r>
      <w:r>
        <w:rPr>
          <w:i/>
          <w:iCs/>
          <w:lang w:val="sl"/>
        </w:rPr>
        <w:t>[</w:t>
      </w:r>
      <w:hyperlink r:id="rId36" w:history="1">
        <w:r>
          <w:rPr>
            <w:rStyle w:val="Hiperpovezava"/>
            <w:rFonts w:asciiTheme="majorHAnsi" w:eastAsia="Calibri" w:hAnsiTheme="majorHAnsi" w:cstheme="majorBidi"/>
            <w:i/>
            <w:iCs/>
            <w:lang w:val="sl"/>
          </w:rPr>
          <w:t>OECD/LEGAL/0293</w:t>
        </w:r>
      </w:hyperlink>
      <w:r>
        <w:rPr>
          <w:i/>
          <w:iCs/>
          <w:lang w:val="sl"/>
        </w:rPr>
        <w:t>]</w:t>
      </w:r>
      <w:r>
        <w:rPr>
          <w:lang w:val="sl"/>
        </w:rPr>
        <w:t xml:space="preserve"> (</w:t>
      </w:r>
      <w:r>
        <w:rPr>
          <w:i/>
          <w:iCs/>
          <w:lang w:val="sl"/>
        </w:rPr>
        <w:t>konvencija OECD proti podkupovanju</w:t>
      </w:r>
      <w:r>
        <w:rPr>
          <w:lang w:val="sl"/>
        </w:rPr>
        <w:t xml:space="preserve">) je začela veljati 15. februarja 1999. </w:t>
      </w:r>
      <w:r>
        <w:rPr>
          <w:i/>
          <w:iCs/>
          <w:lang w:val="sl"/>
        </w:rPr>
        <w:t xml:space="preserve">Konvencija OECD proti podkupovanju </w:t>
      </w:r>
      <w:r>
        <w:rPr>
          <w:lang w:val="sl"/>
        </w:rPr>
        <w:t xml:space="preserve">skupaj s </w:t>
      </w:r>
      <w:r>
        <w:rPr>
          <w:i/>
          <w:iCs/>
          <w:lang w:val="sl"/>
        </w:rPr>
        <w:t>Priporočilom o nadaljnjem boju proti podkupovanju tujih uradnikov v mednarodnem poslovanju</w:t>
      </w:r>
      <w:r>
        <w:rPr>
          <w:lang w:val="sl"/>
        </w:rPr>
        <w:t xml:space="preserve"> </w:t>
      </w:r>
      <w:r>
        <w:rPr>
          <w:i/>
          <w:iCs/>
          <w:lang w:val="sl"/>
        </w:rPr>
        <w:t>[</w:t>
      </w:r>
      <w:hyperlink r:id="rId37" w:history="1">
        <w:r>
          <w:rPr>
            <w:rStyle w:val="Hiperpovezava"/>
            <w:rFonts w:asciiTheme="majorHAnsi" w:eastAsia="Calibri" w:hAnsiTheme="majorHAnsi" w:cstheme="majorBidi"/>
            <w:i/>
            <w:iCs/>
            <w:lang w:val="sl"/>
          </w:rPr>
          <w:t>OECD/LEGAL/0378</w:t>
        </w:r>
      </w:hyperlink>
      <w:r>
        <w:rPr>
          <w:i/>
          <w:iCs/>
          <w:lang w:val="sl"/>
        </w:rPr>
        <w:t>]</w:t>
      </w:r>
      <w:r>
        <w:rPr>
          <w:lang w:val="sl"/>
        </w:rPr>
        <w:t xml:space="preserve"> (</w:t>
      </w:r>
      <w:r>
        <w:rPr>
          <w:i/>
          <w:iCs/>
          <w:lang w:val="sl"/>
        </w:rPr>
        <w:t>priporočilo proti podkupovanju</w:t>
      </w:r>
      <w:r>
        <w:rPr>
          <w:lang w:val="sl"/>
        </w:rPr>
        <w:t>),</w:t>
      </w:r>
      <w:r>
        <w:rPr>
          <w:i/>
          <w:iCs/>
          <w:lang w:val="sl"/>
        </w:rPr>
        <w:t xml:space="preserve"> Priporočilom o davčnih ukrepih za nadaljnji boj proti podkupovanju tujih uradnikov v mednarodnem poslovanju [</w:t>
      </w:r>
      <w:hyperlink r:id="rId38" w:history="1">
        <w:r>
          <w:rPr>
            <w:rStyle w:val="Hiperpovezava"/>
            <w:rFonts w:asciiTheme="majorHAnsi" w:eastAsia="Calibri" w:hAnsiTheme="majorHAnsi" w:cstheme="majorBidi"/>
            <w:i/>
            <w:iCs/>
            <w:lang w:val="sl"/>
          </w:rPr>
          <w:t>OECD/LEGAL/0371</w:t>
        </w:r>
      </w:hyperlink>
      <w:r>
        <w:rPr>
          <w:i/>
          <w:iCs/>
          <w:lang w:val="sl"/>
        </w:rPr>
        <w:t>]</w:t>
      </w:r>
      <w:r>
        <w:rPr>
          <w:lang w:val="sl"/>
        </w:rPr>
        <w:t xml:space="preserve">, </w:t>
      </w:r>
      <w:r>
        <w:rPr>
          <w:i/>
          <w:iCs/>
          <w:lang w:val="sl"/>
        </w:rPr>
        <w:t>Priporočilom</w:t>
      </w:r>
      <w:r>
        <w:rPr>
          <w:lang w:val="sl"/>
        </w:rPr>
        <w:t xml:space="preserve"> </w:t>
      </w:r>
      <w:r>
        <w:rPr>
          <w:i/>
          <w:iCs/>
          <w:lang w:val="sl"/>
        </w:rPr>
        <w:t>o podkupovanju in uradno podprtih izvoznih kreditih [</w:t>
      </w:r>
      <w:hyperlink r:id="rId39" w:history="1">
        <w:r>
          <w:rPr>
            <w:rStyle w:val="Hiperpovezava"/>
            <w:rFonts w:asciiTheme="majorHAnsi" w:eastAsia="Calibri" w:hAnsiTheme="majorHAnsi" w:cstheme="majorBidi"/>
            <w:i/>
            <w:iCs/>
            <w:lang w:val="sl"/>
          </w:rPr>
          <w:t>OECD/LEGAL/0447</w:t>
        </w:r>
      </w:hyperlink>
      <w:r>
        <w:rPr>
          <w:i/>
          <w:iCs/>
          <w:lang w:val="sl"/>
        </w:rPr>
        <w:t>]</w:t>
      </w:r>
      <w:r>
        <w:rPr>
          <w:lang w:val="sl"/>
        </w:rPr>
        <w:t xml:space="preserve"> ter </w:t>
      </w:r>
      <w:r>
        <w:rPr>
          <w:i/>
          <w:iCs/>
          <w:lang w:val="sl"/>
        </w:rPr>
        <w:t xml:space="preserve">Priporočilom o obvladovanju korupcijskega </w:t>
      </w:r>
      <w:r>
        <w:rPr>
          <w:i/>
          <w:iCs/>
          <w:lang w:val="sl"/>
        </w:rPr>
        <w:lastRenderedPageBreak/>
        <w:t>tveganja za nosilce razvojnega sodelovanja [</w:t>
      </w:r>
      <w:hyperlink r:id="rId40" w:history="1">
        <w:r>
          <w:rPr>
            <w:rStyle w:val="Hiperpovezava"/>
            <w:rFonts w:asciiTheme="majorHAnsi" w:eastAsia="Calibri" w:hAnsiTheme="majorHAnsi" w:cstheme="majorBidi"/>
            <w:i/>
            <w:iCs/>
            <w:lang w:val="sl"/>
          </w:rPr>
          <w:t>OECD/LEGAL/0431</w:t>
        </w:r>
      </w:hyperlink>
      <w:r>
        <w:rPr>
          <w:i/>
          <w:iCs/>
          <w:lang w:val="sl"/>
        </w:rPr>
        <w:t>]</w:t>
      </w:r>
      <w:r>
        <w:rPr>
          <w:lang w:val="sl"/>
        </w:rPr>
        <w:t xml:space="preserve"> so osrednji dokumenti OECD, ki obravnavajo ponudbeno stran tujega podkupovanja. Skupni cilj teh dokumentov je odpraviti "dobavo" podkupnin tujim uradnikom, tako da vsaka država prevzame odgovornost za dejavnosti svojih podjetij in za dogajanje v svoji jurisdikciji.</w:t>
      </w:r>
      <w:r>
        <w:rPr>
          <w:rStyle w:val="Sprotnaopomba-sklic"/>
          <w:lang w:val="sl"/>
        </w:rPr>
        <w:footnoteReference w:customMarkFollows="1" w:id="6"/>
        <w:t>2</w:t>
      </w:r>
      <w:r>
        <w:rPr>
          <w:lang w:val="sl"/>
        </w:rPr>
        <w:t xml:space="preserve"> Vzpostavljen je bil program temeljitega in sistematičnega spremljanja izvajanja </w:t>
      </w:r>
      <w:r>
        <w:rPr>
          <w:i/>
          <w:iCs/>
          <w:lang w:val="sl"/>
        </w:rPr>
        <w:t>konvencije OECD proti podkupovanju</w:t>
      </w:r>
      <w:r>
        <w:rPr>
          <w:lang w:val="sl"/>
        </w:rPr>
        <w:t xml:space="preserve"> in navedenih povezanih dokumentov, da se spodbudi njihovo popolno izvajanje.  Druga koruptivna dejanja in nevarnosti za integriteto so obravnavani v </w:t>
      </w:r>
      <w:r>
        <w:rPr>
          <w:i/>
          <w:iCs/>
          <w:lang w:val="sl"/>
        </w:rPr>
        <w:t>Priporočilu o javni integriteti</w:t>
      </w:r>
      <w:r>
        <w:rPr>
          <w:lang w:val="sl"/>
        </w:rPr>
        <w:t xml:space="preserve"> </w:t>
      </w:r>
      <w:r>
        <w:rPr>
          <w:i/>
          <w:iCs/>
          <w:lang w:val="sl"/>
        </w:rPr>
        <w:t>[</w:t>
      </w:r>
      <w:hyperlink r:id="rId41" w:history="1">
        <w:r>
          <w:rPr>
            <w:rStyle w:val="Hiperpovezava"/>
            <w:rFonts w:asciiTheme="majorHAnsi" w:eastAsia="Calibri" w:hAnsiTheme="majorHAnsi" w:cstheme="majorBidi"/>
            <w:i/>
            <w:iCs/>
            <w:lang w:val="sl"/>
          </w:rPr>
          <w:t>OECD/LEGAL/0435</w:t>
        </w:r>
      </w:hyperlink>
      <w:r>
        <w:rPr>
          <w:i/>
          <w:iCs/>
          <w:lang w:val="sl"/>
        </w:rPr>
        <w:t>]</w:t>
      </w:r>
      <w:r>
        <w:rPr>
          <w:lang w:val="sl"/>
        </w:rPr>
        <w:t xml:space="preserve">, </w:t>
      </w:r>
      <w:r>
        <w:rPr>
          <w:i/>
          <w:iCs/>
          <w:lang w:val="sl"/>
        </w:rPr>
        <w:t>Priporočilu o načelih preglednosti in integritete pri lobiranju</w:t>
      </w:r>
      <w:r>
        <w:rPr>
          <w:lang w:val="sl"/>
        </w:rPr>
        <w:t xml:space="preserve"> </w:t>
      </w:r>
      <w:r>
        <w:rPr>
          <w:i/>
          <w:iCs/>
          <w:lang w:val="sl"/>
        </w:rPr>
        <w:t>[</w:t>
      </w:r>
      <w:hyperlink r:id="rId42" w:history="1">
        <w:r>
          <w:rPr>
            <w:rStyle w:val="Hiperpovezava"/>
            <w:rFonts w:asciiTheme="majorHAnsi" w:eastAsia="Calibri" w:hAnsiTheme="majorHAnsi" w:cstheme="majorBidi"/>
            <w:i/>
            <w:iCs/>
            <w:lang w:val="sl"/>
          </w:rPr>
          <w:t>OECD/LEGAL/0379</w:t>
        </w:r>
      </w:hyperlink>
      <w:r>
        <w:rPr>
          <w:i/>
          <w:iCs/>
          <w:lang w:val="sl"/>
        </w:rPr>
        <w:t>]</w:t>
      </w:r>
      <w:r>
        <w:rPr>
          <w:lang w:val="sl"/>
        </w:rPr>
        <w:t xml:space="preserve">, </w:t>
      </w:r>
      <w:r>
        <w:rPr>
          <w:i/>
          <w:iCs/>
          <w:lang w:val="sl"/>
        </w:rPr>
        <w:t>Priporočilu o smernicah OECD za obvladovanje nasprotij interesov v javni službi</w:t>
      </w:r>
      <w:r>
        <w:rPr>
          <w:lang w:val="sl"/>
        </w:rPr>
        <w:t xml:space="preserve"> </w:t>
      </w:r>
      <w:r>
        <w:rPr>
          <w:i/>
          <w:iCs/>
          <w:lang w:val="sl"/>
        </w:rPr>
        <w:t>[</w:t>
      </w:r>
      <w:hyperlink r:id="rId43" w:history="1">
        <w:r>
          <w:rPr>
            <w:rStyle w:val="Hiperpovezava"/>
            <w:rFonts w:asciiTheme="majorHAnsi" w:eastAsia="Calibri" w:hAnsiTheme="majorHAnsi" w:cstheme="majorBidi"/>
            <w:i/>
            <w:iCs/>
            <w:lang w:val="sl"/>
          </w:rPr>
          <w:t>OECD/LEGAL/0316</w:t>
        </w:r>
      </w:hyperlink>
      <w:r>
        <w:rPr>
          <w:i/>
          <w:iCs/>
          <w:lang w:val="sl"/>
        </w:rPr>
        <w:t>]</w:t>
      </w:r>
      <w:r>
        <w:rPr>
          <w:lang w:val="sl"/>
        </w:rPr>
        <w:t xml:space="preserve"> ter </w:t>
      </w:r>
      <w:r>
        <w:rPr>
          <w:i/>
          <w:iCs/>
          <w:lang w:val="sl"/>
        </w:rPr>
        <w:t>Priporočilu o smernicah za preprečevanje korupcije in integriteto v podjetjih v državni lasti</w:t>
      </w:r>
      <w:r>
        <w:rPr>
          <w:lang w:val="sl"/>
        </w:rPr>
        <w:t xml:space="preserve"> </w:t>
      </w:r>
      <w:r>
        <w:rPr>
          <w:i/>
          <w:iCs/>
          <w:lang w:val="sl"/>
        </w:rPr>
        <w:t>[</w:t>
      </w:r>
      <w:hyperlink r:id="rId44" w:history="1">
        <w:r>
          <w:rPr>
            <w:rStyle w:val="Hiperpovezava"/>
            <w:rFonts w:asciiTheme="majorHAnsi" w:eastAsia="Calibri" w:hAnsiTheme="majorHAnsi" w:cstheme="majorBidi"/>
            <w:i/>
            <w:iCs/>
            <w:lang w:val="sl"/>
          </w:rPr>
          <w:t>OECD/LEGAL/0451</w:t>
        </w:r>
      </w:hyperlink>
      <w:r>
        <w:rPr>
          <w:i/>
          <w:iCs/>
          <w:lang w:val="sl"/>
        </w:rPr>
        <w:t>].</w:t>
      </w:r>
    </w:p>
    <w:p w14:paraId="1F32D795" w14:textId="77777777" w:rsidR="00A55002" w:rsidRPr="008A691D" w:rsidRDefault="00A55002" w:rsidP="00A55002">
      <w:pPr>
        <w:pStyle w:val="Para1"/>
        <w:rPr>
          <w:lang w:val="sl"/>
        </w:rPr>
      </w:pPr>
      <w:r>
        <w:rPr>
          <w:lang w:val="sl"/>
        </w:rPr>
        <w:t xml:space="preserve">Korupcija škoduje demokratičnim institucijam in upravljanju podjetij. Odvrača od naložb in izkrivlja mednarodne konkurenčne razmere. Korupcija ima lahko poleg gospodarskega vpliva tudi škodljive učinke, med drugim spodkopava svetovno stabilnost, slabi uveljavljanje </w:t>
      </w:r>
      <w:proofErr w:type="spellStart"/>
      <w:r>
        <w:rPr>
          <w:lang w:val="sl"/>
        </w:rPr>
        <w:t>okoljskih</w:t>
      </w:r>
      <w:proofErr w:type="spellEnd"/>
      <w:r>
        <w:rPr>
          <w:lang w:val="sl"/>
        </w:rPr>
        <w:t xml:space="preserve"> standardov in delavskih pravic ali pripomore k dobavi blaga, ki ne ustreza standardom. Zlasti pa nezakonito prelivanje sredstev s koruptivnim ravnanjem spodkopava poskuse državljanov, da bi dosegli višjo stopnjo gospodarske, socialne in </w:t>
      </w:r>
      <w:proofErr w:type="spellStart"/>
      <w:r>
        <w:rPr>
          <w:lang w:val="sl"/>
        </w:rPr>
        <w:t>okoljske</w:t>
      </w:r>
      <w:proofErr w:type="spellEnd"/>
      <w:r>
        <w:rPr>
          <w:lang w:val="sl"/>
        </w:rPr>
        <w:t xml:space="preserve"> blaginje. Korupcija nesorazmerno vpliva na ljudi iz ranljivih ali na rob odrinjenih skupin in lahko poglobi spolno neenakost. Podjetja imajo pomembno vlogo pri boju proti takemu ravnanju z upoštevanjem prekrivajočih se oblik strukturne diskriminacije, povezane z narodnostjo, raso, spolom, spolno usmerjenostjo in drugimi dejavniki, pri vzpostavljanju programov notranjega nadzora, etike in skladnosti. </w:t>
      </w:r>
    </w:p>
    <w:p w14:paraId="7C8530EA" w14:textId="77777777" w:rsidR="00A55002" w:rsidRPr="008A691D" w:rsidRDefault="00A55002" w:rsidP="00A55002">
      <w:pPr>
        <w:pStyle w:val="Para1"/>
        <w:rPr>
          <w:rFonts w:cstheme="majorHAnsi"/>
          <w:lang w:val="sl"/>
        </w:rPr>
      </w:pPr>
      <w:r>
        <w:rPr>
          <w:rFonts w:cstheme="majorHAnsi"/>
          <w:lang w:val="sl"/>
        </w:rPr>
        <w:t>Dostojnost, integriteta in preglednost na javnem in zasebnem področju so temelji boja proti podkupovanju in drugim oblikam korupcije. Poslovna skupnost, nevladne organizacije, vlade in medvladne organizacije naj sodelujejo in skupaj okrepijo javno podporo protikorupcijskim ukrepom ter povečajo preglednost in javno ozaveščenost v zvezi s težavami, ki jih povzročata korupcija in podkupovanje. Sprejetje ustrezne prakse upravljanja podjetij je prav tako nujno za spodbujanje kulture etike v podjetjih.</w:t>
      </w:r>
    </w:p>
    <w:p w14:paraId="1CB26D48" w14:textId="77777777" w:rsidR="00A55002" w:rsidRPr="008A691D" w:rsidRDefault="00A55002" w:rsidP="00A55002">
      <w:pPr>
        <w:pStyle w:val="Para1"/>
        <w:rPr>
          <w:rFonts w:cstheme="majorHAnsi"/>
          <w:strike/>
          <w:lang w:val="sl"/>
        </w:rPr>
      </w:pPr>
      <w:r>
        <w:rPr>
          <w:rFonts w:cstheme="majorHAnsi"/>
          <w:i/>
          <w:iCs/>
          <w:lang w:val="sl"/>
        </w:rPr>
        <w:t>Priporočilo proti podkupovanju</w:t>
      </w:r>
      <w:r>
        <w:rPr>
          <w:rFonts w:cstheme="majorHAnsi"/>
          <w:lang w:val="sl"/>
        </w:rPr>
        <w:t xml:space="preserve"> zlasti priporoča, da vlade spodbujajo svoja podjetja k oblikovanju in sprejemanju ustreznih programov ali ukrepov notranjega nadzora, etike in skladnosti, da preprečijo in zaznajo tuje podkupovanje, ob upoštevanju </w:t>
      </w:r>
      <w:r>
        <w:rPr>
          <w:rFonts w:cstheme="majorHAnsi"/>
          <w:i/>
          <w:iCs/>
          <w:lang w:val="sl"/>
        </w:rPr>
        <w:t>Vodnika dobre prakse za notranji nadzor, etiko in skladnost</w:t>
      </w:r>
      <w:r>
        <w:rPr>
          <w:rFonts w:cstheme="majorHAnsi"/>
          <w:lang w:val="sl"/>
        </w:rPr>
        <w:t xml:space="preserve">, ki je priloga II </w:t>
      </w:r>
      <w:r>
        <w:rPr>
          <w:rFonts w:cstheme="majorHAnsi"/>
          <w:i/>
          <w:iCs/>
          <w:lang w:val="sl"/>
        </w:rPr>
        <w:t>priporočila proti podkupovanju</w:t>
      </w:r>
      <w:r>
        <w:rPr>
          <w:rFonts w:cstheme="majorHAnsi"/>
          <w:lang w:val="sl"/>
        </w:rPr>
        <w:t xml:space="preserve">. Ta </w:t>
      </w:r>
      <w:r>
        <w:rPr>
          <w:rFonts w:cstheme="majorHAnsi"/>
          <w:i/>
          <w:iCs/>
          <w:lang w:val="sl"/>
        </w:rPr>
        <w:t>vodnik dobre prakse</w:t>
      </w:r>
      <w:r>
        <w:rPr>
          <w:rFonts w:cstheme="majorHAnsi"/>
          <w:lang w:val="sl"/>
        </w:rPr>
        <w:t xml:space="preserve"> je namenjen podjetjem, tudi tistim v državni lasti, poslovnim organizacijam in poklicnim združenjem ter predstavlja dobro prakso za zagotavljanje učinkovitosti programov ali ukrepov notranjega nadzora, etike in skladnosti, da se prepreči in zazna tuje podkupovanje, vključno z zaščito prijaviteljev. Je prilagodljiv in namenjen temu, da ga podjetja prilagodijo, zlasti mala in srednje velika podjetja, glede na svoje razmere, vključno z velikostjo, vrsto, pravno strukturo ter geografskim območjem in industrijskim področjem poslovanja, ter glede na načela pristojnosti in druga osnovna pravna načela, po katerih poslujejo. V skladu s temi </w:t>
      </w:r>
      <w:r>
        <w:rPr>
          <w:rFonts w:cstheme="majorHAnsi"/>
          <w:i/>
          <w:iCs/>
          <w:lang w:val="sl"/>
        </w:rPr>
        <w:t>smernicami</w:t>
      </w:r>
      <w:r>
        <w:rPr>
          <w:rFonts w:cstheme="majorHAnsi"/>
          <w:lang w:val="sl"/>
        </w:rPr>
        <w:t xml:space="preserve"> naj programi ali ukrepi notranjega nadzora, etike in skladnosti, ki se nanašajo na korupcijo, vključujejo tudi izvajanje skrbnih pregledov poslovanja na podlagi analize tveganja, v skladu s priporočili iz II. poglavja.</w:t>
      </w:r>
      <w:r>
        <w:rPr>
          <w:rFonts w:cstheme="majorHAnsi"/>
          <w:b/>
          <w:bCs/>
          <w:i/>
          <w:iCs/>
          <w:lang w:val="sl"/>
        </w:rPr>
        <w:t xml:space="preserve"> </w:t>
      </w:r>
    </w:p>
    <w:p w14:paraId="041728C5" w14:textId="77777777" w:rsidR="00A55002" w:rsidRPr="008A691D" w:rsidRDefault="00A55002" w:rsidP="00A55002">
      <w:pPr>
        <w:pStyle w:val="Para1"/>
        <w:rPr>
          <w:rFonts w:cstheme="majorHAnsi"/>
          <w:bCs/>
          <w:iCs/>
          <w:strike/>
          <w:lang w:val="sl"/>
        </w:rPr>
      </w:pPr>
      <w:r>
        <w:rPr>
          <w:rFonts w:cstheme="majorHAnsi"/>
          <w:lang w:val="sl"/>
        </w:rPr>
        <w:lastRenderedPageBreak/>
        <w:t>Skupno ukrepanje in smiselno sodelovanje z lokalnimi in mednarodnimi organizacijami civilne družbe, podjetji, poklicnimi združenji in mednarodnimi organizacijami tudi lahko pomagata podjetjem izboljšati oblikovanje in izvajanje učinkovitih protikorupcijskih politik ter zmanjšati tveganja korupcije, ki jih ne more zmanjšati eno samo podjetje.</w:t>
      </w:r>
    </w:p>
    <w:p w14:paraId="0783B73B" w14:textId="77777777" w:rsidR="00A55002" w:rsidRPr="008A691D" w:rsidRDefault="00A55002" w:rsidP="00A55002">
      <w:pPr>
        <w:pStyle w:val="Para1"/>
        <w:rPr>
          <w:rFonts w:cstheme="majorHAnsi"/>
          <w:strike/>
          <w:lang w:val="sl"/>
        </w:rPr>
      </w:pPr>
      <w:r>
        <w:rPr>
          <w:rFonts w:cstheme="majorHAnsi"/>
          <w:lang w:val="sl"/>
        </w:rPr>
        <w:t xml:space="preserve">Konvencija Združenih narodov proti korupciji (UNCAC), ki je začela veljati 14. decembra 2005, določa širok razpon standardov, ukrepov in pravil za boj proti korupciji. Po konvenciji ZN proti korupciji morajo države pogodbenice prepovedati svojim uradnikom, da prejemajo podkupnine, in svojim podjetjem, da podkupujejo domače in tuje uradnike in uradnike javnih mednarodnih organizacij, ter razmisliti o prepovedi podkupovanja med zasebniki. </w:t>
      </w:r>
      <w:r>
        <w:rPr>
          <w:rFonts w:cstheme="majorHAnsi"/>
          <w:i/>
          <w:iCs/>
          <w:lang w:val="sl"/>
        </w:rPr>
        <w:t>Konvencija ZN proti korupciji</w:t>
      </w:r>
      <w:r>
        <w:rPr>
          <w:rFonts w:cstheme="majorHAnsi"/>
          <w:lang w:val="sl"/>
        </w:rPr>
        <w:t xml:space="preserve"> in </w:t>
      </w:r>
      <w:r>
        <w:rPr>
          <w:rFonts w:cstheme="majorHAnsi"/>
          <w:i/>
          <w:iCs/>
          <w:lang w:val="sl"/>
        </w:rPr>
        <w:t>konvencija OECD proti podkupovanju</w:t>
      </w:r>
      <w:r>
        <w:rPr>
          <w:rFonts w:cstheme="majorHAnsi"/>
          <w:lang w:val="sl"/>
        </w:rPr>
        <w:t xml:space="preserve"> se podpirata in dopolnjujeta. </w:t>
      </w:r>
    </w:p>
    <w:p w14:paraId="6319059C" w14:textId="77777777" w:rsidR="00A55002" w:rsidRPr="008A691D" w:rsidRDefault="00A55002" w:rsidP="00A55002">
      <w:pPr>
        <w:pStyle w:val="Para1"/>
        <w:rPr>
          <w:rFonts w:cstheme="majorHAnsi"/>
          <w:strike/>
          <w:lang w:val="sl"/>
        </w:rPr>
      </w:pPr>
      <w:r>
        <w:rPr>
          <w:rFonts w:cstheme="majorHAnsi"/>
          <w:lang w:val="sl"/>
        </w:rPr>
        <w:t xml:space="preserve">Pri spopadanju s povpraševanjem po podkupninah je pomembna dobra praksa upravljanja, ki prepreči, da bi podjetja napeljevali k plačevanju podkupnin. Domače vlade in vlade gostiteljice naj podjetjem, ki so izpostavljena napeljevanju k podkupovanju ali drugim oblikam korupcije, pomagajo pri ozaveščanju in usposabljanju ustreznih uradnikov, razmislijo o spodbujanju pobud skupnega ukrepanja s predstavniki zasebnega in javnega sektorja in organizacij civilne družbe ter po potrebi sprejmejo usklajene ukrepe za odpravljanje napeljevanja k dajanju podkupnin in sprejemanja podkupnin. </w:t>
      </w:r>
      <w:r>
        <w:rPr>
          <w:rFonts w:cstheme="majorHAnsi"/>
          <w:i/>
          <w:iCs/>
          <w:lang w:val="sl"/>
        </w:rPr>
        <w:t>Vodnik dobre prakse glede posameznih členov konvencije</w:t>
      </w:r>
      <w:r>
        <w:rPr>
          <w:rFonts w:cstheme="majorHAnsi"/>
          <w:lang w:val="sl"/>
        </w:rPr>
        <w:t xml:space="preserve"> v prilogi II </w:t>
      </w:r>
      <w:r>
        <w:rPr>
          <w:rFonts w:cstheme="majorHAnsi"/>
          <w:i/>
          <w:iCs/>
          <w:lang w:val="sl"/>
        </w:rPr>
        <w:t>priporočila proti podkupovanju</w:t>
      </w:r>
      <w:r>
        <w:rPr>
          <w:rFonts w:cstheme="majorHAnsi"/>
          <w:lang w:val="sl"/>
        </w:rPr>
        <w:t xml:space="preserve"> navaja, naj se </w:t>
      </w:r>
      <w:r>
        <w:rPr>
          <w:rFonts w:cstheme="majorHAnsi"/>
          <w:i/>
          <w:iCs/>
          <w:lang w:val="sl"/>
        </w:rPr>
        <w:t>konvencija OECD proti podkupovanju</w:t>
      </w:r>
      <w:r>
        <w:rPr>
          <w:rFonts w:cstheme="majorHAnsi"/>
          <w:lang w:val="sl"/>
        </w:rPr>
        <w:t xml:space="preserve"> izvaja tako, da ne zagotavlja obrambe ali izjeme, kadar tuji uradnik napeljuje k dajanju podkupnine. Poleg tega konvencija ZN proti korupciji zahteva kriminalizacijo napeljevanja k podkupovanju, ki ga izvajajo domači uradniki. </w:t>
      </w:r>
    </w:p>
    <w:p w14:paraId="51F90DD5" w14:textId="77777777" w:rsidR="00A55002" w:rsidRPr="00EC1531" w:rsidRDefault="00A55002" w:rsidP="00A55002">
      <w:pPr>
        <w:pStyle w:val="Naslov1"/>
        <w:framePr w:wrap="notBeside"/>
        <w:numPr>
          <w:ilvl w:val="0"/>
          <w:numId w:val="21"/>
        </w:numPr>
        <w:rPr>
          <w:color w:val="366091" w:themeColor="accent1" w:themeShade="BF"/>
        </w:rPr>
      </w:pPr>
      <w:bookmarkStart w:id="38" w:name="_Toc169086492"/>
      <w:r w:rsidRPr="00EC1531">
        <w:rPr>
          <w:bCs/>
          <w:color w:val="366091" w:themeColor="accent1" w:themeShade="BF"/>
          <w:lang w:val="sl"/>
        </w:rPr>
        <w:lastRenderedPageBreak/>
        <w:t>VIII. Interesi potrošnikov</w:t>
      </w:r>
      <w:bookmarkEnd w:id="38"/>
    </w:p>
    <w:p w14:paraId="5A948E40" w14:textId="77777777" w:rsidR="00A55002" w:rsidRPr="00321C51" w:rsidRDefault="00A55002" w:rsidP="00321C51">
      <w:pPr>
        <w:pStyle w:val="Para0"/>
        <w:rPr>
          <w:color w:val="auto"/>
        </w:rPr>
      </w:pPr>
      <w:r>
        <w:rPr>
          <w:color w:val="auto"/>
          <w:lang w:val="sl"/>
        </w:rPr>
        <w:t>Pri poslovanju s potrošniki naj podjetja ravnajo v skladu s pošteno poslovno, trženjsko in oglaševalsko prakso ter izvajajo vse razumne ukrepe za zagotavljanje kakovosti in zanesljivosti blaga in storitev, ki jih nudijo. Zlasti naj:</w:t>
      </w:r>
    </w:p>
    <w:p w14:paraId="10222058" w14:textId="77777777" w:rsidR="00A55002" w:rsidRPr="00CC5470" w:rsidRDefault="00A55002" w:rsidP="00A55002">
      <w:pPr>
        <w:pStyle w:val="NumberedList"/>
        <w:numPr>
          <w:ilvl w:val="0"/>
          <w:numId w:val="41"/>
        </w:numPr>
      </w:pPr>
      <w:r>
        <w:rPr>
          <w:lang w:val="sl"/>
        </w:rPr>
        <w:t>zagotovijo, da blago in storitve, ki jih nudijo, ustrezajo vsem dogovorjenim ali pravno zahtevanim standardom zdravja in varnosti potrošnikov, vključno s tistimi, ki se nanašajo na zdravstvena opozorila in varnostne informacije, ter ob predvidljivi uporabi ali predvidljivi napačni uporabi ali zlorabi ne ogrožajo nerazumno zdravja ali varnosti potrošnikov;</w:t>
      </w:r>
    </w:p>
    <w:p w14:paraId="083F8373" w14:textId="77777777" w:rsidR="00A55002" w:rsidRPr="008A691D" w:rsidRDefault="00A55002" w:rsidP="00A55002">
      <w:pPr>
        <w:pStyle w:val="NumberedList"/>
        <w:numPr>
          <w:ilvl w:val="0"/>
          <w:numId w:val="19"/>
        </w:numPr>
        <w:rPr>
          <w:lang w:val="sl"/>
        </w:rPr>
      </w:pPr>
      <w:r>
        <w:rPr>
          <w:lang w:val="sl"/>
        </w:rPr>
        <w:t xml:space="preserve">zagotovijo točne, preverljive in jasne informacije, ki potrošniku omogočajo sprejemanje informiranih odločitev, vključno z informacijami o cenah in po potrebi vsebini, varni uporabi, </w:t>
      </w:r>
      <w:proofErr w:type="spellStart"/>
      <w:r>
        <w:rPr>
          <w:lang w:val="sl"/>
        </w:rPr>
        <w:t>okoljskih</w:t>
      </w:r>
      <w:proofErr w:type="spellEnd"/>
      <w:r>
        <w:rPr>
          <w:lang w:val="sl"/>
        </w:rPr>
        <w:t xml:space="preserve"> lastnostih, vzdrževanju, shranjevanju in odstranjevanju blaga in storitev, ter razkrijejo pomembne informacije glede e-poslovanja, kot so vprašanja zasebnosti, in informacije o razpoložljivih sredstvih za reševanje sporov in povrnitev škode. Informacije naj se zagotovijo na razumljiv in lahko dostopen način v preprostem jeziku ob upoštevanju potreb po dostopnosti za potrošnike invalide. Kadar je mogoče, se te informacije zagotovijo tako, da potrošniku omogočajo primerjavo izdelkov;</w:t>
      </w:r>
    </w:p>
    <w:p w14:paraId="07A27E17" w14:textId="77777777" w:rsidR="00A55002" w:rsidRPr="008A691D" w:rsidRDefault="00A55002" w:rsidP="00A55002">
      <w:pPr>
        <w:pStyle w:val="NumberedList"/>
        <w:numPr>
          <w:ilvl w:val="0"/>
          <w:numId w:val="19"/>
        </w:numPr>
        <w:rPr>
          <w:lang w:val="sl"/>
        </w:rPr>
      </w:pPr>
      <w:r>
        <w:rPr>
          <w:lang w:val="sl"/>
        </w:rPr>
        <w:t xml:space="preserve">potrošnikom zagotovijo dostop do poštenih, za uporabo preprostih, pravočasnih in učinkovitih nesodnih mehanizmov za reševanje sporov in povrnitev škode; </w:t>
      </w:r>
    </w:p>
    <w:p w14:paraId="7FCBEB61" w14:textId="77777777" w:rsidR="00A55002" w:rsidRPr="008A691D" w:rsidRDefault="00A55002" w:rsidP="00A55002">
      <w:pPr>
        <w:pStyle w:val="NumberedList"/>
        <w:numPr>
          <w:ilvl w:val="0"/>
          <w:numId w:val="19"/>
        </w:numPr>
        <w:rPr>
          <w:lang w:val="sl"/>
        </w:rPr>
      </w:pPr>
      <w:r>
        <w:rPr>
          <w:lang w:val="sl"/>
        </w:rPr>
        <w:t>ne dajejo ali opuščajo izjav niti drugače ravnajo tako, da bi slepili, zavajali ali goljufali potrošnika ali bili do njega nepošteni ali bi kako drugače spodkopavali potrošnikove odločitve ter s tem škodovali potrošniku ali konkurenci;</w:t>
      </w:r>
    </w:p>
    <w:p w14:paraId="4D11DCD4" w14:textId="77777777" w:rsidR="00A55002" w:rsidRPr="008A691D" w:rsidRDefault="00A55002" w:rsidP="00A55002">
      <w:pPr>
        <w:pStyle w:val="NumberedList"/>
        <w:numPr>
          <w:ilvl w:val="0"/>
          <w:numId w:val="19"/>
        </w:numPr>
        <w:rPr>
          <w:lang w:val="sl"/>
        </w:rPr>
      </w:pPr>
      <w:r>
        <w:rPr>
          <w:lang w:val="sl"/>
        </w:rPr>
        <w:t xml:space="preserve">podpirajo prizadevanja za spodbujanje izobraževanja potrošnikov na področjih, povezanih z njihovimi poslovnimi dejavnostmi, s ciljem, med drugim, povečati zmožnost potrošnikov, da </w:t>
      </w:r>
      <w:r>
        <w:rPr>
          <w:i/>
          <w:iCs/>
          <w:lang w:val="sl"/>
        </w:rPr>
        <w:t>i)</w:t>
      </w:r>
      <w:r>
        <w:rPr>
          <w:lang w:val="sl"/>
        </w:rPr>
        <w:t xml:space="preserve"> informirano odločajo o zapletenih storitvah, blagu in trgih, </w:t>
      </w:r>
      <w:r>
        <w:rPr>
          <w:i/>
          <w:iCs/>
          <w:lang w:val="sl"/>
        </w:rPr>
        <w:t>ii)</w:t>
      </w:r>
      <w:r>
        <w:rPr>
          <w:lang w:val="sl"/>
        </w:rPr>
        <w:t xml:space="preserve"> bolje razumejo gospodarski, </w:t>
      </w:r>
      <w:proofErr w:type="spellStart"/>
      <w:r>
        <w:rPr>
          <w:lang w:val="sl"/>
        </w:rPr>
        <w:t>okoljski</w:t>
      </w:r>
      <w:proofErr w:type="spellEnd"/>
      <w:r>
        <w:rPr>
          <w:lang w:val="sl"/>
        </w:rPr>
        <w:t xml:space="preserve"> in družbeni vpliv svojih odločitev ter </w:t>
      </w:r>
      <w:r>
        <w:rPr>
          <w:i/>
          <w:iCs/>
          <w:lang w:val="sl"/>
        </w:rPr>
        <w:t>iii)</w:t>
      </w:r>
      <w:r>
        <w:rPr>
          <w:lang w:val="sl"/>
        </w:rPr>
        <w:t xml:space="preserve"> podpirajo trajnostno porabo;</w:t>
      </w:r>
    </w:p>
    <w:p w14:paraId="41517CC5" w14:textId="77777777" w:rsidR="00A55002" w:rsidRPr="008A691D" w:rsidRDefault="00A55002" w:rsidP="00A55002">
      <w:pPr>
        <w:pStyle w:val="NumberedList"/>
        <w:numPr>
          <w:ilvl w:val="0"/>
          <w:numId w:val="19"/>
        </w:numPr>
        <w:rPr>
          <w:lang w:val="sl"/>
        </w:rPr>
      </w:pPr>
      <w:r>
        <w:rPr>
          <w:lang w:val="sl"/>
        </w:rPr>
        <w:t>varujejo zasebnost potrošnikov z zagotavljanjem, da so postopki podjetja, ki se nanašajo na zbiranje in uporabo podatkov o potrošnikih, zakoniti, pregledni in pošteni, omogočajo sodelovanje in izbiro potrošnikov, ter sprejmejo vse razumne ukrepe za zagotovitev varnosti osebnih podatkov, ki jih zbirajo, shranjujejo, obdelujejo ali razširjajo;</w:t>
      </w:r>
    </w:p>
    <w:p w14:paraId="6E2C5D8B" w14:textId="77777777" w:rsidR="00A55002" w:rsidRPr="008A691D" w:rsidRDefault="00A55002" w:rsidP="00A55002">
      <w:pPr>
        <w:pStyle w:val="NumberedList"/>
        <w:numPr>
          <w:ilvl w:val="0"/>
          <w:numId w:val="19"/>
        </w:numPr>
        <w:rPr>
          <w:lang w:val="sl"/>
        </w:rPr>
      </w:pPr>
      <w:r>
        <w:rPr>
          <w:lang w:val="sl"/>
        </w:rPr>
        <w:t>v celoti sodelujejo z javnimi organi, da se preprečijo in odpravijo zlorabe ali zavajanje pri trženju (vključno z zavajajočim oglaševanjem in poslovnimi goljufijami) ter zmanjšajo ali preprečijo resne nevarnosti za javno zdravje in varnost ali za okolje, ki jih povzroči poraba, uporaba ali odstranjevanje njihovega blaga in storitev;</w:t>
      </w:r>
    </w:p>
    <w:p w14:paraId="370D7E61" w14:textId="77777777" w:rsidR="00A55002" w:rsidRPr="008A691D" w:rsidRDefault="00A55002" w:rsidP="00A55002">
      <w:pPr>
        <w:pStyle w:val="NumberedList"/>
        <w:numPr>
          <w:ilvl w:val="0"/>
          <w:numId w:val="19"/>
        </w:numPr>
        <w:rPr>
          <w:lang w:val="sl"/>
        </w:rPr>
      </w:pPr>
      <w:r>
        <w:rPr>
          <w:lang w:val="sl"/>
        </w:rPr>
        <w:t xml:space="preserve">pri uporabi navedenih načel upoštevajo </w:t>
      </w:r>
      <w:r>
        <w:rPr>
          <w:i/>
          <w:iCs/>
          <w:lang w:val="sl"/>
        </w:rPr>
        <w:t>i)</w:t>
      </w:r>
      <w:r>
        <w:rPr>
          <w:lang w:val="sl"/>
        </w:rPr>
        <w:t xml:space="preserve"> potrebe potrošnikov, zlasti ranljivih ali prikrajšanih, ter </w:t>
      </w:r>
      <w:r>
        <w:rPr>
          <w:i/>
          <w:iCs/>
          <w:lang w:val="sl"/>
        </w:rPr>
        <w:t>ii)</w:t>
      </w:r>
      <w:r>
        <w:rPr>
          <w:lang w:val="sl"/>
        </w:rPr>
        <w:t xml:space="preserve"> posebne težave, s katerimi se potrošniki lahko spopadajo pri e-poslovanju.</w:t>
      </w:r>
    </w:p>
    <w:p w14:paraId="1BB623D6" w14:textId="77777777" w:rsidR="00A55002" w:rsidRPr="00EC1531" w:rsidRDefault="00A55002" w:rsidP="00A55002">
      <w:pPr>
        <w:pStyle w:val="Naslov2"/>
        <w:numPr>
          <w:ilvl w:val="1"/>
          <w:numId w:val="21"/>
        </w:numPr>
        <w:rPr>
          <w:color w:val="366091" w:themeColor="accent1" w:themeShade="BF"/>
          <w:lang w:val="it-IT"/>
        </w:rPr>
      </w:pPr>
      <w:r w:rsidRPr="00EC1531">
        <w:rPr>
          <w:bCs/>
          <w:color w:val="366091" w:themeColor="accent1" w:themeShade="BF"/>
          <w:lang w:val="sl"/>
        </w:rPr>
        <w:t>Komentar k VIII. poglavju: Interesi potrošnikov</w:t>
      </w:r>
    </w:p>
    <w:p w14:paraId="35897EFE" w14:textId="77777777" w:rsidR="00A55002" w:rsidRPr="008A691D" w:rsidRDefault="00A55002" w:rsidP="00A55002">
      <w:pPr>
        <w:pStyle w:val="Para1"/>
        <w:numPr>
          <w:ilvl w:val="0"/>
          <w:numId w:val="32"/>
        </w:numPr>
        <w:rPr>
          <w:b/>
          <w:i/>
          <w:u w:val="single"/>
          <w:lang w:val="sl"/>
        </w:rPr>
      </w:pPr>
      <w:r>
        <w:rPr>
          <w:lang w:val="sl"/>
        </w:rPr>
        <w:t xml:space="preserve">Poglavje teh </w:t>
      </w:r>
      <w:r>
        <w:rPr>
          <w:i/>
          <w:iCs/>
          <w:lang w:val="sl"/>
        </w:rPr>
        <w:t>smernic</w:t>
      </w:r>
      <w:r>
        <w:rPr>
          <w:lang w:val="sl"/>
        </w:rPr>
        <w:t xml:space="preserve"> o interesih potrošnikov temelji na delu Odbora OECD za potrošniško politiko in Odbora za finančne trge, ustreznih standardih OECD na področju varstva potrošnikov ter delu drugih organizacij, vključno z Mednarodno trgovinsko zbornico, Mednarodno organizacijo za standardizacijo ter </w:t>
      </w:r>
      <w:r>
        <w:rPr>
          <w:lang w:val="sl"/>
        </w:rPr>
        <w:lastRenderedPageBreak/>
        <w:t>Združenimi narodi, vključno s Programom ZN za okolje (tj. Smernice ZN o potrošniški politiki) in ustreznimi dokumenti, tudi Kodeksom oglaševalskih in trženjskih sporočil za svetovno oglaševanje in odgovorno trženje Mednarodne trgovinske zbornice.</w:t>
      </w:r>
      <w:r>
        <w:rPr>
          <w:b/>
          <w:bCs/>
          <w:i/>
          <w:iCs/>
          <w:u w:val="single"/>
          <w:lang w:val="sl"/>
        </w:rPr>
        <w:t xml:space="preserve"> </w:t>
      </w:r>
    </w:p>
    <w:p w14:paraId="76D99D3A" w14:textId="77777777" w:rsidR="00A55002" w:rsidRPr="008A691D" w:rsidRDefault="00A55002" w:rsidP="00A55002">
      <w:pPr>
        <w:pStyle w:val="Para1"/>
        <w:rPr>
          <w:color w:val="000000"/>
          <w:lang w:val="sl"/>
        </w:rPr>
      </w:pPr>
      <w:r>
        <w:rPr>
          <w:color w:val="000000"/>
          <w:lang w:val="sl"/>
        </w:rPr>
        <w:t xml:space="preserve">Poglavje priznava, da so zadovoljstvo potrošnikov in povezani interesi temelj uspešnega poslovanja podjetij. Priznava tudi, da se je potrošniški trg blaga in storitev močno preoblikoval. Zakonodajna reforma, bolj odprti svetovni trgi, razvoj novih tehnologij, ki so preoblikovale digitalne in finančne storitve, ter rast storitev za potrošnike so bili ključni dejavniki sprememb, ki so potrošnikom zagotovili večjo izbiro in druge koristi, nastale z bolj odprto konkurenco. Hkrati sta hitrost sprememb in zapletenost številnih trgov potrošnikom na splošno otežili primerjavo in ocenjevanje blaga in storitev. Poleg tega se je sčasoma spremenila tudi demografska struktura potrošnikov. Otroci postajajo vse pomembnejša sila na trgu, prav tako naraščajoče število starejših odraslih. Čeprav so potrošniki na splošno bolj izobraženi, jih veliko še vedno nima aritmetičnih in bralnih veščin, ki so potrebne na današnjih zapletenejših in informacijsko zahtevnejših tržnicah. Veliko potrošnikov tudi vse bolj zanima, kakšna so stališča in dejavnosti podjetij v zvezi z raznovrstnimi gospodarskimi, družbenimi in </w:t>
      </w:r>
      <w:proofErr w:type="spellStart"/>
      <w:r>
        <w:rPr>
          <w:color w:val="000000"/>
          <w:lang w:val="sl"/>
        </w:rPr>
        <w:t>okoljskimi</w:t>
      </w:r>
      <w:proofErr w:type="spellEnd"/>
      <w:r>
        <w:rPr>
          <w:color w:val="000000"/>
          <w:lang w:val="sl"/>
        </w:rPr>
        <w:t xml:space="preserve"> vprašanji, ter to upoštevajo pri izbiri blaga in storitev.</w:t>
      </w:r>
    </w:p>
    <w:p w14:paraId="1571BACD" w14:textId="77777777" w:rsidR="00A55002" w:rsidRPr="00F81785" w:rsidRDefault="00A55002" w:rsidP="00A55002">
      <w:pPr>
        <w:pStyle w:val="Para1"/>
        <w:rPr>
          <w:color w:val="000000"/>
        </w:rPr>
      </w:pPr>
      <w:r>
        <w:rPr>
          <w:color w:val="000000"/>
          <w:lang w:val="sl"/>
        </w:rPr>
        <w:t>Uvodni odstavek poziva podjetja, da uporabljajo poštene poslovne, trženjske in oglaševalske postopke ter zagotavljajo kakovost in zanesljivost svojega blaga in storitev. Ta načela veljajo za blago in storitve.</w:t>
      </w:r>
    </w:p>
    <w:p w14:paraId="47180059" w14:textId="77777777" w:rsidR="00A55002" w:rsidRPr="00F81785" w:rsidRDefault="00A55002" w:rsidP="00A55002">
      <w:pPr>
        <w:pStyle w:val="Para1"/>
        <w:rPr>
          <w:color w:val="000000"/>
        </w:rPr>
      </w:pPr>
      <w:r>
        <w:rPr>
          <w:color w:val="000000"/>
          <w:lang w:val="sl"/>
        </w:rPr>
        <w:t>V 1. odstavku je poudarjena pomembnost tega, da podjetja upoštevajo zdravstvene in varnostne standarde ter da potrošnikom zagotovijo ustrezne zdravstvene in varnostne informacije o svojih izdelkih.</w:t>
      </w:r>
    </w:p>
    <w:p w14:paraId="7ED220CF" w14:textId="77777777" w:rsidR="00A55002" w:rsidRPr="008A691D" w:rsidRDefault="00A55002" w:rsidP="00A55002">
      <w:pPr>
        <w:pStyle w:val="Para1"/>
        <w:rPr>
          <w:color w:val="000000"/>
          <w:lang w:val="sl"/>
        </w:rPr>
      </w:pPr>
      <w:r>
        <w:rPr>
          <w:color w:val="000000"/>
          <w:lang w:val="sl"/>
        </w:rPr>
        <w:t xml:space="preserve">Vsebina 2. odstavka se nanaša na razkritje informacij. Podjetja poziva, naj zagotovijo zadostne informacije, da potrošnikom omogočijo informirano odločanje. Način zagotavljanja informacij na spletu naj se prilagodi sredstvom za dostop potrošnikov. To vključuje informacije o finančnem tveganju, povezanem z izdelki, kadar je to pomembno. V nekaterih primerih imajo podjetja zakonsko dolžnost zagotoviti informacije na način, ki potrošnikom omogoča neposredno primerjavo blaga in storitev (na primer cena na enoto). Če ni neposredne zakonodaje, se podjetja spodbujajo, da pri poslovanju s potrošniki informacije predstavijo na način, ki olajša primerjavo blaga in storitev ter omogoča potrošnikom, da z lahkoto ugotovijo, kakšna bo končna cena izdelka. Treba je opozoriti, da se to, kaj je "zadostno", sčasoma lahko spremeni, in podjetja naj se odzivajo na te spremembe. Vsak izdelek in vsaka </w:t>
      </w:r>
      <w:proofErr w:type="spellStart"/>
      <w:r>
        <w:rPr>
          <w:color w:val="000000"/>
          <w:lang w:val="sl"/>
        </w:rPr>
        <w:t>okoljska</w:t>
      </w:r>
      <w:proofErr w:type="spellEnd"/>
      <w:r>
        <w:rPr>
          <w:color w:val="000000"/>
          <w:lang w:val="sl"/>
        </w:rPr>
        <w:t xml:space="preserve"> ali družbena trditev podjetij naj temelji na ustreznih dokazih ter po potrebi na pravilnih preizkusih in preverjanju. Trditve se lahko nanašajo na način izdelave izdelka ali priprave storitve ter na značilnosti izdelka ali storitve. Glede na naraščajoče zanimanje potrošnikov za </w:t>
      </w:r>
      <w:proofErr w:type="spellStart"/>
      <w:r>
        <w:rPr>
          <w:color w:val="000000"/>
          <w:lang w:val="sl"/>
        </w:rPr>
        <w:t>okoljska</w:t>
      </w:r>
      <w:proofErr w:type="spellEnd"/>
      <w:r>
        <w:rPr>
          <w:color w:val="000000"/>
          <w:lang w:val="sl"/>
        </w:rPr>
        <w:t xml:space="preserve"> in družbena vprašanja ter trajnostno porabo naj se zagotovijo ustrezne informacije o </w:t>
      </w:r>
      <w:proofErr w:type="spellStart"/>
      <w:r>
        <w:rPr>
          <w:color w:val="000000"/>
          <w:lang w:val="sl"/>
        </w:rPr>
        <w:t>okoljskih</w:t>
      </w:r>
      <w:proofErr w:type="spellEnd"/>
      <w:r>
        <w:rPr>
          <w:color w:val="000000"/>
          <w:lang w:val="sl"/>
        </w:rPr>
        <w:t xml:space="preserve"> ali družbenih značilnostih izdelkov in storitev. To lahko vključuje informacije o energetski učinkovitosti, primernosti za recikliranje, trajnosti in popravljivosti izdelkov, trajnostnih značilnostih finančnih izdelkov in storitev ali, na primer pri prehrambnih izdelkih, informacije o kmetijski praksi ali hranilni vrednosti. </w:t>
      </w:r>
    </w:p>
    <w:p w14:paraId="5E41942B" w14:textId="77777777" w:rsidR="00A55002" w:rsidRPr="008A691D" w:rsidRDefault="00A55002" w:rsidP="00A55002">
      <w:pPr>
        <w:pStyle w:val="Para1"/>
        <w:rPr>
          <w:color w:val="000000"/>
          <w:lang w:val="sl"/>
        </w:rPr>
      </w:pPr>
      <w:r>
        <w:rPr>
          <w:color w:val="000000"/>
          <w:lang w:val="sl"/>
        </w:rPr>
        <w:t xml:space="preserve">Potrošniki pri svojih odločitvah o nakupu vse bolj upoštevajo poslovno ravnanje. Zato se podjetja spodbujajo, da dajo na voljo informacije o svojih pobudah za vključitev družbenih in </w:t>
      </w:r>
      <w:proofErr w:type="spellStart"/>
      <w:r>
        <w:rPr>
          <w:color w:val="000000"/>
          <w:lang w:val="sl"/>
        </w:rPr>
        <w:t>okoljskih</w:t>
      </w:r>
      <w:proofErr w:type="spellEnd"/>
      <w:r>
        <w:rPr>
          <w:color w:val="000000"/>
          <w:lang w:val="sl"/>
        </w:rPr>
        <w:t xml:space="preserve"> vidikov v svoje poslovanje ter za drugo podporo trajnostni porabi. Pri tem je pomembno tudi III. poglavje </w:t>
      </w:r>
      <w:r>
        <w:rPr>
          <w:i/>
          <w:iCs/>
          <w:color w:val="000000"/>
          <w:lang w:val="sl"/>
        </w:rPr>
        <w:t>smernic</w:t>
      </w:r>
      <w:r>
        <w:rPr>
          <w:color w:val="000000"/>
          <w:lang w:val="sl"/>
        </w:rPr>
        <w:t xml:space="preserve"> o razkritju. Podjetja se zato spodbujajo k javni objavi vrednostnih izjav ali izjav o poslovnem ravnanju, vključno z informacijami o socialnih, etičnih in </w:t>
      </w:r>
      <w:proofErr w:type="spellStart"/>
      <w:r>
        <w:rPr>
          <w:color w:val="000000"/>
          <w:lang w:val="sl"/>
        </w:rPr>
        <w:t>okoljskih</w:t>
      </w:r>
      <w:proofErr w:type="spellEnd"/>
      <w:r>
        <w:rPr>
          <w:color w:val="000000"/>
          <w:lang w:val="sl"/>
        </w:rPr>
        <w:t xml:space="preserve"> politikah podjetja in drugih kodeksih ravnanja, ki jih podjetje upošteva. Podjetja se spodbujajo, da te informacije objavijo v preprostem jeziku in zagotovijo točnost vsake trditve o </w:t>
      </w:r>
      <w:proofErr w:type="spellStart"/>
      <w:r>
        <w:rPr>
          <w:color w:val="000000"/>
          <w:lang w:val="sl"/>
        </w:rPr>
        <w:t>okoljskem</w:t>
      </w:r>
      <w:proofErr w:type="spellEnd"/>
      <w:r>
        <w:rPr>
          <w:color w:val="000000"/>
          <w:lang w:val="sl"/>
        </w:rPr>
        <w:t xml:space="preserve"> in družbenem delovanju. Dobrodošlo bi bilo večje število podjetij, ki poročajo o tem in objavljajo informacije posebej za potrošnike.</w:t>
      </w:r>
    </w:p>
    <w:p w14:paraId="14DE0FEA" w14:textId="77777777" w:rsidR="00A55002" w:rsidRPr="008A691D" w:rsidRDefault="00A55002" w:rsidP="00A55002">
      <w:pPr>
        <w:pStyle w:val="Para1"/>
        <w:rPr>
          <w:color w:val="000000"/>
          <w:lang w:val="sl"/>
        </w:rPr>
      </w:pPr>
      <w:r>
        <w:rPr>
          <w:color w:val="000000"/>
          <w:lang w:val="sl"/>
        </w:rPr>
        <w:t xml:space="preserve">V 3. odstavku se odraža jezik, uporabljen v </w:t>
      </w:r>
      <w:r>
        <w:rPr>
          <w:i/>
          <w:iCs/>
          <w:color w:val="000000"/>
          <w:lang w:val="sl"/>
        </w:rPr>
        <w:t>Priporočilu o reševanju potrošniških sporov in povrnitvi škode</w:t>
      </w:r>
      <w:r>
        <w:rPr>
          <w:color w:val="000000"/>
          <w:lang w:val="sl"/>
        </w:rPr>
        <w:t xml:space="preserve"> </w:t>
      </w:r>
      <w:r>
        <w:rPr>
          <w:i/>
          <w:iCs/>
          <w:color w:val="000000"/>
          <w:lang w:val="sl"/>
        </w:rPr>
        <w:t>[</w:t>
      </w:r>
      <w:hyperlink r:id="rId45" w:history="1">
        <w:r>
          <w:rPr>
            <w:rStyle w:val="Hiperpovezava"/>
            <w:rFonts w:asciiTheme="majorHAnsi" w:eastAsia="Calibri" w:hAnsiTheme="majorHAnsi" w:cstheme="majorHAnsi"/>
            <w:i/>
            <w:iCs/>
            <w:lang w:val="sl"/>
          </w:rPr>
          <w:t>OECD/LEGAL/0356</w:t>
        </w:r>
      </w:hyperlink>
      <w:r>
        <w:rPr>
          <w:i/>
          <w:iCs/>
          <w:color w:val="000000"/>
          <w:lang w:val="sl"/>
        </w:rPr>
        <w:t>].</w:t>
      </w:r>
      <w:r>
        <w:rPr>
          <w:color w:val="000000"/>
          <w:lang w:val="sl"/>
        </w:rPr>
        <w:t xml:space="preserve"> Priporočilo vzpostavlja okvir za razvijanje učinkovitih načinov reševanja pritožb potrošnikov, vključno z vrsto ukrepov, ki jih lahko sprejme industrijski sektor. Mehanizmi, ki so jih številna podjetja vzpostavila za reševanje potrošniških sporov, so pomagali povečati zaupanje in zadovoljstvo </w:t>
      </w:r>
      <w:r>
        <w:rPr>
          <w:color w:val="000000"/>
          <w:lang w:val="sl"/>
        </w:rPr>
        <w:lastRenderedPageBreak/>
        <w:t xml:space="preserve">potrošnikov. Ti mehanizmi lahko nudijo rešitve za pritožbe, ki so bolj praktične od tožb, saj so te lahko drage, težavne in časovno zahtevne za vse vpletene. Da pa so ti nesodni mehanizmi učinkoviti, morajo potrošniki vedeti zanje, koristijo jim tudi napotki za vlaganje pritožb, zlasti kadar zahtevki vključujejo čezmejne ali </w:t>
      </w:r>
      <w:proofErr w:type="spellStart"/>
      <w:r>
        <w:rPr>
          <w:color w:val="000000"/>
          <w:lang w:val="sl"/>
        </w:rPr>
        <w:t>večrazsežnostne</w:t>
      </w:r>
      <w:proofErr w:type="spellEnd"/>
      <w:r>
        <w:rPr>
          <w:color w:val="000000"/>
          <w:lang w:val="sl"/>
        </w:rPr>
        <w:t xml:space="preserve"> posle.</w:t>
      </w:r>
    </w:p>
    <w:p w14:paraId="261532C4" w14:textId="77777777" w:rsidR="00A55002" w:rsidRPr="008A691D" w:rsidRDefault="00A55002" w:rsidP="00A55002">
      <w:pPr>
        <w:pStyle w:val="Para1"/>
        <w:rPr>
          <w:color w:val="000000"/>
          <w:lang w:val="sl"/>
        </w:rPr>
      </w:pPr>
      <w:r>
        <w:rPr>
          <w:color w:val="000000"/>
          <w:lang w:val="sl"/>
        </w:rPr>
        <w:t xml:space="preserve">Vsebina 4. odstavka se nanaša na slepilno, zavajajoče, goljufivo in drugo nepošteno poslovno ravnanje. Tako ravnanje lahko izkrivi trg na račun potrošnikov in odgovornih podjetij ter se mu je treba izogibati. </w:t>
      </w:r>
    </w:p>
    <w:p w14:paraId="164949DE" w14:textId="77777777" w:rsidR="00A55002" w:rsidRPr="008A691D" w:rsidRDefault="00A55002" w:rsidP="00A55002">
      <w:pPr>
        <w:pStyle w:val="Para1"/>
        <w:rPr>
          <w:color w:val="000000"/>
          <w:lang w:val="sl"/>
        </w:rPr>
      </w:pPr>
      <w:r>
        <w:rPr>
          <w:color w:val="000000"/>
          <w:lang w:val="sl"/>
        </w:rPr>
        <w:t>Vsebina 5. odstavka se nanaša na izobraževanje potrošnikov, ki je z naraščajočo zapletenostjo številnih izdelkov in trgov postalo pomembnejše. Vlade, potrošniške organizacije in številna podjetja priznavajo, da je to skupna odgovornost ter da imajo pri tem lahko pomembno vlogo. Težave potrošnikov pri ocenjevanju zapletenih izdelkov na finančnem področju in drugih področjih so poudarile pomen sodelovanja deležnikov pri spodbujanju izobraževanja za izboljšanje odločanja potrošnikov.</w:t>
      </w:r>
    </w:p>
    <w:p w14:paraId="14A39A20" w14:textId="77777777" w:rsidR="00A55002" w:rsidRPr="008A691D" w:rsidRDefault="00A55002" w:rsidP="00A55002">
      <w:pPr>
        <w:pStyle w:val="Para1"/>
        <w:rPr>
          <w:color w:val="000000"/>
          <w:lang w:val="sl"/>
        </w:rPr>
      </w:pPr>
      <w:r>
        <w:rPr>
          <w:color w:val="000000"/>
          <w:lang w:val="sl"/>
        </w:rPr>
        <w:t xml:space="preserve">Vsebina 6. odstavka se nanaša na osebne podatke. Naraščanje zbiranja in uporabe osebnih podatkov pri podjetjih lahko zelo ogrozi zasebnost in dobro počutje potrošnikov. Varstvo osebnih podatkov potrošnikov, vključno z varnostjo podatkov, je torej zelo pomembno. </w:t>
      </w:r>
    </w:p>
    <w:p w14:paraId="635C743F" w14:textId="77777777" w:rsidR="00A55002" w:rsidRPr="008A691D" w:rsidRDefault="00A55002" w:rsidP="00A55002">
      <w:pPr>
        <w:pStyle w:val="Para1"/>
        <w:rPr>
          <w:color w:val="000000"/>
          <w:lang w:val="sl"/>
        </w:rPr>
      </w:pPr>
      <w:r>
        <w:rPr>
          <w:color w:val="000000"/>
          <w:lang w:val="sl"/>
        </w:rPr>
        <w:t>V 7. odstavku je poudarjena pomembnost sodelovanja podjetij z javnimi organi, da pomagajo učinkoviteje preprečevati in odpravljati zavajajoče trženjske postopke. Potrebno je tudi sodelovanje pri zmanjševanju ali preprečevanju tveganj za javno zdravje in varnost ter za okolje. To vključuje tveganja, povezana z odstranjevanjem blaga ter njegovo porabo in uporabo. To odraža priznavanje pomembnosti upoštevanja in obvladovanja tveganj za varnost izdelkov v njihovi celotni življenjski dobi, zlasti pa v fazah načrtovanja, izdelave, distribucije, uporabe in odstranjevanja.</w:t>
      </w:r>
    </w:p>
    <w:p w14:paraId="6CE47EAF" w14:textId="77777777" w:rsidR="00A55002" w:rsidRPr="008A691D" w:rsidRDefault="00A55002" w:rsidP="00A55002">
      <w:pPr>
        <w:pStyle w:val="Para1"/>
        <w:rPr>
          <w:i/>
          <w:color w:val="000000"/>
          <w:lang w:val="sl"/>
        </w:rPr>
      </w:pPr>
      <w:r>
        <w:rPr>
          <w:color w:val="000000"/>
          <w:lang w:val="sl"/>
        </w:rPr>
        <w:t>V 8. odstavku so podjetja pozvana, da pri trženju blaga in storitev upoštevajo razmere ranljivih in prikrajšanih potrošnikov. Izraz prikrajšani ali ranljivi potrošniki se nanaša na posamezne potrošnike ali skupine potrošnikov, ki imajo zaradi osebnih lastnosti ali okoliščin (kot so starost, umska ali telesna zmožnost, izobrazba, dohodek, jezik ali oddaljeni kraj) posebne težave pri poslovanju na današnjih informacijsko zahtevnih globaliziranih trgih. Ta odstavek tudi poudarja vse večjo pomembnost mobilnega in drugih oblik e-poslovanja na svetovnih trgih. Koristi takega poslovanja so pomembne in še naraščajo. Obstaja pa tudi tveganje, da povzroči škodo potrošnikom. Vlade so veliko časa namenile proučevanju, kako zagotoviti pregledno in učinkovito varstvo potrošnikov, ki pri e-poslovanju ne bo na nižji ravni, kot je zagotovljeno pri bolj tradicionalnih oblikah poslovanja. Zato je pomembno, da podjetja z ustreznimi ukrepi zmanjšajo tveganja e-poslovanja, tako da je raven varstva enaka kot pri bolj tradicionalnih oblikah poslovanja.</w:t>
      </w:r>
      <w:r>
        <w:rPr>
          <w:i/>
          <w:iCs/>
          <w:color w:val="000000"/>
          <w:lang w:val="sl"/>
        </w:rPr>
        <w:t xml:space="preserve"> </w:t>
      </w:r>
    </w:p>
    <w:p w14:paraId="14DCEBB3" w14:textId="77777777" w:rsidR="00A55002" w:rsidRPr="00EC1531" w:rsidRDefault="00A55002" w:rsidP="00A55002">
      <w:pPr>
        <w:pStyle w:val="Naslov1"/>
        <w:framePr w:wrap="notBeside"/>
        <w:numPr>
          <w:ilvl w:val="0"/>
          <w:numId w:val="21"/>
        </w:numPr>
        <w:rPr>
          <w:color w:val="366091" w:themeColor="accent1" w:themeShade="BF"/>
        </w:rPr>
      </w:pPr>
      <w:bookmarkStart w:id="39" w:name="_Toc169086493"/>
      <w:r w:rsidRPr="00EC1531">
        <w:rPr>
          <w:bCs/>
          <w:color w:val="366091" w:themeColor="accent1" w:themeShade="BF"/>
          <w:lang w:val="sl"/>
        </w:rPr>
        <w:lastRenderedPageBreak/>
        <w:t>IX. Znanost, tehnologija in inovacije</w:t>
      </w:r>
      <w:bookmarkEnd w:id="39"/>
    </w:p>
    <w:p w14:paraId="7A4AE9B2" w14:textId="77777777" w:rsidR="00A55002" w:rsidRPr="007E7C5A" w:rsidRDefault="00A55002" w:rsidP="0042619C">
      <w:pPr>
        <w:pStyle w:val="Para0"/>
      </w:pPr>
      <w:r>
        <w:rPr>
          <w:lang w:val="sl"/>
        </w:rPr>
        <w:t xml:space="preserve">Znanstvene raziskave in tehnološke inovacije so povečale storilnost vseh sektorjev in tudi zmožnost podjetij, da opravljajo skrbne preglede poslovanja in prispevajo k trajnostnemu razvoju. Podjetja naj primerno prispevajo k razvoju lokalnih in državnih inovativnih zmogljivosti. V zvezi z razvojem, financiranjem, prodajo, licenciranjem in uporabo tehnologije ter trgovine z njo, vključno z zbiranjem in uporabo podatkov, ter znanstvenimi raziskavami in inovacijami naj podjetja upoštevajo </w:t>
      </w:r>
      <w:r>
        <w:rPr>
          <w:i/>
          <w:iCs/>
          <w:lang w:val="sl"/>
        </w:rPr>
        <w:t>smernice</w:t>
      </w:r>
      <w:r>
        <w:rPr>
          <w:lang w:val="sl"/>
        </w:rPr>
        <w:t xml:space="preserve"> in spoštujejo veljavno notranjo zakonodajo in zahteve, vključno z zahtevami glede zasebnosti in varstva podatkov ter predpisi o nadzoru izvoza. Podjetja naj zlasti: </w:t>
      </w:r>
    </w:p>
    <w:p w14:paraId="26F4504B" w14:textId="77777777" w:rsidR="00A55002" w:rsidRPr="007E7C5A" w:rsidRDefault="00A55002" w:rsidP="00A55002">
      <w:pPr>
        <w:pStyle w:val="NumberedList"/>
        <w:numPr>
          <w:ilvl w:val="0"/>
          <w:numId w:val="42"/>
        </w:numPr>
      </w:pPr>
      <w:r>
        <w:rPr>
          <w:lang w:val="sl"/>
        </w:rPr>
        <w:t xml:space="preserve">opravljajo skrbne preglede poslovanja na podlagi analize tveganja, kot je opisano v II. poglavju, glede dejanskih in možnih škodljivih vplivov, povezanih z znanostjo, tehnologijo in inovacijami;  </w:t>
      </w:r>
    </w:p>
    <w:p w14:paraId="05B92631" w14:textId="77777777" w:rsidR="00A55002" w:rsidRPr="007E7C5A" w:rsidRDefault="00A55002" w:rsidP="00A55002">
      <w:pPr>
        <w:pStyle w:val="NumberedList"/>
        <w:numPr>
          <w:ilvl w:val="0"/>
          <w:numId w:val="19"/>
        </w:numPr>
      </w:pPr>
      <w:r>
        <w:rPr>
          <w:lang w:val="sl"/>
        </w:rPr>
        <w:t xml:space="preserve">kadar je to izvedljivo, pri svojih poslovnih dejavnostih sprejmejo postopke, ki omogočajo prostovoljen, varen in učinkovit prenos tehnologije ter strokovnega znanja in izkušenj pod skupno dogovorjenimi pogoji, ter izboljšajo dostop do podatkov in izmenjavo podatkov za spodbujanje znanstvenih odkritij in inovacij ob ustreznem upoštevanju varstva pravic intelektualne lastnine, obveznosti glede zaupnosti, zasebnosti, varstva osebnih podatkov, nadzora izvoza in načel nediskriminacije; </w:t>
      </w:r>
    </w:p>
    <w:p w14:paraId="2AFACA38" w14:textId="77777777" w:rsidR="00A55002" w:rsidRPr="007E7C5A" w:rsidRDefault="00A55002" w:rsidP="00A55002">
      <w:pPr>
        <w:pStyle w:val="NumberedList"/>
        <w:numPr>
          <w:ilvl w:val="0"/>
          <w:numId w:val="19"/>
        </w:numPr>
      </w:pPr>
      <w:r>
        <w:rPr>
          <w:lang w:val="sl"/>
        </w:rPr>
        <w:t>kadar je primerno, izvajajo dejavnosti na področju razvoja znanosti in tehnologije v državah gostiteljicah zaradi zadovoljevanja potreb lokalnega trga ter zaposlujejo osebje iz države gostiteljice pri dejavnostih na področju razvoja znanosti in tehnologije in spodbujajo njihovo usposabljanje ob upoštevanju integritete, varnosti in poslovnih potreb;</w:t>
      </w:r>
    </w:p>
    <w:p w14:paraId="722C8475" w14:textId="77777777" w:rsidR="00A55002" w:rsidRPr="007E7C5A" w:rsidRDefault="00A55002" w:rsidP="00A55002">
      <w:pPr>
        <w:pStyle w:val="NumberedList"/>
        <w:numPr>
          <w:ilvl w:val="0"/>
          <w:numId w:val="19"/>
        </w:numPr>
      </w:pPr>
      <w:r>
        <w:rPr>
          <w:lang w:val="sl"/>
        </w:rPr>
        <w:t>izdajajo licence za uporabo pravic intelektualne lastnine ali drugače prostovoljno prenašajo tehnologijo pod skupno dogovorjenimi pogoji z ustrezno zaščito, ki preprečuje in blaži škodljive vplive, ter na način, ki prispeva k dolgoročnemu trajnostnemu razvoju države gostiteljice in spoštuje predpise o nadzoru izvoza;</w:t>
      </w:r>
    </w:p>
    <w:p w14:paraId="30E26C99" w14:textId="77777777" w:rsidR="00A55002" w:rsidRPr="008A691D" w:rsidRDefault="00A55002" w:rsidP="00A55002">
      <w:pPr>
        <w:pStyle w:val="NumberedList"/>
        <w:numPr>
          <w:ilvl w:val="0"/>
          <w:numId w:val="19"/>
        </w:numPr>
        <w:rPr>
          <w:lang w:val="sl"/>
        </w:rPr>
      </w:pPr>
      <w:r>
        <w:rPr>
          <w:lang w:val="sl"/>
        </w:rPr>
        <w:t>kadar je to pomembno za poslovne cilje, vzpostavljajo vezi z lokalnimi visokošolskimi ustanovami in javnimi raziskovalnimi ustanovami ter sodelujejo pri skupnih raziskovalnih projektih z lokalno industrijo ali industrijskimi združenji, vključno z malimi in srednje velikimi podjetji ter organizacijami civilne družbe. Pri takem sodelovanju naj upoštevajo učinkovito obvladovanje tveganj, etične vidike, vidike državne varnosti, veljavno zakonodajo in pomisleke deležnikov. Prepoznajo naj vrednost odprte znanosti ter spoštujejo zaščitne ukrepe za ohranjanje akademske svobode ter raziskovalno in znanstveno samostojnost in neodvisnost;</w:t>
      </w:r>
    </w:p>
    <w:p w14:paraId="796CF93A" w14:textId="77777777" w:rsidR="00A55002" w:rsidRPr="008A691D" w:rsidRDefault="00A55002" w:rsidP="00A55002">
      <w:pPr>
        <w:pStyle w:val="NumberedList"/>
        <w:numPr>
          <w:ilvl w:val="0"/>
          <w:numId w:val="19"/>
        </w:numPr>
        <w:rPr>
          <w:lang w:val="sl"/>
        </w:rPr>
      </w:pPr>
      <w:r>
        <w:rPr>
          <w:lang w:val="sl"/>
        </w:rPr>
        <w:t xml:space="preserve">pri zbiranju, deljenju in uporabi podatkov okrepijo preglednost ureditve dostopa in deljenja ter v celotnem ciklu vrednosti podatkov spodbujajo sprejemanje postopkov odgovornega upravljanja podatkov, ki so v skladu s standardi in obveznostmi, veljavnimi, široko priznanimi ali sprejetimi med pristopnicami k </w:t>
      </w:r>
      <w:r>
        <w:rPr>
          <w:i/>
          <w:iCs/>
          <w:lang w:val="sl"/>
        </w:rPr>
        <w:t>smernicam</w:t>
      </w:r>
      <w:r>
        <w:rPr>
          <w:lang w:val="sl"/>
        </w:rPr>
        <w:t xml:space="preserve">, vključno s kodeksi ravnanja, etičnimi načeli, pravili glede manipuliranja s potrošniki ali njihovega izsiljevanja ter predpisi o zasebnosti in varstvu podatkov; </w:t>
      </w:r>
    </w:p>
    <w:p w14:paraId="64A2297E" w14:textId="77777777" w:rsidR="00A55002" w:rsidRPr="008A691D" w:rsidRDefault="00A55002" w:rsidP="00A55002">
      <w:pPr>
        <w:pStyle w:val="NumberedList"/>
        <w:numPr>
          <w:ilvl w:val="0"/>
          <w:numId w:val="19"/>
        </w:numPr>
        <w:rPr>
          <w:lang w:val="sl"/>
        </w:rPr>
      </w:pPr>
      <w:r>
        <w:rPr>
          <w:szCs w:val="24"/>
          <w:lang w:val="sl"/>
        </w:rPr>
        <w:t xml:space="preserve">v skladu s svojimi okoliščinami podpirajo sodelovanje na ustreznih forumih za spodbujanje odprtega, prostega, svetovnega, </w:t>
      </w:r>
      <w:proofErr w:type="spellStart"/>
      <w:r>
        <w:rPr>
          <w:szCs w:val="24"/>
          <w:lang w:val="sl"/>
        </w:rPr>
        <w:t>medobratovalnega</w:t>
      </w:r>
      <w:proofErr w:type="spellEnd"/>
      <w:r>
        <w:rPr>
          <w:szCs w:val="24"/>
          <w:lang w:val="sl"/>
        </w:rPr>
        <w:t xml:space="preserve">, zanesljivega, dostopnega, cenovno sprejemljivega, varnega in odpornega interneta, vključno s spoštovanjem svobode izražanja, mirnega zbiranja in združevanja na spletu ter v skladu z zadevami, zajetimi v </w:t>
      </w:r>
      <w:r>
        <w:rPr>
          <w:i/>
          <w:iCs/>
          <w:szCs w:val="24"/>
          <w:lang w:val="sl"/>
        </w:rPr>
        <w:t>smernicah</w:t>
      </w:r>
      <w:r>
        <w:rPr>
          <w:szCs w:val="24"/>
          <w:lang w:val="sl"/>
        </w:rPr>
        <w:t>.</w:t>
      </w:r>
    </w:p>
    <w:p w14:paraId="3C1EB7B1" w14:textId="77777777" w:rsidR="00A55002" w:rsidRPr="00EC1531" w:rsidRDefault="00A55002" w:rsidP="00A55002">
      <w:pPr>
        <w:pStyle w:val="Naslov2"/>
        <w:numPr>
          <w:ilvl w:val="1"/>
          <w:numId w:val="21"/>
        </w:numPr>
        <w:rPr>
          <w:color w:val="366091" w:themeColor="accent1" w:themeShade="BF"/>
          <w:lang w:val="sl"/>
        </w:rPr>
      </w:pPr>
      <w:r w:rsidRPr="00EC1531">
        <w:rPr>
          <w:bCs/>
          <w:color w:val="366091" w:themeColor="accent1" w:themeShade="BF"/>
          <w:lang w:val="sl"/>
        </w:rPr>
        <w:lastRenderedPageBreak/>
        <w:t>Komentar k IX. poglavju: Znanost, tehnologija in inovacije</w:t>
      </w:r>
    </w:p>
    <w:p w14:paraId="0179D0E1" w14:textId="77777777" w:rsidR="00A55002" w:rsidRPr="008A691D" w:rsidRDefault="00A55002" w:rsidP="00A55002">
      <w:pPr>
        <w:pStyle w:val="Para1"/>
        <w:numPr>
          <w:ilvl w:val="0"/>
          <w:numId w:val="33"/>
        </w:numPr>
        <w:rPr>
          <w:lang w:val="sl"/>
        </w:rPr>
      </w:pPr>
      <w:r>
        <w:rPr>
          <w:lang w:val="sl"/>
        </w:rPr>
        <w:t xml:space="preserve">Razvoj, licenciranje, prodaja in uporaba tehnologije ter trgovanje z njo močno vplivajo na zadeve, zajete v </w:t>
      </w:r>
      <w:r>
        <w:rPr>
          <w:i/>
          <w:iCs/>
          <w:lang w:val="sl"/>
        </w:rPr>
        <w:t>smernicah</w:t>
      </w:r>
      <w:r>
        <w:rPr>
          <w:lang w:val="sl"/>
        </w:rPr>
        <w:t xml:space="preserve">, vključno s trajnostnim razvojem, človekovimi pravicami, udeležbo v gospodarstvu, kakovostjo demokracije, povezanostjo družbe, podnebnimi spremembami, svetovnim poslovnim okoljem in okoljem dela ter tržno dinamiko. Znanstvene raziskave in tehnološke inovacije so povečale storilnost vseh sektorjev in tudi zmožnost podjetij, da opravljajo skrbne preglede poslovanja ter prispevajo k trajnostnemu razvoju, vendar so lahko povezane tudi z izzivi in škodljivimi vplivi. </w:t>
      </w:r>
    </w:p>
    <w:p w14:paraId="394EF778" w14:textId="77777777" w:rsidR="00A55002" w:rsidRPr="008A691D" w:rsidRDefault="00A55002" w:rsidP="00A55002">
      <w:pPr>
        <w:pStyle w:val="Para1"/>
        <w:rPr>
          <w:lang w:val="sl"/>
        </w:rPr>
      </w:pPr>
      <w:r>
        <w:rPr>
          <w:lang w:val="sl"/>
        </w:rPr>
        <w:t xml:space="preserve">Glede na stalni razvoj tega področja in dejstvo, da je povezano s številnimi vprašanji, je namen poglavja zajeti široko in vključujoče področje, da se zagotovi njegova ustreznost glede tveganj, povezanih s prihodnjim razvojem znanosti, tehnologije in inovacij. </w:t>
      </w:r>
    </w:p>
    <w:p w14:paraId="2578851F" w14:textId="77777777" w:rsidR="00A55002" w:rsidRPr="008A691D" w:rsidRDefault="00A55002" w:rsidP="00A55002">
      <w:pPr>
        <w:pStyle w:val="Para1"/>
        <w:rPr>
          <w:lang w:val="it-IT"/>
        </w:rPr>
      </w:pPr>
      <w:r>
        <w:rPr>
          <w:lang w:val="sl"/>
        </w:rPr>
        <w:t>V globaliziranem in na znanju temelječem gospodarstvu je zmožnost dostopati do tehnologije, podatkov ter strokovnega znanja in izkušenj ter jih uporabljati bistvena za povečanje uspešnosti podjetja. Tak dostop je pomemben tudi za uresničitev učinkov tehnološkega napredka v celotnem gospodarstvu, vključno z rastjo storilnosti in ustvarjanjem delovnih mest, v okviru trajnostnega razvoja.</w:t>
      </w:r>
      <w:r>
        <w:rPr>
          <w:rStyle w:val="Sprotnaopomba-sklic"/>
          <w:lang w:val="sl"/>
        </w:rPr>
        <w:footnoteReference w:customMarkFollows="1" w:id="7"/>
        <w:t>3</w:t>
      </w:r>
      <w:r>
        <w:rPr>
          <w:lang w:val="sl"/>
        </w:rPr>
        <w:t xml:space="preserve"> Mednarodna podjetja so pomemben kanal čezmejnega prenosa tehnologije. Z ustvarjanjem, razširjanjem in celo omogočanjem uporabe novih tehnologij med domačimi podjetji in ustanovami lahko prispevajo k inovativni zmogljivosti svojih držav gostiteljic. Raziskovalne in razvojne dejavnosti mednarodnih podjetij ter naložbe v nove tehnologije, kadar so dobro povezane z državnim sistemom inovacij, lahko pomagajo okrepiti gospodarski in družbeni napredek v njihovih državah gostiteljicah. Po drugi strani pa razvoj dinamičnega sistema inovacij v državi gostiteljici razširi poslovne priložnosti za mednarodna podjetja. </w:t>
      </w:r>
    </w:p>
    <w:p w14:paraId="1B97C2FE" w14:textId="77777777" w:rsidR="00A55002" w:rsidRPr="008A691D" w:rsidRDefault="00A55002" w:rsidP="00A55002">
      <w:pPr>
        <w:pStyle w:val="Para1"/>
        <w:rPr>
          <w:lang w:val="sl"/>
        </w:rPr>
      </w:pPr>
      <w:r>
        <w:rPr>
          <w:lang w:val="sl"/>
        </w:rPr>
        <w:t xml:space="preserve">Namen poglavja je torej spodbujati mednarodna podjetja, da razširjajo sadove raziskovalnih in razvojnih dejavnosti v državah, kjer poslujejo, in tako prispevajo k inovativni zmogljivosti držav gostiteljic v mejah ekonomske izvedljivosti in vidikov konkurenčnosti ter v skladu z obveznostmi glede zasebnosti, varstva podatkov, varnosti, varstva intelektualne lastnine in zaupnosti. Pri tem spodbujanje razširjanja tehnologije lahko vključuje trženje izdelkov in storitev, ki vključujejo novo tehnologijo, licenciranje inovacij v postopkih, najemanje in usposabljanje znanstvenega in tehničnega osebja ter razvoj sodelovalnih raziskovalnih in razvojnih podvigov. Pri prodaji ali licenciranju tehnologije naj se pogoji določijo s skupnim dogovorom, mednarodna podjetja pa naj tudi upoštevajo dolgoročne razvojne, </w:t>
      </w:r>
      <w:proofErr w:type="spellStart"/>
      <w:r>
        <w:rPr>
          <w:lang w:val="sl"/>
        </w:rPr>
        <w:t>okoljske</w:t>
      </w:r>
      <w:proofErr w:type="spellEnd"/>
      <w:r>
        <w:rPr>
          <w:lang w:val="sl"/>
        </w:rPr>
        <w:t xml:space="preserve"> in družbene vplive tehnologije. Mednarodna podjetja pri svojih dejavnostih lahko vzpostavljajo in izpopolnjujejo inovativne zmogljivosti svojih mednarodnih podrejenih družb, podizvajalcev in drugih subjektov, s katerimi so v poslovnem razmerju. Mednarodna podjetja lahko tudi opozarjajo na pomembnost lokalne znanstvene in tehnološke fizične in institucionalne infrastrukture. Pri tem mednarodna podjetja lahko koristno prispevajo k temu, da vlade držav gostiteljic oblikujejo politične okvire, primerne za razvoj dinamičnih sistemov inovacij.</w:t>
      </w:r>
    </w:p>
    <w:p w14:paraId="28203DC0" w14:textId="77777777" w:rsidR="00A55002" w:rsidRPr="008A691D" w:rsidRDefault="00A55002" w:rsidP="00A55002">
      <w:pPr>
        <w:pStyle w:val="Para1"/>
        <w:rPr>
          <w:lang w:val="sl"/>
        </w:rPr>
      </w:pPr>
      <w:r>
        <w:rPr>
          <w:lang w:val="sl"/>
        </w:rPr>
        <w:t xml:space="preserve">V teh smernicah znanost vključuje tudi raziskovanje in odkrivanje. Tehnologija vključuje digitalno tehnologijo, </w:t>
      </w:r>
      <w:proofErr w:type="spellStart"/>
      <w:r>
        <w:rPr>
          <w:lang w:val="sl"/>
        </w:rPr>
        <w:t>nedigitalno</w:t>
      </w:r>
      <w:proofErr w:type="spellEnd"/>
      <w:r>
        <w:rPr>
          <w:lang w:val="sl"/>
        </w:rPr>
        <w:t xml:space="preserve"> tehnologijo in digitalne storitve ter digitalne ekosisteme, ki omogočajo njihov razvoj in uporabo. Inovacije so proces razvijanja novih ali izpopolnjenih izdelkov, storitev ali postopkov z namenom dati jih na voljo morebitnim uporabnikom ali uvesti njihovo uporabo v podjetju. </w:t>
      </w:r>
    </w:p>
    <w:p w14:paraId="77EDC06B" w14:textId="77777777" w:rsidR="00A55002" w:rsidRPr="008A691D" w:rsidRDefault="00A55002" w:rsidP="00A55002">
      <w:pPr>
        <w:pStyle w:val="Para1"/>
        <w:rPr>
          <w:lang w:val="sl"/>
        </w:rPr>
      </w:pPr>
      <w:r>
        <w:rPr>
          <w:lang w:val="sl"/>
        </w:rPr>
        <w:t xml:space="preserve">V teh smernicah in ustreznih priporočilih OECD izraz podatki pomeni zapisane informacije v strukturirani ali nestrukturirani obliki, vključno z besedilom, slikami, zvokom in videom. Na podatkih temelječe inovacije in podatkovno intenzivna znanost neznansko veliko obetajo za reševanje velikih družbenih izzivov. Pobude odprte znanosti in dostop do podatkov imata daljnosežne učinke na ponovljivost </w:t>
      </w:r>
      <w:r>
        <w:rPr>
          <w:lang w:val="sl"/>
        </w:rPr>
        <w:lastRenderedPageBreak/>
        <w:t xml:space="preserve">znanstvenih rezultatov, razširjanje znanja v družbi, </w:t>
      </w:r>
      <w:proofErr w:type="spellStart"/>
      <w:r>
        <w:rPr>
          <w:lang w:val="sl"/>
        </w:rPr>
        <w:t>meddisciplinarno</w:t>
      </w:r>
      <w:proofErr w:type="spellEnd"/>
      <w:r>
        <w:rPr>
          <w:lang w:val="sl"/>
        </w:rPr>
        <w:t xml:space="preserve"> sodelovanje, učinkovito rabo naravnih virov, storilnost in konkurenčnost. Čezmejni tokovi podatkov so ključni za podporo mednarodni trgovini ter izmenjavi informacij in znanja za premoščanje digitalnih ločnic in trajnostni razvoj. V 2. odstavku so te koristi poudarjene, hkrati pa so priznana tveganja kraje ter neodgovornega deljenja in uporabe podatkov, ki lahko spodkopljeta zasebnost posameznikov in morda ogrozita državno varnost. Podjetja v podatkovnem ekosistemu, vključno z imetniki, ustvarjalci in posredniki podatkov, kot so opredeljeni v </w:t>
      </w:r>
      <w:r>
        <w:rPr>
          <w:i/>
          <w:iCs/>
          <w:lang w:val="sl"/>
        </w:rPr>
        <w:t>Priporočilu o krepitvi dostopa do podatkov in njihovega deljenja [</w:t>
      </w:r>
      <w:hyperlink r:id="rId46" w:history="1">
        <w:r>
          <w:rPr>
            <w:rStyle w:val="Hiperpovezava"/>
            <w:i/>
            <w:iCs/>
            <w:lang w:val="sl"/>
          </w:rPr>
          <w:t>OECD/LEGAL/0463</w:t>
        </w:r>
      </w:hyperlink>
      <w:r>
        <w:rPr>
          <w:i/>
          <w:iCs/>
          <w:lang w:val="sl"/>
        </w:rPr>
        <w:t>]</w:t>
      </w:r>
      <w:r>
        <w:rPr>
          <w:lang w:val="sl"/>
        </w:rPr>
        <w:t xml:space="preserve">, se spodbujajo k razmisleku o upoštevanju priporočil za odgovorno dostopanje do podatkov, njihovo deljenje in uporabo iz navedenega priporočila, katerega namen je zagotoviti izvajanje ukrepov obvladovanja tveganja v celotnem ciklu vrednosti podatkov, vključno z ukrepi, potrebnimi za varovanje zaupnosti, celovitosti, varnosti in razpoložljivosti podatkov, zlasti pri upravljanju bioloških podatkov, kot je DNK, ter razkrivanju podatkov organom pregona in drugim državnim organom. </w:t>
      </w:r>
    </w:p>
    <w:p w14:paraId="76FBC89F" w14:textId="77777777" w:rsidR="00A55002" w:rsidRPr="008A691D" w:rsidRDefault="00A55002" w:rsidP="00A55002">
      <w:pPr>
        <w:pStyle w:val="Para1"/>
        <w:rPr>
          <w:lang w:val="sl"/>
        </w:rPr>
      </w:pPr>
      <w:r>
        <w:rPr>
          <w:lang w:val="sl"/>
        </w:rPr>
        <w:t>V 4. odstavku opisana pričakovanja v zvezi s podjetji naj bi bila sorazmerna, da se preprečijo pogoji, ki bi imeli nenamerne posledice. Podjetja naj si tudi prizadevajo prepoznati razmere, v katerih se bodo morda nekateri hoteli okoristiti s prenosom tehnologije, da bi zlorabili civilno tehnologijo.</w:t>
      </w:r>
    </w:p>
    <w:p w14:paraId="344C706D" w14:textId="77777777" w:rsidR="00A55002" w:rsidRPr="008A691D" w:rsidRDefault="00A55002" w:rsidP="00A55002">
      <w:pPr>
        <w:pStyle w:val="Para1"/>
        <w:rPr>
          <w:lang w:val="sl"/>
        </w:rPr>
      </w:pPr>
      <w:r>
        <w:rPr>
          <w:lang w:val="sl"/>
        </w:rPr>
        <w:t xml:space="preserve">V skladu z II. poglavjem sta vrsta in obseg skrbnega pregleda v zvezi s škodljivimi vplivi, povezanimi z znanostjo, tehnologijo in inovacijami, odvisna od okoliščin posameznega primera in bosta vključevala razvrščanje po prednosti glede na tveganje. Pri tem naj se upoštevajo znane ali razumno predvidljive okoliščine, povezane z uporabo izdelka ali storitve v skladu s predvidenim namenom ali ob razumno predvidljivi neustrezni uporabi ali zlorabi, ki lahko povzročijo škodljive vplive. </w:t>
      </w:r>
    </w:p>
    <w:p w14:paraId="7381D864" w14:textId="77777777" w:rsidR="00A55002" w:rsidRPr="008A691D" w:rsidRDefault="00A55002" w:rsidP="00A55002">
      <w:pPr>
        <w:pStyle w:val="Para1"/>
        <w:rPr>
          <w:lang w:val="sl"/>
        </w:rPr>
      </w:pPr>
      <w:r>
        <w:rPr>
          <w:lang w:val="sl"/>
        </w:rPr>
        <w:t xml:space="preserve">Podjetja, vpletena v razvoj nove tehnologije ali novih načinov uporabe obstoječega orodja, naj predvidijo, kolikor je mogoče, ter po potrebi rešujejo etične, pravne, delovne, družbene in </w:t>
      </w:r>
      <w:proofErr w:type="spellStart"/>
      <w:r>
        <w:rPr>
          <w:lang w:val="sl"/>
        </w:rPr>
        <w:t>okoljske</w:t>
      </w:r>
      <w:proofErr w:type="spellEnd"/>
      <w:r>
        <w:rPr>
          <w:lang w:val="sl"/>
        </w:rPr>
        <w:t xml:space="preserve"> izzive, nastale zaradi nove tehnologije, spodbujajo odgovorne inovacije ter se vključujejo v dialog in izmenjavo informacij z lokalnimi zakonodajnimi organi in predstavniki delavcev. Poleg izvajanja priporočil </w:t>
      </w:r>
      <w:r>
        <w:rPr>
          <w:i/>
          <w:iCs/>
          <w:lang w:val="sl"/>
        </w:rPr>
        <w:t>smernic</w:t>
      </w:r>
      <w:r>
        <w:rPr>
          <w:lang w:val="sl"/>
        </w:rPr>
        <w:t xml:space="preserve"> in na njihovi podlagi se podjetja spodbujajo k upoštevanju razpoložljivih napotkov za inovacijski proces, vključno z ustreznimi standardi OECD na področju umetne inteligence in </w:t>
      </w:r>
      <w:proofErr w:type="spellStart"/>
      <w:r>
        <w:rPr>
          <w:lang w:val="sl"/>
        </w:rPr>
        <w:t>nevrotehnologije</w:t>
      </w:r>
      <w:proofErr w:type="spellEnd"/>
      <w:r>
        <w:rPr>
          <w:lang w:val="sl"/>
        </w:rPr>
        <w:t xml:space="preserve">, kot sta </w:t>
      </w:r>
      <w:r>
        <w:rPr>
          <w:i/>
          <w:iCs/>
          <w:lang w:val="sl"/>
        </w:rPr>
        <w:t>Priporočilo o umetni inteligenci [</w:t>
      </w:r>
      <w:hyperlink r:id="rId47" w:history="1">
        <w:r>
          <w:rPr>
            <w:rStyle w:val="Hiperpovezava"/>
            <w:i/>
            <w:iCs/>
            <w:lang w:val="sl"/>
          </w:rPr>
          <w:t>OECD/LEGAL/0449</w:t>
        </w:r>
      </w:hyperlink>
      <w:r>
        <w:rPr>
          <w:i/>
          <w:iCs/>
          <w:lang w:val="sl"/>
        </w:rPr>
        <w:t>]</w:t>
      </w:r>
      <w:r>
        <w:rPr>
          <w:lang w:val="sl"/>
        </w:rPr>
        <w:t xml:space="preserve"> in </w:t>
      </w:r>
      <w:r>
        <w:rPr>
          <w:i/>
          <w:iCs/>
          <w:lang w:val="sl"/>
        </w:rPr>
        <w:t xml:space="preserve">Priporočilo o odgovornih inovacijah v </w:t>
      </w:r>
      <w:proofErr w:type="spellStart"/>
      <w:r>
        <w:rPr>
          <w:i/>
          <w:iCs/>
          <w:lang w:val="sl"/>
        </w:rPr>
        <w:t>nevrotehnologiji</w:t>
      </w:r>
      <w:proofErr w:type="spellEnd"/>
      <w:r>
        <w:rPr>
          <w:i/>
          <w:iCs/>
          <w:lang w:val="sl"/>
        </w:rPr>
        <w:t xml:space="preserve"> [</w:t>
      </w:r>
      <w:hyperlink r:id="rId48" w:history="1">
        <w:r>
          <w:rPr>
            <w:rStyle w:val="Hiperpovezava"/>
            <w:i/>
            <w:iCs/>
            <w:lang w:val="sl"/>
          </w:rPr>
          <w:t>OECD/LEGAL/0457</w:t>
        </w:r>
      </w:hyperlink>
      <w:r>
        <w:rPr>
          <w:i/>
          <w:iCs/>
          <w:lang w:val="sl"/>
        </w:rPr>
        <w:t>]</w:t>
      </w:r>
      <w:r>
        <w:rPr>
          <w:lang w:val="sl"/>
        </w:rPr>
        <w:t>.</w:t>
      </w:r>
    </w:p>
    <w:p w14:paraId="57576984" w14:textId="77777777" w:rsidR="00A55002" w:rsidRPr="008A691D" w:rsidRDefault="00A55002" w:rsidP="00A55002">
      <w:pPr>
        <w:pStyle w:val="Para1"/>
        <w:rPr>
          <w:lang w:val="sl"/>
        </w:rPr>
      </w:pPr>
      <w:r>
        <w:rPr>
          <w:lang w:val="sl"/>
        </w:rPr>
        <w:t xml:space="preserve">Digitalna varnost je skupna odgovornost vseh deležnikov, vključno s podjetji, odjemalci in vladami. Digitalni varnostni incidenti, kot so nedovoljeni dostop do sistemov ali programske opreme, vdor v račune, izguba ali kraja podatkov ali poseganje v vire IT, lahko škodijo podjetjem, vladam in posameznikom, ker spodkopavajo razpoložljivost, celovitost in/ali zaupnost njihovih podatkov, informacijskih sistemov in omrežij. Podjetja naj digitalna varnostna tveganja obvladujejo skladno z drugimi poglavji </w:t>
      </w:r>
      <w:r>
        <w:rPr>
          <w:i/>
          <w:iCs/>
          <w:lang w:val="sl"/>
        </w:rPr>
        <w:t>smernic</w:t>
      </w:r>
      <w:r>
        <w:rPr>
          <w:lang w:val="sl"/>
        </w:rPr>
        <w:t>. Načelo vgrajene zasebnosti, uporaba močnega šifriranja, protokoli za upravljanje dovoljenj in dostopa ter druge dobre prakse lahko zmanjšajo nevarnosti in ublažijo škodo. Podjetja naj tudi upoštevajo ustrezne standarde OECD na področju podatkov.</w:t>
      </w:r>
    </w:p>
    <w:p w14:paraId="4F77CA17" w14:textId="77777777" w:rsidR="00A55002" w:rsidRPr="008A691D" w:rsidRDefault="00A55002" w:rsidP="00A55002">
      <w:pPr>
        <w:pStyle w:val="Para1"/>
        <w:rPr>
          <w:lang w:val="sl"/>
        </w:rPr>
      </w:pPr>
      <w:r>
        <w:rPr>
          <w:lang w:val="sl"/>
        </w:rPr>
        <w:t xml:space="preserve">Pri vseh dejavnostih, povezanih z vključevanjem otrok in mladih v digitalno okolje in njihovim delovanjem v njem, naj podjetja kot glavno vodilo ustrezno upoštevajo otrokove koristi. Pri skrbnih pregledih naj ugotovijo, kako lahko spoštujejo pravice otrok in mladih ter varujejo in spodbujajo dobro počutje otrok in mladih v digitalnem okolju, ter za to sprejmejo ustrezne ukrepe, ki so v skladu s </w:t>
      </w:r>
      <w:r>
        <w:rPr>
          <w:i/>
          <w:iCs/>
          <w:lang w:val="sl"/>
        </w:rPr>
        <w:t>Priporočilom o otrocih in digitalnem okolju</w:t>
      </w:r>
      <w:r>
        <w:rPr>
          <w:lang w:val="sl"/>
        </w:rPr>
        <w:t xml:space="preserve"> </w:t>
      </w:r>
      <w:r>
        <w:rPr>
          <w:i/>
          <w:iCs/>
          <w:lang w:val="sl"/>
        </w:rPr>
        <w:t>[</w:t>
      </w:r>
      <w:hyperlink r:id="rId49" w:history="1">
        <w:r>
          <w:rPr>
            <w:rStyle w:val="Hiperpovezava"/>
            <w:i/>
            <w:iCs/>
            <w:lang w:val="sl"/>
          </w:rPr>
          <w:t>OECD/LEGAL/0389</w:t>
        </w:r>
      </w:hyperlink>
      <w:r>
        <w:rPr>
          <w:i/>
          <w:iCs/>
          <w:lang w:val="sl"/>
        </w:rPr>
        <w:t>]</w:t>
      </w:r>
      <w:r>
        <w:rPr>
          <w:lang w:val="sl"/>
        </w:rPr>
        <w:t xml:space="preserve"> in </w:t>
      </w:r>
      <w:r>
        <w:rPr>
          <w:i/>
          <w:iCs/>
          <w:lang w:val="sl"/>
        </w:rPr>
        <w:t>Smernicami OECD za ponudnike digitalnih storitev</w:t>
      </w:r>
      <w:r>
        <w:rPr>
          <w:lang w:val="sl"/>
        </w:rPr>
        <w:t xml:space="preserve"> (</w:t>
      </w:r>
      <w:proofErr w:type="spellStart"/>
      <w:r>
        <w:rPr>
          <w:i/>
          <w:iCs/>
          <w:lang w:val="sl"/>
        </w:rPr>
        <w:t>Guidelines</w:t>
      </w:r>
      <w:proofErr w:type="spellEnd"/>
      <w:r>
        <w:rPr>
          <w:i/>
          <w:iCs/>
          <w:lang w:val="sl"/>
        </w:rPr>
        <w:t xml:space="preserve"> </w:t>
      </w:r>
      <w:proofErr w:type="spellStart"/>
      <w:r>
        <w:rPr>
          <w:i/>
          <w:iCs/>
          <w:lang w:val="sl"/>
        </w:rPr>
        <w:t>for</w:t>
      </w:r>
      <w:proofErr w:type="spellEnd"/>
      <w:r>
        <w:rPr>
          <w:i/>
          <w:iCs/>
          <w:lang w:val="sl"/>
        </w:rPr>
        <w:t xml:space="preserve"> </w:t>
      </w:r>
      <w:proofErr w:type="spellStart"/>
      <w:r>
        <w:rPr>
          <w:i/>
          <w:iCs/>
          <w:lang w:val="sl"/>
        </w:rPr>
        <w:t>Digital</w:t>
      </w:r>
      <w:proofErr w:type="spellEnd"/>
      <w:r>
        <w:rPr>
          <w:i/>
          <w:iCs/>
          <w:lang w:val="sl"/>
        </w:rPr>
        <w:t xml:space="preserve"> </w:t>
      </w:r>
      <w:proofErr w:type="spellStart"/>
      <w:r>
        <w:rPr>
          <w:i/>
          <w:iCs/>
          <w:lang w:val="sl"/>
        </w:rPr>
        <w:t>Service</w:t>
      </w:r>
      <w:proofErr w:type="spellEnd"/>
      <w:r>
        <w:rPr>
          <w:i/>
          <w:iCs/>
          <w:lang w:val="sl"/>
        </w:rPr>
        <w:t xml:space="preserve"> </w:t>
      </w:r>
      <w:proofErr w:type="spellStart"/>
      <w:r>
        <w:rPr>
          <w:i/>
          <w:iCs/>
          <w:lang w:val="sl"/>
        </w:rPr>
        <w:t>Providers</w:t>
      </w:r>
      <w:proofErr w:type="spellEnd"/>
      <w:r>
        <w:rPr>
          <w:lang w:val="sl"/>
        </w:rPr>
        <w:t>).</w:t>
      </w:r>
    </w:p>
    <w:p w14:paraId="4190A5BA" w14:textId="77777777" w:rsidR="00A55002" w:rsidRPr="00EC1531" w:rsidRDefault="00A55002" w:rsidP="00A55002">
      <w:pPr>
        <w:pStyle w:val="Naslov1"/>
        <w:framePr w:wrap="notBeside"/>
        <w:numPr>
          <w:ilvl w:val="0"/>
          <w:numId w:val="21"/>
        </w:numPr>
        <w:rPr>
          <w:color w:val="366091" w:themeColor="accent1" w:themeShade="BF"/>
        </w:rPr>
      </w:pPr>
      <w:bookmarkStart w:id="40" w:name="_Toc169086494"/>
      <w:r w:rsidRPr="00EC1531">
        <w:rPr>
          <w:bCs/>
          <w:color w:val="366091" w:themeColor="accent1" w:themeShade="BF"/>
          <w:lang w:val="sl"/>
        </w:rPr>
        <w:lastRenderedPageBreak/>
        <w:t>X. Konkurenca</w:t>
      </w:r>
      <w:bookmarkEnd w:id="40"/>
    </w:p>
    <w:p w14:paraId="6532B473" w14:textId="77777777" w:rsidR="00A55002" w:rsidRDefault="00A55002" w:rsidP="0042619C">
      <w:pPr>
        <w:pStyle w:val="Para0"/>
      </w:pPr>
      <w:r>
        <w:rPr>
          <w:lang w:val="sl"/>
        </w:rPr>
        <w:t>Podjetja naj:</w:t>
      </w:r>
    </w:p>
    <w:p w14:paraId="65417E7C" w14:textId="77777777" w:rsidR="00A55002" w:rsidRDefault="00A55002" w:rsidP="00A55002">
      <w:pPr>
        <w:pStyle w:val="Para1"/>
        <w:numPr>
          <w:ilvl w:val="0"/>
          <w:numId w:val="35"/>
        </w:numPr>
      </w:pPr>
      <w:r>
        <w:rPr>
          <w:lang w:val="sl"/>
        </w:rPr>
        <w:t xml:space="preserve">delujejo v skladu z vsemi veljavnimi zakoni in drugimi predpisi o konkurenci ob upoštevanju konkurenčne zakonodaje vseh jurisdikcij, v katerih imajo njihove dejavnosti lahko </w:t>
      </w:r>
      <w:proofErr w:type="spellStart"/>
      <w:r>
        <w:rPr>
          <w:lang w:val="sl"/>
        </w:rPr>
        <w:t>protikonkurenčni</w:t>
      </w:r>
      <w:proofErr w:type="spellEnd"/>
      <w:r>
        <w:rPr>
          <w:lang w:val="sl"/>
        </w:rPr>
        <w:t xml:space="preserve"> učinek;</w:t>
      </w:r>
    </w:p>
    <w:p w14:paraId="1C9E4BAB" w14:textId="77777777" w:rsidR="00A55002" w:rsidRPr="00E205CD" w:rsidRDefault="00A55002" w:rsidP="00A55002">
      <w:pPr>
        <w:pStyle w:val="Para1"/>
        <w:rPr>
          <w:lang w:val="pl-PL"/>
        </w:rPr>
      </w:pPr>
      <w:r>
        <w:rPr>
          <w:lang w:val="sl"/>
        </w:rPr>
        <w:t xml:space="preserve">ne sklepajo ali izvajajo </w:t>
      </w:r>
      <w:proofErr w:type="spellStart"/>
      <w:r>
        <w:rPr>
          <w:lang w:val="sl"/>
        </w:rPr>
        <w:t>protikonkurenčnih</w:t>
      </w:r>
      <w:proofErr w:type="spellEnd"/>
      <w:r>
        <w:rPr>
          <w:lang w:val="sl"/>
        </w:rPr>
        <w:t xml:space="preserve"> sporazumov med konkurenti, vključno s sporazumi o:</w:t>
      </w:r>
    </w:p>
    <w:p w14:paraId="7FC992D1" w14:textId="77777777" w:rsidR="00A55002" w:rsidRDefault="00A55002" w:rsidP="00A55002">
      <w:pPr>
        <w:pStyle w:val="Para0"/>
        <w:numPr>
          <w:ilvl w:val="0"/>
          <w:numId w:val="34"/>
        </w:numPr>
      </w:pPr>
      <w:r>
        <w:rPr>
          <w:lang w:val="sl"/>
        </w:rPr>
        <w:t>določanju cen,</w:t>
      </w:r>
    </w:p>
    <w:p w14:paraId="731268DD" w14:textId="77777777" w:rsidR="00A55002" w:rsidRPr="00E205CD" w:rsidRDefault="00A55002" w:rsidP="00A55002">
      <w:pPr>
        <w:pStyle w:val="Para0"/>
        <w:numPr>
          <w:ilvl w:val="0"/>
          <w:numId w:val="34"/>
        </w:numPr>
        <w:rPr>
          <w:lang w:val="pl-PL"/>
        </w:rPr>
      </w:pPr>
      <w:r>
        <w:rPr>
          <w:lang w:val="sl"/>
        </w:rPr>
        <w:t>prirejenih ponudbah (dogovorjene ponudbe) na razpisih,</w:t>
      </w:r>
    </w:p>
    <w:p w14:paraId="244DD9C0" w14:textId="77777777" w:rsidR="00A55002" w:rsidRPr="00E205CD" w:rsidRDefault="00A55002" w:rsidP="00A55002">
      <w:pPr>
        <w:pStyle w:val="Para0"/>
        <w:numPr>
          <w:ilvl w:val="0"/>
          <w:numId w:val="34"/>
        </w:numPr>
        <w:rPr>
          <w:lang w:val="pl-PL"/>
        </w:rPr>
      </w:pPr>
      <w:r>
        <w:rPr>
          <w:lang w:val="sl"/>
        </w:rPr>
        <w:t>uvedbi proizvodnih omejitev ali kvot ali</w:t>
      </w:r>
    </w:p>
    <w:p w14:paraId="59A77124" w14:textId="77777777" w:rsidR="00A55002" w:rsidRPr="00E205CD" w:rsidRDefault="00A55002" w:rsidP="00A55002">
      <w:pPr>
        <w:pStyle w:val="Para0"/>
        <w:numPr>
          <w:ilvl w:val="0"/>
          <w:numId w:val="34"/>
        </w:numPr>
        <w:rPr>
          <w:lang w:val="pl-PL"/>
        </w:rPr>
      </w:pPr>
      <w:r>
        <w:rPr>
          <w:lang w:val="sl"/>
        </w:rPr>
        <w:t>delitvi ali razdelitvi trga z delitvijo strank, dobaviteljev, območij ali področij poslovanja;</w:t>
      </w:r>
    </w:p>
    <w:p w14:paraId="07AC5C7B" w14:textId="77777777" w:rsidR="00A55002" w:rsidRPr="00E205CD" w:rsidRDefault="00A55002" w:rsidP="00A55002">
      <w:pPr>
        <w:pStyle w:val="Para1"/>
        <w:rPr>
          <w:lang w:val="pl-PL"/>
        </w:rPr>
      </w:pPr>
      <w:r>
        <w:rPr>
          <w:lang w:val="sl"/>
        </w:rPr>
        <w:t>v skladu z veljavnim pravom in ustreznimi zaščitnimi ukrepi sodelujejo s preiskovalnimi organi za varstvo konkurence, med drugim tako, da se kolikor je mogoče hitro in popolno odzovejo na zahteve po informacijah ter razmislijo o uporabi razpoložljivih instrumentov, kot je opustitev zaupnosti, kadar je to primerno, za čim uspešnejše in učinkovitejše sodelovanje med preiskovalnimi organi;</w:t>
      </w:r>
    </w:p>
    <w:p w14:paraId="7A648B75" w14:textId="77777777" w:rsidR="00A55002" w:rsidRPr="00E205CD" w:rsidRDefault="00A55002" w:rsidP="00A55002">
      <w:pPr>
        <w:pStyle w:val="Para1"/>
        <w:rPr>
          <w:lang w:val="pl-PL"/>
        </w:rPr>
      </w:pPr>
      <w:r>
        <w:rPr>
          <w:lang w:val="sl"/>
        </w:rPr>
        <w:t>redno ozaveščajo zaposlene o pomenu upoštevanja vseh veljavnih zakonov in drugih predpisov o konkurenci ter zlasti usposabljajo višje vodstvo podjetja glede vprašanj konkurence.</w:t>
      </w:r>
    </w:p>
    <w:p w14:paraId="7E471138" w14:textId="77777777" w:rsidR="00A55002" w:rsidRPr="00EC1531" w:rsidRDefault="00A55002" w:rsidP="00A55002">
      <w:pPr>
        <w:pStyle w:val="Naslov2"/>
        <w:numPr>
          <w:ilvl w:val="1"/>
          <w:numId w:val="21"/>
        </w:numPr>
        <w:rPr>
          <w:color w:val="366091" w:themeColor="accent1" w:themeShade="BF"/>
        </w:rPr>
      </w:pPr>
      <w:r w:rsidRPr="00EC1531">
        <w:rPr>
          <w:bCs/>
          <w:color w:val="366091" w:themeColor="accent1" w:themeShade="BF"/>
          <w:lang w:val="sl"/>
        </w:rPr>
        <w:t>Komentar k X. poglavju: Konkurenca</w:t>
      </w:r>
    </w:p>
    <w:p w14:paraId="076C8C28" w14:textId="77777777" w:rsidR="00A55002" w:rsidRPr="008A691D" w:rsidRDefault="00A55002" w:rsidP="00A55002">
      <w:pPr>
        <w:pStyle w:val="Para1"/>
        <w:numPr>
          <w:ilvl w:val="0"/>
          <w:numId w:val="36"/>
        </w:numPr>
        <w:rPr>
          <w:lang w:val="sl"/>
        </w:rPr>
      </w:pPr>
      <w:r>
        <w:rPr>
          <w:lang w:val="sl"/>
        </w:rPr>
        <w:t xml:space="preserve">Ta priporočila poudarjajo pomembnost zakonov in drugih predpisov o konkurenci za učinkovito delovanje domačih in mednarodnih trgov ter znova potrjujejo pomembnost tega, da domača in mednarodna podjetja upoštevajo te zakone in druge predpise. Njihov namen je tudi zagotoviti, da so vsa podjetja seznanjena s spremembami glede področja uporabe zakonodaje o konkurenci in v njej določenih pravnih sredstev in kazni ter obsega sodelovanja organov za varstvo konkurence. Izraz zakon o konkurenci se uporablja za zakone, vključno s protimonopolnimi zakoni, ki različno prepovedujejo: a) </w:t>
      </w:r>
      <w:proofErr w:type="spellStart"/>
      <w:r>
        <w:rPr>
          <w:lang w:val="sl"/>
        </w:rPr>
        <w:t>protikonkurenčne</w:t>
      </w:r>
      <w:proofErr w:type="spellEnd"/>
      <w:r>
        <w:rPr>
          <w:lang w:val="sl"/>
        </w:rPr>
        <w:t xml:space="preserve"> sporazume; b) zlorabo tržne moči ali prevlade; c) pridobitev tržne moči ali prevlade drugače kot z učinkovitim delovanjem ali d) znatno zmanjšanje konkurence ali znatno oviranje učinkovite konkurence z združitvami ali prevzemi.</w:t>
      </w:r>
    </w:p>
    <w:p w14:paraId="6A4982EA" w14:textId="77777777" w:rsidR="00A55002" w:rsidRPr="008A691D" w:rsidRDefault="00A55002" w:rsidP="00A55002">
      <w:pPr>
        <w:pStyle w:val="Para1"/>
        <w:rPr>
          <w:lang w:val="sl"/>
        </w:rPr>
      </w:pPr>
      <w:r>
        <w:rPr>
          <w:lang w:val="sl"/>
        </w:rPr>
        <w:t xml:space="preserve">Na splošno zakoni in politike o konkurenci prepovedujejo: a) nedopustne kartelne sporazume; b) druge </w:t>
      </w:r>
      <w:proofErr w:type="spellStart"/>
      <w:r>
        <w:rPr>
          <w:lang w:val="sl"/>
        </w:rPr>
        <w:t>protikonkurenčne</w:t>
      </w:r>
      <w:proofErr w:type="spellEnd"/>
      <w:r>
        <w:rPr>
          <w:lang w:val="sl"/>
        </w:rPr>
        <w:t xml:space="preserve"> sporazume; c) </w:t>
      </w:r>
      <w:proofErr w:type="spellStart"/>
      <w:r>
        <w:rPr>
          <w:lang w:val="sl"/>
        </w:rPr>
        <w:t>protikonkurenčno</w:t>
      </w:r>
      <w:proofErr w:type="spellEnd"/>
      <w:r>
        <w:rPr>
          <w:lang w:val="sl"/>
        </w:rPr>
        <w:t xml:space="preserve"> ravnanje, ki izkorišča ali razširja tržno prevlado ali moč, ter d) </w:t>
      </w:r>
      <w:proofErr w:type="spellStart"/>
      <w:r>
        <w:rPr>
          <w:lang w:val="sl"/>
        </w:rPr>
        <w:t>protikonkurenčne</w:t>
      </w:r>
      <w:proofErr w:type="spellEnd"/>
      <w:r>
        <w:rPr>
          <w:lang w:val="sl"/>
        </w:rPr>
        <w:t xml:space="preserve"> združitve ali prevzeme. Po </w:t>
      </w:r>
      <w:r>
        <w:rPr>
          <w:i/>
          <w:iCs/>
          <w:lang w:val="sl"/>
        </w:rPr>
        <w:t>Priporočilu o učinkovitem ukrepanju proti nedopustnim kartelnim sporazumom [</w:t>
      </w:r>
      <w:hyperlink r:id="rId50" w:history="1">
        <w:r>
          <w:rPr>
            <w:rStyle w:val="Hiperpovezava"/>
            <w:rFonts w:asciiTheme="majorHAnsi" w:eastAsia="Calibri" w:hAnsiTheme="majorHAnsi" w:cstheme="majorBidi"/>
            <w:i/>
            <w:iCs/>
            <w:lang w:val="sl"/>
          </w:rPr>
          <w:t>OECD/LEGAL/0452</w:t>
        </w:r>
      </w:hyperlink>
      <w:r>
        <w:rPr>
          <w:i/>
          <w:iCs/>
          <w:lang w:val="sl"/>
        </w:rPr>
        <w:t>]</w:t>
      </w:r>
      <w:r>
        <w:rPr>
          <w:lang w:val="sl"/>
        </w:rPr>
        <w:t xml:space="preserve"> so </w:t>
      </w:r>
      <w:proofErr w:type="spellStart"/>
      <w:r>
        <w:rPr>
          <w:lang w:val="sl"/>
        </w:rPr>
        <w:t>protikonkurenčni</w:t>
      </w:r>
      <w:proofErr w:type="spellEnd"/>
      <w:r>
        <w:rPr>
          <w:lang w:val="sl"/>
        </w:rPr>
        <w:t xml:space="preserve"> sporazumi iz točke a) nedopustni kartelni sporazumi, vendar priporočilo vključuje razlike v zakonodaji držav članic, vključno z razlikami v izjemah ali določbah, ki dovoljujejo izjeme ali dovoljenja za dejavnost, ki bi bila sicer prepovedana. Priporočila teh </w:t>
      </w:r>
      <w:r>
        <w:rPr>
          <w:i/>
          <w:iCs/>
          <w:lang w:val="sl"/>
        </w:rPr>
        <w:t>smernic</w:t>
      </w:r>
      <w:r>
        <w:rPr>
          <w:lang w:val="sl"/>
        </w:rPr>
        <w:t xml:space="preserve"> ne predlagajo, da podjetja ne bi izkoristila takih zakonito razpoložljivih izjem ali določb. Skupini iz točk b) in c) sta bolj splošni, ker so učinki drugih vrst sporazumov in enostranskega ravnanja bolj dvoumni ter je manj soglasja o tem, kaj naj se šteje za </w:t>
      </w:r>
      <w:proofErr w:type="spellStart"/>
      <w:r>
        <w:rPr>
          <w:lang w:val="sl"/>
        </w:rPr>
        <w:t>protikonkurenčno</w:t>
      </w:r>
      <w:proofErr w:type="spellEnd"/>
      <w:r>
        <w:rPr>
          <w:lang w:val="sl"/>
        </w:rPr>
        <w:t>.</w:t>
      </w:r>
    </w:p>
    <w:p w14:paraId="2130478A" w14:textId="77777777" w:rsidR="00A55002" w:rsidRPr="008A691D" w:rsidRDefault="00A55002" w:rsidP="00A55002">
      <w:pPr>
        <w:pStyle w:val="Para1"/>
        <w:rPr>
          <w:lang w:val="sl"/>
        </w:rPr>
      </w:pPr>
      <w:r>
        <w:rPr>
          <w:lang w:val="sl"/>
        </w:rPr>
        <w:lastRenderedPageBreak/>
        <w:t xml:space="preserve">Cilj konkurenčne politike je prispevati k splošni blaginji in gospodarski rasti s spodbujanjem tržnih razmer, v katerih vrsto, kakovost in ceno blaga in storitev določajo konkurenčne tržne sile. Poleg tega, da tako konkurenčno okolje koristi potrošnikom in gospodarstvu jurisdikcije kot celote, tudi nagrajuje podjetja, ki se učinkovito odzovejo na povpraševanje potrošnikov. Podjetja lahko k temu prispevajo z zagotavljanjem informacij in nasvetov, kadar vlade obravnavajo zakone in politike, ki bi lahko zmanjšali učinkovitost ali drugače zmanjšali konkurenčnost trgov. </w:t>
      </w:r>
    </w:p>
    <w:p w14:paraId="54354EA0" w14:textId="77777777" w:rsidR="00A55002" w:rsidRPr="008A691D" w:rsidRDefault="00A55002" w:rsidP="00A55002">
      <w:pPr>
        <w:pStyle w:val="Para1"/>
        <w:rPr>
          <w:lang w:val="sl"/>
        </w:rPr>
      </w:pPr>
      <w:r>
        <w:rPr>
          <w:lang w:val="sl"/>
        </w:rPr>
        <w:t xml:space="preserve">Podjetja naj se zavedajo, da se konkurenčna zakonodaja še naprej sprejema in da ta zakonodaja vse pogosteje prepoveduje </w:t>
      </w:r>
      <w:proofErr w:type="spellStart"/>
      <w:r>
        <w:rPr>
          <w:lang w:val="sl"/>
        </w:rPr>
        <w:t>protikonkurenčne</w:t>
      </w:r>
      <w:proofErr w:type="spellEnd"/>
      <w:r>
        <w:rPr>
          <w:lang w:val="sl"/>
        </w:rPr>
        <w:t xml:space="preserve"> dejavnosti v tujini, če škodljivo vplivajo na domače potrošnike. Pri čezmejnih trgovini in naložbah je tudi bolj verjetno, da bo </w:t>
      </w:r>
      <w:proofErr w:type="spellStart"/>
      <w:r>
        <w:rPr>
          <w:lang w:val="sl"/>
        </w:rPr>
        <w:t>protikonkurenčno</w:t>
      </w:r>
      <w:proofErr w:type="spellEnd"/>
      <w:r>
        <w:rPr>
          <w:lang w:val="sl"/>
        </w:rPr>
        <w:t xml:space="preserve"> ravnanje v eni jurisdikciji imelo škodljive učinke v drugih jurisdikcijah. Podjetja naj zato upoštevajo pravo države, v kateri poslujejo, in pravo vseh držav, v katerih bi se lahko zaznali učinki njihovega ravnanja.</w:t>
      </w:r>
    </w:p>
    <w:p w14:paraId="1C1633A2" w14:textId="77777777" w:rsidR="00A55002" w:rsidRPr="008A691D" w:rsidRDefault="00A55002" w:rsidP="00A55002">
      <w:pPr>
        <w:pStyle w:val="Para1"/>
        <w:rPr>
          <w:lang w:val="sl"/>
        </w:rPr>
      </w:pPr>
      <w:r>
        <w:rPr>
          <w:lang w:val="sl"/>
        </w:rPr>
        <w:t xml:space="preserve">Podjetja naj tudi upoštevajo, da organi za varstvo konkurence vedno več in tesneje sodelujejo pri preiskovanju in ustavljanju </w:t>
      </w:r>
      <w:proofErr w:type="spellStart"/>
      <w:r>
        <w:rPr>
          <w:lang w:val="sl"/>
        </w:rPr>
        <w:t>protikonkurenčnih</w:t>
      </w:r>
      <w:proofErr w:type="spellEnd"/>
      <w:r>
        <w:rPr>
          <w:lang w:val="sl"/>
        </w:rPr>
        <w:t xml:space="preserve"> dejavnosti. Splošno glej ustrezne standarde OECD na področju konkurenčne politike.</w:t>
      </w:r>
      <w:r>
        <w:rPr>
          <w:b/>
          <w:bCs/>
          <w:i/>
          <w:iCs/>
          <w:lang w:val="sl"/>
        </w:rPr>
        <w:t xml:space="preserve"> </w:t>
      </w:r>
      <w:r>
        <w:rPr>
          <w:lang w:val="sl"/>
        </w:rPr>
        <w:t>Kadar organi za varstvo konkurence v različnih jurisdikcijah pregledujejo isto ravnanje, pomoč podjetij pri sodelovanju med organi spodbuja dosledno in preudarno odločanje in konkurenčne rešitve ter omogoča prihranke za vlade in podjetja.</w:t>
      </w:r>
    </w:p>
    <w:p w14:paraId="1AC789B9" w14:textId="77777777" w:rsidR="00A55002" w:rsidRPr="008A691D" w:rsidRDefault="00A55002" w:rsidP="00A55002">
      <w:pPr>
        <w:pStyle w:val="Para1"/>
        <w:rPr>
          <w:bCs/>
          <w:iCs/>
          <w:lang w:val="sl"/>
        </w:rPr>
      </w:pPr>
      <w:r>
        <w:rPr>
          <w:lang w:val="sl"/>
        </w:rPr>
        <w:t>Podjetja in skupne pobude, v katere so vključena, naj sicer proaktivno ukrepajo, da razumejo vprašanja konkurenčnega prava v svoji jurisdikciji in ne izvajajo dejavnosti, ki bi lahko pomenile kršitev konkurenčnega prava, vendar verodostojne pobude odgovornega ravnanja podjetij same po sebi niso v nasprotju z nameni konkurenčnega prava in sodelovanje pri takih pobudah običajno ne krši tega prava.</w:t>
      </w:r>
    </w:p>
    <w:p w14:paraId="73FB36B3" w14:textId="77777777" w:rsidR="00A55002" w:rsidRPr="008A691D" w:rsidRDefault="00A55002" w:rsidP="00A55002">
      <w:pPr>
        <w:pStyle w:val="Para1"/>
        <w:rPr>
          <w:bCs/>
          <w:iCs/>
          <w:lang w:val="sl"/>
        </w:rPr>
      </w:pPr>
      <w:r>
        <w:rPr>
          <w:lang w:val="sl"/>
        </w:rPr>
        <w:t xml:space="preserve">Odvisno od države za podjetja lahko konkurenčno pravo pri nakupu vložka dela od delavcev velja podobno kot pri nakupu drugega blaga in storitev. V takih primerih se lahko uporabijo hude sankcije, če se delodajalci dogovarjajo o plačah (določanje plač) in postopkih najemanja (kot so sporazumi o </w:t>
      </w:r>
      <w:proofErr w:type="spellStart"/>
      <w:r>
        <w:rPr>
          <w:lang w:val="sl"/>
        </w:rPr>
        <w:t>neprevzemanju</w:t>
      </w:r>
      <w:proofErr w:type="spellEnd"/>
      <w:r>
        <w:rPr>
          <w:lang w:val="sl"/>
        </w:rPr>
        <w:t xml:space="preserve"> ali </w:t>
      </w:r>
      <w:proofErr w:type="spellStart"/>
      <w:r>
        <w:rPr>
          <w:lang w:val="sl"/>
        </w:rPr>
        <w:t>nenajemanju</w:t>
      </w:r>
      <w:proofErr w:type="spellEnd"/>
      <w:r>
        <w:rPr>
          <w:lang w:val="sl"/>
        </w:rPr>
        <w:t xml:space="preserve"> delavcev). Podjetja naj zato zagotovijo, da pri svojih politikah najemanja in zaposlovanja ter pri načrtovanju združitev in prevzemov upoštevajo veljavno zakonodajo. </w:t>
      </w:r>
    </w:p>
    <w:p w14:paraId="076E6F96" w14:textId="77777777" w:rsidR="00A55002" w:rsidRPr="00EC1531" w:rsidRDefault="00A55002" w:rsidP="00A55002">
      <w:pPr>
        <w:pStyle w:val="Naslov1"/>
        <w:framePr w:wrap="notBeside"/>
        <w:numPr>
          <w:ilvl w:val="0"/>
          <w:numId w:val="21"/>
        </w:numPr>
        <w:rPr>
          <w:color w:val="366091" w:themeColor="accent1" w:themeShade="BF"/>
        </w:rPr>
      </w:pPr>
      <w:bookmarkStart w:id="41" w:name="_Toc169086495"/>
      <w:r w:rsidRPr="00EC1531">
        <w:rPr>
          <w:bCs/>
          <w:color w:val="366091" w:themeColor="accent1" w:themeShade="BF"/>
          <w:lang w:val="sl"/>
        </w:rPr>
        <w:lastRenderedPageBreak/>
        <w:t>XI. Davki</w:t>
      </w:r>
      <w:bookmarkEnd w:id="41"/>
    </w:p>
    <w:p w14:paraId="32BB7907" w14:textId="77777777" w:rsidR="00A55002" w:rsidRPr="008A691D" w:rsidRDefault="00A55002" w:rsidP="00A55002">
      <w:pPr>
        <w:pStyle w:val="NumberedList"/>
        <w:numPr>
          <w:ilvl w:val="0"/>
          <w:numId w:val="43"/>
        </w:numPr>
        <w:rPr>
          <w:lang w:val="sl"/>
        </w:rPr>
      </w:pPr>
      <w:r>
        <w:rPr>
          <w:lang w:val="sl"/>
        </w:rPr>
        <w:t>Pomembno je, da podjetja s pravočasnim plačevanjem svojih davčnih obveznosti prispevajo k javnim financam držav gostiteljic. Zlasti naj ravnajo tako po črki kot v duhu davčne zakonodaje držav, v katerih poslujejo. Ravnati v duhu zakona pomeni razbrati in upoštevati namen zakonodajalca. Taka razlaga ne pomeni, da mora podjetje plačati večji znesek, kot je zakonsko predpisano. Upoštevanje davčne zakonodaje vključuje ukrepe, kot sta pravočasna predložitev vseh ustreznih ali zakonsko zahtevanih informacij pristojnim organom za pravilno odmero davkov v zvezi z njihovim poslovanjem ter uskladitev določanja transfernih cen z neodvisnim tržnim načelom.</w:t>
      </w:r>
    </w:p>
    <w:p w14:paraId="5D1EC979" w14:textId="77777777" w:rsidR="00A55002" w:rsidRPr="008A691D" w:rsidRDefault="00A55002" w:rsidP="00A55002">
      <w:pPr>
        <w:pStyle w:val="NumberedList"/>
        <w:numPr>
          <w:ilvl w:val="0"/>
          <w:numId w:val="19"/>
        </w:numPr>
        <w:rPr>
          <w:lang w:val="sl"/>
        </w:rPr>
      </w:pPr>
      <w:r>
        <w:rPr>
          <w:lang w:val="sl"/>
        </w:rPr>
        <w:t>Podjetja naj davčno upravljanje in izpolnjevanje davčnih obveznosti obravnavajo kot pomembni sestavini svojih sistemov nadzora in širšega obvladovanja tveganj. Upravni odbori naj zlasti sprejmejo strategije za obvladovanje davčnih tveganj, da zagotovijo popolno določitev in oceno finančnih in zakonodajnih tveganj in tveganj za ugled, povezanih z davki.</w:t>
      </w:r>
    </w:p>
    <w:p w14:paraId="01240F30" w14:textId="77777777" w:rsidR="00A55002" w:rsidRPr="00EC1531" w:rsidRDefault="00A55002" w:rsidP="00A55002">
      <w:pPr>
        <w:pStyle w:val="Naslov2"/>
        <w:numPr>
          <w:ilvl w:val="1"/>
          <w:numId w:val="21"/>
        </w:numPr>
        <w:rPr>
          <w:color w:val="366091" w:themeColor="accent1" w:themeShade="BF"/>
        </w:rPr>
      </w:pPr>
      <w:r w:rsidRPr="00EC1531">
        <w:rPr>
          <w:bCs/>
          <w:color w:val="366091" w:themeColor="accent1" w:themeShade="BF"/>
          <w:lang w:val="sl"/>
        </w:rPr>
        <w:t>Komentar k XI. poglavju: Davki</w:t>
      </w:r>
    </w:p>
    <w:p w14:paraId="5F674AF3" w14:textId="77777777" w:rsidR="00A55002" w:rsidRPr="008A691D" w:rsidRDefault="00A55002" w:rsidP="00A55002">
      <w:pPr>
        <w:pStyle w:val="Para1"/>
        <w:numPr>
          <w:ilvl w:val="0"/>
          <w:numId w:val="37"/>
        </w:numPr>
        <w:rPr>
          <w:lang w:val="sl"/>
        </w:rPr>
      </w:pPr>
      <w:r>
        <w:rPr>
          <w:lang w:val="sl"/>
        </w:rPr>
        <w:t xml:space="preserve">Podjetniško državljanstvo na področju davkov pomeni, da podjetja ravnajo po črki in v duhu davčnih zakonov in drugih davčnih predpisov v vseh državah, v katerih poslujejo, ter sodelujejo z organi in jim sporočajo pomembne ali zakonsko zahtevane informacije. Podjetje ravna v duhu davčnih zakonov in drugih davčnih predpisov, če z razumnimi ukrepi ugotovi namen zakonodajalca ter davčna pravila razloži v skladu s tem namenom glede na zakonski jezik in ustrezno sodobno zakonodajno zgodovino. Posli naj ne bodo strukturirani tako, da bi bil njihov davčni izid neskladen z osnovnimi gospodarskimi posledicami posla, razen če obstaja posebna zakonodaja, katere namen je tak izid. V tem primeru lahko podjetje utemeljeno meni, da je posel strukturiran tako, da njegov davčni izid za podjetje ni v nasprotju z namenom zakonodajalca. </w:t>
      </w:r>
    </w:p>
    <w:p w14:paraId="18B3340F" w14:textId="77777777" w:rsidR="00A55002" w:rsidRPr="008A691D" w:rsidRDefault="00A55002" w:rsidP="00A55002">
      <w:pPr>
        <w:pStyle w:val="Para1"/>
        <w:rPr>
          <w:lang w:val="sl"/>
        </w:rPr>
      </w:pPr>
      <w:r>
        <w:rPr>
          <w:lang w:val="sl"/>
        </w:rPr>
        <w:t xml:space="preserve">Izpolnjevanje davčnih obveznosti vključuje tudi sodelovanje z davčnimi organi in zagotavljanje informacij, ki jih ti potrebujejo za učinkovito in enakopravno uporabo davčne zakonodaje. Tako sodelovanje naj vključuje pravočasno in popolno odzivanje na zahteve pristojnih organov po informacijah na podlagi določb mednarodne davčne pogodbe ali sporazuma o izmenjavi informacij. Vendar ta zaveza zagotavljati informacije ni brez omejitev. </w:t>
      </w:r>
      <w:r>
        <w:rPr>
          <w:i/>
          <w:iCs/>
          <w:lang w:val="sl"/>
        </w:rPr>
        <w:t>Smernice</w:t>
      </w:r>
      <w:r>
        <w:rPr>
          <w:lang w:val="sl"/>
        </w:rPr>
        <w:t xml:space="preserve"> zlasti povezujejo informacije, ki naj se zagotavljajo, in njihovo pomembnost za uveljavljanje veljavne davčne zakonodaje. To priznava potrebo po usklajevanju bremena, ki ga podjetjem nalaga upoštevanje veljavne davčne zakonodaje, in potrebe davčnih organov po popolnih, pravočasnih in točnih informacijah, da lahko uveljavljajo svojo davčno zakonodajo.</w:t>
      </w:r>
    </w:p>
    <w:p w14:paraId="2DE0D1FB" w14:textId="77777777" w:rsidR="00A55002" w:rsidRPr="008A691D" w:rsidRDefault="00A55002" w:rsidP="00A55002">
      <w:pPr>
        <w:pStyle w:val="Para1"/>
        <w:rPr>
          <w:lang w:val="sl"/>
        </w:rPr>
      </w:pPr>
      <w:r>
        <w:rPr>
          <w:lang w:val="sl"/>
        </w:rPr>
        <w:t xml:space="preserve">Zavezanost podjetij k sodelovanju, preglednosti in izpolnjevanju davčnih obveznosti naj se odraža v sistemih, strukturah in politikah za obvladovanje tveganja. Pri podjetjih, katerih pravna oblika je gospodarska družba, upravni odbori lahko na različne načine nadzorujejo davčna tveganja. Na primer, proaktivno naj oblikujejo ustrezna načela davčne politike ter vzpostavijo notranje sisteme za davčni nadzor, tako da so dejanja uprave glede davčnega tveganja skladna s stališči odbora. Odbor naj se obvešča o vseh morebitnih znatnih davčnih tveganjih in določi naj se, kdo je odgovoren za izvajanje nalog notranjega davčnega nadzora in poročanje odboru. Celovita strategija obvladovanja tveganj, ki vključuje davke, </w:t>
      </w:r>
      <w:r>
        <w:rPr>
          <w:lang w:val="sl"/>
        </w:rPr>
        <w:lastRenderedPageBreak/>
        <w:t xml:space="preserve">podjetju omogoči, da deluje kot dober podjetniški državljan in hkrati učinkovito obvladuje davčno tveganje, s čimer lahko prepreči velika finančna in zakonodajna tveganja in tveganja za svoj ugled. </w:t>
      </w:r>
    </w:p>
    <w:p w14:paraId="24E45C4F" w14:textId="77777777" w:rsidR="00A55002" w:rsidRPr="008A691D" w:rsidRDefault="00A55002" w:rsidP="00A55002">
      <w:pPr>
        <w:pStyle w:val="Para1"/>
        <w:rPr>
          <w:lang w:val="sl"/>
        </w:rPr>
      </w:pPr>
      <w:r>
        <w:rPr>
          <w:lang w:val="sl"/>
        </w:rPr>
        <w:t xml:space="preserve">Davčna preglednost podpira celovitost davčnega sistema države in je pomemben način zagotavljanja in dokazovanja, da podjetja upoštevajo črko in duh davčne zakonodaje.  Član mednarodne skupine podjetij v eni državi ima lahko obširna gospodarska razmerja s člani iste mednarodne skupine podjetij v drugih državah. Taka razmerja lahko vplivajo na davčne obveznosti vsake vpletene osebe. Glede na to davčni organi lahko potrebujejo informacije, ki se zagotavljajo zunaj njihove jurisdikcije, da lahko ovrednotijo ta razmerja in določijo davčne obveznosti člana mednarodne skupine podjetij v svoji jurisdikciji. Informacije, ki jih je treba zagotoviti, so prav tako omejene na tiste, ki so pomembne ali se zahtevajo po zakonu za ovrednotenje teh gospodarskih razmerij, da se pravilno določijo davčne obveznosti člana mednarodne skupine podjetij. Mednarodna podjetja naj sodelujejo pri zagotavljanju teh informacij. Številni ukrepi projekta </w:t>
      </w:r>
      <w:r>
        <w:rPr>
          <w:i/>
          <w:iCs/>
          <w:lang w:val="sl"/>
        </w:rPr>
        <w:t>Vključujoči okvir OECD/G20 o zmanjševanju davčne osnove in preusmerjanju dobička (BEPS)</w:t>
      </w:r>
      <w:r>
        <w:rPr>
          <w:lang w:val="sl"/>
        </w:rPr>
        <w:t xml:space="preserve"> (</w:t>
      </w:r>
      <w:r>
        <w:rPr>
          <w:i/>
          <w:iCs/>
          <w:lang w:val="sl"/>
        </w:rPr>
        <w:t xml:space="preserve">OECD/G20 </w:t>
      </w:r>
      <w:proofErr w:type="spellStart"/>
      <w:r>
        <w:rPr>
          <w:i/>
          <w:iCs/>
          <w:lang w:val="sl"/>
        </w:rPr>
        <w:t>Inclusive</w:t>
      </w:r>
      <w:proofErr w:type="spellEnd"/>
      <w:r>
        <w:rPr>
          <w:i/>
          <w:iCs/>
          <w:lang w:val="sl"/>
        </w:rPr>
        <w:t xml:space="preserve"> </w:t>
      </w:r>
      <w:proofErr w:type="spellStart"/>
      <w:r>
        <w:rPr>
          <w:i/>
          <w:iCs/>
          <w:lang w:val="sl"/>
        </w:rPr>
        <w:t>Framework</w:t>
      </w:r>
      <w:proofErr w:type="spellEnd"/>
      <w:r>
        <w:rPr>
          <w:i/>
          <w:iCs/>
          <w:lang w:val="sl"/>
        </w:rPr>
        <w:t xml:space="preserve"> on Base </w:t>
      </w:r>
      <w:proofErr w:type="spellStart"/>
      <w:r>
        <w:rPr>
          <w:i/>
          <w:iCs/>
          <w:lang w:val="sl"/>
        </w:rPr>
        <w:t>Erosion</w:t>
      </w:r>
      <w:proofErr w:type="spellEnd"/>
      <w:r>
        <w:rPr>
          <w:i/>
          <w:iCs/>
          <w:lang w:val="sl"/>
        </w:rPr>
        <w:t xml:space="preserve"> </w:t>
      </w:r>
      <w:proofErr w:type="spellStart"/>
      <w:r>
        <w:rPr>
          <w:i/>
          <w:iCs/>
          <w:lang w:val="sl"/>
        </w:rPr>
        <w:t>and</w:t>
      </w:r>
      <w:proofErr w:type="spellEnd"/>
      <w:r>
        <w:rPr>
          <w:i/>
          <w:iCs/>
          <w:lang w:val="sl"/>
        </w:rPr>
        <w:t xml:space="preserve"> Profit </w:t>
      </w:r>
      <w:proofErr w:type="spellStart"/>
      <w:r>
        <w:rPr>
          <w:i/>
          <w:iCs/>
          <w:lang w:val="sl"/>
        </w:rPr>
        <w:t>Shifting</w:t>
      </w:r>
      <w:proofErr w:type="spellEnd"/>
      <w:r>
        <w:rPr>
          <w:lang w:val="sl"/>
        </w:rPr>
        <w:t xml:space="preserve"> </w:t>
      </w:r>
      <w:r>
        <w:rPr>
          <w:i/>
          <w:iCs/>
          <w:lang w:val="sl"/>
        </w:rPr>
        <w:t>(BEPS)</w:t>
      </w:r>
      <w:r>
        <w:rPr>
          <w:lang w:val="sl"/>
        </w:rPr>
        <w:t>) so namenjeni večji preglednosti, kot so priprava in izmenjava poročil po državah (ukrep BEPS 13), obvezna spontana izmenjava pomembnih informacij o odločitvah o posameznih davčnih zavezancih (ukrep BEPS 5) ter pravila o obveznem razkritju glede programov agresivnega davčnega načrtovanja (ukrep BEPS 12).</w:t>
      </w:r>
    </w:p>
    <w:p w14:paraId="67B5F92C" w14:textId="77777777" w:rsidR="00A55002" w:rsidRPr="008A691D" w:rsidRDefault="00A55002" w:rsidP="00A55002">
      <w:pPr>
        <w:pStyle w:val="Para1"/>
        <w:rPr>
          <w:lang w:val="sl"/>
        </w:rPr>
      </w:pPr>
      <w:r>
        <w:rPr>
          <w:lang w:val="sl"/>
        </w:rPr>
        <w:t>Določanje transfernih cen je posebej pomembno vprašanje za podjetniško državljanstvo in davke. Nenadno povečanje svetovne trgovine in čezmejnih neposrednih naložb (ter pomembna vloga mednarodnih podjetij pri tej trgovini in naložbah) pomeni, da je določanje transfernih cen pomemben določevalec davčnih obveznosti članov mednarodnih skupin podjetij, ker znatno vpliva na delitev davčne osnove med državami, v katerih posluje mednarodno podjetje. Neodvisno tržno načelo, ki ga vključujeta vzorčna davčna konvencija OECD in vzorčna konvencija ZN o odpravi dvojnega obdavčevanja med razvitimi državami in državami v razvoju, je mednarodno sprejeti standard za usklajevanje dobička med povezanimi podjetji. Uporaba neodvisnega tržnega načela preprečuje neprimerno preusmerjanje dobička ali izgub in zmanjšuje tveganje dvojnega obdavčevanja. Za pravilno uporabo načela morajo mednarodna podjetja sodelovati z davčnimi organi in zagotoviti vse pomembne ali zakonsko zahtevane informacije glede izbire načina določanja transfernih cen za mednarodne posle, ki jih opravijo podjetja in povezane stranke. Priznava se, da tako mednarodna podjetja kot davčne uprave pogosto težko ugotovijo, ali določanje transfernih cen ustrezno odraža neodvisni tržni standard (ali načelo), ter da njegova uporaba ni eksaktna znanost.</w:t>
      </w:r>
    </w:p>
    <w:p w14:paraId="4B24E8D9" w14:textId="77777777" w:rsidR="00A55002" w:rsidRPr="008A691D" w:rsidRDefault="00A55002" w:rsidP="00A55002">
      <w:pPr>
        <w:pStyle w:val="Para1"/>
        <w:rPr>
          <w:lang w:val="sl"/>
        </w:rPr>
      </w:pPr>
      <w:r>
        <w:rPr>
          <w:lang w:val="sl"/>
        </w:rPr>
        <w:t xml:space="preserve">Odbor OECD za fiskalne zadeve stalno pripravlja priporočila za zagotovitev, da določanje transfernih cen odraža neodvisno tržno načelo. Na podlagi njegovega dela so bile leta 1995 objavljene </w:t>
      </w:r>
      <w:r>
        <w:rPr>
          <w:i/>
          <w:iCs/>
          <w:lang w:val="sl"/>
        </w:rPr>
        <w:t>Smernice OECD za določanje transfernih cen za mednarodna podjetja in davčne uprave (Smernice OECD za določanje transfernih cen)</w:t>
      </w:r>
      <w:r>
        <w:rPr>
          <w:lang w:val="sl"/>
        </w:rPr>
        <w:t xml:space="preserve">, ki so bile predmet </w:t>
      </w:r>
      <w:r>
        <w:rPr>
          <w:i/>
          <w:iCs/>
          <w:lang w:val="sl"/>
        </w:rPr>
        <w:t>Priporočila o določanju transfernih cen med povezanimi podjetji [</w:t>
      </w:r>
      <w:hyperlink r:id="rId51" w:history="1">
        <w:r>
          <w:rPr>
            <w:rStyle w:val="Hiperpovezava"/>
            <w:i/>
            <w:iCs/>
            <w:lang w:val="sl"/>
          </w:rPr>
          <w:t>OECD/LEGAL/0279</w:t>
        </w:r>
      </w:hyperlink>
      <w:r>
        <w:rPr>
          <w:i/>
          <w:iCs/>
          <w:lang w:val="sl"/>
        </w:rPr>
        <w:t xml:space="preserve">] </w:t>
      </w:r>
      <w:r>
        <w:rPr>
          <w:lang w:val="sl"/>
        </w:rPr>
        <w:t xml:space="preserve">(člani mednarodne skupine podjetij se praviloma štejejo za povezana podjetja). </w:t>
      </w:r>
      <w:r>
        <w:rPr>
          <w:i/>
          <w:iCs/>
          <w:lang w:val="sl"/>
        </w:rPr>
        <w:t>Smernice OECD za določanje transfernih cen</w:t>
      </w:r>
      <w:r>
        <w:rPr>
          <w:lang w:val="sl"/>
        </w:rPr>
        <w:t xml:space="preserve"> se stalno posodabljajo, da odražajo spremembe v svetovnem gospodarstvu in izkušnje davčnih uprav in davčnih zavezancev, ki se ukvarjajo z določanjem transfernih cen. Priporočilo Sveta je bilo leta 2017 spremenjeno, tako da upošteva </w:t>
      </w:r>
      <w:proofErr w:type="spellStart"/>
      <w:r>
        <w:rPr>
          <w:lang w:val="sl"/>
        </w:rPr>
        <w:t>Svetovo</w:t>
      </w:r>
      <w:proofErr w:type="spellEnd"/>
      <w:r>
        <w:rPr>
          <w:lang w:val="sl"/>
        </w:rPr>
        <w:t xml:space="preserve"> potrditev svežnja BEPS, krepi vpliv in pomembnost smernic za določanje transfernih cen zunaj članstva OECD ter vladam in davčnim zavezancem zagotovi večjo jasnost in pravno gotovost glede stanja prihodnjih sprememb smernic za določanje transfernih cen s podporo njihovemu pravočasnemu izvajanju. Neodvisno tržno načelo, kot se uporablja za pripisovanje dobička stalnih poslovnih enot, da se določi pravica države gostiteljice do obdavčevanja po mednarodni davčni pogodbi, je bilo obravnavano v priporočilu Sveta OECD, sprejetem leta 2008.</w:t>
      </w:r>
    </w:p>
    <w:p w14:paraId="62059AD5" w14:textId="77777777" w:rsidR="00A55002" w:rsidRPr="008A691D" w:rsidRDefault="00A55002" w:rsidP="00A55002">
      <w:pPr>
        <w:pStyle w:val="Para1"/>
        <w:rPr>
          <w:lang w:val="sl"/>
        </w:rPr>
      </w:pPr>
      <w:r>
        <w:rPr>
          <w:i/>
          <w:iCs/>
          <w:lang w:val="sl"/>
        </w:rPr>
        <w:t>Smernice OECD za določanje transfernih cen</w:t>
      </w:r>
      <w:r>
        <w:rPr>
          <w:lang w:val="sl"/>
        </w:rPr>
        <w:t xml:space="preserve"> se osredotočajo na uporabo neodvisnega tržnega načela pri vrednotenju določanja transfernih cen pri povezanih podjetjih. Cilj </w:t>
      </w:r>
      <w:r>
        <w:rPr>
          <w:i/>
          <w:iCs/>
          <w:lang w:val="sl"/>
        </w:rPr>
        <w:t>Smernic OECD za določanje transfernih cen</w:t>
      </w:r>
      <w:r>
        <w:rPr>
          <w:lang w:val="sl"/>
        </w:rPr>
        <w:t xml:space="preserve"> je pomagati davčnim upravam (držav članic in nečlanic OECD) in mednarodnim podjetjem s predlogi obojestransko zadovoljivih rešitev za primere določanja transfernih cen ter tako čim bolj zmanjšati nasprotja med davčnimi upravami ter med davčnimi upravami in mednarodnimi podjetji in </w:t>
      </w:r>
      <w:r>
        <w:rPr>
          <w:lang w:val="sl"/>
        </w:rPr>
        <w:lastRenderedPageBreak/>
        <w:t xml:space="preserve">preprečiti drage pravde. Mednarodna podjetja se spodbujajo k upoštevanju napotkov v </w:t>
      </w:r>
      <w:r>
        <w:rPr>
          <w:i/>
          <w:iCs/>
          <w:lang w:val="sl"/>
        </w:rPr>
        <w:t>Smernicah OECD za določanje transfernih cen</w:t>
      </w:r>
      <w:r>
        <w:rPr>
          <w:lang w:val="sl"/>
        </w:rPr>
        <w:t xml:space="preserve">, kot so bile spremenjene in dopolnjene, s čimer zagotovijo, da njihovo določanje transfernih cen upošteva neodvisno tržno načelo. </w:t>
      </w:r>
    </w:p>
    <w:p w14:paraId="0C11BA98" w14:textId="77777777" w:rsidR="00A55002" w:rsidRPr="008A691D" w:rsidRDefault="00A55002" w:rsidP="00A55002">
      <w:pPr>
        <w:pStyle w:val="Para1"/>
        <w:rPr>
          <w:lang w:val="sl"/>
        </w:rPr>
        <w:sectPr w:rsidR="00A55002" w:rsidRPr="008A691D" w:rsidSect="00C57049">
          <w:endnotePr>
            <w:numFmt w:val="decimal"/>
            <w:numRestart w:val="eachSect"/>
          </w:endnotePr>
          <w:type w:val="continuous"/>
          <w:pgSz w:w="11906" w:h="16838" w:code="9"/>
          <w:pgMar w:top="1814" w:right="1304" w:bottom="1758" w:left="1304" w:header="1247" w:footer="1020" w:gutter="0"/>
          <w:cols w:space="708"/>
          <w:docGrid w:linePitch="360"/>
        </w:sectPr>
      </w:pPr>
      <w:r>
        <w:rPr>
          <w:lang w:val="sl"/>
        </w:rPr>
        <w:t xml:space="preserve">Povezanost in doslednost mednarodne davčne arhitekture, ki se uporablja za mednarodne skupine podjetij, sta bili širše okrepljeni s projektom OECD/G20 BEPS. </w:t>
      </w:r>
      <w:r>
        <w:rPr>
          <w:i/>
          <w:iCs/>
          <w:lang w:val="sl"/>
        </w:rPr>
        <w:t>Večstranska konvencija o izvajanju z mednarodnimi davčnimi sporazumi povezanih ukrepov za preprečevanje zmanjševanja davčne osnove in preusmerjanja dobička [</w:t>
      </w:r>
      <w:hyperlink r:id="rId52" w:history="1">
        <w:r>
          <w:rPr>
            <w:rStyle w:val="Hiperpovezava"/>
            <w:i/>
            <w:iCs/>
            <w:lang w:val="sl"/>
          </w:rPr>
          <w:t>OECD/LEGAL/0432</w:t>
        </w:r>
      </w:hyperlink>
      <w:r>
        <w:rPr>
          <w:i/>
          <w:iCs/>
          <w:lang w:val="sl"/>
        </w:rPr>
        <w:t>]</w:t>
      </w:r>
      <w:r>
        <w:rPr>
          <w:lang w:val="sl"/>
        </w:rPr>
        <w:t xml:space="preserve"> lajša izvajanje številnih ukrepov proti davčnemu izogibanju in za večjo povezanost mednarodnih davčnih pravil, vključno z minimalnimi standardi za preprečevanje zlorabe mednarodne pogodbe in izboljšanje reševanja sporov. Uspešnost tega sistema je odvisna od omrežja pozitivnih razmerij, sodelovanja in vzajemnosti.</w:t>
      </w:r>
    </w:p>
    <w:p w14:paraId="1F300B33" w14:textId="77777777" w:rsidR="00A55002" w:rsidRPr="008A691D" w:rsidRDefault="00A55002" w:rsidP="0042619C">
      <w:pPr>
        <w:pStyle w:val="Naslov1"/>
        <w:framePr w:wrap="notBeside"/>
        <w:numPr>
          <w:ilvl w:val="0"/>
          <w:numId w:val="0"/>
        </w:numPr>
        <w:ind w:left="113"/>
        <w:rPr>
          <w:lang w:val="sl"/>
        </w:rPr>
      </w:pPr>
      <w:bookmarkStart w:id="42" w:name="_Toc169086496"/>
      <w:r>
        <w:rPr>
          <w:bCs/>
          <w:lang w:val="sl"/>
        </w:rPr>
        <w:lastRenderedPageBreak/>
        <w:t>II. del: Postopki za izvajanje Smernic OECD o odgovornem ravnanju podjetij za mednarodna podjetja</w:t>
      </w:r>
      <w:bookmarkEnd w:id="42"/>
    </w:p>
    <w:p w14:paraId="112A5CED" w14:textId="77777777" w:rsidR="00A55002" w:rsidRPr="008A691D" w:rsidRDefault="00A55002" w:rsidP="0042619C">
      <w:pPr>
        <w:pStyle w:val="Naslov1"/>
        <w:framePr w:wrap="notBeside"/>
        <w:numPr>
          <w:ilvl w:val="0"/>
          <w:numId w:val="0"/>
        </w:numPr>
        <w:spacing w:after="360"/>
        <w:ind w:left="113"/>
        <w:rPr>
          <w:lang w:val="sl"/>
        </w:rPr>
      </w:pPr>
      <w:bookmarkStart w:id="43" w:name="_Toc169086497"/>
      <w:r>
        <w:rPr>
          <w:bCs/>
          <w:lang w:val="sl"/>
        </w:rPr>
        <w:lastRenderedPageBreak/>
        <w:t>Sklep Sveta o Smernicah OECD o odgovornem ravnanju podjetij za mednarodna podjetja</w:t>
      </w:r>
      <w:bookmarkEnd w:id="43"/>
    </w:p>
    <w:p w14:paraId="213BA8D2" w14:textId="77777777" w:rsidR="00A55002" w:rsidRPr="008A691D" w:rsidRDefault="00A55002" w:rsidP="0042619C">
      <w:pPr>
        <w:pStyle w:val="Para0"/>
        <w:rPr>
          <w:b/>
          <w:bCs/>
          <w:lang w:val="sl"/>
        </w:rPr>
      </w:pPr>
      <w:r>
        <w:rPr>
          <w:b/>
          <w:bCs/>
          <w:lang w:val="sl"/>
        </w:rPr>
        <w:t>SVET</w:t>
      </w:r>
    </w:p>
    <w:p w14:paraId="08C84706" w14:textId="77777777" w:rsidR="00A55002" w:rsidRPr="008A691D" w:rsidRDefault="00A55002" w:rsidP="0042619C">
      <w:pPr>
        <w:pStyle w:val="Para0"/>
        <w:rPr>
          <w:lang w:val="sl"/>
        </w:rPr>
      </w:pPr>
      <w:r>
        <w:rPr>
          <w:b/>
          <w:bCs/>
          <w:lang w:val="sl"/>
        </w:rPr>
        <w:t>OB UPOŠTEVANJU</w:t>
      </w:r>
      <w:r>
        <w:rPr>
          <w:lang w:val="sl"/>
        </w:rPr>
        <w:t xml:space="preserve"> točke a) 5. člena </w:t>
      </w:r>
      <w:r>
        <w:rPr>
          <w:i/>
          <w:iCs/>
          <w:lang w:val="sl"/>
        </w:rPr>
        <w:t>Konvencije o Organizaciji za gospodarsko sodelovanje in razvoj</w:t>
      </w:r>
      <w:r>
        <w:rPr>
          <w:lang w:val="sl"/>
        </w:rPr>
        <w:t xml:space="preserve"> z dne 14. decembra 1960;</w:t>
      </w:r>
    </w:p>
    <w:p w14:paraId="065976A4" w14:textId="77777777" w:rsidR="00A55002" w:rsidRPr="008A691D" w:rsidRDefault="00A55002" w:rsidP="0042619C">
      <w:pPr>
        <w:pStyle w:val="Para0"/>
        <w:rPr>
          <w:lang w:val="sl"/>
        </w:rPr>
      </w:pPr>
      <w:r>
        <w:rPr>
          <w:b/>
          <w:bCs/>
          <w:lang w:val="sl"/>
        </w:rPr>
        <w:t>OB UPOŠTEVANJU</w:t>
      </w:r>
      <w:r>
        <w:rPr>
          <w:lang w:val="sl"/>
        </w:rPr>
        <w:t xml:space="preserve"> </w:t>
      </w:r>
      <w:r>
        <w:rPr>
          <w:i/>
          <w:iCs/>
          <w:lang w:val="sl"/>
        </w:rPr>
        <w:t>Deklaracije OECD o mednarodnih naložbah in mednarodnih podjetjih</w:t>
      </w:r>
      <w:r>
        <w:rPr>
          <w:lang w:val="sl"/>
        </w:rPr>
        <w:t xml:space="preserve"> (</w:t>
      </w:r>
      <w:r>
        <w:rPr>
          <w:i/>
          <w:iCs/>
          <w:lang w:val="sl"/>
        </w:rPr>
        <w:t>deklaracija</w:t>
      </w:r>
      <w:r>
        <w:rPr>
          <w:lang w:val="sl"/>
        </w:rPr>
        <w:t xml:space="preserve">) </w:t>
      </w:r>
      <w:r>
        <w:rPr>
          <w:i/>
          <w:iCs/>
          <w:lang w:val="sl"/>
        </w:rPr>
        <w:t>[</w:t>
      </w:r>
      <w:hyperlink r:id="rId53" w:history="1">
        <w:r>
          <w:rPr>
            <w:rStyle w:val="Hiperpovezava"/>
            <w:rFonts w:eastAsia="Calibri"/>
            <w:i/>
            <w:iCs/>
            <w:lang w:val="sl"/>
          </w:rPr>
          <w:t>OECD/LEGAL/0144</w:t>
        </w:r>
      </w:hyperlink>
      <w:r>
        <w:rPr>
          <w:i/>
          <w:iCs/>
          <w:lang w:val="sl"/>
        </w:rPr>
        <w:t>],</w:t>
      </w:r>
      <w:r>
        <w:rPr>
          <w:lang w:val="sl"/>
        </w:rPr>
        <w:t xml:space="preserve"> v kateri članice in nečlanice, ki so pristopile (pristopnice), skupaj priporočajo mednarodnim podjetjem, ki poslujejo na njihovem ozemlju ali z njihovega ozemlja, da upoštevajo </w:t>
      </w:r>
      <w:r>
        <w:rPr>
          <w:i/>
          <w:iCs/>
          <w:lang w:val="sl"/>
        </w:rPr>
        <w:t>Smernice o odgovornem ravnanju podjetij za mednarodna podjetja</w:t>
      </w:r>
      <w:r>
        <w:rPr>
          <w:lang w:val="sl"/>
        </w:rPr>
        <w:t xml:space="preserve"> (</w:t>
      </w:r>
      <w:r>
        <w:rPr>
          <w:i/>
          <w:iCs/>
          <w:lang w:val="sl"/>
        </w:rPr>
        <w:t>smernice</w:t>
      </w:r>
      <w:r>
        <w:rPr>
          <w:lang w:val="sl"/>
        </w:rPr>
        <w:t xml:space="preserve">); </w:t>
      </w:r>
    </w:p>
    <w:p w14:paraId="312933AB" w14:textId="77777777" w:rsidR="00A55002" w:rsidRPr="008A691D" w:rsidRDefault="00A55002" w:rsidP="0042619C">
      <w:pPr>
        <w:pStyle w:val="Para0"/>
        <w:rPr>
          <w:lang w:val="sl"/>
        </w:rPr>
      </w:pPr>
      <w:r>
        <w:rPr>
          <w:b/>
          <w:bCs/>
          <w:lang w:val="sl"/>
        </w:rPr>
        <w:t>OB PRIZNAVANJU</w:t>
      </w:r>
      <w:r>
        <w:rPr>
          <w:lang w:val="sl"/>
        </w:rPr>
        <w:t>, da bi bilo treba mednarodno sodelovanje pri vprašanjih, ki se nanašajo na deklaracijo, razširiti na vse države, saj mednarodna podjetja poslujejo po vsem svetu;</w:t>
      </w:r>
    </w:p>
    <w:p w14:paraId="14AFE28B" w14:textId="77777777" w:rsidR="00A55002" w:rsidRPr="008A691D" w:rsidRDefault="00A55002" w:rsidP="0042619C">
      <w:pPr>
        <w:pStyle w:val="Para0"/>
        <w:rPr>
          <w:lang w:val="sl"/>
        </w:rPr>
      </w:pPr>
      <w:r>
        <w:rPr>
          <w:b/>
          <w:bCs/>
          <w:lang w:val="sl"/>
        </w:rPr>
        <w:t>KER MENI</w:t>
      </w:r>
      <w:r>
        <w:rPr>
          <w:lang w:val="sl"/>
        </w:rPr>
        <w:t xml:space="preserve">, da je zaželeno okrepiti postopke, po katerih lahko potekajo posvetovanja o zadevah, zajetih v teh </w:t>
      </w:r>
      <w:r>
        <w:rPr>
          <w:i/>
          <w:iCs/>
          <w:lang w:val="sl"/>
        </w:rPr>
        <w:t>smernicah</w:t>
      </w:r>
      <w:r>
        <w:rPr>
          <w:lang w:val="sl"/>
        </w:rPr>
        <w:t xml:space="preserve">, in spodbujati učinkovitost </w:t>
      </w:r>
      <w:r>
        <w:rPr>
          <w:i/>
          <w:iCs/>
          <w:lang w:val="sl"/>
        </w:rPr>
        <w:t>smernic</w:t>
      </w:r>
      <w:r>
        <w:rPr>
          <w:lang w:val="sl"/>
        </w:rPr>
        <w:t xml:space="preserve">, </w:t>
      </w:r>
    </w:p>
    <w:p w14:paraId="3A92A38C" w14:textId="77777777" w:rsidR="00A55002" w:rsidRPr="008A691D" w:rsidRDefault="00A55002" w:rsidP="0042619C">
      <w:pPr>
        <w:pStyle w:val="Para0"/>
        <w:rPr>
          <w:b/>
          <w:bCs/>
          <w:lang w:val="it-IT"/>
        </w:rPr>
      </w:pPr>
      <w:r>
        <w:rPr>
          <w:b/>
          <w:bCs/>
          <w:lang w:val="sl"/>
        </w:rPr>
        <w:t xml:space="preserve">na predlog odbora za naložbe </w:t>
      </w:r>
    </w:p>
    <w:p w14:paraId="2698FC6A" w14:textId="77777777" w:rsidR="00A55002" w:rsidRPr="008A691D" w:rsidDel="00A552E2" w:rsidRDefault="00A55002" w:rsidP="0042619C">
      <w:pPr>
        <w:pStyle w:val="Para0"/>
        <w:rPr>
          <w:b/>
          <w:bCs/>
          <w:lang w:val="it-IT"/>
        </w:rPr>
      </w:pPr>
      <w:r>
        <w:rPr>
          <w:b/>
          <w:bCs/>
          <w:lang w:val="sl"/>
        </w:rPr>
        <w:t>SKLENE:</w:t>
      </w:r>
    </w:p>
    <w:p w14:paraId="56183E15" w14:textId="77777777" w:rsidR="00A55002" w:rsidRPr="00EC1531" w:rsidRDefault="00A55002" w:rsidP="00A55002">
      <w:pPr>
        <w:pStyle w:val="Naslov2"/>
        <w:numPr>
          <w:ilvl w:val="1"/>
          <w:numId w:val="51"/>
        </w:numPr>
        <w:rPr>
          <w:color w:val="366091" w:themeColor="accent1" w:themeShade="BF"/>
          <w:lang w:val="it-IT"/>
        </w:rPr>
      </w:pPr>
      <w:r w:rsidRPr="00EC1531">
        <w:rPr>
          <w:bCs/>
          <w:color w:val="366091" w:themeColor="accent1" w:themeShade="BF"/>
          <w:lang w:val="sl"/>
        </w:rPr>
        <w:t>I. Nacionalne kontaktne točke za odgovorno ravnanje podjetij</w:t>
      </w:r>
    </w:p>
    <w:p w14:paraId="7B1281B8" w14:textId="77777777" w:rsidR="00A55002" w:rsidRPr="00663036" w:rsidRDefault="00A55002" w:rsidP="00A55002">
      <w:pPr>
        <w:pStyle w:val="Para2"/>
        <w:rPr>
          <w:rFonts w:eastAsia="Calibri"/>
          <w:bCs/>
          <w:iCs/>
        </w:rPr>
      </w:pPr>
      <w:r>
        <w:rPr>
          <w:lang w:val="sl"/>
        </w:rPr>
        <w:t xml:space="preserve">Pristopnice vzpostavijo nacionalne kontaktne točke za odgovorno ravnanje podjetij (NKT) za večjo učinkovitost </w:t>
      </w:r>
      <w:r>
        <w:rPr>
          <w:i/>
          <w:iCs/>
          <w:lang w:val="sl"/>
        </w:rPr>
        <w:t>smernic.</w:t>
      </w:r>
      <w:r>
        <w:rPr>
          <w:lang w:val="sl"/>
        </w:rPr>
        <w:t xml:space="preserve"> NKT imajo te naloge:</w:t>
      </w:r>
    </w:p>
    <w:p w14:paraId="100764BC" w14:textId="77777777" w:rsidR="00A55002" w:rsidRPr="00663036" w:rsidRDefault="00A55002" w:rsidP="00A55002">
      <w:pPr>
        <w:pStyle w:val="NumberedList1"/>
        <w:numPr>
          <w:ilvl w:val="1"/>
          <w:numId w:val="55"/>
        </w:numPr>
      </w:pPr>
      <w:r>
        <w:rPr>
          <w:lang w:val="sl"/>
        </w:rPr>
        <w:t xml:space="preserve">spodbujati ozaveščenost o </w:t>
      </w:r>
      <w:r>
        <w:rPr>
          <w:i/>
          <w:iCs/>
          <w:lang w:val="sl"/>
        </w:rPr>
        <w:t>smernicah</w:t>
      </w:r>
      <w:r>
        <w:rPr>
          <w:lang w:val="sl"/>
        </w:rPr>
        <w:t xml:space="preserve"> in njihovo sprejemanje, vključno z odgovarjanjem na poizvedbe;</w:t>
      </w:r>
    </w:p>
    <w:p w14:paraId="06B04190" w14:textId="77777777" w:rsidR="00A55002" w:rsidRPr="00663036" w:rsidRDefault="00A55002" w:rsidP="00A55002">
      <w:pPr>
        <w:pStyle w:val="NumberedList1"/>
        <w:numPr>
          <w:ilvl w:val="1"/>
          <w:numId w:val="55"/>
        </w:numPr>
      </w:pPr>
      <w:r>
        <w:rPr>
          <w:lang w:val="sl"/>
        </w:rPr>
        <w:t xml:space="preserve">pomagati pri reševanju vprašanj, ki nastanejo v zvezi z izvajanjem </w:t>
      </w:r>
      <w:r>
        <w:rPr>
          <w:i/>
          <w:iCs/>
          <w:lang w:val="sl"/>
        </w:rPr>
        <w:t>smernic</w:t>
      </w:r>
      <w:r>
        <w:rPr>
          <w:lang w:val="sl"/>
        </w:rPr>
        <w:t xml:space="preserve"> v posebnih primerih.</w:t>
      </w:r>
    </w:p>
    <w:p w14:paraId="32CFECCF" w14:textId="77777777" w:rsidR="00A55002" w:rsidRPr="00663036" w:rsidRDefault="00A55002" w:rsidP="0042619C">
      <w:pPr>
        <w:pStyle w:val="Para0"/>
        <w:rPr>
          <w:rFonts w:ascii="Arial Narrow" w:hAnsi="Arial Narrow"/>
          <w:sz w:val="21"/>
          <w:szCs w:val="21"/>
        </w:rPr>
      </w:pPr>
      <w:r>
        <w:rPr>
          <w:lang w:val="sl"/>
        </w:rPr>
        <w:t>Po potrebi in ob usklajevanju z ustreznimi državnimi organi NKT lahko tudi pomagajo pri prizadevanjih svojih vlad, da oblikujejo in izvajajo politike za spodbujanje odgovornega ravnanja podjetij, ter podpirajo povezanost teh politik.</w:t>
      </w:r>
    </w:p>
    <w:p w14:paraId="6DBC7D37" w14:textId="77777777" w:rsidR="00A55002" w:rsidRPr="00663036" w:rsidRDefault="00A55002" w:rsidP="0042619C">
      <w:pPr>
        <w:pStyle w:val="Para0"/>
      </w:pPr>
      <w:r>
        <w:rPr>
          <w:lang w:val="sl"/>
        </w:rPr>
        <w:t xml:space="preserve">Poslovna skupnost, delavske organizacije, druge nevladne organizacije in druge zainteresirane osebe se obvestijo o razpoložljivosti NKT. </w:t>
      </w:r>
    </w:p>
    <w:p w14:paraId="731C93C6" w14:textId="77777777" w:rsidR="00A55002" w:rsidRPr="008A691D" w:rsidRDefault="00A55002" w:rsidP="00A55002">
      <w:pPr>
        <w:pStyle w:val="Para2"/>
        <w:rPr>
          <w:lang w:val="sl"/>
        </w:rPr>
      </w:pPr>
      <w:r>
        <w:rPr>
          <w:lang w:val="sl"/>
        </w:rPr>
        <w:t xml:space="preserve">NKT v različnih </w:t>
      </w:r>
      <w:bookmarkStart w:id="44" w:name="_Hlk132805589"/>
      <w:r>
        <w:rPr>
          <w:lang w:val="sl"/>
        </w:rPr>
        <w:t>pristopnicah</w:t>
      </w:r>
      <w:bookmarkEnd w:id="44"/>
      <w:r>
        <w:rPr>
          <w:lang w:val="sl"/>
        </w:rPr>
        <w:t xml:space="preserve"> po potrebi sodelujejo pri vseh s </w:t>
      </w:r>
      <w:r>
        <w:rPr>
          <w:i/>
          <w:iCs/>
          <w:lang w:val="sl"/>
        </w:rPr>
        <w:t>smernicami</w:t>
      </w:r>
      <w:r>
        <w:rPr>
          <w:lang w:val="sl"/>
        </w:rPr>
        <w:t xml:space="preserve"> povezanih zadevah, pomembnih za njihove dejavnosti. Po splošnem postopku naj se pred vzpostavitvijo stika z drugimi NKT začne razprava na državni ravni.</w:t>
      </w:r>
    </w:p>
    <w:p w14:paraId="2A5E093E" w14:textId="77777777" w:rsidR="00A55002" w:rsidRPr="008A691D" w:rsidRDefault="00A55002" w:rsidP="00A55002">
      <w:pPr>
        <w:pStyle w:val="Para2"/>
        <w:rPr>
          <w:lang w:val="sl"/>
        </w:rPr>
      </w:pPr>
      <w:r>
        <w:rPr>
          <w:lang w:val="sl"/>
        </w:rPr>
        <w:t>NKT se redno sestajajo, da izmenjajo izkušnje in poročajo odboru za naložbe.</w:t>
      </w:r>
    </w:p>
    <w:p w14:paraId="7495622B" w14:textId="77777777" w:rsidR="00A55002" w:rsidRPr="008A691D" w:rsidRDefault="00A55002" w:rsidP="00A55002">
      <w:pPr>
        <w:pStyle w:val="Para2"/>
        <w:rPr>
          <w:lang w:val="sl"/>
        </w:rPr>
      </w:pPr>
      <w:r>
        <w:rPr>
          <w:lang w:val="sl"/>
        </w:rPr>
        <w:lastRenderedPageBreak/>
        <w:t>Pristopnice svojim NKT zagotovijo človeške in finančne vire, da lahko učinkovito opravljajo svoje naloge tako, da v celoti izpolnjuje merila učinkovitosti, opisana v postopkih iz priloge k temu sklepu, ob upoštevanju notranjih proračunskih zmogljivosti in prakse.</w:t>
      </w:r>
    </w:p>
    <w:p w14:paraId="21E3F2E0" w14:textId="77777777" w:rsidR="00A55002" w:rsidRPr="008A691D" w:rsidRDefault="00A55002" w:rsidP="00A55002">
      <w:pPr>
        <w:pStyle w:val="Para2"/>
        <w:rPr>
          <w:lang w:val="sl"/>
        </w:rPr>
      </w:pPr>
      <w:bookmarkStart w:id="45" w:name="_Hlk124430277"/>
      <w:r>
        <w:rPr>
          <w:lang w:val="sl"/>
        </w:rPr>
        <w:t>Pristopnice opravljajo redne medsebojne strokovne preglede svojih NKT ob upoštevanju pogojev in načinov, ki jih sprejme delovna skupina za odgovorno ravnanje podjetij (DSORP).</w:t>
      </w:r>
      <w:bookmarkEnd w:id="45"/>
    </w:p>
    <w:p w14:paraId="40E93A8A" w14:textId="77777777" w:rsidR="00A55002" w:rsidRPr="00EC1531" w:rsidRDefault="00A55002" w:rsidP="00A55002">
      <w:pPr>
        <w:pStyle w:val="Naslov2"/>
        <w:numPr>
          <w:ilvl w:val="1"/>
          <w:numId w:val="51"/>
        </w:numPr>
        <w:rPr>
          <w:color w:val="366091" w:themeColor="accent1" w:themeShade="BF"/>
          <w:lang w:val="sl"/>
        </w:rPr>
      </w:pPr>
      <w:r w:rsidRPr="00EC1531">
        <w:rPr>
          <w:bCs/>
          <w:color w:val="366091" w:themeColor="accent1" w:themeShade="BF"/>
          <w:lang w:val="sl"/>
        </w:rPr>
        <w:t>II. Odbor za naložbe in delovna skupina za odgovorno ravnanje podjetij</w:t>
      </w:r>
    </w:p>
    <w:p w14:paraId="4E779EB1" w14:textId="77777777" w:rsidR="00A55002" w:rsidRPr="008A691D" w:rsidRDefault="00A55002" w:rsidP="00A55002">
      <w:pPr>
        <w:pStyle w:val="Para2"/>
        <w:numPr>
          <w:ilvl w:val="0"/>
          <w:numId w:val="59"/>
        </w:numPr>
        <w:rPr>
          <w:lang w:val="sl"/>
        </w:rPr>
      </w:pPr>
      <w:r>
        <w:rPr>
          <w:lang w:val="sl"/>
        </w:rPr>
        <w:t xml:space="preserve">Odbor za naložbe (odbor) nadzoruje izvajanje Deklaracije o mednarodnih naložbah in mednarodnih podjetjih. DSORP odboru pomaga pri izvajanju I. razdelka deklaracije glede nalog, povezanih s </w:t>
      </w:r>
      <w:r>
        <w:rPr>
          <w:i/>
          <w:iCs/>
          <w:lang w:val="sl"/>
        </w:rPr>
        <w:t>smernicami</w:t>
      </w:r>
      <w:r>
        <w:rPr>
          <w:lang w:val="sl"/>
        </w:rPr>
        <w:t xml:space="preserve">. </w:t>
      </w:r>
    </w:p>
    <w:p w14:paraId="5E0FCEFB" w14:textId="77777777" w:rsidR="00A55002" w:rsidRPr="008A691D" w:rsidRDefault="00A55002" w:rsidP="00A55002">
      <w:pPr>
        <w:pStyle w:val="Para2"/>
        <w:rPr>
          <w:lang w:val="sl"/>
        </w:rPr>
      </w:pPr>
      <w:r>
        <w:rPr>
          <w:lang w:val="sl"/>
        </w:rPr>
        <w:t xml:space="preserve">Odbor redno ali na zahtevo pristopnice organizira izmenjave stališč o zadevah, zajetih v </w:t>
      </w:r>
      <w:r>
        <w:rPr>
          <w:i/>
          <w:iCs/>
          <w:lang w:val="sl"/>
        </w:rPr>
        <w:t>smernicah</w:t>
      </w:r>
      <w:r>
        <w:rPr>
          <w:lang w:val="sl"/>
        </w:rPr>
        <w:t xml:space="preserve">, in izkušenj, pridobljenih med njihovim izvajanjem. Odbor redno vabi Business at OECD (BIAC) in Svetovalni odbor sindikatov pri OECD (TUAC) (svetovalni telesi) ter OECD Watch, pa tudi druge mednarodne partnerje, da izrazijo svoja stališča o zadevah, zajetih v </w:t>
      </w:r>
      <w:r>
        <w:rPr>
          <w:i/>
          <w:iCs/>
          <w:lang w:val="sl"/>
        </w:rPr>
        <w:t>smernicah</w:t>
      </w:r>
      <w:r>
        <w:rPr>
          <w:lang w:val="sl"/>
        </w:rPr>
        <w:t>. Stališča o teh zadevah se lahko izmenjajo tudi na zahtevo teh svetovalnih teles in partnerjev.</w:t>
      </w:r>
    </w:p>
    <w:p w14:paraId="1F84557E" w14:textId="77777777" w:rsidR="00A55002" w:rsidRPr="008A691D" w:rsidRDefault="00A55002" w:rsidP="00A55002">
      <w:pPr>
        <w:pStyle w:val="Para2"/>
        <w:rPr>
          <w:lang w:val="sl"/>
        </w:rPr>
      </w:pPr>
      <w:r>
        <w:rPr>
          <w:lang w:val="sl"/>
        </w:rPr>
        <w:t xml:space="preserve">Odbor v zvezi z zadevami, zajetimi v </w:t>
      </w:r>
      <w:r>
        <w:rPr>
          <w:i/>
          <w:iCs/>
          <w:lang w:val="sl"/>
        </w:rPr>
        <w:t>smernicah</w:t>
      </w:r>
      <w:r>
        <w:rPr>
          <w:lang w:val="sl"/>
        </w:rPr>
        <w:t xml:space="preserve">, sodeluje z </w:t>
      </w:r>
      <w:proofErr w:type="spellStart"/>
      <w:r>
        <w:rPr>
          <w:lang w:val="sl"/>
        </w:rPr>
        <w:t>nepristopnicami</w:t>
      </w:r>
      <w:proofErr w:type="spellEnd"/>
      <w:r>
        <w:rPr>
          <w:lang w:val="sl"/>
        </w:rPr>
        <w:t xml:space="preserve">, da spodbuja odgovorno ravnanje podjetij po vsem svetu v skladu s </w:t>
      </w:r>
      <w:r>
        <w:rPr>
          <w:i/>
          <w:iCs/>
          <w:lang w:val="sl"/>
        </w:rPr>
        <w:t>smernicami</w:t>
      </w:r>
      <w:r>
        <w:rPr>
          <w:lang w:val="sl"/>
        </w:rPr>
        <w:t xml:space="preserve"> in da zagotovi enotne pogoje delovanja. Prizadeva si tudi sodelovati z </w:t>
      </w:r>
      <w:proofErr w:type="spellStart"/>
      <w:r>
        <w:rPr>
          <w:lang w:val="sl"/>
        </w:rPr>
        <w:t>nepristopnicami</w:t>
      </w:r>
      <w:proofErr w:type="spellEnd"/>
      <w:r>
        <w:rPr>
          <w:lang w:val="sl"/>
        </w:rPr>
        <w:t xml:space="preserve">, ki jih posebej zanimajo </w:t>
      </w:r>
      <w:r>
        <w:rPr>
          <w:i/>
          <w:iCs/>
          <w:lang w:val="sl"/>
        </w:rPr>
        <w:t>smernice</w:t>
      </w:r>
      <w:r>
        <w:rPr>
          <w:lang w:val="sl"/>
        </w:rPr>
        <w:t xml:space="preserve"> ter spodbujanje upoštevanja njihovih načel in standardov.</w:t>
      </w:r>
    </w:p>
    <w:p w14:paraId="32D0823D" w14:textId="77777777" w:rsidR="00A55002" w:rsidRPr="00663036" w:rsidRDefault="00A55002" w:rsidP="00A55002">
      <w:pPr>
        <w:pStyle w:val="Para2"/>
      </w:pPr>
      <w:r>
        <w:rPr>
          <w:lang w:val="sl"/>
        </w:rPr>
        <w:t xml:space="preserve">Odbor je odgovoren za pojasnjevanje </w:t>
      </w:r>
      <w:r>
        <w:rPr>
          <w:i/>
          <w:iCs/>
          <w:lang w:val="sl"/>
        </w:rPr>
        <w:t>smernic</w:t>
      </w:r>
      <w:r>
        <w:rPr>
          <w:lang w:val="sl"/>
        </w:rPr>
        <w:t>. Strankam, vpletenim v posebni primer, zaradi katerega je bilo zahtevano pojasnilo, se zagotovi priložnost, da ustno ali pisno izrazijo svoje mnenje. Odbor ne sprejema sklepov o ravnanju posameznih podjetij.</w:t>
      </w:r>
    </w:p>
    <w:p w14:paraId="0421323C" w14:textId="77777777" w:rsidR="00A55002" w:rsidRPr="00663036" w:rsidRDefault="00A55002" w:rsidP="00A55002">
      <w:pPr>
        <w:pStyle w:val="Para2"/>
      </w:pPr>
      <w:r>
        <w:rPr>
          <w:lang w:val="sl"/>
        </w:rPr>
        <w:t xml:space="preserve">Odbor organizira izmenjave stališč o dejavnostih NKT, da se poveča učinkovitost </w:t>
      </w:r>
      <w:r>
        <w:rPr>
          <w:i/>
          <w:iCs/>
          <w:lang w:val="sl"/>
        </w:rPr>
        <w:t>smernic</w:t>
      </w:r>
      <w:r>
        <w:rPr>
          <w:lang w:val="sl"/>
        </w:rPr>
        <w:t xml:space="preserve"> in spodbuja funkcionalna enakovrednost NKT.</w:t>
      </w:r>
    </w:p>
    <w:p w14:paraId="0890D3A2" w14:textId="77777777" w:rsidR="00A55002" w:rsidRPr="008A691D" w:rsidRDefault="00A55002" w:rsidP="00A55002">
      <w:pPr>
        <w:pStyle w:val="Para2"/>
        <w:rPr>
          <w:lang w:val="sl"/>
        </w:rPr>
      </w:pPr>
      <w:r>
        <w:rPr>
          <w:lang w:val="sl"/>
        </w:rPr>
        <w:t xml:space="preserve">Odbor redno poroča Svetu o zadevah, zajetih v </w:t>
      </w:r>
      <w:r>
        <w:rPr>
          <w:i/>
          <w:iCs/>
          <w:lang w:val="sl"/>
        </w:rPr>
        <w:t>smernicah</w:t>
      </w:r>
      <w:r>
        <w:rPr>
          <w:lang w:val="sl"/>
        </w:rPr>
        <w:t xml:space="preserve">. V poročilih upošteva poročila NKT ter po potrebi stališča svetovalnih teles (BIAC in TUAC), OECD Watch, drugih mednarodnih partnerjev in </w:t>
      </w:r>
      <w:proofErr w:type="spellStart"/>
      <w:r>
        <w:rPr>
          <w:lang w:val="sl"/>
        </w:rPr>
        <w:t>nepristopnic</w:t>
      </w:r>
      <w:proofErr w:type="spellEnd"/>
      <w:r>
        <w:rPr>
          <w:lang w:val="sl"/>
        </w:rPr>
        <w:t>.</w:t>
      </w:r>
    </w:p>
    <w:p w14:paraId="3713AB4B" w14:textId="77777777" w:rsidR="00A55002" w:rsidRPr="008A691D" w:rsidRDefault="00A55002" w:rsidP="00A55002">
      <w:pPr>
        <w:pStyle w:val="Para2"/>
        <w:rPr>
          <w:lang w:val="sl"/>
        </w:rPr>
      </w:pPr>
      <w:r>
        <w:rPr>
          <w:lang w:val="sl"/>
        </w:rPr>
        <w:t xml:space="preserve">Odbor v sodelovanju z NKT proaktivno spodbuja učinkovito spoštovanje načel in standardov iz </w:t>
      </w:r>
      <w:r>
        <w:rPr>
          <w:i/>
          <w:iCs/>
          <w:lang w:val="sl"/>
        </w:rPr>
        <w:t>smernic</w:t>
      </w:r>
      <w:r>
        <w:rPr>
          <w:lang w:val="sl"/>
        </w:rPr>
        <w:t xml:space="preserve"> med podjetji. Zlasti išče priložnosti za sodelovanje s svetovalnima telesoma (BIAC in TUAC), OECD Watch, drugimi mednarodnimi partnerji in drugimi deležniki za spodbujanje mednarodnih podjetij, da v okviru </w:t>
      </w:r>
      <w:r>
        <w:rPr>
          <w:i/>
          <w:iCs/>
          <w:lang w:val="sl"/>
        </w:rPr>
        <w:t>smernic</w:t>
      </w:r>
      <w:r>
        <w:rPr>
          <w:lang w:val="sl"/>
        </w:rPr>
        <w:t xml:space="preserve"> koristno prispevajo h gospodarskemu, </w:t>
      </w:r>
      <w:proofErr w:type="spellStart"/>
      <w:r>
        <w:rPr>
          <w:lang w:val="sl"/>
        </w:rPr>
        <w:t>okoljskemu</w:t>
      </w:r>
      <w:proofErr w:type="spellEnd"/>
      <w:r>
        <w:rPr>
          <w:lang w:val="sl"/>
        </w:rPr>
        <w:t xml:space="preserve"> in družbenemu napredku z namenom doseči trajnostni razvoj ter da pomagajo pri določanju tveganj škodljivih vplivov, povezanih s posameznimi izdelki, regijami, sektorji ali industrijskimi panogami, ter pri odzivanju na ta tveganja.</w:t>
      </w:r>
    </w:p>
    <w:p w14:paraId="089F33FE" w14:textId="77777777" w:rsidR="00A55002" w:rsidRPr="00EC1531" w:rsidRDefault="00A55002" w:rsidP="00A55002">
      <w:pPr>
        <w:pStyle w:val="Naslov2"/>
        <w:numPr>
          <w:ilvl w:val="1"/>
          <w:numId w:val="51"/>
        </w:numPr>
        <w:rPr>
          <w:color w:val="366091" w:themeColor="accent1" w:themeShade="BF"/>
        </w:rPr>
      </w:pPr>
      <w:r w:rsidRPr="00EC1531">
        <w:rPr>
          <w:bCs/>
          <w:color w:val="366091" w:themeColor="accent1" w:themeShade="BF"/>
          <w:lang w:val="sl"/>
        </w:rPr>
        <w:t>III. Izvajanje in pregled sklepa</w:t>
      </w:r>
    </w:p>
    <w:p w14:paraId="5E9A3F49" w14:textId="77777777" w:rsidR="00A55002" w:rsidRPr="008861D9" w:rsidRDefault="00A55002" w:rsidP="00A55002">
      <w:pPr>
        <w:pStyle w:val="Para2"/>
        <w:numPr>
          <w:ilvl w:val="0"/>
          <w:numId w:val="54"/>
        </w:numPr>
      </w:pPr>
      <w:r>
        <w:rPr>
          <w:lang w:val="sl"/>
        </w:rPr>
        <w:t xml:space="preserve">Postopki, priloženi temu sklepu, vključujejo pričakovanja, priporočila in napotke za pristopnice, NKT, odbor in DSORP pri izvajanju tega sklepa. </w:t>
      </w:r>
    </w:p>
    <w:p w14:paraId="5E7AAD35" w14:textId="77777777" w:rsidR="00A55002" w:rsidRPr="00E205CD" w:rsidRDefault="00A55002" w:rsidP="00A55002">
      <w:pPr>
        <w:pStyle w:val="Para2"/>
        <w:rPr>
          <w:lang w:val="pl-PL"/>
        </w:rPr>
      </w:pPr>
      <w:r>
        <w:rPr>
          <w:lang w:val="sl"/>
        </w:rPr>
        <w:t>Ta sklep se bo redno pregledoval. Odbor da predloge za to, ki jih lahko pripravi DSORP in predloži odboru.</w:t>
      </w:r>
    </w:p>
    <w:p w14:paraId="2353B45B" w14:textId="77777777" w:rsidR="00A55002" w:rsidRDefault="00A55002" w:rsidP="0042619C">
      <w:pPr>
        <w:pStyle w:val="Naslov1"/>
        <w:framePr w:wrap="notBeside"/>
        <w:numPr>
          <w:ilvl w:val="0"/>
          <w:numId w:val="0"/>
        </w:numPr>
        <w:ind w:left="113"/>
      </w:pPr>
      <w:bookmarkStart w:id="46" w:name="_Toc169086498"/>
      <w:r>
        <w:rPr>
          <w:bCs/>
          <w:lang w:val="sl"/>
        </w:rPr>
        <w:lastRenderedPageBreak/>
        <w:t>Postopki</w:t>
      </w:r>
      <w:bookmarkEnd w:id="46"/>
    </w:p>
    <w:p w14:paraId="5D3AC253" w14:textId="77777777" w:rsidR="00A55002" w:rsidRPr="00EC1531" w:rsidRDefault="00A55002" w:rsidP="00A55002">
      <w:pPr>
        <w:pStyle w:val="Naslov2"/>
        <w:numPr>
          <w:ilvl w:val="1"/>
          <w:numId w:val="51"/>
        </w:numPr>
        <w:rPr>
          <w:color w:val="366091" w:themeColor="accent1" w:themeShade="BF"/>
          <w:lang w:val="pl-PL"/>
        </w:rPr>
      </w:pPr>
      <w:r w:rsidRPr="00EC1531">
        <w:rPr>
          <w:bCs/>
          <w:color w:val="366091" w:themeColor="accent1" w:themeShade="BF"/>
          <w:lang w:val="sl"/>
        </w:rPr>
        <w:t>I. Nacionalne kontaktne točke za odgovorno ravnanje podjetij</w:t>
      </w:r>
    </w:p>
    <w:p w14:paraId="323DDDFE" w14:textId="77777777" w:rsidR="00A55002" w:rsidRPr="001A3DC1" w:rsidRDefault="00A55002" w:rsidP="0042619C">
      <w:pPr>
        <w:pStyle w:val="Para0"/>
      </w:pPr>
      <w:r>
        <w:rPr>
          <w:lang w:val="sl"/>
        </w:rPr>
        <w:t xml:space="preserve">Naloga nacionalnih kontaktnih točk za odgovorno ravnanje podjetij (NKT) je še povečati učinkovitost </w:t>
      </w:r>
      <w:r>
        <w:rPr>
          <w:i/>
          <w:iCs/>
          <w:lang w:val="sl"/>
        </w:rPr>
        <w:t>smernic</w:t>
      </w:r>
      <w:r>
        <w:rPr>
          <w:lang w:val="sl"/>
        </w:rPr>
        <w:t xml:space="preserve">. </w:t>
      </w:r>
      <w:bookmarkStart w:id="47" w:name="_Hlk100754569"/>
      <w:r>
        <w:rPr>
          <w:lang w:val="sl"/>
        </w:rPr>
        <w:t>NKT delujejo:</w:t>
      </w:r>
    </w:p>
    <w:p w14:paraId="0A7A2C13" w14:textId="77777777" w:rsidR="00A55002" w:rsidRPr="00264C6E" w:rsidRDefault="00A55002" w:rsidP="00A55002">
      <w:pPr>
        <w:pStyle w:val="NumberedList1"/>
        <w:numPr>
          <w:ilvl w:val="0"/>
          <w:numId w:val="45"/>
        </w:numPr>
      </w:pPr>
      <w:r>
        <w:rPr>
          <w:lang w:val="sl"/>
        </w:rPr>
        <w:t xml:space="preserve">vidno, </w:t>
      </w:r>
    </w:p>
    <w:p w14:paraId="0BF97D5E" w14:textId="77777777" w:rsidR="00A55002" w:rsidRPr="00264C6E" w:rsidRDefault="00A55002" w:rsidP="00A55002">
      <w:pPr>
        <w:pStyle w:val="NumberedList1"/>
      </w:pPr>
      <w:r>
        <w:rPr>
          <w:lang w:val="sl"/>
        </w:rPr>
        <w:t xml:space="preserve">dostopno, </w:t>
      </w:r>
    </w:p>
    <w:p w14:paraId="7D4B35EB" w14:textId="77777777" w:rsidR="00A55002" w:rsidRPr="00264C6E" w:rsidRDefault="00A55002" w:rsidP="00A55002">
      <w:pPr>
        <w:pStyle w:val="NumberedList1"/>
        <w:rPr>
          <w:strike/>
        </w:rPr>
      </w:pPr>
      <w:r>
        <w:rPr>
          <w:lang w:val="sl"/>
        </w:rPr>
        <w:t>pregledno,</w:t>
      </w:r>
    </w:p>
    <w:p w14:paraId="4960701B" w14:textId="77777777" w:rsidR="00A55002" w:rsidRPr="00264C6E" w:rsidRDefault="00A55002" w:rsidP="00A55002">
      <w:pPr>
        <w:pStyle w:val="NumberedList1"/>
      </w:pPr>
      <w:r>
        <w:rPr>
          <w:lang w:val="sl"/>
        </w:rPr>
        <w:t xml:space="preserve">odgovorno, </w:t>
      </w:r>
    </w:p>
    <w:p w14:paraId="13B99FD7" w14:textId="77777777" w:rsidR="00A55002" w:rsidRPr="00264C6E" w:rsidRDefault="00A55002" w:rsidP="00A55002">
      <w:pPr>
        <w:pStyle w:val="NumberedList1"/>
        <w:rPr>
          <w:bCs/>
          <w:iCs/>
        </w:rPr>
      </w:pPr>
      <w:r>
        <w:rPr>
          <w:lang w:val="sl"/>
        </w:rPr>
        <w:t xml:space="preserve">nepristransko in pravično, </w:t>
      </w:r>
    </w:p>
    <w:p w14:paraId="5335C163" w14:textId="77777777" w:rsidR="00A55002" w:rsidRPr="00264C6E" w:rsidRDefault="00A55002" w:rsidP="00A55002">
      <w:pPr>
        <w:pStyle w:val="NumberedList1"/>
        <w:rPr>
          <w:bCs/>
          <w:iCs/>
        </w:rPr>
      </w:pPr>
      <w:r>
        <w:rPr>
          <w:lang w:val="sl"/>
        </w:rPr>
        <w:t xml:space="preserve">predvidljivo in </w:t>
      </w:r>
    </w:p>
    <w:p w14:paraId="5048DB57" w14:textId="77777777" w:rsidR="00A55002" w:rsidRPr="0076765F" w:rsidRDefault="00A55002" w:rsidP="00A55002">
      <w:pPr>
        <w:pStyle w:val="NumberedList1"/>
        <w:rPr>
          <w:bCs/>
          <w:iCs/>
        </w:rPr>
      </w:pPr>
      <w:r>
        <w:rPr>
          <w:lang w:val="sl"/>
        </w:rPr>
        <w:t xml:space="preserve">v skladu s </w:t>
      </w:r>
      <w:r>
        <w:rPr>
          <w:i/>
          <w:iCs/>
          <w:lang w:val="sl"/>
        </w:rPr>
        <w:t>smernicami</w:t>
      </w:r>
      <w:r>
        <w:rPr>
          <w:lang w:val="sl"/>
        </w:rPr>
        <w:t xml:space="preserve">. </w:t>
      </w:r>
    </w:p>
    <w:p w14:paraId="1613736C" w14:textId="77777777" w:rsidR="00A55002" w:rsidRPr="008A691D" w:rsidRDefault="00A55002" w:rsidP="0042619C">
      <w:pPr>
        <w:pStyle w:val="Para0"/>
        <w:rPr>
          <w:rFonts w:eastAsia="Calibri"/>
          <w:u w:val="single"/>
          <w:lang w:val="sl"/>
        </w:rPr>
      </w:pPr>
      <w:r>
        <w:rPr>
          <w:lang w:val="sl"/>
        </w:rPr>
        <w:t>Ta načela skupaj tvorijo osrednja merila učinkovitosti NKT. NKT si glede na svoje okoliščine prizadevajo za funkcionalno enakovrednost, kar pomeni, da vse NKT delujejo z enako stopnjo učinkovitosti, tako da izpolnjujejo osrednja merila učinkovitosti.</w:t>
      </w:r>
      <w:bookmarkEnd w:id="47"/>
      <w:r>
        <w:rPr>
          <w:lang w:val="sl"/>
        </w:rPr>
        <w:t xml:space="preserve"> </w:t>
      </w:r>
    </w:p>
    <w:p w14:paraId="033FAF69" w14:textId="77777777" w:rsidR="00A55002" w:rsidRPr="008A691D" w:rsidRDefault="00A55002" w:rsidP="0042619C">
      <w:pPr>
        <w:pStyle w:val="Para0"/>
        <w:rPr>
          <w:b/>
          <w:bCs/>
          <w:lang w:val="sl"/>
        </w:rPr>
      </w:pPr>
      <w:r>
        <w:rPr>
          <w:b/>
          <w:bCs/>
          <w:lang w:val="sl"/>
        </w:rPr>
        <w:t>A. Institucionalna ureditev</w:t>
      </w:r>
    </w:p>
    <w:p w14:paraId="3D38F2F6" w14:textId="77777777" w:rsidR="00A55002" w:rsidRPr="008A691D" w:rsidRDefault="00A55002" w:rsidP="0042619C">
      <w:pPr>
        <w:pStyle w:val="Para0"/>
        <w:rPr>
          <w:lang w:val="sl"/>
        </w:rPr>
      </w:pPr>
      <w:r>
        <w:rPr>
          <w:lang w:val="sl"/>
        </w:rPr>
        <w:t xml:space="preserve">V skladu s cilji funkcionalne enakovrednosti NKT in za večjo učinkovitost </w:t>
      </w:r>
      <w:r>
        <w:rPr>
          <w:i/>
          <w:iCs/>
          <w:lang w:val="sl"/>
        </w:rPr>
        <w:t>smernic</w:t>
      </w:r>
      <w:r>
        <w:rPr>
          <w:lang w:val="sl"/>
        </w:rPr>
        <w:t xml:space="preserve"> lahko pristopnice prilagodijo organizacijo NKT, da izpolnijo osrednja merila učinkovitosti. Vlade pri določanju institucionalne ureditve svojih NKT pridobijo dejavno podporo socialnih partnerjev, kadar je primerno, in drugih deležnikov ter drugih ustreznih državnih organov.</w:t>
      </w:r>
    </w:p>
    <w:p w14:paraId="4CCD9A77" w14:textId="77777777" w:rsidR="00A55002" w:rsidRPr="003561C1" w:rsidRDefault="00A55002" w:rsidP="0042619C">
      <w:pPr>
        <w:pStyle w:val="Para0"/>
      </w:pPr>
      <w:r>
        <w:rPr>
          <w:lang w:val="sl"/>
        </w:rPr>
        <w:t>V skladu s tem:</w:t>
      </w:r>
    </w:p>
    <w:p w14:paraId="06ABA292" w14:textId="77777777" w:rsidR="00A55002" w:rsidRPr="003561C1" w:rsidRDefault="00A55002" w:rsidP="00A55002">
      <w:pPr>
        <w:pStyle w:val="NumberedList1"/>
        <w:numPr>
          <w:ilvl w:val="0"/>
          <w:numId w:val="46"/>
        </w:numPr>
      </w:pPr>
      <w:r>
        <w:rPr>
          <w:lang w:val="sl"/>
        </w:rPr>
        <w:t xml:space="preserve">se NKT sestavijo in organizirajo ter se jim zagotovijo zadostni viri tako, da imajo učinkovito podlago za obravnavanje širokega razpona vprašanj, zajetih v </w:t>
      </w:r>
      <w:r>
        <w:rPr>
          <w:i/>
          <w:iCs/>
          <w:lang w:val="sl"/>
        </w:rPr>
        <w:t>smernicah</w:t>
      </w:r>
      <w:r>
        <w:rPr>
          <w:lang w:val="sl"/>
        </w:rPr>
        <w:t>, in dostop do strokovnega znanja o vseh pomembnih vidikih njihovih pristojnosti, ter delujejo na nepristranski način in vzdržujejo ustrezno raven odgovornosti vladam pristopnicam;</w:t>
      </w:r>
    </w:p>
    <w:p w14:paraId="01887EA1" w14:textId="77777777" w:rsidR="00A55002" w:rsidRPr="008A691D" w:rsidRDefault="00A55002" w:rsidP="00A55002">
      <w:pPr>
        <w:pStyle w:val="NumberedList1"/>
        <w:rPr>
          <w:lang w:val="sl"/>
        </w:rPr>
      </w:pPr>
      <w:bookmarkStart w:id="48" w:name="_Hlk128990848"/>
      <w:r>
        <w:rPr>
          <w:lang w:val="sl"/>
        </w:rPr>
        <w:t>lahko NKT uporabljajo različne oblike organizacije, da izpolnijo osrednja merila učinkovitosti in uresničujejo funkcionalno enakovrednost, ob zavedanju, da je pomembno ohraniti zaupanje deležnikov. NKT je lahko na primer višji vladni uradnik ali vladni urad, ki ga vodi višji vladni uradnik; medresorski organ, ki ga sestavljajo ali vodijo višji uradniki, ali organ, sestavljen iz predstavnikov vlade, poslovne skupnosti, delavskih organizacij in drugih nevladnih organizacij (več deležnikov) ter/ali neodvisnih strokovnjakov. Vlade se spodbujajo k vključevanju predstavnikov poslovne skupnosti, delavskih organizacij in drugih nevladnih organizacij v svetovalne ali nadzorne organe, kadar je to koristno za pomoč NKT pri njenih nalogah;</w:t>
      </w:r>
    </w:p>
    <w:bookmarkEnd w:id="48"/>
    <w:p w14:paraId="6C6E93D1" w14:textId="77777777" w:rsidR="00A55002" w:rsidRPr="008A691D" w:rsidRDefault="00A55002" w:rsidP="00A55002">
      <w:pPr>
        <w:pStyle w:val="NumberedList1"/>
        <w:rPr>
          <w:lang w:val="sl"/>
        </w:rPr>
      </w:pPr>
      <w:r>
        <w:rPr>
          <w:lang w:val="sl"/>
        </w:rPr>
        <w:t xml:space="preserve">NKT vzpostavljajo in vzdržujejo smiselne odnose ter po potrebi sodelujejo s socialnimi partnerji, predstavniki poslovne skupnosti, delavskih organizacij in nevladnih organizacij ter drugimi zainteresiranimi osebami, ki lahko prispevajo k učinkovitosti </w:t>
      </w:r>
      <w:r>
        <w:rPr>
          <w:i/>
          <w:iCs/>
          <w:lang w:val="sl"/>
        </w:rPr>
        <w:t>smernic</w:t>
      </w:r>
      <w:r>
        <w:rPr>
          <w:lang w:val="sl"/>
        </w:rPr>
        <w:t xml:space="preserve">. </w:t>
      </w:r>
    </w:p>
    <w:p w14:paraId="6929B502" w14:textId="77777777" w:rsidR="00A55002" w:rsidRPr="00E205CD" w:rsidRDefault="00A55002" w:rsidP="0042619C">
      <w:pPr>
        <w:pStyle w:val="Para0"/>
        <w:rPr>
          <w:b/>
          <w:bCs/>
          <w:lang w:val="pl-PL"/>
        </w:rPr>
      </w:pPr>
      <w:r>
        <w:rPr>
          <w:b/>
          <w:bCs/>
          <w:lang w:val="sl"/>
        </w:rPr>
        <w:lastRenderedPageBreak/>
        <w:t>B. Obveščanje in promocija</w:t>
      </w:r>
    </w:p>
    <w:p w14:paraId="0011EB51" w14:textId="77777777" w:rsidR="00A55002" w:rsidRPr="00E205CD" w:rsidRDefault="00A55002" w:rsidP="0042619C">
      <w:pPr>
        <w:pStyle w:val="Para0"/>
        <w:rPr>
          <w:lang w:val="pl-PL"/>
        </w:rPr>
      </w:pPr>
      <w:r>
        <w:rPr>
          <w:lang w:val="sl"/>
        </w:rPr>
        <w:t>Vsaka NKT:</w:t>
      </w:r>
    </w:p>
    <w:p w14:paraId="4A7D30E2" w14:textId="77777777" w:rsidR="00A55002" w:rsidRPr="008A691D" w:rsidRDefault="00A55002" w:rsidP="00A55002">
      <w:pPr>
        <w:pStyle w:val="NumberedList1"/>
        <w:numPr>
          <w:ilvl w:val="0"/>
          <w:numId w:val="47"/>
        </w:numPr>
        <w:rPr>
          <w:lang w:val="sl"/>
        </w:rPr>
      </w:pPr>
      <w:r>
        <w:rPr>
          <w:lang w:val="sl"/>
        </w:rPr>
        <w:t xml:space="preserve">na ustrezne načine, vključno s spletnim obveščanjem, in v nacionalnih jezikih seznanja s </w:t>
      </w:r>
      <w:r>
        <w:rPr>
          <w:i/>
          <w:iCs/>
          <w:lang w:val="sl"/>
        </w:rPr>
        <w:t>smernicami</w:t>
      </w:r>
      <w:r>
        <w:rPr>
          <w:lang w:val="sl"/>
        </w:rPr>
        <w:t xml:space="preserve"> in jih objavlja. NKT naj tudi promovirajo povezane napotke OECD o skrbnem pregledu poslovanja za odgovorno ravnanje podjetij ob upoštevanju posebnih značilnosti napotkov, kot je navedeno v 15. odstavku komentarja k II. poglavju </w:t>
      </w:r>
      <w:r>
        <w:rPr>
          <w:i/>
          <w:iCs/>
          <w:lang w:val="sl"/>
        </w:rPr>
        <w:t>smernic</w:t>
      </w:r>
      <w:r>
        <w:rPr>
          <w:lang w:val="sl"/>
        </w:rPr>
        <w:t xml:space="preserve">. Po potrebi naj se o </w:t>
      </w:r>
      <w:r>
        <w:rPr>
          <w:i/>
          <w:iCs/>
          <w:lang w:val="sl"/>
        </w:rPr>
        <w:t>smernicah</w:t>
      </w:r>
      <w:r>
        <w:rPr>
          <w:lang w:val="sl"/>
        </w:rPr>
        <w:t xml:space="preserve"> obvestijo ustrezni deležniki, vključno z morebitnimi vlagatelji (za naložbe doma in v tujini);</w:t>
      </w:r>
    </w:p>
    <w:p w14:paraId="3FC91942" w14:textId="77777777" w:rsidR="00A55002" w:rsidRPr="008A691D" w:rsidRDefault="00A55002" w:rsidP="00A55002">
      <w:pPr>
        <w:pStyle w:val="NumberedList1"/>
        <w:rPr>
          <w:lang w:val="sl"/>
        </w:rPr>
      </w:pPr>
      <w:r>
        <w:rPr>
          <w:lang w:val="sl"/>
        </w:rPr>
        <w:t xml:space="preserve">ozavešča o </w:t>
      </w:r>
      <w:r>
        <w:rPr>
          <w:i/>
          <w:iCs/>
          <w:lang w:val="sl"/>
        </w:rPr>
        <w:t>smernicah</w:t>
      </w:r>
      <w:r>
        <w:rPr>
          <w:lang w:val="sl"/>
        </w:rPr>
        <w:t xml:space="preserve">, postopkih za njihovo izvajanje in sebi, po potrebi tudi v sodelovanju z ustreznimi državnimi organi, poslovno skupnostjo, delavskimi organizacijami, drugimi nevladnimi organizacijami in zainteresirano javnostjo; </w:t>
      </w:r>
    </w:p>
    <w:p w14:paraId="20DAC136" w14:textId="77777777" w:rsidR="00A55002" w:rsidRPr="008A691D" w:rsidRDefault="00A55002" w:rsidP="00A55002">
      <w:pPr>
        <w:pStyle w:val="NumberedList1"/>
        <w:rPr>
          <w:lang w:val="sl"/>
        </w:rPr>
      </w:pPr>
      <w:r>
        <w:rPr>
          <w:lang w:val="sl"/>
        </w:rPr>
        <w:t xml:space="preserve">odgovarja na poizvedbe o </w:t>
      </w:r>
      <w:r>
        <w:rPr>
          <w:i/>
          <w:iCs/>
          <w:lang w:val="sl"/>
        </w:rPr>
        <w:t>smernicah</w:t>
      </w:r>
      <w:r>
        <w:rPr>
          <w:lang w:val="sl"/>
        </w:rPr>
        <w:t>, napotkih OECD za skrbni pregled poslovanja in sebi, vključno s poizvedbami:</w:t>
      </w:r>
    </w:p>
    <w:p w14:paraId="0332EBFE" w14:textId="77777777" w:rsidR="00A55002" w:rsidRDefault="00A55002" w:rsidP="00A55002">
      <w:pPr>
        <w:pStyle w:val="NumberedList1"/>
        <w:numPr>
          <w:ilvl w:val="1"/>
          <w:numId w:val="44"/>
        </w:numPr>
      </w:pPr>
      <w:r>
        <w:rPr>
          <w:lang w:val="sl"/>
        </w:rPr>
        <w:t>drugih NKT,</w:t>
      </w:r>
    </w:p>
    <w:p w14:paraId="53942BAA" w14:textId="77777777" w:rsidR="00A55002" w:rsidRPr="003561C1" w:rsidRDefault="00A55002" w:rsidP="00A55002">
      <w:pPr>
        <w:pStyle w:val="NumberedList1"/>
        <w:numPr>
          <w:ilvl w:val="1"/>
          <w:numId w:val="44"/>
        </w:numPr>
      </w:pPr>
      <w:r>
        <w:rPr>
          <w:lang w:val="sl"/>
        </w:rPr>
        <w:t>poslovne skupnosti, delavskih organizacij, drugih nevladnih organizacij in javnosti ter</w:t>
      </w:r>
      <w:r>
        <w:rPr>
          <w:strike/>
          <w:lang w:val="sl"/>
        </w:rPr>
        <w:t xml:space="preserve"> </w:t>
      </w:r>
    </w:p>
    <w:p w14:paraId="765C0208" w14:textId="77777777" w:rsidR="00A55002" w:rsidRPr="003561C1" w:rsidRDefault="00A55002" w:rsidP="00A55002">
      <w:pPr>
        <w:pStyle w:val="NumberedList1"/>
        <w:numPr>
          <w:ilvl w:val="1"/>
          <w:numId w:val="44"/>
        </w:numPr>
      </w:pPr>
      <w:r>
        <w:rPr>
          <w:lang w:val="sl"/>
        </w:rPr>
        <w:t xml:space="preserve">vlad </w:t>
      </w:r>
      <w:proofErr w:type="spellStart"/>
      <w:r>
        <w:rPr>
          <w:lang w:val="sl"/>
        </w:rPr>
        <w:t>nepristopnic</w:t>
      </w:r>
      <w:proofErr w:type="spellEnd"/>
      <w:r>
        <w:rPr>
          <w:lang w:val="sl"/>
        </w:rPr>
        <w:t>.</w:t>
      </w:r>
    </w:p>
    <w:p w14:paraId="42C6E59E" w14:textId="77777777" w:rsidR="00A55002" w:rsidRPr="00D171F0" w:rsidRDefault="00A55002" w:rsidP="0042619C">
      <w:pPr>
        <w:pStyle w:val="Para0"/>
        <w:rPr>
          <w:b/>
          <w:bCs/>
        </w:rPr>
      </w:pPr>
      <w:r>
        <w:rPr>
          <w:b/>
          <w:bCs/>
          <w:lang w:val="sl"/>
        </w:rPr>
        <w:t>C. Posebni primeri</w:t>
      </w:r>
    </w:p>
    <w:p w14:paraId="6363A9D9" w14:textId="77777777" w:rsidR="00A55002" w:rsidRPr="008A691D" w:rsidRDefault="00A55002" w:rsidP="0042619C">
      <w:pPr>
        <w:pStyle w:val="Para0"/>
        <w:rPr>
          <w:lang w:val="sl"/>
        </w:rPr>
      </w:pPr>
      <w:r>
        <w:rPr>
          <w:lang w:val="sl"/>
        </w:rPr>
        <w:t xml:space="preserve">NKT kot nesodni mehanizem za pritožbe prispeva k reševanju vprašanj, nastalih pri izvajanju </w:t>
      </w:r>
      <w:r>
        <w:rPr>
          <w:i/>
          <w:iCs/>
          <w:lang w:val="sl"/>
        </w:rPr>
        <w:t>smernic</w:t>
      </w:r>
      <w:r>
        <w:rPr>
          <w:lang w:val="sl"/>
        </w:rPr>
        <w:t xml:space="preserve"> v posebnih primerih, v skladu z osrednjimi merili učinkovitosti, naštetimi v podrazdelku A I. razdelka teh postopkov. NKT objavi svoje postopke za obravnavo zadev, tj. postopke, po katerih obravnava posebne primere, ki so skladni s temi postopki. NKT se spodbuja, da se pri oblikovanju svojih postopkov za obravnavo zadev posvetuje s svojimi deležniki. NKT ponudi forum za razpravo in svoje strokovno znanje o </w:t>
      </w:r>
      <w:r>
        <w:rPr>
          <w:i/>
          <w:iCs/>
          <w:lang w:val="sl"/>
        </w:rPr>
        <w:t>smernicah</w:t>
      </w:r>
      <w:r>
        <w:rPr>
          <w:lang w:val="sl"/>
        </w:rPr>
        <w:t xml:space="preserve">, da učinkovito in pravočasno ter v skladu z veljavno zakonodajo in </w:t>
      </w:r>
      <w:r>
        <w:rPr>
          <w:i/>
          <w:iCs/>
          <w:lang w:val="sl"/>
        </w:rPr>
        <w:t>smernicami</w:t>
      </w:r>
      <w:r>
        <w:rPr>
          <w:lang w:val="sl"/>
        </w:rPr>
        <w:t xml:space="preserve"> pomaga poslovni skupnosti, delavskim organizacijam, drugim nevladnim organizacijam in drugim zainteresiranim osebam reševati sprožena vprašanja. Odvisno od značilnosti vsake zadeve taka pomoč lahko vključuje podporo tvornemu dialogu, pomoč pri sklepanju sporazumov med vpletenimi strankami in/ali dajanje priporočil. Cilji te pomoči lahko vključujejo podpiranje izvajanja </w:t>
      </w:r>
      <w:r>
        <w:rPr>
          <w:i/>
          <w:iCs/>
          <w:lang w:val="sl"/>
        </w:rPr>
        <w:t>smernic</w:t>
      </w:r>
      <w:r>
        <w:rPr>
          <w:lang w:val="sl"/>
        </w:rPr>
        <w:t xml:space="preserve"> v prihodnosti in/ali odpravljanje škodljivih vplivov v skladu s </w:t>
      </w:r>
      <w:r>
        <w:rPr>
          <w:i/>
          <w:iCs/>
          <w:lang w:val="sl"/>
        </w:rPr>
        <w:t>smernicami</w:t>
      </w:r>
      <w:r>
        <w:rPr>
          <w:lang w:val="sl"/>
        </w:rPr>
        <w:t>.</w:t>
      </w:r>
    </w:p>
    <w:p w14:paraId="0177E6AB" w14:textId="77777777" w:rsidR="00A55002" w:rsidRPr="008A691D" w:rsidRDefault="00A55002" w:rsidP="0042619C">
      <w:pPr>
        <w:pStyle w:val="Para0"/>
        <w:rPr>
          <w:lang w:val="sl"/>
        </w:rPr>
      </w:pPr>
      <w:r>
        <w:rPr>
          <w:lang w:val="sl"/>
        </w:rPr>
        <w:t>NKT pri nudenju pomoči ravna tako:</w:t>
      </w:r>
    </w:p>
    <w:p w14:paraId="6FD8D2C2" w14:textId="77777777" w:rsidR="00A55002" w:rsidRPr="008A691D" w:rsidRDefault="00A55002" w:rsidP="00A55002">
      <w:pPr>
        <w:pStyle w:val="NumberedList1"/>
        <w:numPr>
          <w:ilvl w:val="0"/>
          <w:numId w:val="48"/>
        </w:numPr>
        <w:rPr>
          <w:lang w:val="sl"/>
        </w:rPr>
      </w:pPr>
      <w:r>
        <w:rPr>
          <w:lang w:val="sl"/>
        </w:rPr>
        <w:t>Kadar so zaradi značilnosti posebnega primera vpletene druge NKT, z njimi v dobri veri usklajuje izbiro vodilne in podpornih NKT.</w:t>
      </w:r>
    </w:p>
    <w:p w14:paraId="6C1A55DC" w14:textId="77777777" w:rsidR="00A55002" w:rsidRPr="008A691D" w:rsidRDefault="00A55002" w:rsidP="00A55002">
      <w:pPr>
        <w:pStyle w:val="NumberedList1"/>
        <w:rPr>
          <w:lang w:val="sl"/>
        </w:rPr>
      </w:pPr>
      <w:r>
        <w:rPr>
          <w:lang w:val="sl"/>
        </w:rPr>
        <w:t>O sproženih vprašanjih se posvetuje s strankami, pripravi začetno oceno o tem, ali vprašanja terjajo nadaljnjo proučitev, in odgovori vpletenim strankam.</w:t>
      </w:r>
    </w:p>
    <w:p w14:paraId="495CC831" w14:textId="77777777" w:rsidR="00A55002" w:rsidRPr="008A691D" w:rsidRDefault="00A55002" w:rsidP="00A55002">
      <w:pPr>
        <w:pStyle w:val="NumberedList1"/>
        <w:rPr>
          <w:bCs/>
          <w:iCs/>
          <w:lang w:val="it-IT"/>
        </w:rPr>
      </w:pPr>
      <w:r>
        <w:rPr>
          <w:lang w:val="sl"/>
        </w:rPr>
        <w:t>Če se na podlagi začetne ocene odloči, da sprožena vprašanja terjajo nadaljnjo proučitev, vpletenim strankam ponudi dobre usluge, da jim pomaga ta vprašanja razrešiti. V ta namen se NKT z njimi posvetuje in po potrebi:</w:t>
      </w:r>
    </w:p>
    <w:p w14:paraId="0778CF9A" w14:textId="77777777" w:rsidR="00A55002" w:rsidRPr="008A691D" w:rsidRDefault="00A55002" w:rsidP="00A55002">
      <w:pPr>
        <w:pStyle w:val="NumberedList1"/>
        <w:numPr>
          <w:ilvl w:val="1"/>
          <w:numId w:val="44"/>
        </w:numPr>
        <w:rPr>
          <w:lang w:val="it-IT"/>
        </w:rPr>
      </w:pPr>
      <w:r>
        <w:rPr>
          <w:lang w:val="sl"/>
        </w:rPr>
        <w:t>pridobi nasvet pristojnih organov in/ali predstavnikov poslovne skupnosti, delavskih organizacij, drugih nevladnih organizacij in ustreznih strokovnjakov;</w:t>
      </w:r>
    </w:p>
    <w:p w14:paraId="40C10B94" w14:textId="77777777" w:rsidR="00A55002" w:rsidRPr="008A691D" w:rsidRDefault="00A55002" w:rsidP="00A55002">
      <w:pPr>
        <w:pStyle w:val="NumberedList1"/>
        <w:numPr>
          <w:ilvl w:val="1"/>
          <w:numId w:val="44"/>
        </w:numPr>
        <w:rPr>
          <w:lang w:val="it-IT"/>
        </w:rPr>
      </w:pPr>
      <w:r>
        <w:rPr>
          <w:lang w:val="sl"/>
        </w:rPr>
        <w:t>se posvetuje z NKT v drugi vpleteni pristopnici ali drugih vpletenih pristopnicah;</w:t>
      </w:r>
    </w:p>
    <w:p w14:paraId="48E6154A" w14:textId="77777777" w:rsidR="00A55002" w:rsidRPr="008A691D" w:rsidRDefault="00A55002" w:rsidP="00A55002">
      <w:pPr>
        <w:pStyle w:val="NumberedList1"/>
        <w:numPr>
          <w:ilvl w:val="1"/>
          <w:numId w:val="44"/>
        </w:numPr>
        <w:rPr>
          <w:lang w:val="sl"/>
        </w:rPr>
      </w:pPr>
      <w:r>
        <w:rPr>
          <w:lang w:val="sl"/>
        </w:rPr>
        <w:t xml:space="preserve">pridobi informacije o podobnih posebnih primerih od sekretariata ali napotke DSORP, če dvomi o razlagi </w:t>
      </w:r>
      <w:r>
        <w:rPr>
          <w:i/>
          <w:iCs/>
          <w:lang w:val="sl"/>
        </w:rPr>
        <w:t>smernic</w:t>
      </w:r>
      <w:r>
        <w:rPr>
          <w:lang w:val="sl"/>
        </w:rPr>
        <w:t xml:space="preserve">. Take informacije in napotki so svetovalni, zaupni in veljajo le za določeno zadevo ter niso pojasnila glede razlage </w:t>
      </w:r>
      <w:r>
        <w:rPr>
          <w:i/>
          <w:iCs/>
          <w:lang w:val="sl"/>
        </w:rPr>
        <w:t>smernic</w:t>
      </w:r>
      <w:r>
        <w:rPr>
          <w:lang w:val="sl"/>
        </w:rPr>
        <w:t>, ki ostajajo v pristojnosti odbora, kot je določeno nadaljevanju v točki c) 2. odstavka II. razdelka. Ob upoštevanju razpoložljivih virov naj se informacije zagotovijo čim prej, da se preprečijo zamude pri obravnavi zadeve;</w:t>
      </w:r>
    </w:p>
    <w:p w14:paraId="3DCBA0A2" w14:textId="77777777" w:rsidR="00A55002" w:rsidRPr="008A691D" w:rsidRDefault="00A55002" w:rsidP="00A55002">
      <w:pPr>
        <w:pStyle w:val="NumberedList1"/>
        <w:numPr>
          <w:ilvl w:val="1"/>
          <w:numId w:val="44"/>
        </w:numPr>
        <w:rPr>
          <w:lang w:val="sl"/>
        </w:rPr>
      </w:pPr>
      <w:r>
        <w:rPr>
          <w:lang w:val="sl"/>
        </w:rPr>
        <w:t xml:space="preserve">ponudi ter s soglasjem vpletenih strank omogoči dostop do sporazumnih in </w:t>
      </w:r>
      <w:proofErr w:type="spellStart"/>
      <w:r>
        <w:rPr>
          <w:lang w:val="sl"/>
        </w:rPr>
        <w:t>nekontradiktornih</w:t>
      </w:r>
      <w:proofErr w:type="spellEnd"/>
      <w:r>
        <w:rPr>
          <w:lang w:val="sl"/>
        </w:rPr>
        <w:t xml:space="preserve"> sredstev, kot je mediacija ali sprava, da jim pomaga pri reševanju vprašanj.</w:t>
      </w:r>
    </w:p>
    <w:p w14:paraId="47DE3E25" w14:textId="77777777" w:rsidR="00A55002" w:rsidRPr="008A691D" w:rsidRDefault="00A55002" w:rsidP="00A55002">
      <w:pPr>
        <w:pStyle w:val="NumberedList1"/>
        <w:rPr>
          <w:lang w:val="sl"/>
        </w:rPr>
      </w:pPr>
      <w:r>
        <w:rPr>
          <w:lang w:val="sl"/>
        </w:rPr>
        <w:lastRenderedPageBreak/>
        <w:t>Ob zaključku postopkov in po posvetu z vpletenimi strankami javnost seznani z izidom postopka, pri čemer upošteva potrebo po varovanju občutljivih poslovnih in drugih informacij deležnikov, tako da javno objavi končno izjavo:</w:t>
      </w:r>
    </w:p>
    <w:p w14:paraId="3402DC5F" w14:textId="77777777" w:rsidR="00A55002" w:rsidRPr="008A691D" w:rsidRDefault="00A55002" w:rsidP="00A55002">
      <w:pPr>
        <w:pStyle w:val="NumberedList1"/>
        <w:numPr>
          <w:ilvl w:val="1"/>
          <w:numId w:val="44"/>
        </w:numPr>
        <w:rPr>
          <w:lang w:val="sl"/>
        </w:rPr>
      </w:pPr>
      <w:r>
        <w:rPr>
          <w:lang w:val="sl"/>
        </w:rPr>
        <w:t>če odloči, da sprožena vprašanja ne terjajo nadaljnje proučitve. V tej izjavi naj najmanj opiše sprožena vprašanja, stališča strank, svoje ukrepe glede obravnave vloge in sodelovanja vpletenih strank pri postopku ter razloge za svojo odločitev;</w:t>
      </w:r>
    </w:p>
    <w:p w14:paraId="6CCCF490" w14:textId="77777777" w:rsidR="00A55002" w:rsidRPr="008A691D" w:rsidRDefault="00A55002" w:rsidP="00A55002">
      <w:pPr>
        <w:pStyle w:val="NumberedList1"/>
        <w:numPr>
          <w:ilvl w:val="1"/>
          <w:numId w:val="44"/>
        </w:numPr>
        <w:rPr>
          <w:lang w:val="sl"/>
        </w:rPr>
      </w:pPr>
      <w:r>
        <w:rPr>
          <w:lang w:val="sl"/>
        </w:rPr>
        <w:t xml:space="preserve">če stranke dosežejo dogovor glede sproženih vprašanj. V tej izjavi naj najmanj opiše sprožena vprašanja, stališča strank, svoje ukrepe pri nudenju pomoči strankam ter navede, kdaj je bil sklenjen dogovor. Vključi le tiste informacije o vsebini dogovora, s katerimi soglašajo vpletene stranke. NKT v svojo izjavo ob sklenitvi dogovora po potrebi lahko vključi tudi priporočila za izvajanje </w:t>
      </w:r>
      <w:r>
        <w:rPr>
          <w:i/>
          <w:iCs/>
          <w:lang w:val="sl"/>
        </w:rPr>
        <w:t>smernic</w:t>
      </w:r>
      <w:r>
        <w:rPr>
          <w:lang w:val="sl"/>
        </w:rPr>
        <w:t>;</w:t>
      </w:r>
    </w:p>
    <w:p w14:paraId="0DCF202B" w14:textId="77777777" w:rsidR="00A55002" w:rsidRPr="008A691D" w:rsidRDefault="00A55002" w:rsidP="00A55002">
      <w:pPr>
        <w:pStyle w:val="NumberedList1"/>
        <w:numPr>
          <w:ilvl w:val="1"/>
          <w:numId w:val="44"/>
        </w:numPr>
        <w:rPr>
          <w:lang w:val="sl"/>
        </w:rPr>
      </w:pPr>
      <w:r>
        <w:rPr>
          <w:lang w:val="sl"/>
        </w:rPr>
        <w:t xml:space="preserve">če dogovor ni dosežen ali če katera od strank ni pripravljena sodelovati v postopku. V tej izjavi naj najmanj opiše sprožena vprašanja, stališča strank, razloge za svojo odločitev, da sprožena vprašanja terjajo nadaljnjo proučitev, ter svoje ukrepe pri pomoči strankam, vključno z informacijami o sodelovanju strank pri postopku. Po potrebi naj vključi tudi priporočila za izvajanje </w:t>
      </w:r>
      <w:r>
        <w:rPr>
          <w:i/>
          <w:iCs/>
          <w:lang w:val="sl"/>
        </w:rPr>
        <w:t>smernic</w:t>
      </w:r>
      <w:r>
        <w:rPr>
          <w:lang w:val="sl"/>
        </w:rPr>
        <w:t xml:space="preserve">. Po potrebi izjava lahko vsebuje tudi razloge, zaradi katerih sporazuma ni bilo mogoče doseči. NKT lahko po svoji presoji v svoji končni izjavi izrazi svoje stališče o tem, ali je podjetje upoštevalo </w:t>
      </w:r>
      <w:r>
        <w:rPr>
          <w:i/>
          <w:iCs/>
          <w:lang w:val="sl"/>
        </w:rPr>
        <w:t>smernice</w:t>
      </w:r>
      <w:r>
        <w:rPr>
          <w:lang w:val="sl"/>
        </w:rPr>
        <w:t>, če to dopuščajo veljavno pravo in njeni postopki za obravnavo zadev.</w:t>
      </w:r>
    </w:p>
    <w:p w14:paraId="5E11BBCE" w14:textId="77777777" w:rsidR="00A55002" w:rsidRPr="008A691D" w:rsidRDefault="00A55002" w:rsidP="0042619C">
      <w:pPr>
        <w:pStyle w:val="Para0"/>
        <w:ind w:left="680"/>
        <w:rPr>
          <w:lang w:val="sl"/>
        </w:rPr>
      </w:pPr>
      <w:r>
        <w:rPr>
          <w:lang w:val="sl"/>
        </w:rPr>
        <w:t>NKT pravočasno sporoči izide svojih posebnih primerov odboru in DSORP.</w:t>
      </w:r>
    </w:p>
    <w:p w14:paraId="695EB1CA" w14:textId="77777777" w:rsidR="00A55002" w:rsidRPr="008A691D" w:rsidRDefault="00A55002" w:rsidP="00A55002">
      <w:pPr>
        <w:pStyle w:val="NumberedList1"/>
        <w:rPr>
          <w:lang w:val="sl"/>
        </w:rPr>
      </w:pPr>
      <w:r>
        <w:rPr>
          <w:lang w:val="sl"/>
        </w:rPr>
        <w:t>Po potrebi po zaključku posebnega primera nadalje spremlja izvajanje priporočil ali morebitnega dogovora med strankami. Objavi naj izjavo o nadaljnjem spremljanju. Vsako nadaljnje spremljanje, ki ga namerava izvajati, in roke zanj naj navede tudi v končni izjavi.</w:t>
      </w:r>
    </w:p>
    <w:p w14:paraId="70D7780F" w14:textId="77777777" w:rsidR="00A55002" w:rsidRPr="008A691D" w:rsidRDefault="00A55002" w:rsidP="00A55002">
      <w:pPr>
        <w:pStyle w:val="NumberedList1"/>
        <w:rPr>
          <w:lang w:val="sl"/>
        </w:rPr>
      </w:pPr>
      <w:r>
        <w:rPr>
          <w:lang w:val="sl"/>
        </w:rPr>
        <w:t xml:space="preserve">Deluje pregledno in seznanja stranke v posebnem primeru z vsemi pomembnimi dejstvi in trditvami, s katerimi so jo seznanile druge stranke, zlasti v fazi dobrih uslug. Na razumno zahtevo stranke, na primer zato, da se zavarujejo občutljive informacije in/ali interesi deležnikov, vpletenih v posebni primer, NKT lahko nekaterih informacij ne zaupa drugim strankam. </w:t>
      </w:r>
    </w:p>
    <w:p w14:paraId="1525C3F3" w14:textId="77777777" w:rsidR="00A55002" w:rsidRPr="008A691D" w:rsidRDefault="00A55002" w:rsidP="00A55002">
      <w:pPr>
        <w:pStyle w:val="NumberedList1"/>
        <w:rPr>
          <w:lang w:val="sl"/>
        </w:rPr>
      </w:pPr>
      <w:r>
        <w:rPr>
          <w:lang w:val="sl"/>
        </w:rPr>
        <w:t xml:space="preserve">Obvesti stranke, da med postopkom ali po njem ne smejo razkriti dejstev in trditev, ki jih med postopkom, opisanim v 1.–5. odstavku, delijo druge stranke ali NKT (kar po potrebi vključuje zunanjega mediatorja ali posredovalca pri spravi), javnosti ali tretjim osebam, razen če stranka, ki je delila dejstva in trditve, soglaša z razkritjem, so ta dejstva in trditve že javni ali bi bilo </w:t>
      </w:r>
      <w:proofErr w:type="spellStart"/>
      <w:r>
        <w:rPr>
          <w:lang w:val="sl"/>
        </w:rPr>
        <w:t>nerazkritje</w:t>
      </w:r>
      <w:proofErr w:type="spellEnd"/>
      <w:r>
        <w:rPr>
          <w:lang w:val="sl"/>
        </w:rPr>
        <w:t xml:space="preserve"> v nasprotju z določbami notranjega prava.</w:t>
      </w:r>
    </w:p>
    <w:p w14:paraId="64DAF55A" w14:textId="77777777" w:rsidR="00A55002" w:rsidRPr="008A691D" w:rsidRDefault="00A55002" w:rsidP="00A55002">
      <w:pPr>
        <w:pStyle w:val="NumberedList1"/>
        <w:rPr>
          <w:lang w:val="sl"/>
        </w:rPr>
      </w:pPr>
      <w:r>
        <w:rPr>
          <w:lang w:val="sl"/>
        </w:rPr>
        <w:t xml:space="preserve">Če vprašanja nastanejo v </w:t>
      </w:r>
      <w:bookmarkStart w:id="49" w:name="_Hlk132806003"/>
      <w:proofErr w:type="spellStart"/>
      <w:r>
        <w:rPr>
          <w:lang w:val="sl"/>
        </w:rPr>
        <w:t>nepristopnicah</w:t>
      </w:r>
      <w:bookmarkEnd w:id="49"/>
      <w:proofErr w:type="spellEnd"/>
      <w:r>
        <w:rPr>
          <w:lang w:val="sl"/>
        </w:rPr>
        <w:t>, sprejme ukrepe za razumevanje teh vprašanj in upošteva te postopke.</w:t>
      </w:r>
    </w:p>
    <w:p w14:paraId="3F0360C0" w14:textId="77777777" w:rsidR="00A55002" w:rsidRPr="008A691D" w:rsidRDefault="00A55002" w:rsidP="00A55002">
      <w:pPr>
        <w:pStyle w:val="NumberedList1"/>
        <w:rPr>
          <w:b/>
          <w:i/>
          <w:u w:val="single"/>
          <w:lang w:val="sl"/>
        </w:rPr>
      </w:pPr>
      <w:r>
        <w:rPr>
          <w:lang w:val="sl"/>
        </w:rPr>
        <w:t>Ves čas postopka naj v skladu s svojimi zmogljivostmi stori vse potrebno, da odpravi tveganje za povračilne ukrepe proti strankam v posebnem primeru. Če NKT izve za dejanske ali možne povračilne ukrepe, naj, kolikor je mogoče, pomaga prizadeti stranki pri preprečevanju in blaženju škode ter obvesti ustrezne organe, kadar je mogoče ob posvetovanju z osebo ali osebami, ki so v nevarnosti. Vlade naj tudi ustrezno ukrepajo, da NKT in njene člane zavarujejo pred povračilnimi ukrepi.</w:t>
      </w:r>
    </w:p>
    <w:p w14:paraId="7FA38488" w14:textId="77777777" w:rsidR="00A55002" w:rsidRPr="008A691D" w:rsidRDefault="00A55002" w:rsidP="0042619C">
      <w:pPr>
        <w:pStyle w:val="Para0"/>
        <w:rPr>
          <w:b/>
          <w:bCs/>
          <w:lang w:val="sl"/>
        </w:rPr>
      </w:pPr>
      <w:r>
        <w:rPr>
          <w:b/>
          <w:bCs/>
          <w:lang w:val="sl"/>
        </w:rPr>
        <w:t>D. Podpora prizadevanjem vlade za spodbujanje odgovornega ravnanja podjetij</w:t>
      </w:r>
    </w:p>
    <w:p w14:paraId="3F204CFE" w14:textId="77777777" w:rsidR="00A55002" w:rsidRPr="008A691D" w:rsidRDefault="00A55002" w:rsidP="0042619C">
      <w:pPr>
        <w:pStyle w:val="Para0"/>
        <w:rPr>
          <w:lang w:val="sl"/>
        </w:rPr>
      </w:pPr>
      <w:r>
        <w:rPr>
          <w:lang w:val="sl"/>
        </w:rPr>
        <w:t xml:space="preserve">Za večjo učinkovitost </w:t>
      </w:r>
      <w:r>
        <w:rPr>
          <w:i/>
          <w:iCs/>
          <w:lang w:val="sl"/>
        </w:rPr>
        <w:t>smernic</w:t>
      </w:r>
      <w:r>
        <w:rPr>
          <w:lang w:val="sl"/>
        </w:rPr>
        <w:t xml:space="preserve"> NKT po potrebi in ob usklajevanju z ustreznimi državnimi organi lahko tudi pomagajo pri prizadevanjih svojih vlad, da oblikujejo in izvajajo politike za spodbujanje odgovornega ravnanja podjetij, ter podpirajo povezanost teh politik. Pri zagotavljanju ali pridobivanju take pomoči naj se upoštevajo viri NKT in njihova zmogljivost za izpolnjevanje nalog, opisanih v 1. odstavku I. razdelka </w:t>
      </w:r>
      <w:r>
        <w:rPr>
          <w:i/>
          <w:iCs/>
          <w:lang w:val="sl"/>
        </w:rPr>
        <w:t>sklepa</w:t>
      </w:r>
      <w:r>
        <w:rPr>
          <w:lang w:val="sl"/>
        </w:rPr>
        <w:t>.</w:t>
      </w:r>
    </w:p>
    <w:p w14:paraId="55368237" w14:textId="77777777" w:rsidR="00A55002" w:rsidRPr="00D171F0" w:rsidRDefault="00A55002" w:rsidP="0042619C">
      <w:pPr>
        <w:pStyle w:val="Para0"/>
        <w:rPr>
          <w:b/>
          <w:bCs/>
        </w:rPr>
      </w:pPr>
      <w:r>
        <w:rPr>
          <w:b/>
          <w:bCs/>
          <w:lang w:val="sl"/>
        </w:rPr>
        <w:t>E. Poročanje</w:t>
      </w:r>
    </w:p>
    <w:p w14:paraId="272E5EEF" w14:textId="77777777" w:rsidR="00A55002" w:rsidRPr="00E205CD" w:rsidRDefault="00A55002" w:rsidP="00A55002">
      <w:pPr>
        <w:pStyle w:val="NumberedList1"/>
        <w:numPr>
          <w:ilvl w:val="0"/>
          <w:numId w:val="49"/>
        </w:numPr>
        <w:rPr>
          <w:lang w:val="pl-PL"/>
        </w:rPr>
      </w:pPr>
      <w:r>
        <w:rPr>
          <w:lang w:val="sl"/>
        </w:rPr>
        <w:lastRenderedPageBreak/>
        <w:t>Vsaka NKT letno poroča odboru in DSORP.</w:t>
      </w:r>
    </w:p>
    <w:p w14:paraId="38FCC054" w14:textId="77777777" w:rsidR="00A55002" w:rsidRPr="00E205CD" w:rsidRDefault="00A55002" w:rsidP="00A55002">
      <w:pPr>
        <w:pStyle w:val="NumberedList1"/>
        <w:rPr>
          <w:lang w:val="pl-PL"/>
        </w:rPr>
      </w:pPr>
      <w:r>
        <w:rPr>
          <w:lang w:val="sl"/>
        </w:rPr>
        <w:t>Poročila naj vsebujejo informacije o vrsti in izidih dejavnosti NKT, vključno v posebnih primerih.</w:t>
      </w:r>
    </w:p>
    <w:p w14:paraId="536B379F" w14:textId="77777777" w:rsidR="00A55002" w:rsidRPr="00E205CD" w:rsidRDefault="00A55002" w:rsidP="0042619C">
      <w:pPr>
        <w:pStyle w:val="Para0"/>
        <w:rPr>
          <w:b/>
          <w:bCs/>
          <w:lang w:val="pl-PL"/>
        </w:rPr>
      </w:pPr>
      <w:r>
        <w:rPr>
          <w:b/>
          <w:bCs/>
          <w:lang w:val="sl"/>
        </w:rPr>
        <w:t>F. Medsebojni strokovni pregledi</w:t>
      </w:r>
    </w:p>
    <w:p w14:paraId="5341B82F" w14:textId="77777777" w:rsidR="00A55002" w:rsidRPr="008A691D" w:rsidRDefault="00A55002" w:rsidP="0042619C">
      <w:pPr>
        <w:pStyle w:val="Para0"/>
        <w:rPr>
          <w:lang w:val="sl"/>
        </w:rPr>
      </w:pPr>
      <w:r>
        <w:rPr>
          <w:lang w:val="sl"/>
        </w:rPr>
        <w:t xml:space="preserve">Pristopnice redno izvajajo medsebojne strokovne preglede svojih NKT, ki jih organizira sekretariat, za večjo učinkovitost izvajanja </w:t>
      </w:r>
      <w:r>
        <w:rPr>
          <w:i/>
          <w:iCs/>
          <w:lang w:val="sl"/>
        </w:rPr>
        <w:t>smernic</w:t>
      </w:r>
      <w:r>
        <w:rPr>
          <w:lang w:val="sl"/>
        </w:rPr>
        <w:t>, izmenjavo dobre prakse ter podporo učinkovitosti in funkcionalni enakovrednosti NKT. Pogoje in načine rednih medsebojnih strokovnih pregledov, vključno s postopki za njihovo izvedbo, trajanjem kroga medsebojnega strokovnega pregleda ter ureditvijo financiranja, odobri DSORP; po koncu vsakega kroga se ti pogoji in načini pregledajo. Prvi krog medsebojnih strokovnih pregledov se začne šele, potem ko so ti pogoji in načini odobreni.</w:t>
      </w:r>
    </w:p>
    <w:p w14:paraId="1B43D2B8" w14:textId="77777777" w:rsidR="00A55002" w:rsidRPr="00EC1531" w:rsidRDefault="00A55002" w:rsidP="00A55002">
      <w:pPr>
        <w:pStyle w:val="Naslov2"/>
        <w:numPr>
          <w:ilvl w:val="1"/>
          <w:numId w:val="51"/>
        </w:numPr>
        <w:rPr>
          <w:color w:val="366091" w:themeColor="accent1" w:themeShade="BF"/>
          <w:lang w:val="pl-PL"/>
        </w:rPr>
      </w:pPr>
      <w:r w:rsidRPr="00EC1531">
        <w:rPr>
          <w:bCs/>
          <w:color w:val="366091" w:themeColor="accent1" w:themeShade="BF"/>
          <w:lang w:val="sl"/>
        </w:rPr>
        <w:t>II. Odbor za naložbe, DSORP in sekretariat</w:t>
      </w:r>
    </w:p>
    <w:p w14:paraId="13F7A90D" w14:textId="77777777" w:rsidR="00A55002" w:rsidRPr="00E205CD" w:rsidRDefault="00A55002" w:rsidP="00A55002">
      <w:pPr>
        <w:pStyle w:val="Para2"/>
        <w:numPr>
          <w:ilvl w:val="0"/>
          <w:numId w:val="56"/>
        </w:numPr>
        <w:rPr>
          <w:lang w:val="pl-PL"/>
        </w:rPr>
      </w:pPr>
      <w:r>
        <w:rPr>
          <w:lang w:val="sl"/>
        </w:rPr>
        <w:t xml:space="preserve">Odbor, DSORP in sekretariat obravnavajo zahteve NKT za pomoč pri opravljanju dejavnosti, tudi glede dvomov o razlagi </w:t>
      </w:r>
      <w:r>
        <w:rPr>
          <w:i/>
          <w:iCs/>
          <w:lang w:val="sl"/>
        </w:rPr>
        <w:t>smernic</w:t>
      </w:r>
      <w:r>
        <w:rPr>
          <w:lang w:val="sl"/>
        </w:rPr>
        <w:t xml:space="preserve"> v posameznih okoliščinah, vsak v skladu s svojimi nalogami.</w:t>
      </w:r>
    </w:p>
    <w:p w14:paraId="1F1D00C9" w14:textId="77777777" w:rsidR="00A55002" w:rsidRPr="00E205CD" w:rsidRDefault="00A55002" w:rsidP="00A55002">
      <w:pPr>
        <w:pStyle w:val="Para2"/>
        <w:rPr>
          <w:lang w:val="pl-PL"/>
        </w:rPr>
      </w:pPr>
      <w:r>
        <w:rPr>
          <w:lang w:val="sl"/>
        </w:rPr>
        <w:t xml:space="preserve">Odbor ob pomoči DSORP za učinkovitejše izvajanje </w:t>
      </w:r>
      <w:r>
        <w:rPr>
          <w:i/>
          <w:iCs/>
          <w:lang w:val="sl"/>
        </w:rPr>
        <w:t>smernic</w:t>
      </w:r>
      <w:r>
        <w:rPr>
          <w:lang w:val="sl"/>
        </w:rPr>
        <w:t xml:space="preserve"> in spodbujanje funkcionalne enakovrednosti NKT:</w:t>
      </w:r>
    </w:p>
    <w:p w14:paraId="36B3E72D" w14:textId="77777777" w:rsidR="00A55002" w:rsidRPr="008A691D" w:rsidRDefault="00A55002" w:rsidP="00A55002">
      <w:pPr>
        <w:pStyle w:val="NumberedList1"/>
        <w:numPr>
          <w:ilvl w:val="1"/>
          <w:numId w:val="44"/>
        </w:numPr>
        <w:rPr>
          <w:lang w:val="sl"/>
        </w:rPr>
      </w:pPr>
      <w:r>
        <w:rPr>
          <w:lang w:val="sl"/>
        </w:rPr>
        <w:t>obravnava letna poročila NKT, opisana v podrazdelku E I. razdelka. Na podlagi teh poročil DSORP vsako leto izda javno poročilo, ki analizira dejavnosti NKT;</w:t>
      </w:r>
    </w:p>
    <w:p w14:paraId="2EB8801E" w14:textId="77777777" w:rsidR="00A55002" w:rsidRPr="008A691D" w:rsidRDefault="00A55002" w:rsidP="00A55002">
      <w:pPr>
        <w:pStyle w:val="NumberedList1"/>
        <w:numPr>
          <w:ilvl w:val="1"/>
          <w:numId w:val="44"/>
        </w:numPr>
        <w:rPr>
          <w:lang w:val="sl"/>
        </w:rPr>
      </w:pPr>
      <w:r>
        <w:rPr>
          <w:lang w:val="sl"/>
        </w:rPr>
        <w:t xml:space="preserve">obravnava utemeljene vloge pristopnice, svetovalnega telesa (BIAC ali TUAC) ali OECD Watch o tem, ali NKT izpolnjuje svoje naloge glede obravnave posebnih primerov. Odbor soglasno odobri odgovor. Pristopnica, katere NKT je predmet utemeljene vloge, sodeluje pri postopku v dobri veri in od nje se pričakuje, da se bo pridružila soglasju, razen v izjemnih okoliščinah; </w:t>
      </w:r>
    </w:p>
    <w:p w14:paraId="7717BF69" w14:textId="77777777" w:rsidR="00A55002" w:rsidRPr="008A691D" w:rsidRDefault="00A55002" w:rsidP="00A55002">
      <w:pPr>
        <w:pStyle w:val="NumberedList1"/>
        <w:numPr>
          <w:ilvl w:val="1"/>
          <w:numId w:val="44"/>
        </w:numPr>
        <w:rPr>
          <w:lang w:val="sl"/>
        </w:rPr>
      </w:pPr>
      <w:r>
        <w:rPr>
          <w:lang w:val="sl"/>
        </w:rPr>
        <w:t xml:space="preserve">razmisli o izdaji pojasnila glede razlage </w:t>
      </w:r>
      <w:r>
        <w:rPr>
          <w:i/>
          <w:iCs/>
          <w:lang w:val="sl"/>
        </w:rPr>
        <w:t>smernic</w:t>
      </w:r>
      <w:r>
        <w:rPr>
          <w:lang w:val="sl"/>
        </w:rPr>
        <w:t xml:space="preserve"> na zahtevo pristopnice, svetovalnega telesa (BIAC ali TUAC) ali OECD Watch. Taka zahteva se lahko nanaša na to, ali je NKT v posebnem primeru pravilno razlagala </w:t>
      </w:r>
      <w:r>
        <w:rPr>
          <w:i/>
          <w:iCs/>
          <w:lang w:val="sl"/>
        </w:rPr>
        <w:t>smernice</w:t>
      </w:r>
      <w:r>
        <w:rPr>
          <w:lang w:val="sl"/>
        </w:rPr>
        <w:t>, pri čemer pa odbor ne sprejema sklepov o ravnanju posameznih podjetij;</w:t>
      </w:r>
    </w:p>
    <w:p w14:paraId="6517080B" w14:textId="77777777" w:rsidR="00A55002" w:rsidRPr="008A691D" w:rsidRDefault="00A55002" w:rsidP="00A55002">
      <w:pPr>
        <w:pStyle w:val="NumberedList1"/>
        <w:numPr>
          <w:ilvl w:val="1"/>
          <w:numId w:val="44"/>
        </w:numPr>
        <w:rPr>
          <w:lang w:val="sl"/>
        </w:rPr>
      </w:pPr>
      <w:r>
        <w:rPr>
          <w:lang w:val="sl"/>
        </w:rPr>
        <w:t xml:space="preserve">po potrebi daje priporočila za boljše delovanje NKT in učinkovito izvajanje </w:t>
      </w:r>
      <w:r>
        <w:rPr>
          <w:i/>
          <w:iCs/>
          <w:lang w:val="sl"/>
        </w:rPr>
        <w:t>smernic</w:t>
      </w:r>
      <w:r>
        <w:rPr>
          <w:lang w:val="sl"/>
        </w:rPr>
        <w:t xml:space="preserve">. Če odbor na podlagi zadnjih dveh krogov letnih poročil in na predlog DSORP ugotovi, da NKT dlje časa in brez upravičenega razloga očitno ni delovala v skladu s temi </w:t>
      </w:r>
      <w:r>
        <w:rPr>
          <w:i/>
          <w:iCs/>
          <w:lang w:val="sl"/>
        </w:rPr>
        <w:t>postopki</w:t>
      </w:r>
      <w:r>
        <w:rPr>
          <w:lang w:val="sl"/>
        </w:rPr>
        <w:t>, pristopnici lahko da ustrezna priporočila in jo pozove, da o tem poroča do določenega roka; odbor lahko ponavlja ta postopek, dokler se ne prepriča, da so bile težave odpravljene. Odbor in DSORP odločitve o teh zadevah sprejemata soglasno. Pristopnica, za katere NKT gre, sodeluje pri postopku v dobri veri in od nje se pričakuje, da se bo pridružila soglasju, razen v izjemnih okoliščinah;</w:t>
      </w:r>
    </w:p>
    <w:p w14:paraId="3F9C7339" w14:textId="77777777" w:rsidR="00A55002" w:rsidRDefault="00A55002" w:rsidP="00A55002">
      <w:pPr>
        <w:pStyle w:val="NumberedList1"/>
        <w:numPr>
          <w:ilvl w:val="1"/>
          <w:numId w:val="44"/>
        </w:numPr>
      </w:pPr>
      <w:r>
        <w:rPr>
          <w:lang w:val="sl"/>
        </w:rPr>
        <w:t>sodeluje z mednarodnimi partnerji;</w:t>
      </w:r>
    </w:p>
    <w:p w14:paraId="6FFD3AC1" w14:textId="77777777" w:rsidR="00A55002" w:rsidRPr="00E205CD" w:rsidRDefault="00A55002" w:rsidP="00A55002">
      <w:pPr>
        <w:pStyle w:val="NumberedList1"/>
        <w:numPr>
          <w:ilvl w:val="1"/>
          <w:numId w:val="44"/>
        </w:numPr>
        <w:rPr>
          <w:lang w:val="pl-PL"/>
        </w:rPr>
      </w:pPr>
      <w:r>
        <w:rPr>
          <w:lang w:val="sl"/>
        </w:rPr>
        <w:t xml:space="preserve">sodeluje z zainteresiranimi </w:t>
      </w:r>
      <w:proofErr w:type="spellStart"/>
      <w:r>
        <w:rPr>
          <w:lang w:val="sl"/>
        </w:rPr>
        <w:t>nepristopnicami</w:t>
      </w:r>
      <w:proofErr w:type="spellEnd"/>
      <w:r>
        <w:rPr>
          <w:lang w:val="sl"/>
        </w:rPr>
        <w:t xml:space="preserve"> glede zadev, zajetih v </w:t>
      </w:r>
      <w:r>
        <w:rPr>
          <w:i/>
          <w:iCs/>
          <w:lang w:val="sl"/>
        </w:rPr>
        <w:t>smernicah</w:t>
      </w:r>
      <w:r>
        <w:rPr>
          <w:lang w:val="sl"/>
        </w:rPr>
        <w:t>, in njihovega izvajanja.</w:t>
      </w:r>
    </w:p>
    <w:p w14:paraId="60C3F147" w14:textId="77777777" w:rsidR="00A55002" w:rsidRDefault="00A55002" w:rsidP="00A55002">
      <w:pPr>
        <w:pStyle w:val="Para2"/>
      </w:pPr>
      <w:r>
        <w:rPr>
          <w:lang w:val="sl"/>
        </w:rPr>
        <w:t xml:space="preserve">Odbor in DSORP lahko pridobita in upoštevata nasvete strokovnjakov o kateri koli zadevi, zajeti v </w:t>
      </w:r>
      <w:r>
        <w:rPr>
          <w:i/>
          <w:iCs/>
          <w:lang w:val="sl"/>
        </w:rPr>
        <w:t>smernicah</w:t>
      </w:r>
      <w:r>
        <w:rPr>
          <w:lang w:val="sl"/>
        </w:rPr>
        <w:t>. Odbor odloči o ustreznih postopkih za ta namen.</w:t>
      </w:r>
    </w:p>
    <w:p w14:paraId="580C11AD" w14:textId="77777777" w:rsidR="00A55002" w:rsidRDefault="00A55002" w:rsidP="00A55002">
      <w:pPr>
        <w:pStyle w:val="Para2"/>
      </w:pPr>
      <w:r>
        <w:rPr>
          <w:lang w:val="sl"/>
        </w:rPr>
        <w:t>Odbor in DSORP opravljata svoje naloge učinkovito in pravočasno.</w:t>
      </w:r>
    </w:p>
    <w:p w14:paraId="620EEE5D" w14:textId="77777777" w:rsidR="00A55002" w:rsidRPr="00E945DA" w:rsidRDefault="00A55002" w:rsidP="00A55002">
      <w:pPr>
        <w:pStyle w:val="Para2"/>
      </w:pPr>
      <w:r>
        <w:rPr>
          <w:lang w:val="sl"/>
        </w:rPr>
        <w:t xml:space="preserve">Odboru in DSORP pri opravljanju njunih nalog pomaga sekretariat, ki po splošnih napotkih odbora in DSORP ter ob upoštevanju programa dela in proračuna organizacije: </w:t>
      </w:r>
    </w:p>
    <w:p w14:paraId="71DB61CA" w14:textId="77777777" w:rsidR="00A55002" w:rsidRPr="008A691D" w:rsidRDefault="00A55002" w:rsidP="00A55002">
      <w:pPr>
        <w:pStyle w:val="NumberedList1"/>
        <w:numPr>
          <w:ilvl w:val="0"/>
          <w:numId w:val="60"/>
        </w:numPr>
        <w:rPr>
          <w:lang w:val="sl"/>
        </w:rPr>
      </w:pPr>
      <w:r>
        <w:rPr>
          <w:lang w:val="sl"/>
        </w:rPr>
        <w:t xml:space="preserve">deluje kot osrednja informacijska točka za NKT, ki imajo vprašanja o promociji, razlagi in izvajanju </w:t>
      </w:r>
      <w:r>
        <w:rPr>
          <w:i/>
          <w:iCs/>
          <w:lang w:val="sl"/>
        </w:rPr>
        <w:t>smernic</w:t>
      </w:r>
      <w:r>
        <w:rPr>
          <w:lang w:val="sl"/>
        </w:rPr>
        <w:t xml:space="preserve">. Informacije o razlagi </w:t>
      </w:r>
      <w:r>
        <w:rPr>
          <w:i/>
          <w:iCs/>
          <w:lang w:val="sl"/>
        </w:rPr>
        <w:t>smernic</w:t>
      </w:r>
      <w:r>
        <w:rPr>
          <w:lang w:val="sl"/>
        </w:rPr>
        <w:t xml:space="preserve"> se zagotavljajo v skladu s podtočko c) 2. točke podrazdelka C I. razdelka; </w:t>
      </w:r>
    </w:p>
    <w:p w14:paraId="084373D4" w14:textId="77777777" w:rsidR="00A55002" w:rsidRPr="008A691D" w:rsidRDefault="00A55002" w:rsidP="00A55002">
      <w:pPr>
        <w:pStyle w:val="NumberedList1"/>
        <w:numPr>
          <w:ilvl w:val="0"/>
          <w:numId w:val="60"/>
        </w:numPr>
        <w:rPr>
          <w:lang w:val="sl"/>
        </w:rPr>
      </w:pPr>
      <w:r>
        <w:rPr>
          <w:lang w:val="sl"/>
        </w:rPr>
        <w:lastRenderedPageBreak/>
        <w:t xml:space="preserve">zbira in javno objavlja – tudi tako, da pomaga DSORP pri objavljanju letnih poročil, ki analizirajo dejavnosti NKT po točki a) 2. odstavka II. razdelka – pomembne informacije o zadnjih gibanjih in nastajajoči praksi v zvezi z institucionalno ureditvijo NKT, promocijskimi dejavnostmi in izvajanjem </w:t>
      </w:r>
      <w:r>
        <w:rPr>
          <w:i/>
          <w:iCs/>
          <w:lang w:val="sl"/>
        </w:rPr>
        <w:t>smernic</w:t>
      </w:r>
      <w:r>
        <w:rPr>
          <w:lang w:val="sl"/>
        </w:rPr>
        <w:t xml:space="preserve"> v posebnih primerih. Sekretariat pripravi enotno obliko poročil za pomoč pri vzpostavitvi in vzdrževanju redno posodabljane podatkovne zbirke o posebnih primerih ter te posebne primere redno analizira;</w:t>
      </w:r>
    </w:p>
    <w:p w14:paraId="1EBF3FCB" w14:textId="77777777" w:rsidR="00A55002" w:rsidRPr="008A691D" w:rsidRDefault="00A55002" w:rsidP="00A55002">
      <w:pPr>
        <w:pStyle w:val="NumberedList1"/>
        <w:numPr>
          <w:ilvl w:val="0"/>
          <w:numId w:val="60"/>
        </w:numPr>
        <w:rPr>
          <w:lang w:val="sl"/>
        </w:rPr>
      </w:pPr>
      <w:r>
        <w:rPr>
          <w:lang w:val="sl"/>
        </w:rPr>
        <w:t xml:space="preserve">pomaga pri vzajemnem učenju ter krepitvi zmogljivosti in usposabljanju, zlasti za NKT novih pristopnic in novo osebje NKT, o </w:t>
      </w:r>
      <w:r>
        <w:rPr>
          <w:i/>
          <w:iCs/>
          <w:lang w:val="sl"/>
        </w:rPr>
        <w:t>smernicah</w:t>
      </w:r>
      <w:r>
        <w:rPr>
          <w:lang w:val="sl"/>
        </w:rPr>
        <w:t xml:space="preserve"> in postopkih za njihovo izvajanje, kot sta spodbujanje in omogočanje sprave in mediacije;</w:t>
      </w:r>
    </w:p>
    <w:p w14:paraId="29FF15EE" w14:textId="77777777" w:rsidR="00A55002" w:rsidRPr="008A691D" w:rsidRDefault="00A55002" w:rsidP="00A55002">
      <w:pPr>
        <w:pStyle w:val="NumberedList1"/>
        <w:numPr>
          <w:ilvl w:val="0"/>
          <w:numId w:val="60"/>
        </w:numPr>
        <w:rPr>
          <w:lang w:val="sl"/>
        </w:rPr>
      </w:pPr>
      <w:r>
        <w:rPr>
          <w:lang w:val="sl"/>
        </w:rPr>
        <w:t xml:space="preserve">organizira redne medsebojne strokovne preglede NKT, kot je navedeno v podrazdelku F I. razdelka; </w:t>
      </w:r>
    </w:p>
    <w:p w14:paraId="39F9145E" w14:textId="77777777" w:rsidR="00A55002" w:rsidRPr="008A691D" w:rsidRDefault="00A55002" w:rsidP="00A55002">
      <w:pPr>
        <w:pStyle w:val="NumberedList1"/>
        <w:numPr>
          <w:ilvl w:val="0"/>
          <w:numId w:val="60"/>
        </w:numPr>
        <w:rPr>
          <w:lang w:val="it-IT"/>
        </w:rPr>
      </w:pPr>
      <w:r>
        <w:rPr>
          <w:lang w:val="sl"/>
        </w:rPr>
        <w:t>po potrebi lajša sodelovanje med NKT ter</w:t>
      </w:r>
    </w:p>
    <w:p w14:paraId="238F29E0" w14:textId="77777777" w:rsidR="00A55002" w:rsidRPr="008A691D" w:rsidRDefault="00A55002" w:rsidP="00A55002">
      <w:pPr>
        <w:pStyle w:val="NumberedList1"/>
        <w:numPr>
          <w:ilvl w:val="0"/>
          <w:numId w:val="60"/>
        </w:numPr>
        <w:rPr>
          <w:lang w:val="it-IT"/>
        </w:rPr>
      </w:pPr>
      <w:r>
        <w:rPr>
          <w:lang w:val="sl"/>
        </w:rPr>
        <w:t xml:space="preserve">promovira </w:t>
      </w:r>
      <w:r>
        <w:rPr>
          <w:i/>
          <w:iCs/>
          <w:lang w:val="sl"/>
        </w:rPr>
        <w:t>smernice</w:t>
      </w:r>
      <w:r>
        <w:rPr>
          <w:lang w:val="sl"/>
        </w:rPr>
        <w:t xml:space="preserve"> na ustreznih mednarodnih forumih in srečanjih ter nudi podporo NKT in odboru pri njihovih prizadevanjih za ozaveščanje </w:t>
      </w:r>
      <w:proofErr w:type="spellStart"/>
      <w:r>
        <w:rPr>
          <w:lang w:val="sl"/>
        </w:rPr>
        <w:t>nepristopnic</w:t>
      </w:r>
      <w:proofErr w:type="spellEnd"/>
      <w:r>
        <w:rPr>
          <w:lang w:val="sl"/>
        </w:rPr>
        <w:t xml:space="preserve"> o </w:t>
      </w:r>
      <w:r>
        <w:rPr>
          <w:i/>
          <w:iCs/>
          <w:lang w:val="sl"/>
        </w:rPr>
        <w:t>smernicah</w:t>
      </w:r>
      <w:r>
        <w:rPr>
          <w:lang w:val="sl"/>
        </w:rPr>
        <w:t>.</w:t>
      </w:r>
    </w:p>
    <w:p w14:paraId="4646340A" w14:textId="77777777" w:rsidR="00A55002" w:rsidRPr="00EC1531" w:rsidRDefault="00A55002" w:rsidP="00A55002">
      <w:pPr>
        <w:pStyle w:val="Naslov2"/>
        <w:numPr>
          <w:ilvl w:val="1"/>
          <w:numId w:val="51"/>
        </w:numPr>
        <w:rPr>
          <w:color w:val="366091" w:themeColor="accent1" w:themeShade="BF"/>
        </w:rPr>
      </w:pPr>
      <w:r w:rsidRPr="00EC1531">
        <w:rPr>
          <w:bCs/>
          <w:color w:val="366091" w:themeColor="accent1" w:themeShade="BF"/>
          <w:lang w:val="sl"/>
        </w:rPr>
        <w:t>III. Razno</w:t>
      </w:r>
    </w:p>
    <w:p w14:paraId="0E475048" w14:textId="77777777" w:rsidR="00A55002" w:rsidRPr="008A691D" w:rsidRDefault="00A55002" w:rsidP="0042619C">
      <w:pPr>
        <w:pStyle w:val="Para0"/>
        <w:rPr>
          <w:lang w:val="it-IT"/>
        </w:rPr>
      </w:pPr>
      <w:r>
        <w:rPr>
          <w:lang w:val="sl"/>
        </w:rPr>
        <w:t>Ti postopki niso vir dodatnih pravic ali obveznosti po mednarodnem pravu.</w:t>
      </w:r>
    </w:p>
    <w:p w14:paraId="60DF9C2B" w14:textId="77777777" w:rsidR="00A55002" w:rsidRDefault="00A55002" w:rsidP="0042619C">
      <w:pPr>
        <w:pStyle w:val="Naslov1"/>
        <w:framePr w:wrap="notBeside"/>
        <w:numPr>
          <w:ilvl w:val="0"/>
          <w:numId w:val="0"/>
        </w:numPr>
        <w:ind w:left="113"/>
      </w:pPr>
      <w:bookmarkStart w:id="50" w:name="_Toc169086499"/>
      <w:r>
        <w:rPr>
          <w:bCs/>
          <w:lang w:val="sl"/>
        </w:rPr>
        <w:lastRenderedPageBreak/>
        <w:t>Komentar k postopkom za izvajanje</w:t>
      </w:r>
      <w:bookmarkEnd w:id="50"/>
    </w:p>
    <w:p w14:paraId="7D76F86E" w14:textId="77777777" w:rsidR="00A55002" w:rsidRPr="00C97492" w:rsidRDefault="00A55002" w:rsidP="00A55002">
      <w:pPr>
        <w:pStyle w:val="Para2"/>
        <w:numPr>
          <w:ilvl w:val="0"/>
          <w:numId w:val="57"/>
        </w:numPr>
      </w:pPr>
      <w:bookmarkStart w:id="51" w:name="_Hlk134039747"/>
      <w:r>
        <w:rPr>
          <w:lang w:val="sl"/>
        </w:rPr>
        <w:t xml:space="preserve">Sklep Sveta je zaveza pristopnic k nadaljnjemu izvajanju priporočil iz besedila </w:t>
      </w:r>
      <w:r>
        <w:rPr>
          <w:i/>
          <w:iCs/>
          <w:lang w:val="sl"/>
        </w:rPr>
        <w:t>smernic</w:t>
      </w:r>
      <w:r>
        <w:rPr>
          <w:lang w:val="sl"/>
        </w:rPr>
        <w:t>. Postopki so priloženi sklepu Sveta in opisujejo pričakovanja, priporočila ter druge napotke za pristopnice, nacionalne kontaktne točke za odgovorno ravnanje podjetij (NKT), odbor za naložbe (odbor), delovno skupino za odgovorno ravnanje podjetij (DSORP) in sekretariat, ne da bi bili vir dodatnih pravic ali obveznosti po mednarodnem pravu. Pričakovanja so nakazana z uporabo sedanjika. Priporočila nakazujeta besedi "naj" in "spodbujati". Napotki so nakazani z besedo "lahko".</w:t>
      </w:r>
    </w:p>
    <w:bookmarkEnd w:id="51"/>
    <w:p w14:paraId="582599DB" w14:textId="77777777" w:rsidR="00A55002" w:rsidRPr="00731A4D" w:rsidRDefault="00A55002" w:rsidP="00A55002">
      <w:pPr>
        <w:pStyle w:val="Para2"/>
      </w:pPr>
      <w:r>
        <w:rPr>
          <w:lang w:val="sl"/>
        </w:rPr>
        <w:t xml:space="preserve">Sklep Sveta vsebuje ključne naloge pristopnic v zvezi s </w:t>
      </w:r>
      <w:r>
        <w:rPr>
          <w:i/>
          <w:iCs/>
          <w:lang w:val="sl"/>
        </w:rPr>
        <w:t>smernicami</w:t>
      </w:r>
      <w:r>
        <w:rPr>
          <w:lang w:val="sl"/>
        </w:rPr>
        <w:t xml:space="preserve"> in NKT, ki se povzete glasijo:</w:t>
      </w:r>
    </w:p>
    <w:p w14:paraId="358C572D" w14:textId="77777777" w:rsidR="00A55002" w:rsidRPr="008A691D" w:rsidRDefault="00A55002" w:rsidP="00A55002">
      <w:pPr>
        <w:pStyle w:val="BulletedList3"/>
        <w:rPr>
          <w:lang w:val="it-IT"/>
        </w:rPr>
      </w:pPr>
      <w:r>
        <w:rPr>
          <w:lang w:val="sl"/>
        </w:rPr>
        <w:t xml:space="preserve">vzpostaviti NKT in obvestiti zainteresirane osebe o razpoložljivosti zmogljivosti, povezanih s </w:t>
      </w:r>
      <w:r>
        <w:rPr>
          <w:i/>
          <w:iCs/>
          <w:lang w:val="sl"/>
        </w:rPr>
        <w:t>smernicami</w:t>
      </w:r>
      <w:r>
        <w:rPr>
          <w:lang w:val="sl"/>
        </w:rPr>
        <w:t>;</w:t>
      </w:r>
    </w:p>
    <w:p w14:paraId="63F93369" w14:textId="77777777" w:rsidR="00A55002" w:rsidRPr="008A691D" w:rsidRDefault="00A55002" w:rsidP="00A55002">
      <w:pPr>
        <w:pStyle w:val="BulletedList3"/>
        <w:rPr>
          <w:lang w:val="it-IT"/>
        </w:rPr>
      </w:pPr>
      <w:r>
        <w:rPr>
          <w:lang w:val="sl"/>
        </w:rPr>
        <w:t>zagotoviti potrebne človeške in finančne vire;</w:t>
      </w:r>
    </w:p>
    <w:p w14:paraId="6A3629B8" w14:textId="77777777" w:rsidR="00A55002" w:rsidRPr="008A691D" w:rsidRDefault="00A55002" w:rsidP="00A55002">
      <w:pPr>
        <w:pStyle w:val="BulletedList3"/>
        <w:rPr>
          <w:lang w:val="it-IT"/>
        </w:rPr>
      </w:pPr>
      <w:r>
        <w:rPr>
          <w:lang w:val="sl"/>
        </w:rPr>
        <w:t>omogočati NKT v različnih pristopnicah, da po potrebi sodelujejo med seboj;</w:t>
      </w:r>
    </w:p>
    <w:p w14:paraId="3AEB6B3C" w14:textId="77777777" w:rsidR="00A55002" w:rsidRPr="008A691D" w:rsidRDefault="00A55002" w:rsidP="00A55002">
      <w:pPr>
        <w:pStyle w:val="BulletedList3"/>
        <w:rPr>
          <w:lang w:val="it-IT"/>
        </w:rPr>
      </w:pPr>
      <w:r>
        <w:rPr>
          <w:lang w:val="sl"/>
        </w:rPr>
        <w:t>omogočati NKZ, da se redno sestajajo in poročajo odboru.</w:t>
      </w:r>
    </w:p>
    <w:p w14:paraId="747DAC25" w14:textId="77777777" w:rsidR="00A55002" w:rsidRPr="008A691D" w:rsidRDefault="00A55002" w:rsidP="00A55002">
      <w:pPr>
        <w:pStyle w:val="Para2"/>
        <w:rPr>
          <w:lang w:val="it-IT"/>
        </w:rPr>
      </w:pPr>
      <w:r>
        <w:rPr>
          <w:lang w:val="sl"/>
        </w:rPr>
        <w:t xml:space="preserve">Sklep Sveta določa tudi naloge odbora v zvezi s </w:t>
      </w:r>
      <w:r>
        <w:rPr>
          <w:i/>
          <w:iCs/>
          <w:lang w:val="sl"/>
        </w:rPr>
        <w:t>smernicami</w:t>
      </w:r>
      <w:r>
        <w:rPr>
          <w:lang w:val="sl"/>
        </w:rPr>
        <w:t>, kar vključuje:</w:t>
      </w:r>
    </w:p>
    <w:p w14:paraId="1441EEFF" w14:textId="77777777" w:rsidR="00A55002" w:rsidRPr="008A691D" w:rsidRDefault="00A55002" w:rsidP="00A55002">
      <w:pPr>
        <w:pStyle w:val="BulletedList3"/>
        <w:rPr>
          <w:lang w:val="it-IT"/>
        </w:rPr>
      </w:pPr>
      <w:r>
        <w:rPr>
          <w:lang w:val="sl"/>
        </w:rPr>
        <w:t xml:space="preserve">organizirati izmenjave mnenj o zadevah, ki se nanašajo na </w:t>
      </w:r>
      <w:r>
        <w:rPr>
          <w:i/>
          <w:iCs/>
          <w:lang w:val="sl"/>
        </w:rPr>
        <w:t>smernice</w:t>
      </w:r>
      <w:r>
        <w:rPr>
          <w:lang w:val="sl"/>
        </w:rPr>
        <w:t>;</w:t>
      </w:r>
    </w:p>
    <w:p w14:paraId="407A6150" w14:textId="77777777" w:rsidR="00A55002" w:rsidRPr="003F257E" w:rsidRDefault="00A55002" w:rsidP="00A55002">
      <w:pPr>
        <w:pStyle w:val="BulletedList3"/>
      </w:pPr>
      <w:r>
        <w:rPr>
          <w:lang w:val="sl"/>
        </w:rPr>
        <w:t>izdajati pojasnila po potrebi;</w:t>
      </w:r>
    </w:p>
    <w:p w14:paraId="31F40824" w14:textId="77777777" w:rsidR="00A55002" w:rsidRPr="008A691D" w:rsidRDefault="00A55002" w:rsidP="00A55002">
      <w:pPr>
        <w:pStyle w:val="BulletedList3"/>
        <w:rPr>
          <w:lang w:val="it-IT"/>
        </w:rPr>
      </w:pPr>
      <w:r>
        <w:rPr>
          <w:lang w:val="sl"/>
        </w:rPr>
        <w:t>organizirati izmenjave stališč o dejavnostih NKT;</w:t>
      </w:r>
    </w:p>
    <w:p w14:paraId="79E90AE4" w14:textId="77777777" w:rsidR="00A55002" w:rsidRPr="008A691D" w:rsidRDefault="00A55002" w:rsidP="00A55002">
      <w:pPr>
        <w:pStyle w:val="BulletedList3"/>
        <w:rPr>
          <w:lang w:val="it-IT"/>
        </w:rPr>
      </w:pPr>
      <w:r>
        <w:rPr>
          <w:lang w:val="sl"/>
        </w:rPr>
        <w:t xml:space="preserve">poročati Svetu OECD o </w:t>
      </w:r>
      <w:r>
        <w:rPr>
          <w:i/>
          <w:iCs/>
          <w:lang w:val="sl"/>
        </w:rPr>
        <w:t>smernicah</w:t>
      </w:r>
      <w:r>
        <w:rPr>
          <w:lang w:val="sl"/>
        </w:rPr>
        <w:t>.</w:t>
      </w:r>
    </w:p>
    <w:p w14:paraId="7C53C768" w14:textId="77777777" w:rsidR="00A55002" w:rsidRPr="008A691D" w:rsidRDefault="00A55002" w:rsidP="00A55002">
      <w:pPr>
        <w:pStyle w:val="Para2"/>
        <w:rPr>
          <w:lang w:val="sl"/>
        </w:rPr>
      </w:pPr>
      <w:r>
        <w:rPr>
          <w:lang w:val="sl"/>
        </w:rPr>
        <w:t xml:space="preserve">Odbor za naložbe je organ OECD, pristojen za nadzor nad delovanjem </w:t>
      </w:r>
      <w:r>
        <w:rPr>
          <w:i/>
          <w:iCs/>
          <w:lang w:val="sl"/>
        </w:rPr>
        <w:t>smernic</w:t>
      </w:r>
      <w:r>
        <w:rPr>
          <w:lang w:val="sl"/>
        </w:rPr>
        <w:t xml:space="preserve">. Ta pristojnost se ne nanaša le na </w:t>
      </w:r>
      <w:r>
        <w:rPr>
          <w:i/>
          <w:iCs/>
          <w:lang w:val="sl"/>
        </w:rPr>
        <w:t>smernice</w:t>
      </w:r>
      <w:r>
        <w:rPr>
          <w:lang w:val="sl"/>
        </w:rPr>
        <w:t>, ampak na vse sestavine deklaracije (listine o nacionalni obravnavi, o spodbudah in ovirah za mednarodne naložbe ter o nasprotujočih si zahtevah). Odbor želi zagotoviti, da se vse sestavine deklaracije spoštujejo in razumejo ter da se med seboj dopolnjujejo in delujejo usklajeno.</w:t>
      </w:r>
    </w:p>
    <w:p w14:paraId="3515E747" w14:textId="77777777" w:rsidR="00A55002" w:rsidRPr="008A691D" w:rsidRDefault="00A55002" w:rsidP="00A55002">
      <w:pPr>
        <w:pStyle w:val="Para2"/>
        <w:rPr>
          <w:lang w:val="sl"/>
        </w:rPr>
      </w:pPr>
      <w:r>
        <w:rPr>
          <w:lang w:val="sl"/>
        </w:rPr>
        <w:t xml:space="preserve">DSORP je pomožni organ odbora, katerega naloge so povezane s </w:t>
      </w:r>
      <w:r>
        <w:rPr>
          <w:i/>
          <w:iCs/>
          <w:lang w:val="sl"/>
        </w:rPr>
        <w:t>smernicami</w:t>
      </w:r>
      <w:r>
        <w:rPr>
          <w:lang w:val="sl"/>
        </w:rPr>
        <w:t xml:space="preserve"> in sklepom. V postopkih so našteti številni načini, kako DSORP pomaga odboru, kar vključuje:</w:t>
      </w:r>
    </w:p>
    <w:p w14:paraId="24566A6F" w14:textId="77777777" w:rsidR="00A55002" w:rsidRPr="008A691D" w:rsidRDefault="00A55002" w:rsidP="00A55002">
      <w:pPr>
        <w:pStyle w:val="BulletedList3"/>
        <w:rPr>
          <w:rFonts w:cstheme="minorHAnsi"/>
          <w:lang w:val="sl"/>
        </w:rPr>
      </w:pPr>
      <w:r>
        <w:rPr>
          <w:rFonts w:cstheme="minorHAnsi"/>
          <w:lang w:val="sl"/>
        </w:rPr>
        <w:t>oblikovati pogoje in načine za medsebojne strokovne preglede NKT, nadzorovati, kako sekretariat organizira medsebojne strokovne preglede, in odobriti poročila o medsebojnih strokovnih pregledih;</w:t>
      </w:r>
    </w:p>
    <w:p w14:paraId="223DDD6C" w14:textId="77777777" w:rsidR="00A55002" w:rsidRPr="008A691D" w:rsidRDefault="00A55002" w:rsidP="00A55002">
      <w:pPr>
        <w:pStyle w:val="BulletedList3"/>
        <w:rPr>
          <w:rFonts w:eastAsia="Calibri" w:cstheme="minorHAnsi"/>
          <w:bCs/>
          <w:iCs/>
          <w:lang w:val="sl"/>
        </w:rPr>
      </w:pPr>
      <w:r>
        <w:rPr>
          <w:rFonts w:eastAsia="Calibri" w:cstheme="minorHAnsi"/>
          <w:lang w:val="sl"/>
        </w:rPr>
        <w:t xml:space="preserve">dajati nasvete NKT, ki imajo vprašanja glede razlage </w:t>
      </w:r>
      <w:r>
        <w:rPr>
          <w:rFonts w:eastAsia="Calibri" w:cstheme="minorHAnsi"/>
          <w:i/>
          <w:iCs/>
          <w:lang w:val="sl"/>
        </w:rPr>
        <w:t>smernic</w:t>
      </w:r>
      <w:r>
        <w:rPr>
          <w:rFonts w:eastAsia="Calibri" w:cstheme="minorHAnsi"/>
          <w:lang w:val="sl"/>
        </w:rPr>
        <w:t xml:space="preserve"> v posameznih okoliščinah;</w:t>
      </w:r>
    </w:p>
    <w:p w14:paraId="3A643B72" w14:textId="77777777" w:rsidR="00A55002" w:rsidRPr="008A691D" w:rsidRDefault="00A55002" w:rsidP="00A55002">
      <w:pPr>
        <w:pStyle w:val="BulletedList3"/>
        <w:rPr>
          <w:rFonts w:eastAsia="Calibri" w:cstheme="minorHAnsi"/>
          <w:bCs/>
          <w:iCs/>
          <w:lang w:val="sl"/>
        </w:rPr>
      </w:pPr>
      <w:r>
        <w:rPr>
          <w:rFonts w:eastAsia="Calibri" w:cstheme="minorHAnsi"/>
          <w:lang w:val="sl"/>
        </w:rPr>
        <w:t xml:space="preserve">pripravljati odgovore odbora na utemeljene vloge in zahteve za pojasnitev </w:t>
      </w:r>
      <w:r>
        <w:rPr>
          <w:rFonts w:eastAsia="Calibri" w:cstheme="minorHAnsi"/>
          <w:i/>
          <w:iCs/>
          <w:lang w:val="sl"/>
        </w:rPr>
        <w:t>smernic</w:t>
      </w:r>
      <w:r>
        <w:rPr>
          <w:rFonts w:eastAsia="Calibri" w:cstheme="minorHAnsi"/>
          <w:lang w:val="sl"/>
        </w:rPr>
        <w:t>;</w:t>
      </w:r>
    </w:p>
    <w:p w14:paraId="32495BA2" w14:textId="77777777" w:rsidR="00A55002" w:rsidRPr="008A691D" w:rsidRDefault="00A55002" w:rsidP="00A55002">
      <w:pPr>
        <w:pStyle w:val="BulletedList3"/>
        <w:rPr>
          <w:rFonts w:eastAsia="Calibri" w:cstheme="minorHAnsi"/>
          <w:bCs/>
          <w:iCs/>
          <w:lang w:val="sl"/>
        </w:rPr>
      </w:pPr>
      <w:r>
        <w:rPr>
          <w:rFonts w:eastAsia="Calibri" w:cstheme="minorHAnsi"/>
          <w:lang w:val="sl"/>
        </w:rPr>
        <w:t>svetovati odboru pri dajanju priporočil pristopnici, katere NKT daljši čas brez upravičenega razloga očitno ne deluje;</w:t>
      </w:r>
    </w:p>
    <w:p w14:paraId="434D19D0" w14:textId="77777777" w:rsidR="00A55002" w:rsidRPr="008A691D" w:rsidRDefault="00A55002" w:rsidP="00A55002">
      <w:pPr>
        <w:pStyle w:val="BulletedList3"/>
        <w:rPr>
          <w:rFonts w:eastAsia="Calibri" w:cstheme="minorHAnsi"/>
          <w:bCs/>
          <w:iCs/>
          <w:lang w:val="sl"/>
        </w:rPr>
      </w:pPr>
      <w:r>
        <w:rPr>
          <w:rFonts w:eastAsia="Calibri" w:cstheme="minorHAnsi"/>
          <w:lang w:val="sl"/>
        </w:rPr>
        <w:t>podpirati odbor pri obravnavi letnih poročil NKT in izdajati javna letna poročila o dejavnosti NKT.</w:t>
      </w:r>
    </w:p>
    <w:p w14:paraId="7FE410BB" w14:textId="77777777" w:rsidR="00A55002" w:rsidRPr="008A691D" w:rsidRDefault="00A55002" w:rsidP="00A55002">
      <w:pPr>
        <w:pStyle w:val="Para2"/>
        <w:rPr>
          <w:lang w:val="sl"/>
        </w:rPr>
      </w:pPr>
      <w:r>
        <w:rPr>
          <w:lang w:val="sl"/>
        </w:rPr>
        <w:t xml:space="preserve">Glede na vse večjo pomembnost odgovornega ravnanja podjetij za </w:t>
      </w:r>
      <w:proofErr w:type="spellStart"/>
      <w:r>
        <w:rPr>
          <w:lang w:val="sl"/>
        </w:rPr>
        <w:t>nepristopnice</w:t>
      </w:r>
      <w:proofErr w:type="spellEnd"/>
      <w:r>
        <w:rPr>
          <w:lang w:val="sl"/>
        </w:rPr>
        <w:t xml:space="preserve"> sklep predvideva sodelovanje z </w:t>
      </w:r>
      <w:proofErr w:type="spellStart"/>
      <w:r>
        <w:rPr>
          <w:lang w:val="sl"/>
        </w:rPr>
        <w:t>nepristopnicami</w:t>
      </w:r>
      <w:proofErr w:type="spellEnd"/>
      <w:r>
        <w:rPr>
          <w:lang w:val="sl"/>
        </w:rPr>
        <w:t xml:space="preserve"> glede zadev, zajetih v </w:t>
      </w:r>
      <w:r>
        <w:rPr>
          <w:i/>
          <w:iCs/>
          <w:lang w:val="sl"/>
        </w:rPr>
        <w:t>smernicah</w:t>
      </w:r>
      <w:r>
        <w:rPr>
          <w:lang w:val="sl"/>
        </w:rPr>
        <w:t xml:space="preserve">. Ta določba odboru omogoča, da pripravi posebna srečanja z zainteresiranimi </w:t>
      </w:r>
      <w:proofErr w:type="spellStart"/>
      <w:r>
        <w:rPr>
          <w:lang w:val="sl"/>
        </w:rPr>
        <w:t>nepristopnicami</w:t>
      </w:r>
      <w:proofErr w:type="spellEnd"/>
      <w:r>
        <w:rPr>
          <w:lang w:val="sl"/>
        </w:rPr>
        <w:t xml:space="preserve"> za spodbujanje razumevanja standardov in načel iz </w:t>
      </w:r>
      <w:r>
        <w:rPr>
          <w:i/>
          <w:iCs/>
          <w:lang w:val="sl"/>
        </w:rPr>
        <w:t>smernic</w:t>
      </w:r>
      <w:r>
        <w:rPr>
          <w:lang w:val="sl"/>
        </w:rPr>
        <w:t xml:space="preserve"> ter postopkov za njihovo izvajanje. Ob upoštevanju ustreznih postopkov OECD jih odbor lahko </w:t>
      </w:r>
      <w:r>
        <w:rPr>
          <w:lang w:val="sl"/>
        </w:rPr>
        <w:lastRenderedPageBreak/>
        <w:t>tudi poveže s posebnimi dejavnostmi ali projekti o odgovornem ravnanju podjetij, tudi tako, da jih povabi na svoje seje.</w:t>
      </w:r>
    </w:p>
    <w:p w14:paraId="6B62E3C5" w14:textId="77777777" w:rsidR="00A55002" w:rsidRPr="008A691D" w:rsidRDefault="00A55002" w:rsidP="00A55002">
      <w:pPr>
        <w:pStyle w:val="Para2"/>
        <w:rPr>
          <w:lang w:val="sl"/>
        </w:rPr>
      </w:pPr>
      <w:r>
        <w:rPr>
          <w:lang w:val="sl"/>
        </w:rPr>
        <w:t xml:space="preserve">Odbor sodeluje z NKT in išče priložnosti za sodelovanje s svetovalnima telesoma (BIAC in TUAC), OECD Watch in drugimi mednarodnimi partnerji, da proaktivno spodbuja učinkovito izvajanje </w:t>
      </w:r>
      <w:r>
        <w:rPr>
          <w:i/>
          <w:iCs/>
          <w:lang w:val="sl"/>
        </w:rPr>
        <w:t>smernic</w:t>
      </w:r>
      <w:r>
        <w:rPr>
          <w:lang w:val="sl"/>
        </w:rPr>
        <w:t>. Odbor v okviru svojega nadzora izvajanja deklaracije in ob podpori DSORP zlasti daje napotke o skrbnem pregledu poslovanja za odgovorno ravnanje podjetij ter si prizadeva za okrepitev zmogljivosti podjetij za take preglede, tudi v posebnih sektorjih, območjih in področjih tveganja. To izvede med drugim s sodelovanjem več deležnikov, pri čemer upošteva potrebe malih in srednje velikih podjetij, v sodelovanju z NKT. Več napotkov za NKT s tem v zvezi je v nadaljevanju, v 21. odstavku.</w:t>
      </w:r>
    </w:p>
    <w:p w14:paraId="4BC8F6ED" w14:textId="77777777" w:rsidR="00A55002" w:rsidRPr="00EC1531" w:rsidRDefault="00A55002" w:rsidP="00A55002">
      <w:pPr>
        <w:pStyle w:val="Naslov2"/>
        <w:numPr>
          <w:ilvl w:val="1"/>
          <w:numId w:val="51"/>
        </w:numPr>
        <w:rPr>
          <w:i/>
          <w:color w:val="366091" w:themeColor="accent1" w:themeShade="BF"/>
          <w:lang w:val="de-DE"/>
        </w:rPr>
      </w:pPr>
      <w:r w:rsidRPr="00EC1531">
        <w:rPr>
          <w:bCs/>
          <w:color w:val="366091" w:themeColor="accent1" w:themeShade="BF"/>
          <w:lang w:val="sl"/>
        </w:rPr>
        <w:t>I. Komentar k postopkom za NKT</w:t>
      </w:r>
    </w:p>
    <w:p w14:paraId="77B5AD66" w14:textId="77777777" w:rsidR="00A55002" w:rsidRPr="008A691D" w:rsidRDefault="00A55002" w:rsidP="00A55002">
      <w:pPr>
        <w:pStyle w:val="Para2"/>
        <w:rPr>
          <w:lang w:val="it-IT"/>
        </w:rPr>
      </w:pPr>
      <w:r>
        <w:rPr>
          <w:lang w:val="sl"/>
        </w:rPr>
        <w:t xml:space="preserve">NKT imajo pomembno vlogo pri krepitvi prepoznavnosti in učinkovitosti </w:t>
      </w:r>
      <w:r>
        <w:rPr>
          <w:i/>
          <w:iCs/>
          <w:lang w:val="sl"/>
        </w:rPr>
        <w:t>smernic</w:t>
      </w:r>
      <w:r>
        <w:rPr>
          <w:lang w:val="sl"/>
        </w:rPr>
        <w:t xml:space="preserve">. Čeprav so podjetja tista, ki so odgovorna za spoštovanje </w:t>
      </w:r>
      <w:r>
        <w:rPr>
          <w:i/>
          <w:iCs/>
          <w:lang w:val="sl"/>
        </w:rPr>
        <w:t>smernic</w:t>
      </w:r>
      <w:r>
        <w:rPr>
          <w:lang w:val="sl"/>
        </w:rPr>
        <w:t xml:space="preserve"> pri svojem vsakdanjem ravnanju, lahko vlade in njihove NKT prispevajo k učinkovitejšemu izvajanju </w:t>
      </w:r>
      <w:r>
        <w:rPr>
          <w:i/>
          <w:iCs/>
          <w:lang w:val="sl"/>
        </w:rPr>
        <w:t>smernic</w:t>
      </w:r>
      <w:r>
        <w:rPr>
          <w:lang w:val="sl"/>
        </w:rPr>
        <w:t>. Zato so soglašale, da so potrebna boljša navodila za organizacijo in dejavnosti NKT, vključno z rednimi sestanki in nadzorom odbora.</w:t>
      </w:r>
    </w:p>
    <w:p w14:paraId="0FCA10F4" w14:textId="77777777" w:rsidR="00A55002" w:rsidRPr="008A691D" w:rsidRDefault="00A55002" w:rsidP="00A55002">
      <w:pPr>
        <w:pStyle w:val="Para2"/>
        <w:rPr>
          <w:lang w:val="sl"/>
        </w:rPr>
      </w:pPr>
      <w:r>
        <w:rPr>
          <w:lang w:val="sl"/>
        </w:rPr>
        <w:t xml:space="preserve">Veliko nalog in dejavnosti v postopkih iz sklepa ni novih, ampak odražajo večletne izkušnje in priporočila. Z njihovo izrecno navedbo je pričakovano delovanje izvedbenih mehanizmov </w:t>
      </w:r>
      <w:r>
        <w:rPr>
          <w:i/>
          <w:iCs/>
          <w:lang w:val="sl"/>
        </w:rPr>
        <w:t>smernic</w:t>
      </w:r>
      <w:r>
        <w:rPr>
          <w:lang w:val="sl"/>
        </w:rPr>
        <w:t xml:space="preserve"> preglednejše. Vse naloge so zdaj opredeljene v šestih delih postopkov, ki se nanašajo na NKT: institucionalna ureditev, obveščanje in promocija, posebni primeri, podpora prizadevanjem vlade za spodbujanje odgovornega ravnanja podjetij, poročanje in medsebojni strokovni pregledi.</w:t>
      </w:r>
    </w:p>
    <w:p w14:paraId="55F90D86" w14:textId="77777777" w:rsidR="00A55002" w:rsidRPr="008A691D" w:rsidRDefault="00A55002" w:rsidP="00A55002">
      <w:pPr>
        <w:pStyle w:val="Para2"/>
        <w:rPr>
          <w:b/>
          <w:bCs/>
          <w:i/>
          <w:u w:val="single"/>
          <w:lang w:val="sl"/>
        </w:rPr>
      </w:pPr>
      <w:r>
        <w:rPr>
          <w:lang w:val="sl"/>
        </w:rPr>
        <w:t xml:space="preserve">Pred temi šestimi deli je uvodni odstavek, ki opiše osnovni namen NKT, skupaj z osrednjimi merili učinkovitosti. Čeprav vlade lahko prilagajajo svojo organizacijo NKT, naj vse NKT delujejo z enako stopnjo učinkovitosti, ki se opredeli kot "funkcionalna enakovrednost". Funkcionalna enakovrednost je ključna za učinkovit prispevek celotnega omrežja NKT k izvajanju </w:t>
      </w:r>
      <w:r>
        <w:rPr>
          <w:i/>
          <w:iCs/>
          <w:lang w:val="sl"/>
        </w:rPr>
        <w:t>smernic</w:t>
      </w:r>
      <w:r>
        <w:rPr>
          <w:lang w:val="sl"/>
        </w:rPr>
        <w:t>, zlasti glede polnega vključevanja vseh NKT v mehanizem za posebne primere. Tako vključevanje vseh NKT je pomembno za zaupanje deležnikov in popolno splošno učinkovitost NKT. Vse NKT, vsaka glede na svoje okoliščine, si pri izpolnjevanju svojih nalog prizadevajo za funkcionalno enakovrednost z izpolnjevanjem osrednjih meril učinkovitosti, opisanih v nadaljevanju, kar bo tudi pomagalo odboru in DSORP pri medsebojnih strokovnih pregledih in obravnavi ravnanja NKT.</w:t>
      </w:r>
    </w:p>
    <w:p w14:paraId="4E889FF3" w14:textId="77777777" w:rsidR="00A55002" w:rsidRPr="008A691D" w:rsidRDefault="00A55002" w:rsidP="0042619C">
      <w:pPr>
        <w:pStyle w:val="Para0"/>
        <w:rPr>
          <w:b/>
          <w:bCs/>
          <w:lang w:val="sl"/>
        </w:rPr>
      </w:pPr>
      <w:r>
        <w:rPr>
          <w:b/>
          <w:bCs/>
          <w:lang w:val="sl"/>
        </w:rPr>
        <w:t>Osrednja merila učinkovitosti za funkcionalno enakovrednost pri dejavnostih NKT:</w:t>
      </w:r>
    </w:p>
    <w:p w14:paraId="6A6D180C" w14:textId="77777777" w:rsidR="00A55002" w:rsidRPr="008A691D" w:rsidRDefault="00A55002" w:rsidP="0042619C">
      <w:pPr>
        <w:pStyle w:val="Para0"/>
        <w:ind w:left="720"/>
        <w:rPr>
          <w:b/>
          <w:bCs/>
          <w:lang w:val="sl"/>
        </w:rPr>
      </w:pPr>
      <w:r>
        <w:rPr>
          <w:b/>
          <w:bCs/>
          <w:lang w:val="sl"/>
        </w:rPr>
        <w:t xml:space="preserve">a. Vidnost </w:t>
      </w:r>
    </w:p>
    <w:p w14:paraId="76407E57" w14:textId="77777777" w:rsidR="00A55002" w:rsidRPr="008A691D" w:rsidRDefault="00A55002" w:rsidP="0042619C">
      <w:pPr>
        <w:pStyle w:val="Para0"/>
        <w:ind w:left="720"/>
        <w:rPr>
          <w:b/>
          <w:i/>
          <w:u w:val="single"/>
          <w:lang w:val="sl"/>
        </w:rPr>
      </w:pPr>
      <w:r>
        <w:rPr>
          <w:lang w:val="sl"/>
        </w:rPr>
        <w:t xml:space="preserve">V skladu s sklepom se </w:t>
      </w:r>
      <w:bookmarkStart w:id="52" w:name="_Hlk132806718"/>
      <w:r>
        <w:rPr>
          <w:lang w:val="sl"/>
        </w:rPr>
        <w:t>pristopnice</w:t>
      </w:r>
      <w:bookmarkEnd w:id="52"/>
      <w:r>
        <w:rPr>
          <w:lang w:val="sl"/>
        </w:rPr>
        <w:t xml:space="preserve"> strinjajo, da vzpostavijo NKT, ki jih deležniki in ustrezni državni organi v njihovi državi in v tujini z lahkoto prepoznajo, ter obvestijo poslovno skupnost, delavske organizacije in druge zainteresirane osebe, vključno z nevladnimi organizacijami, o razpoložljivosti z NKT povezanih zmogljivosti pri izvajanju </w:t>
      </w:r>
      <w:r>
        <w:rPr>
          <w:i/>
          <w:iCs/>
          <w:lang w:val="sl"/>
        </w:rPr>
        <w:t>smernic</w:t>
      </w:r>
      <w:r>
        <w:rPr>
          <w:lang w:val="sl"/>
        </w:rPr>
        <w:t xml:space="preserve">. Osnovni ukrep za ta namen je, da ima NKT izčrpno spletno mesto ali stran. Od vlad se pričakuje, da objavijo informacije o svojih NKT, na primer njeno mesto v vladi, institucionalna ureditev in postopki za obravnavo zadev, ter da dejavno promovirajo </w:t>
      </w:r>
      <w:r>
        <w:rPr>
          <w:i/>
          <w:iCs/>
          <w:lang w:val="sl"/>
        </w:rPr>
        <w:t>smernice</w:t>
      </w:r>
      <w:r>
        <w:rPr>
          <w:lang w:val="sl"/>
        </w:rPr>
        <w:t xml:space="preserve">, kar lahko vključuje promocijske dogodke in gradivo o njih. Ti dogodki ali gradivo se lahko pripravijo v sodelovanju s podjetji, delavskimi organizacijami, nevladnimi organizacijami in drugimi zainteresiranimi stranmi, vendar ne nujno z vsemi pri vsakem dogodku ali gradivu. </w:t>
      </w:r>
    </w:p>
    <w:p w14:paraId="233BC4B8" w14:textId="77777777" w:rsidR="00A55002" w:rsidRPr="008A691D" w:rsidRDefault="00A55002" w:rsidP="0042619C">
      <w:pPr>
        <w:pStyle w:val="Para0"/>
        <w:ind w:left="720"/>
        <w:rPr>
          <w:b/>
          <w:bCs/>
          <w:lang w:val="sl"/>
        </w:rPr>
      </w:pPr>
      <w:r>
        <w:rPr>
          <w:b/>
          <w:bCs/>
          <w:lang w:val="sl"/>
        </w:rPr>
        <w:t xml:space="preserve">b. Dostopnost </w:t>
      </w:r>
    </w:p>
    <w:p w14:paraId="46F69D16" w14:textId="77777777" w:rsidR="00A55002" w:rsidRPr="008A691D" w:rsidRDefault="00A55002" w:rsidP="0042619C">
      <w:pPr>
        <w:pStyle w:val="Para0"/>
        <w:ind w:left="720"/>
        <w:rPr>
          <w:lang w:val="sl"/>
        </w:rPr>
      </w:pPr>
      <w:r>
        <w:rPr>
          <w:lang w:val="sl"/>
        </w:rPr>
        <w:t xml:space="preserve">Lahek dostop do NKT je pomemben za njihovo učinkovito delovanje. To vključuje omogočanje dostopa podjetjem, delavskim organizacijam, nevladnim organizacijam in splošni javnosti. NKT naj učinkovito in pravočasno odgovorijo na vse upravičene zahteve po informacijah ter obravnavajo </w:t>
      </w:r>
      <w:r>
        <w:rPr>
          <w:lang w:val="sl"/>
        </w:rPr>
        <w:lastRenderedPageBreak/>
        <w:t xml:space="preserve">posebne primere. NKT ne zaračunavajo pristojbine za vloge, zahteve za predložitev zadev pa so jasno navedene in lahko dostopne ter niso nepotrebno obremenjujoče. NKT lahko nudijo tudi nepristransko in enakopravno pomoč vpletenim strankam, kadar je to primerno ter sorazmerno z njihovo časovno in finančno zmogljivostjo. Taka pomoč se lahko nanaša na primer na uporabo jezikov in prevode, napotke o predložitvi dopustne vloge in sodelovanju pri mediaciji, prilagodljivost glede rokov ali nudenje cenovno ugodnih možnosti za sodelovanje v postopku, kot so sredstva za sestanke na daljavo.  </w:t>
      </w:r>
    </w:p>
    <w:p w14:paraId="7DF53173" w14:textId="77777777" w:rsidR="00A55002" w:rsidRPr="008A691D" w:rsidRDefault="00A55002" w:rsidP="0042619C">
      <w:pPr>
        <w:pStyle w:val="Para0"/>
        <w:ind w:left="720"/>
        <w:rPr>
          <w:b/>
          <w:bCs/>
          <w:lang w:val="sl"/>
        </w:rPr>
      </w:pPr>
      <w:r>
        <w:rPr>
          <w:b/>
          <w:bCs/>
          <w:lang w:val="sl"/>
        </w:rPr>
        <w:t xml:space="preserve">c. Preglednost </w:t>
      </w:r>
    </w:p>
    <w:p w14:paraId="42770E86" w14:textId="77777777" w:rsidR="00A55002" w:rsidRPr="008A691D" w:rsidRDefault="00A55002" w:rsidP="0042619C">
      <w:pPr>
        <w:pStyle w:val="Para0"/>
        <w:ind w:left="720"/>
        <w:rPr>
          <w:lang w:val="sl"/>
        </w:rPr>
      </w:pPr>
      <w:r>
        <w:rPr>
          <w:lang w:val="sl"/>
        </w:rPr>
        <w:t xml:space="preserve">Preglednost je pomembno merilo glede na njen prispevek k drugim osrednjim merilom učinkovitosti ter pri pridobivanju zaupanja deležnikov, strank v posebnih primerih in širše javnosti. Zato so na splošno in ob upoštevanju veljavnega prava dejavnosti NKT pregledne. Preglednost se na primer lahko izkaže z objavljanjem letnih poročil NKT za OECD. Ne glede na to pa NKT v posebnih primerih lahko določi nekatere vidike postopka za zaupne v skladu s 6. in 7. točko podrazdelka C I. razdelka postopkov in povezanim komentarjem. </w:t>
      </w:r>
    </w:p>
    <w:p w14:paraId="6C750D5C" w14:textId="77777777" w:rsidR="00A55002" w:rsidRPr="008A691D" w:rsidRDefault="00A55002" w:rsidP="0042619C">
      <w:pPr>
        <w:pStyle w:val="Para0"/>
        <w:ind w:left="720"/>
        <w:rPr>
          <w:b/>
          <w:bCs/>
          <w:lang w:val="sl"/>
        </w:rPr>
      </w:pPr>
      <w:r>
        <w:rPr>
          <w:b/>
          <w:bCs/>
          <w:lang w:val="sl"/>
        </w:rPr>
        <w:t xml:space="preserve">d. Odgovornost </w:t>
      </w:r>
    </w:p>
    <w:p w14:paraId="618E64BA" w14:textId="77777777" w:rsidR="00A55002" w:rsidRPr="008A691D" w:rsidRDefault="00A55002" w:rsidP="0042619C">
      <w:pPr>
        <w:pStyle w:val="Para0"/>
        <w:ind w:left="720"/>
        <w:rPr>
          <w:b/>
          <w:i/>
          <w:u w:val="single"/>
          <w:lang w:val="sl"/>
        </w:rPr>
      </w:pPr>
      <w:r>
        <w:rPr>
          <w:lang w:val="sl"/>
        </w:rPr>
        <w:t xml:space="preserve">Glede na vlogo NKT pri krepitvi prepoznavnosti </w:t>
      </w:r>
      <w:r>
        <w:rPr>
          <w:i/>
          <w:iCs/>
          <w:lang w:val="sl"/>
        </w:rPr>
        <w:t>smernic</w:t>
      </w:r>
      <w:r>
        <w:rPr>
          <w:lang w:val="sl"/>
        </w:rPr>
        <w:t xml:space="preserve"> – in njihovo zmožnost, da pomagajo pri reševanju težjih spornih vprašanj med podjetji in družbami, v katerih podjetja poslujejo – NKT odgovarjajo za svoje dejavnosti. Na državni ravni parlamenti, vlade in svetovalna telesa NKT, kadar jih imajo, ter tudi deležniki lahko sodelujejo pri zagotavljanju povratnih informacij o dejavnostih NKT in delujejo kot vir za stalno učenje za izboljšanje delovanja NKT. Letna poročila in redni sestanki NKT, vzajemno učenje in medsebojni strokovni pregledi zagotavljajo priložnosti za izmenjavo izkušenj in spodbujajo najboljšo prakso glede NKT. Odbor in DSORP tudi organizirata izmenjave mnenj in izkušenj, pri katerih se lahko oceni učinkovitost dejavnosti NKT. </w:t>
      </w:r>
    </w:p>
    <w:p w14:paraId="2EBB1966" w14:textId="77777777" w:rsidR="00A55002" w:rsidRPr="008A691D" w:rsidRDefault="00A55002" w:rsidP="0042619C">
      <w:pPr>
        <w:pStyle w:val="Para0"/>
        <w:ind w:left="720"/>
        <w:rPr>
          <w:b/>
          <w:bCs/>
          <w:lang w:val="sl"/>
        </w:rPr>
      </w:pPr>
      <w:r>
        <w:rPr>
          <w:b/>
          <w:bCs/>
          <w:lang w:val="sl"/>
        </w:rPr>
        <w:t xml:space="preserve">e. Nepristranskost in pravičnost </w:t>
      </w:r>
    </w:p>
    <w:p w14:paraId="5ACA321F" w14:textId="77777777" w:rsidR="00A55002" w:rsidRPr="008A691D" w:rsidRDefault="00A55002" w:rsidP="0042619C">
      <w:pPr>
        <w:pStyle w:val="Para0"/>
        <w:ind w:left="720"/>
        <w:rPr>
          <w:b/>
          <w:i/>
          <w:u w:val="single"/>
          <w:lang w:val="sl"/>
        </w:rPr>
      </w:pPr>
      <w:r>
        <w:rPr>
          <w:lang w:val="sl"/>
        </w:rPr>
        <w:t>Nepristranskost in pravičnost sta predpogoj za nadaljnje zaupanje deležnikov, strank v posebnih primerih in širše javnosti. V skladu s tem vlade organizirajo svoje NKT tako, da lahko delujejo tako in so dojete kot take. NKT zagotavljajo nepristranskost pri reševanju posebnih primerov, tudi s prizadevanjem dejavno preprečevati in reševati morebitna ali domnevna nasprotja interesov katere koli osebe, ki deluje v imenu NKT pri pomoči strankam pri reševanju vprašanj, sproženih v posebnem primeru. NKT naj si tudi prizadevajo zagotoviti, predvsem z jasnimi in dostopnimi postopki za obravnavo zadev, da stranke lahko pošteno in pravično sodelujejo pri postopku, na primer z zagotavljanjem, da neravnovesje moči in virov strankam ne preprečuje učinkovitega sodelovanja v postopku, ali z zagotavljanjem smiselnega dostopa do virov informacij, pomembnih za postopek.</w:t>
      </w:r>
    </w:p>
    <w:p w14:paraId="19F1C7D3" w14:textId="77777777" w:rsidR="00A55002" w:rsidRPr="008A691D" w:rsidRDefault="00A55002" w:rsidP="0042619C">
      <w:pPr>
        <w:pStyle w:val="Para0"/>
        <w:ind w:left="720"/>
        <w:rPr>
          <w:b/>
          <w:bCs/>
          <w:lang w:val="sl"/>
        </w:rPr>
      </w:pPr>
      <w:proofErr w:type="spellStart"/>
      <w:r>
        <w:rPr>
          <w:b/>
          <w:bCs/>
          <w:lang w:val="sl"/>
        </w:rPr>
        <w:t>f.</w:t>
      </w:r>
      <w:proofErr w:type="spellEnd"/>
      <w:r>
        <w:rPr>
          <w:b/>
          <w:bCs/>
          <w:lang w:val="sl"/>
        </w:rPr>
        <w:t xml:space="preserve"> Predvidljivost </w:t>
      </w:r>
    </w:p>
    <w:p w14:paraId="6B8BA717" w14:textId="77777777" w:rsidR="00A55002" w:rsidRPr="00F81785" w:rsidRDefault="00A55002" w:rsidP="0042619C">
      <w:pPr>
        <w:pStyle w:val="Para0"/>
        <w:ind w:left="720"/>
      </w:pPr>
      <w:r>
        <w:rPr>
          <w:lang w:val="sl"/>
        </w:rPr>
        <w:t>NKT zagotavljajo jasne in javno dostopne informacije o svoji vlogi pri postopkih, ki jih uporabljajo pri izpolnjevanju svojih nalog, zlasti pri reševanju posebnih primerov. Te informacije naj se zagotovijo vključno za ta področja:</w:t>
      </w:r>
    </w:p>
    <w:p w14:paraId="67961B75" w14:textId="77777777" w:rsidR="00A55002" w:rsidRPr="00805B48" w:rsidRDefault="00A55002" w:rsidP="00A55002">
      <w:pPr>
        <w:pStyle w:val="BulletedList3"/>
        <w:ind w:left="1400"/>
      </w:pPr>
      <w:r>
        <w:rPr>
          <w:lang w:val="sl"/>
        </w:rPr>
        <w:t xml:space="preserve">zagotavljanje dobrih uslug, </w:t>
      </w:r>
    </w:p>
    <w:p w14:paraId="04A84C52" w14:textId="77777777" w:rsidR="00A55002" w:rsidRPr="00E205CD" w:rsidRDefault="00A55002" w:rsidP="00A55002">
      <w:pPr>
        <w:pStyle w:val="BulletedList3"/>
        <w:ind w:left="1400"/>
        <w:rPr>
          <w:lang w:val="pl-PL"/>
        </w:rPr>
      </w:pPr>
      <w:r>
        <w:rPr>
          <w:lang w:val="sl"/>
        </w:rPr>
        <w:t xml:space="preserve">faze postopka v posebnih primerih, vključno z okvirnimi roki in merili za začetno oceno, </w:t>
      </w:r>
    </w:p>
    <w:p w14:paraId="4784A015" w14:textId="77777777" w:rsidR="00A55002" w:rsidRPr="008A691D" w:rsidRDefault="00A55002" w:rsidP="00A55002">
      <w:pPr>
        <w:pStyle w:val="BulletedList3"/>
        <w:ind w:left="1400"/>
        <w:rPr>
          <w:lang w:val="it-IT"/>
        </w:rPr>
      </w:pPr>
      <w:r>
        <w:rPr>
          <w:lang w:val="sl"/>
        </w:rPr>
        <w:t xml:space="preserve">pričakovanja glede dobre vere in zaupnosti, </w:t>
      </w:r>
    </w:p>
    <w:p w14:paraId="45FE2B9B" w14:textId="77777777" w:rsidR="00A55002" w:rsidRPr="008A691D" w:rsidRDefault="00A55002" w:rsidP="00A55002">
      <w:pPr>
        <w:pStyle w:val="BulletedList3"/>
        <w:ind w:left="1400"/>
        <w:rPr>
          <w:lang w:val="it-IT"/>
        </w:rPr>
      </w:pPr>
      <w:r>
        <w:rPr>
          <w:lang w:val="sl"/>
        </w:rPr>
        <w:t xml:space="preserve">značilnosti postopka in možni izidi ter </w:t>
      </w:r>
    </w:p>
    <w:p w14:paraId="42DBBB51" w14:textId="77777777" w:rsidR="00A55002" w:rsidRPr="008A691D" w:rsidRDefault="00A55002" w:rsidP="00A55002">
      <w:pPr>
        <w:pStyle w:val="BulletedList3"/>
        <w:ind w:left="1400"/>
        <w:rPr>
          <w:lang w:val="it-IT"/>
        </w:rPr>
      </w:pPr>
      <w:r>
        <w:rPr>
          <w:lang w:val="sl"/>
        </w:rPr>
        <w:t xml:space="preserve">kako NKT lahko spremlja izvajanje dogovorov, ki jih dosežejo stranke, ali svojih priporočil. </w:t>
      </w:r>
    </w:p>
    <w:p w14:paraId="02ADDC62" w14:textId="77777777" w:rsidR="00A55002" w:rsidRPr="008A691D" w:rsidRDefault="00A55002" w:rsidP="0042619C">
      <w:pPr>
        <w:pStyle w:val="Para0"/>
        <w:ind w:left="720"/>
        <w:rPr>
          <w:lang w:val="it-IT"/>
        </w:rPr>
      </w:pPr>
      <w:r>
        <w:rPr>
          <w:lang w:val="sl"/>
        </w:rPr>
        <w:lastRenderedPageBreak/>
        <w:t xml:space="preserve">NKT objavijo jasno in dostopno opredeljene postopke za obravnavo zadev ter redno obveščajo stranke v posebnih primerih o napredku zadeve, zlasti kadar je treba podaljšati okvirne roke iz 51. in 52. odstavka v nadaljevanju. </w:t>
      </w:r>
    </w:p>
    <w:p w14:paraId="62EC59CA" w14:textId="77777777" w:rsidR="00A55002" w:rsidRPr="008A691D" w:rsidRDefault="00A55002" w:rsidP="0042619C">
      <w:pPr>
        <w:pStyle w:val="Para0"/>
        <w:ind w:left="720"/>
        <w:rPr>
          <w:b/>
          <w:bCs/>
          <w:lang w:val="it-IT"/>
        </w:rPr>
      </w:pPr>
      <w:r>
        <w:rPr>
          <w:b/>
          <w:bCs/>
          <w:lang w:val="sl"/>
        </w:rPr>
        <w:t xml:space="preserve">g. Skladnost s </w:t>
      </w:r>
      <w:r>
        <w:rPr>
          <w:b/>
          <w:bCs/>
          <w:i/>
          <w:iCs/>
          <w:lang w:val="sl"/>
        </w:rPr>
        <w:t>smernicami</w:t>
      </w:r>
      <w:r>
        <w:rPr>
          <w:b/>
          <w:bCs/>
          <w:lang w:val="sl"/>
        </w:rPr>
        <w:t xml:space="preserve"> </w:t>
      </w:r>
    </w:p>
    <w:p w14:paraId="203D9173" w14:textId="77777777" w:rsidR="00A55002" w:rsidRPr="008A691D" w:rsidRDefault="00A55002" w:rsidP="0042619C">
      <w:pPr>
        <w:pStyle w:val="Para0"/>
        <w:ind w:left="720"/>
        <w:rPr>
          <w:lang w:val="sl"/>
        </w:rPr>
      </w:pPr>
      <w:r>
        <w:rPr>
          <w:lang w:val="sl"/>
        </w:rPr>
        <w:t xml:space="preserve">NKT delujejo v skladu s </w:t>
      </w:r>
      <w:r>
        <w:rPr>
          <w:i/>
          <w:iCs/>
          <w:lang w:val="sl"/>
        </w:rPr>
        <w:t>smernicami</w:t>
      </w:r>
      <w:r>
        <w:rPr>
          <w:lang w:val="sl"/>
        </w:rPr>
        <w:t xml:space="preserve">. Pri obravnavi posebnih primerov to zlasti pomeni, da si skupaj s strankami prizadevajo preprečiti, da bi bili dogovori v nasprotju s </w:t>
      </w:r>
      <w:r>
        <w:rPr>
          <w:i/>
          <w:iCs/>
          <w:lang w:val="sl"/>
        </w:rPr>
        <w:t>smernicami</w:t>
      </w:r>
      <w:r>
        <w:rPr>
          <w:lang w:val="sl"/>
        </w:rPr>
        <w:t xml:space="preserve"> ali da bi bili postopki za obravnavo zadev v nasprotju s postopki iz sklepa.</w:t>
      </w:r>
    </w:p>
    <w:p w14:paraId="7501A4F1" w14:textId="77777777" w:rsidR="00A55002" w:rsidRPr="00090ACB" w:rsidRDefault="00A55002" w:rsidP="0042619C">
      <w:pPr>
        <w:pStyle w:val="Para0"/>
        <w:rPr>
          <w:b/>
          <w:bCs/>
        </w:rPr>
      </w:pPr>
      <w:r>
        <w:rPr>
          <w:b/>
          <w:bCs/>
          <w:lang w:val="sl"/>
        </w:rPr>
        <w:t>Institucionalna ureditev</w:t>
      </w:r>
    </w:p>
    <w:p w14:paraId="5B21AC48" w14:textId="77777777" w:rsidR="00A55002" w:rsidRPr="008A691D" w:rsidRDefault="00A55002" w:rsidP="00A55002">
      <w:pPr>
        <w:pStyle w:val="Para2"/>
        <w:rPr>
          <w:u w:val="single"/>
          <w:lang w:val="sl"/>
        </w:rPr>
      </w:pPr>
      <w:bookmarkStart w:id="53" w:name="_Hlk128991033"/>
      <w:r>
        <w:rPr>
          <w:lang w:val="sl"/>
        </w:rPr>
        <w:t xml:space="preserve">Institucionalna ureditev NKT le-tem omogoča, da izpolnijo osrednja merila učinkovitosti, ohranijo zaupanje socialnih partnerjev, kadar je to primerno, in drugih deležnikov ter krepijo prepoznavnost </w:t>
      </w:r>
      <w:r>
        <w:rPr>
          <w:i/>
          <w:iCs/>
          <w:lang w:val="sl"/>
        </w:rPr>
        <w:t>smernic</w:t>
      </w:r>
      <w:r>
        <w:rPr>
          <w:lang w:val="sl"/>
        </w:rPr>
        <w:t xml:space="preserve">. Sklep in postopki pristopnicam omogočajo prilagajanje pri odločitvah o institucionalni ureditvi njihovih NKT ter navajajo nekatere od različnih možnosti. Naštejejo tudi minimalne zahteve za izpolnitev teh pričakovanj, na primer vključevanje višjega vodstva, zadostni človeški in finančni viri ter zadovoljiv dostop do strokovnega znanja in izkušenj o zadevah, zajetih v </w:t>
      </w:r>
      <w:r>
        <w:rPr>
          <w:i/>
          <w:iCs/>
          <w:lang w:val="sl"/>
        </w:rPr>
        <w:t>smernicah</w:t>
      </w:r>
      <w:r>
        <w:rPr>
          <w:lang w:val="sl"/>
        </w:rPr>
        <w:t>. Vlade lahko za NKT uporabijo drugo ime, kot je primerno za njihov državni okvir. Za spodbujanje zaupanja v NKT naj se vlade posvetujejo z deležniki o odločitvah, ki lahko pomembno vplivajo na institucionalno ureditev NKT.</w:t>
      </w:r>
    </w:p>
    <w:p w14:paraId="35DB3460" w14:textId="77777777" w:rsidR="00A55002" w:rsidRPr="008A691D" w:rsidRDefault="00A55002" w:rsidP="00A55002">
      <w:pPr>
        <w:pStyle w:val="Para2"/>
        <w:rPr>
          <w:lang w:val="sl"/>
        </w:rPr>
      </w:pPr>
      <w:r>
        <w:rPr>
          <w:lang w:val="sl"/>
        </w:rPr>
        <w:t xml:space="preserve">Ne glede na to, kakšno organizacijsko zgradbo vlade izberejo za svoje NKT, se spodbujajo, da ustanovijo svetovalna ali nadzorna telesa več deležnikov, kadar bi lahko pomagala NKT pri izpolnjevanju njihovih nalog. </w:t>
      </w:r>
    </w:p>
    <w:bookmarkEnd w:id="53"/>
    <w:p w14:paraId="35752822" w14:textId="77777777" w:rsidR="00A55002" w:rsidRPr="008A691D" w:rsidRDefault="00A55002" w:rsidP="00A55002">
      <w:pPr>
        <w:pStyle w:val="Para2"/>
        <w:rPr>
          <w:lang w:val="sl"/>
        </w:rPr>
      </w:pPr>
      <w:r>
        <w:rPr>
          <w:lang w:val="sl"/>
        </w:rPr>
        <w:t>Za učinkovitost in vpliv NKT so nujni zadostni viri. Sklep od pristopnic zahteva, da svojim NKT zagotovijo človeške in finančne vire, potrebne za učinkovito izpolnjevanje njihovih nalog, tako da so povsem izpolnjena osrednja merila učinkovitosti. Pristopnice se spodbujajo, da te vire zagotovijo v okviru namenskega proračuna, kadar je to primerno. Pri menjavi osebja naj pristopnice zagotavljajo nepretrganost. To lahko vključuje zagotavljanje ustreznega usposabljanja za novo osebje, po potrebi in ob podpori sekretariata, in ohranjanje institucionalnega spomina.</w:t>
      </w:r>
    </w:p>
    <w:p w14:paraId="6A917159" w14:textId="77777777" w:rsidR="00A55002" w:rsidRPr="008A691D" w:rsidRDefault="00A55002" w:rsidP="00A55002">
      <w:pPr>
        <w:pStyle w:val="Para2"/>
        <w:rPr>
          <w:lang w:val="sl"/>
        </w:rPr>
      </w:pPr>
      <w:r>
        <w:rPr>
          <w:lang w:val="sl"/>
        </w:rPr>
        <w:t xml:space="preserve">NKT ne glede na svojo sestavo vzpostavljajo in vzdržujejo smiselne odnose ter sodelujejo s predstavniki ustreznih državnih organov, poslovno skupnostjo, delavskimi organizacijami, drugimi nevladnimi organizacijami in drugimi zainteresiranimi osebami, da pridobijo dejavno podporo in zaupanje deležnikov. </w:t>
      </w:r>
    </w:p>
    <w:p w14:paraId="68B64ABB" w14:textId="77777777" w:rsidR="00A55002" w:rsidRPr="00911658" w:rsidRDefault="00A55002" w:rsidP="0042619C">
      <w:pPr>
        <w:pStyle w:val="Para0"/>
        <w:rPr>
          <w:b/>
          <w:bCs/>
        </w:rPr>
      </w:pPr>
      <w:r>
        <w:rPr>
          <w:b/>
          <w:bCs/>
          <w:lang w:val="sl"/>
        </w:rPr>
        <w:t>Obveščanje in promocija</w:t>
      </w:r>
    </w:p>
    <w:p w14:paraId="345DDB40" w14:textId="77777777" w:rsidR="00A55002" w:rsidRPr="00070208" w:rsidRDefault="00A55002" w:rsidP="00A55002">
      <w:pPr>
        <w:pStyle w:val="Para2"/>
      </w:pPr>
      <w:r>
        <w:rPr>
          <w:lang w:val="sl"/>
        </w:rPr>
        <w:t xml:space="preserve">Naloge NKT, povezane z obveščanjem in promocijo, so temeljnega pomena za krepitev prepoznavnosti </w:t>
      </w:r>
      <w:r>
        <w:rPr>
          <w:i/>
          <w:iCs/>
          <w:lang w:val="sl"/>
        </w:rPr>
        <w:t>smernic</w:t>
      </w:r>
      <w:r>
        <w:rPr>
          <w:lang w:val="sl"/>
        </w:rPr>
        <w:t xml:space="preserve"> in ozaveščenosti o njih pri deležnikih in širši javnosti ter za spodbujanje podjetij, da ravnajo v skladu s </w:t>
      </w:r>
      <w:r>
        <w:rPr>
          <w:i/>
          <w:iCs/>
          <w:lang w:val="sl"/>
        </w:rPr>
        <w:t>smernicami</w:t>
      </w:r>
      <w:r>
        <w:rPr>
          <w:lang w:val="sl"/>
        </w:rPr>
        <w:t xml:space="preserve"> in pri tem sledijo napotkom OECD za skrbne preglede poslovanja. </w:t>
      </w:r>
    </w:p>
    <w:p w14:paraId="0FB0EEA2" w14:textId="77777777" w:rsidR="00A55002" w:rsidRPr="008A691D" w:rsidRDefault="00A55002" w:rsidP="00A55002">
      <w:pPr>
        <w:pStyle w:val="Para2"/>
        <w:rPr>
          <w:lang w:val="sl"/>
        </w:rPr>
      </w:pPr>
      <w:r>
        <w:rPr>
          <w:lang w:val="sl"/>
        </w:rPr>
        <w:t xml:space="preserve">NKT morajo dejavno promovirati </w:t>
      </w:r>
      <w:r>
        <w:rPr>
          <w:i/>
          <w:iCs/>
          <w:lang w:val="sl"/>
        </w:rPr>
        <w:t>smernice</w:t>
      </w:r>
      <w:r>
        <w:rPr>
          <w:lang w:val="sl"/>
        </w:rPr>
        <w:t xml:space="preserve"> in se spodbujajo k promociji napotkov OECD o skrbnem pregledu poslovanja, kadar je primerno, zlasti kot priporoča Svet v priporočilih o teh napotkih, ter ob upoštevanju posebnih značilnosti napotkov, kot je navedeno v 15. odstavku komentarja k II. poglavju </w:t>
      </w:r>
      <w:r>
        <w:rPr>
          <w:i/>
          <w:iCs/>
          <w:lang w:val="sl"/>
        </w:rPr>
        <w:t>smernic</w:t>
      </w:r>
      <w:r>
        <w:rPr>
          <w:lang w:val="sl"/>
        </w:rPr>
        <w:t xml:space="preserve">. Primeri promocijskih dejavnosti vključujejo zagotavljanje gradiva za deležnike ali organiziranje dogodkov o odgovornem ravnanju podjetij ali sodelovanje pri takih dogodkih. Lahko se promovirajo tudi dogodki o odgovornem ravnanju podjetij, ki jih organizira OECD, druge NKT ali ustrezni subjekti. Promocijske dejavnosti NKT in povezane informacije naj bodo zlahka dostopne, na voljo na spletu in z drugimi ustreznimi sredstvi, tudi v nacionalnih jezikih. Na spletnem mestu NKT naj bodo tudi povezave na </w:t>
      </w:r>
      <w:r>
        <w:rPr>
          <w:i/>
          <w:iCs/>
          <w:lang w:val="sl"/>
        </w:rPr>
        <w:t>smernice</w:t>
      </w:r>
      <w:r>
        <w:rPr>
          <w:lang w:val="sl"/>
        </w:rPr>
        <w:t xml:space="preserve"> in napotke OECD o skrbnem pregledu poslovanja za odgovorno ravnanje podjetij. Različice v angleškem in francoskem jeziku bodo na voljo pri sekretariatu OECD. </w:t>
      </w:r>
    </w:p>
    <w:p w14:paraId="11BF822A" w14:textId="77777777" w:rsidR="00A55002" w:rsidRPr="008A691D" w:rsidRDefault="00A55002" w:rsidP="00A55002">
      <w:pPr>
        <w:pStyle w:val="Para2"/>
        <w:rPr>
          <w:lang w:val="sl"/>
        </w:rPr>
      </w:pPr>
      <w:r>
        <w:rPr>
          <w:lang w:val="sl"/>
        </w:rPr>
        <w:t xml:space="preserve">NKT si po potrebi prizadeva navedene dejavnosti in informacije enakopravno ponuditi reprezentativni skupini različnih ustreznih deležnikov. V postopkih so kot primer navedeni morebitni </w:t>
      </w:r>
      <w:r>
        <w:rPr>
          <w:lang w:val="sl"/>
        </w:rPr>
        <w:lastRenderedPageBreak/>
        <w:t xml:space="preserve">vlagatelji, za naložbe doma in v tujini. NKT se tudi spodbujajo, da se povežejo z ustreznimi državnimi organi in diplomatsko mrežo, ki so lahko pomembni ojačevalci pri promociji smernic in ozaveščanju o NKT, vključno z deležniki v drugih državah. Glede na razmere in vire NKT jim pri večanju dosega in vpliva promocijskih dejavnosti lahko pomagajo analize deležnikov in promocijski načrti. </w:t>
      </w:r>
    </w:p>
    <w:p w14:paraId="7AF13968" w14:textId="77777777" w:rsidR="00A55002" w:rsidRPr="008A691D" w:rsidRDefault="00A55002" w:rsidP="00A55002">
      <w:pPr>
        <w:pStyle w:val="Para2"/>
        <w:rPr>
          <w:lang w:val="sl"/>
        </w:rPr>
      </w:pPr>
      <w:r>
        <w:rPr>
          <w:lang w:val="sl"/>
        </w:rPr>
        <w:t xml:space="preserve">NKT naj tudi zagotavljajo informacije o svojih nalogah in dejavnostih glede na osrednja merila učinkovitosti. Promovirajo naj svojo vlogo pri posebnih primerih med ustreznimi deležniki, kadar je mogoče in primerno, tudi pri morebitnih predlagateljih posebnih primerov. To naj vključuje informacije o postopku, po katerem stranke predložijo posebne primere ali odgovorijo nanje, nasvete glede informacij, potrebnih za predložitev posebnega primera, zahteve za stranke, ki sodelujejo pri posebnem primeru, vključno z zaupnostjo, ter postopke in okvirne roke, ki jih bo upoštevala NKT. </w:t>
      </w:r>
    </w:p>
    <w:p w14:paraId="133434CF" w14:textId="77777777" w:rsidR="00A55002" w:rsidRPr="008A691D" w:rsidRDefault="00A55002" w:rsidP="00A55002">
      <w:pPr>
        <w:pStyle w:val="Para2"/>
        <w:rPr>
          <w:lang w:val="sl"/>
        </w:rPr>
      </w:pPr>
      <w:r>
        <w:rPr>
          <w:lang w:val="sl"/>
        </w:rPr>
        <w:t xml:space="preserve">NKT pri ozaveščanju o </w:t>
      </w:r>
      <w:r>
        <w:rPr>
          <w:i/>
          <w:iCs/>
          <w:lang w:val="sl"/>
        </w:rPr>
        <w:t>smernicah</w:t>
      </w:r>
      <w:r>
        <w:rPr>
          <w:lang w:val="sl"/>
        </w:rPr>
        <w:t xml:space="preserve"> sodelujejo z različnimi organizacijami in posamezniki, po potrebi tudi z ustreznimi državnimi organi, poslovno skupnostjo, delavskimi organizacijami, nevladnimi organizacijami in drugimi zainteresiranimi osebami. Tem organizacijam je promocija </w:t>
      </w:r>
      <w:r>
        <w:rPr>
          <w:i/>
          <w:iCs/>
          <w:lang w:val="sl"/>
        </w:rPr>
        <w:t>smernic</w:t>
      </w:r>
      <w:r>
        <w:rPr>
          <w:lang w:val="sl"/>
        </w:rPr>
        <w:t xml:space="preserve"> v velikem interesu, njihova institucionalna omrežja pa ponujajo veliko priložnosti za promocijo in lahko zelo okrepijo prizadevanja NKT pri promociji, če se uporabijo za ta namen.</w:t>
      </w:r>
    </w:p>
    <w:p w14:paraId="54DA9D93" w14:textId="77777777" w:rsidR="00A55002" w:rsidRPr="008A691D" w:rsidRDefault="00A55002" w:rsidP="00A55002">
      <w:pPr>
        <w:pStyle w:val="Para2"/>
        <w:rPr>
          <w:lang w:val="sl"/>
        </w:rPr>
      </w:pPr>
      <w:r>
        <w:rPr>
          <w:lang w:val="sl"/>
        </w:rPr>
        <w:t xml:space="preserve">Druga osnovna dejavnost, ki se pričakuje od NKT, je odgovarjanje na upravičene poizvedbe. Pri tem so izpostavljene tri skupine: i) druge NKT (glede na določbe sklepa); ii) poslovna skupnost, delavske organizacije, druge nevladne organizacije in javnost ter iii) vlade </w:t>
      </w:r>
      <w:proofErr w:type="spellStart"/>
      <w:r>
        <w:rPr>
          <w:lang w:val="sl"/>
        </w:rPr>
        <w:t>nepristopnic</w:t>
      </w:r>
      <w:proofErr w:type="spellEnd"/>
      <w:r>
        <w:rPr>
          <w:lang w:val="sl"/>
        </w:rPr>
        <w:t>.</w:t>
      </w:r>
    </w:p>
    <w:p w14:paraId="61DBE8F7" w14:textId="77777777" w:rsidR="00A55002" w:rsidRPr="008A691D" w:rsidRDefault="00A55002" w:rsidP="00A55002">
      <w:pPr>
        <w:pStyle w:val="Para2"/>
        <w:rPr>
          <w:lang w:val="sl"/>
        </w:rPr>
      </w:pPr>
      <w:r>
        <w:rPr>
          <w:lang w:val="sl"/>
        </w:rPr>
        <w:t xml:space="preserve">NKT naj v pomoč odboru in DSORP pri proaktivnem spodbujanju izvajanja </w:t>
      </w:r>
      <w:r>
        <w:rPr>
          <w:i/>
          <w:iCs/>
          <w:lang w:val="sl"/>
        </w:rPr>
        <w:t>smernic</w:t>
      </w:r>
      <w:r>
        <w:rPr>
          <w:lang w:val="sl"/>
        </w:rPr>
        <w:t xml:space="preserve"> vzdržujejo redne stike, vključno s sestanki, s socialnimi partnerji, kadar je primerno, in drugimi deležniki, da:</w:t>
      </w:r>
    </w:p>
    <w:p w14:paraId="4C854065" w14:textId="77777777" w:rsidR="00A55002" w:rsidRPr="008A691D" w:rsidRDefault="00A55002" w:rsidP="00A55002">
      <w:pPr>
        <w:pStyle w:val="BulletedList3"/>
        <w:numPr>
          <w:ilvl w:val="0"/>
          <w:numId w:val="58"/>
        </w:numPr>
        <w:rPr>
          <w:lang w:val="sl"/>
        </w:rPr>
      </w:pPr>
      <w:r>
        <w:rPr>
          <w:lang w:val="sl"/>
        </w:rPr>
        <w:t>obravnavajo novosti in nastajajočo prakso v zvezi z odgovornim ravnanjem podjetij;</w:t>
      </w:r>
    </w:p>
    <w:p w14:paraId="2F04356A" w14:textId="77777777" w:rsidR="00A55002" w:rsidRPr="008A691D" w:rsidRDefault="00A55002" w:rsidP="00A55002">
      <w:pPr>
        <w:pStyle w:val="BulletedList3"/>
        <w:numPr>
          <w:ilvl w:val="0"/>
          <w:numId w:val="58"/>
        </w:numPr>
        <w:rPr>
          <w:lang w:val="sl"/>
        </w:rPr>
      </w:pPr>
      <w:r>
        <w:rPr>
          <w:lang w:val="sl"/>
        </w:rPr>
        <w:t xml:space="preserve">podpirajo koristen prispevek podjetij h gospodarskemu, družbenemu in </w:t>
      </w:r>
      <w:proofErr w:type="spellStart"/>
      <w:r>
        <w:rPr>
          <w:lang w:val="sl"/>
        </w:rPr>
        <w:t>okoljskemu</w:t>
      </w:r>
      <w:proofErr w:type="spellEnd"/>
      <w:r>
        <w:rPr>
          <w:lang w:val="sl"/>
        </w:rPr>
        <w:t xml:space="preserve"> napredku;</w:t>
      </w:r>
    </w:p>
    <w:p w14:paraId="4F81EB5D" w14:textId="77777777" w:rsidR="00A55002" w:rsidRPr="008A691D" w:rsidRDefault="00A55002" w:rsidP="00A55002">
      <w:pPr>
        <w:pStyle w:val="BulletedList3"/>
        <w:numPr>
          <w:ilvl w:val="0"/>
          <w:numId w:val="58"/>
        </w:numPr>
        <w:rPr>
          <w:lang w:val="sl"/>
        </w:rPr>
      </w:pPr>
      <w:r>
        <w:rPr>
          <w:lang w:val="sl"/>
        </w:rPr>
        <w:t>kadar je primerno, sodelujejo pri skupnih pobudah za določanje tveganj škodljivih vplivov, povezanih s posameznimi izdelki, regijami, sektorji ali panogami, in odzivanje na ta tveganja.</w:t>
      </w:r>
    </w:p>
    <w:p w14:paraId="462F300B" w14:textId="77777777" w:rsidR="00A55002" w:rsidRPr="005B1F98" w:rsidRDefault="00A55002" w:rsidP="0042619C">
      <w:pPr>
        <w:pStyle w:val="Para0"/>
        <w:rPr>
          <w:b/>
          <w:bCs/>
          <w:u w:val="single"/>
        </w:rPr>
      </w:pPr>
      <w:r>
        <w:rPr>
          <w:b/>
          <w:bCs/>
          <w:lang w:val="sl"/>
        </w:rPr>
        <w:t>Vzajemno učenje</w:t>
      </w:r>
    </w:p>
    <w:p w14:paraId="1B52E6FF" w14:textId="77777777" w:rsidR="00A55002" w:rsidRPr="008A691D" w:rsidRDefault="00A55002" w:rsidP="00A55002">
      <w:pPr>
        <w:pStyle w:val="Para2"/>
        <w:rPr>
          <w:lang w:val="sl"/>
        </w:rPr>
      </w:pPr>
      <w:r>
        <w:rPr>
          <w:lang w:val="sl"/>
        </w:rPr>
        <w:t xml:space="preserve">NKT poleg prispevanja k delu odbora in DSORP za krepitev učinkovitosti </w:t>
      </w:r>
      <w:r>
        <w:rPr>
          <w:i/>
          <w:iCs/>
          <w:lang w:val="sl"/>
        </w:rPr>
        <w:t>smernic</w:t>
      </w:r>
      <w:r>
        <w:rPr>
          <w:lang w:val="sl"/>
        </w:rPr>
        <w:t xml:space="preserve"> sodelujejo pri skupnih dejavnostih vzajemnega učenja. Tako vzajemno učenje se lahko izvaja s sestanki na OECD ali z neposrednim sodelovanjem med NKT.</w:t>
      </w:r>
    </w:p>
    <w:p w14:paraId="567485AC" w14:textId="77777777" w:rsidR="00A55002" w:rsidRDefault="00A55002" w:rsidP="0042619C">
      <w:pPr>
        <w:pStyle w:val="Para0"/>
        <w:rPr>
          <w:b/>
          <w:bCs/>
        </w:rPr>
      </w:pPr>
      <w:r>
        <w:rPr>
          <w:b/>
          <w:bCs/>
          <w:lang w:val="sl"/>
        </w:rPr>
        <w:t>Medsebojni strokovni pregledi</w:t>
      </w:r>
    </w:p>
    <w:p w14:paraId="4F390ACC" w14:textId="77777777" w:rsidR="00A55002" w:rsidRPr="008A691D" w:rsidRDefault="00A55002" w:rsidP="00A55002">
      <w:pPr>
        <w:pStyle w:val="Para2"/>
        <w:rPr>
          <w:lang w:val="sl"/>
        </w:rPr>
      </w:pPr>
      <w:r>
        <w:rPr>
          <w:lang w:val="sl"/>
        </w:rPr>
        <w:t xml:space="preserve">Medsebojni strokovni pregledi so pomemben mehanizem za krepitev učinkovitosti izvajanja </w:t>
      </w:r>
      <w:r>
        <w:rPr>
          <w:i/>
          <w:iCs/>
          <w:lang w:val="sl"/>
        </w:rPr>
        <w:t>smernic</w:t>
      </w:r>
      <w:r>
        <w:rPr>
          <w:lang w:val="sl"/>
        </w:rPr>
        <w:t xml:space="preserve">, izmenjavo dobrih praks in podporo funkcionalni enakovrednosti. Kot je določeno v sklepu, se pristopnice zavezujejo, da bodo opravljale medsebojne strokovne preglede svojih NKT. Medsebojne strokovne preglede organizira sekretariat pod nadzorom DSORP. Pri medsebojnih strokovnih pregledih se ocenijo prednosti in slabosti NKT glede na njeno izvajanje pristojnosti in osrednja merila učinkovitosti iz I. razdelka postopkov ter po potrebi dajo priporočila za izboljšave. </w:t>
      </w:r>
    </w:p>
    <w:p w14:paraId="5A6022DA" w14:textId="77777777" w:rsidR="00A55002" w:rsidRPr="008A691D" w:rsidRDefault="00A55002" w:rsidP="00A55002">
      <w:pPr>
        <w:pStyle w:val="Para2"/>
        <w:rPr>
          <w:lang w:val="sl"/>
        </w:rPr>
      </w:pPr>
      <w:r>
        <w:rPr>
          <w:lang w:val="sl"/>
        </w:rPr>
        <w:t>Pogoji in načini rednih medsebojnih strokovnih pregledov (postopek, trajanje kroga medsebojnega strokovnega pregleda in ureditev financiranja) se opredelijo v "osrednji predlogi za medsebojne strokovne preglede NKT", ki jo soglasno odobri DSORP in se objavi na spletnem mestu OECD. Na koncu vsakega kroga DSORP pregleda osrednjo predlogo, zlasti za zagotovitev, da imajo NKT dovolj časa za pripravo medsebojnih strokovnih pregledov, da medsebojni strokovni pregledi niso nerazumno obremenjujoči, so stroškovno učinkoviti za vlade in NKT (tudi tiste NKT, ki izvajajo pregled) ter upoštevajo delovne obveznosti DSORP in sekretariata ter da postopek za izbiro NKT, ki bodo izvajale medsebojni strokovni pregled, vsem NKT zagotavlja priložnost za sodelovanje v skupinah za medsebojni strokovni pregled. Krog medsebojnih strokovnih pregledov se ne začne, dokler pogojev in načinov ne odobri DSORP.</w:t>
      </w:r>
    </w:p>
    <w:p w14:paraId="3525F0DE" w14:textId="77777777" w:rsidR="00A55002" w:rsidRDefault="00A55002" w:rsidP="0042619C">
      <w:pPr>
        <w:pStyle w:val="Para0"/>
        <w:rPr>
          <w:b/>
          <w:bCs/>
        </w:rPr>
      </w:pPr>
      <w:r>
        <w:rPr>
          <w:b/>
          <w:bCs/>
          <w:lang w:val="sl"/>
        </w:rPr>
        <w:t xml:space="preserve">Posebni primeri </w:t>
      </w:r>
    </w:p>
    <w:p w14:paraId="0B964F2A" w14:textId="77777777" w:rsidR="00A55002" w:rsidRPr="008A691D" w:rsidRDefault="00A55002" w:rsidP="00A55002">
      <w:pPr>
        <w:pStyle w:val="Para2"/>
        <w:rPr>
          <w:b/>
          <w:i/>
          <w:u w:val="single"/>
          <w:lang w:val="sl"/>
        </w:rPr>
      </w:pPr>
      <w:r>
        <w:rPr>
          <w:lang w:val="sl"/>
        </w:rPr>
        <w:lastRenderedPageBreak/>
        <w:t xml:space="preserve">Od NKT se pričakuje, da kot nesodni mehanizem za pritožbe pomaga pri reševanju vprašanj, ki nastanejo v zvezi z izvajanjem </w:t>
      </w:r>
      <w:r>
        <w:rPr>
          <w:i/>
          <w:iCs/>
          <w:lang w:val="sl"/>
        </w:rPr>
        <w:t>smernic</w:t>
      </w:r>
      <w:r>
        <w:rPr>
          <w:lang w:val="sl"/>
        </w:rPr>
        <w:t xml:space="preserve"> v posebnih primerih. Pri tem si NKT prizadevajo omogočati dialog med strankami in jim pomagati pri iskanju vzajemno sprejemljivih in s </w:t>
      </w:r>
      <w:r>
        <w:rPr>
          <w:i/>
          <w:iCs/>
          <w:lang w:val="sl"/>
        </w:rPr>
        <w:t>smernicami</w:t>
      </w:r>
      <w:r>
        <w:rPr>
          <w:lang w:val="sl"/>
        </w:rPr>
        <w:t xml:space="preserve"> skladnih rešitev za sprožena vprašanja ter k dialogu tudi dejavno prispevati svoje strokovno znanje in izkušnje o </w:t>
      </w:r>
      <w:r>
        <w:rPr>
          <w:i/>
          <w:iCs/>
          <w:lang w:val="sl"/>
        </w:rPr>
        <w:t>smernicah</w:t>
      </w:r>
      <w:r>
        <w:rPr>
          <w:lang w:val="sl"/>
        </w:rPr>
        <w:t xml:space="preserve">. NKT naj tudi pripravijo končne izjave tako, da dajejo napotke za reševanje vprašanj in izvajanje </w:t>
      </w:r>
      <w:r>
        <w:rPr>
          <w:i/>
          <w:iCs/>
          <w:lang w:val="sl"/>
        </w:rPr>
        <w:t>smernic</w:t>
      </w:r>
      <w:r>
        <w:rPr>
          <w:lang w:val="sl"/>
        </w:rPr>
        <w:t xml:space="preserve">. Smernice OECD za skrbni pregled poslovanja za odgovorno ravnanje podjetij in napotki OECD o skrbnem pregledu poslovanja za posamezne sektorje so za NKT koristen vir za razumevanje in promocijo </w:t>
      </w:r>
      <w:r>
        <w:rPr>
          <w:i/>
          <w:iCs/>
          <w:lang w:val="sl"/>
        </w:rPr>
        <w:t>smernic</w:t>
      </w:r>
      <w:r>
        <w:rPr>
          <w:lang w:val="sl"/>
        </w:rPr>
        <w:t>, vendar njihov namen ni biti edina podlaga za predložitev posebnih primerov. Vsaka NKT objavi jasne in lahko dostopne postopke za obravnavo zadev, ki so skladni s temi postopki in v katerih opiše, kako obravnava posebne primere. NKT se spodbujajo, da svoje postopke za obravnavo zadev oblikujejo ob posvetovanju z deležniki.</w:t>
      </w:r>
    </w:p>
    <w:p w14:paraId="2067C1EC" w14:textId="77777777" w:rsidR="00A55002" w:rsidRPr="0012596E" w:rsidRDefault="00A55002" w:rsidP="0042619C">
      <w:pPr>
        <w:pStyle w:val="Para0"/>
        <w:rPr>
          <w:b/>
          <w:bCs/>
        </w:rPr>
      </w:pPr>
      <w:r>
        <w:rPr>
          <w:b/>
          <w:bCs/>
          <w:lang w:val="sl"/>
        </w:rPr>
        <w:t>Sodelovanje v dobri veri</w:t>
      </w:r>
    </w:p>
    <w:p w14:paraId="47872F09" w14:textId="77777777" w:rsidR="00A55002" w:rsidRPr="008A691D" w:rsidRDefault="00A55002" w:rsidP="00A55002">
      <w:pPr>
        <w:pStyle w:val="Para2"/>
        <w:rPr>
          <w:lang w:val="sl"/>
        </w:rPr>
      </w:pPr>
      <w:r>
        <w:rPr>
          <w:lang w:val="sl"/>
        </w:rPr>
        <w:t xml:space="preserve">Postopek za posebne primere je prostovoljen. Od vseh strank, vpletenih v postopke, se pričakuje sodelovanje v dobri veri. Sodelovanje v dobri veri v tem okviru pomeni pravočasno se odzivati, ohranjati zaupnost, kadar je to potrebno in v skladu s postopki NKT za obravnavo zadev, </w:t>
      </w:r>
      <w:bookmarkStart w:id="54" w:name="_Hlk124500104"/>
      <w:r>
        <w:rPr>
          <w:lang w:val="sl"/>
        </w:rPr>
        <w:t>ne napačno prikazovati vprašanj in postopka, predvsem v sporočilih za javnost,</w:t>
      </w:r>
      <w:bookmarkEnd w:id="54"/>
      <w:r>
        <w:rPr>
          <w:lang w:val="sl"/>
        </w:rPr>
        <w:t xml:space="preserve"> ne groziti ali povračilno ukrepati proti strankam, vpletenim v postopek, ali proti NKT ter pristno sodelovati v postopku z namenom najti s </w:t>
      </w:r>
      <w:r>
        <w:rPr>
          <w:i/>
          <w:iCs/>
          <w:lang w:val="sl"/>
        </w:rPr>
        <w:t>smernicami</w:t>
      </w:r>
      <w:r>
        <w:rPr>
          <w:lang w:val="sl"/>
        </w:rPr>
        <w:t xml:space="preserve"> skladno rešitev za sprožena vprašanja, vključno z resnim razmislekom o vsaki ponujeni dobri uslugi NKT. </w:t>
      </w:r>
    </w:p>
    <w:p w14:paraId="28243DDE" w14:textId="77777777" w:rsidR="00A55002" w:rsidRPr="008A691D" w:rsidRDefault="00A55002" w:rsidP="00A55002">
      <w:pPr>
        <w:pStyle w:val="Para2"/>
        <w:rPr>
          <w:lang w:val="sl"/>
        </w:rPr>
      </w:pPr>
      <w:r>
        <w:rPr>
          <w:lang w:val="sl"/>
        </w:rPr>
        <w:t xml:space="preserve">Če NKT izve za grožnjo ali obstoj povračilnih ukrepov, namenjenih osebi, vpleteni v posebni primer, ali NKT ali njenemu članu, naj sprejme ukrepe po svojih zmožnostih in po posvetovanju z drugimi ustreznimi državnimi subjekti, kot so diplomatska predstavništva, da zagotovi ustrezno zaščito ogroženi osebi ter varno, dostopno, enakopravno in nepristransko nadaljevanje postopka. Pred vsakim takim ukrepom se NKT posvetuje z ogroženo osebo, če je mogoče. Povračilni ukrepi lahko vključujejo grožnje s poškodovanjem posameznika, njegove družine ali drugih sorodnikov, neprimerne grožnje s prekinitvijo zaposlitve ali pravic ali neprimerne grožnje s tožbo. Primerni ukrepi lahko vključujejo ohranjanje zaupnosti identitete ogrožene osebe, predlaganje, da ogroženo osebo zastopa zanesljiva tretja oseba, dokumentiranje poskusov povračilnih ukrepov v izjavah, vzpostavitev stika z ustreznimi organi ali pomoč ogroženi osebi pri vzpostavitvi takega stika. </w:t>
      </w:r>
    </w:p>
    <w:p w14:paraId="11664013" w14:textId="77777777" w:rsidR="00A55002" w:rsidRPr="008A691D" w:rsidRDefault="00A55002" w:rsidP="00A55002">
      <w:pPr>
        <w:pStyle w:val="Para2"/>
        <w:rPr>
          <w:lang w:val="sl"/>
        </w:rPr>
      </w:pPr>
      <w:r>
        <w:rPr>
          <w:lang w:val="sl"/>
        </w:rPr>
        <w:t>Da se ohranita dostopnost in nepristranskost, naj vlade z ustreznimi ukrepi tudi zavarujejo NKT in njene člane pred povračilnimi ukrepi v skladu z notranjim pravom in ob posvetovanju s pristojnimi državnimi organi. Vlade naj podprejo ukrepe, ki jih sprejme NKT za zaščito sebe in svojih članov.</w:t>
      </w:r>
    </w:p>
    <w:p w14:paraId="1AB4C4E3" w14:textId="77777777" w:rsidR="00A55002" w:rsidRPr="008A691D" w:rsidRDefault="00A55002" w:rsidP="0042619C">
      <w:pPr>
        <w:pStyle w:val="Para0"/>
        <w:rPr>
          <w:b/>
          <w:bCs/>
          <w:lang w:val="sl"/>
        </w:rPr>
      </w:pPr>
      <w:r>
        <w:rPr>
          <w:b/>
          <w:bCs/>
          <w:lang w:val="sl"/>
        </w:rPr>
        <w:t xml:space="preserve">Usklajevanje med NKT v posebnih primerih </w:t>
      </w:r>
    </w:p>
    <w:p w14:paraId="23F203D8" w14:textId="77777777" w:rsidR="00A55002" w:rsidRPr="008A691D" w:rsidRDefault="00A55002" w:rsidP="00A55002">
      <w:pPr>
        <w:pStyle w:val="Para2"/>
        <w:rPr>
          <w:lang w:val="sl"/>
        </w:rPr>
      </w:pPr>
      <w:r>
        <w:rPr>
          <w:lang w:val="sl"/>
        </w:rPr>
        <w:t xml:space="preserve">Ker pristopnice </w:t>
      </w:r>
      <w:r>
        <w:rPr>
          <w:i/>
          <w:iCs/>
          <w:lang w:val="sl"/>
        </w:rPr>
        <w:t>smernice</w:t>
      </w:r>
      <w:r>
        <w:rPr>
          <w:lang w:val="sl"/>
        </w:rPr>
        <w:t xml:space="preserve"> namenjajo podjetjem, ki poslujejo na njihovem ozemlju ali z njihovega ozemlja, NKT lahko prejemajo posebne primere v zvezi z vprašanji, ki nastanejo v njihovi državi ali se nanašajo na podjetja s sedežem v njihovi državi. Tako je lahko posebni primer povezan z NKT več pristopnic, na primer:</w:t>
      </w:r>
    </w:p>
    <w:p w14:paraId="168A44F8" w14:textId="77777777" w:rsidR="00A55002" w:rsidRPr="008A691D" w:rsidRDefault="00A55002" w:rsidP="00A55002">
      <w:pPr>
        <w:pStyle w:val="BulletedList3"/>
        <w:rPr>
          <w:lang w:val="sl"/>
        </w:rPr>
      </w:pPr>
      <w:r>
        <w:rPr>
          <w:lang w:val="sl"/>
        </w:rPr>
        <w:t>kadar se posebni primer nanaša domačo državo in državo gostiteljico, ki sta različni pristopnici (npr. se nanaša na dejavnosti podjetja s sedežem v eni pristopnici, ki vplivajo na drugo pristopnico, ali podjetja s sedeži v več pristopnicah);</w:t>
      </w:r>
    </w:p>
    <w:p w14:paraId="5184AD38" w14:textId="77777777" w:rsidR="00A55002" w:rsidRPr="008A691D" w:rsidRDefault="00A55002" w:rsidP="00A55002">
      <w:pPr>
        <w:pStyle w:val="BulletedList3"/>
        <w:rPr>
          <w:lang w:val="sl"/>
        </w:rPr>
      </w:pPr>
      <w:r>
        <w:rPr>
          <w:lang w:val="sl"/>
        </w:rPr>
        <w:t>kadar se vprašanja, sprožena v posebnem primeru, pojavljajo v več pristopnicah ali se nanašajo na več podjetij s sedeži v več pristopnicah;</w:t>
      </w:r>
    </w:p>
    <w:p w14:paraId="69F60FFD" w14:textId="77777777" w:rsidR="00A55002" w:rsidRPr="008A691D" w:rsidRDefault="00A55002" w:rsidP="00A55002">
      <w:pPr>
        <w:pStyle w:val="BulletedList3"/>
        <w:rPr>
          <w:lang w:val="sl"/>
        </w:rPr>
      </w:pPr>
      <w:r>
        <w:rPr>
          <w:lang w:val="sl"/>
        </w:rPr>
        <w:t xml:space="preserve">kadar se več NKT predloži isti posebni primer ali se predložijo povezani posebni primeri (kot so posebni primeri, ki se nanašajo na različna podjetja, dejavna pri istem projektu ali v isti dobavni verigi). </w:t>
      </w:r>
    </w:p>
    <w:p w14:paraId="1FD0442A" w14:textId="77777777" w:rsidR="00A55002" w:rsidRPr="008A691D" w:rsidRDefault="00A55002" w:rsidP="0042619C">
      <w:pPr>
        <w:pStyle w:val="Para0"/>
        <w:rPr>
          <w:lang w:val="sl"/>
        </w:rPr>
      </w:pPr>
      <w:r>
        <w:rPr>
          <w:lang w:val="sl"/>
        </w:rPr>
        <w:lastRenderedPageBreak/>
        <w:t>V takih primerih NKT, ki je(so) prejela(e) posebni(e) primer(e), že na začetku obvesti(jo) vse druge s primerom(i) povezane NKT ter se z njimi usklajuje(jo), da določijo vodilno NKT in podporne NKT ter sprejmejo način usklajevanja.</w:t>
      </w:r>
    </w:p>
    <w:p w14:paraId="13D3BE47" w14:textId="77777777" w:rsidR="00A55002" w:rsidRPr="008A691D" w:rsidRDefault="00A55002" w:rsidP="00A55002">
      <w:pPr>
        <w:pStyle w:val="Para2"/>
        <w:rPr>
          <w:lang w:val="sl"/>
        </w:rPr>
      </w:pPr>
      <w:r>
        <w:rPr>
          <w:lang w:val="sl"/>
        </w:rPr>
        <w:t xml:space="preserve">Običajno je NKT države, v kateri so bila vprašanja sprožena, vodilna NKT. V nekaterih primerih pa se lahko uporabijo druga merila, na primer, kadar je to potrebno za lažjo rešitev sproženih vprašanj ali kadar vprašanja sproži </w:t>
      </w:r>
      <w:proofErr w:type="spellStart"/>
      <w:r>
        <w:rPr>
          <w:lang w:val="sl"/>
        </w:rPr>
        <w:t>nepristopnica</w:t>
      </w:r>
      <w:proofErr w:type="spellEnd"/>
      <w:r>
        <w:rPr>
          <w:lang w:val="sl"/>
        </w:rPr>
        <w:t>. Stranke je treba obveščati o načinu usklajevanja in se z njimi posvetovati o odločitvi, da se zadeva prenese na vodilno NKT, ki ni tista, ki ji je bila zadeva predložena.</w:t>
      </w:r>
    </w:p>
    <w:p w14:paraId="3D37540E" w14:textId="77777777" w:rsidR="00A55002" w:rsidRPr="008A691D" w:rsidRDefault="00A55002" w:rsidP="00A55002">
      <w:pPr>
        <w:pStyle w:val="Para2"/>
        <w:rPr>
          <w:lang w:val="sl"/>
        </w:rPr>
      </w:pPr>
      <w:r>
        <w:rPr>
          <w:lang w:val="sl"/>
        </w:rPr>
        <w:t xml:space="preserve">Vodilna NKT je odgovorna za vse vidike postopka posebnega primera in uporabljajo se njeni postopki za obravnavo zadev. Ves čas postopka posebnega primera se podporne NKT obveščajo o poteku in lahko pomagajo, na primer s pregledovanjem izjav/poročil, zagotavljanjem prevajalskih storitev, pomočjo pri skupnih sestankih s strankami in drugo praktično pomočjo. Podporne NKT delujejo v dobri veri, da podprejo rešitev posebnega primera, vse vpletene NKT pa spoštujejo zaupnost in ustrezno uporabo informacij in gradiva, ki jih prejmejo od drugih NKT. </w:t>
      </w:r>
    </w:p>
    <w:p w14:paraId="0EA061A6" w14:textId="77777777" w:rsidR="00A55002" w:rsidRPr="008A691D" w:rsidRDefault="00A55002" w:rsidP="00A55002">
      <w:pPr>
        <w:pStyle w:val="Para2"/>
        <w:rPr>
          <w:lang w:val="sl"/>
        </w:rPr>
      </w:pPr>
      <w:r>
        <w:rPr>
          <w:lang w:val="sl"/>
        </w:rPr>
        <w:t>NKT lahko prosijo predsedujočega DSORP za pomoč, vključno s predlogi, ko razpravljajo o izbiri vodilne NKT in podpornih NKT ter usklajevanju med njimi. Če NKT ne dosežejo soglasja, naj NKT, ki je(so) prejela(e) posebni(e) primer(e), dokončno odloči(jo) o zadevi ob posvetovanju z drugimi vpletenimi NKT, ki jih redno obvešča(jo) o poteku zadeve.</w:t>
      </w:r>
    </w:p>
    <w:p w14:paraId="39CED880" w14:textId="77777777" w:rsidR="00A55002" w:rsidRPr="008A691D" w:rsidRDefault="00A55002" w:rsidP="0042619C">
      <w:pPr>
        <w:pStyle w:val="Para0"/>
        <w:rPr>
          <w:lang w:val="sl"/>
        </w:rPr>
      </w:pPr>
    </w:p>
    <w:p w14:paraId="4F546D02" w14:textId="77777777" w:rsidR="00A55002" w:rsidRPr="002D6B4F" w:rsidRDefault="00A55002" w:rsidP="0042619C">
      <w:pPr>
        <w:pStyle w:val="Para0"/>
        <w:rPr>
          <w:b/>
          <w:bCs/>
        </w:rPr>
      </w:pPr>
      <w:r>
        <w:rPr>
          <w:b/>
          <w:bCs/>
          <w:lang w:val="sl"/>
        </w:rPr>
        <w:t>Začetna ocena</w:t>
      </w:r>
    </w:p>
    <w:p w14:paraId="74E6BCA4" w14:textId="77777777" w:rsidR="00A55002" w:rsidRPr="00751852" w:rsidRDefault="00A55002" w:rsidP="00A55002">
      <w:pPr>
        <w:pStyle w:val="Para2"/>
      </w:pPr>
      <w:r>
        <w:rPr>
          <w:lang w:val="sl"/>
        </w:rPr>
        <w:t>NKT po posvetovanju s strankami o sproženih vprašanjih ter po potrebi po usklajevanju z drugimi vpletenimi NKT, da se določi vodilna NKT glede na 29.–32. odstavek, pripravi začetno oceno o tem, ali sproženo vprašanje terja nadaljnjo proučitev.</w:t>
      </w:r>
    </w:p>
    <w:p w14:paraId="52DFD464" w14:textId="77777777" w:rsidR="00A55002" w:rsidRPr="008A691D" w:rsidRDefault="00A55002" w:rsidP="0042619C">
      <w:pPr>
        <w:pStyle w:val="Para0"/>
        <w:rPr>
          <w:lang w:val="it-IT"/>
        </w:rPr>
      </w:pPr>
      <w:r>
        <w:rPr>
          <w:lang w:val="sl"/>
        </w:rPr>
        <w:t>Pri začetni oceni NKT upošteva:</w:t>
      </w:r>
    </w:p>
    <w:p w14:paraId="6FE3E10F" w14:textId="77777777" w:rsidR="00A55002" w:rsidRPr="008A691D" w:rsidRDefault="00A55002" w:rsidP="00A55002">
      <w:pPr>
        <w:pStyle w:val="BulletedList3"/>
        <w:rPr>
          <w:lang w:val="de-DE"/>
        </w:rPr>
      </w:pPr>
      <w:r>
        <w:rPr>
          <w:lang w:val="sl"/>
        </w:rPr>
        <w:t>identiteto zadevne stranke in njen interes v zadevi;</w:t>
      </w:r>
    </w:p>
    <w:p w14:paraId="143DE966" w14:textId="77777777" w:rsidR="00A55002" w:rsidRPr="008A691D" w:rsidRDefault="00A55002" w:rsidP="00A55002">
      <w:pPr>
        <w:pStyle w:val="BulletedList3"/>
        <w:rPr>
          <w:lang w:val="de-DE"/>
        </w:rPr>
      </w:pPr>
      <w:r>
        <w:rPr>
          <w:lang w:val="sl"/>
        </w:rPr>
        <w:t xml:space="preserve">ali je vprašanje bistveno, tj. pomembno za izvajanje </w:t>
      </w:r>
      <w:r>
        <w:rPr>
          <w:i/>
          <w:iCs/>
          <w:lang w:val="sl"/>
        </w:rPr>
        <w:t>smernic</w:t>
      </w:r>
      <w:r>
        <w:rPr>
          <w:lang w:val="sl"/>
        </w:rPr>
        <w:t>, ter utemeljeno, tj. podprto z zadostnimi in verodostojnimi informacijami;</w:t>
      </w:r>
    </w:p>
    <w:p w14:paraId="262FA5BA" w14:textId="77777777" w:rsidR="00A55002" w:rsidRPr="008A691D" w:rsidRDefault="00A55002" w:rsidP="00A55002">
      <w:pPr>
        <w:pStyle w:val="BulletedList3"/>
        <w:rPr>
          <w:lang w:val="fr-FR"/>
        </w:rPr>
      </w:pPr>
      <w:r>
        <w:rPr>
          <w:lang w:val="sl"/>
        </w:rPr>
        <w:t xml:space="preserve">ali je podjetje zajeto v </w:t>
      </w:r>
      <w:r>
        <w:rPr>
          <w:i/>
          <w:iCs/>
          <w:lang w:val="sl"/>
        </w:rPr>
        <w:t>smernicah</w:t>
      </w:r>
      <w:r>
        <w:rPr>
          <w:lang w:val="sl"/>
        </w:rPr>
        <w:t>;</w:t>
      </w:r>
    </w:p>
    <w:p w14:paraId="0CF5A8D7" w14:textId="77777777" w:rsidR="00A55002" w:rsidRPr="008A691D" w:rsidRDefault="00A55002" w:rsidP="00A55002">
      <w:pPr>
        <w:pStyle w:val="BulletedList3"/>
        <w:rPr>
          <w:lang w:val="fr-FR"/>
        </w:rPr>
      </w:pPr>
      <w:r>
        <w:rPr>
          <w:lang w:val="sl"/>
        </w:rPr>
        <w:t>ali se zdi, da obstaja povezava med dejavnostmi podjetja in vprašanjem, sproženim v posebnem primeru;</w:t>
      </w:r>
    </w:p>
    <w:p w14:paraId="475AF288" w14:textId="77777777" w:rsidR="00A55002" w:rsidRPr="008A691D" w:rsidRDefault="00A55002" w:rsidP="00A55002">
      <w:pPr>
        <w:pStyle w:val="BulletedList3"/>
        <w:rPr>
          <w:lang w:val="fr-FR"/>
        </w:rPr>
      </w:pPr>
      <w:r>
        <w:rPr>
          <w:lang w:val="sl"/>
        </w:rPr>
        <w:t xml:space="preserve">v kakšnem obsegu veljavno pravo in/ali vzporedni postopki omejujejo zmožnost NKT, da prispeva k rešitvi vprašanja in/ali izvajanju </w:t>
      </w:r>
      <w:r>
        <w:rPr>
          <w:i/>
          <w:iCs/>
          <w:lang w:val="sl"/>
        </w:rPr>
        <w:t>smernic</w:t>
      </w:r>
      <w:r>
        <w:rPr>
          <w:lang w:val="sl"/>
        </w:rPr>
        <w:t xml:space="preserve"> glede na 35. odstavek v nadaljevanju; </w:t>
      </w:r>
    </w:p>
    <w:p w14:paraId="07172E9D" w14:textId="77777777" w:rsidR="00A55002" w:rsidRPr="008A691D" w:rsidRDefault="00A55002" w:rsidP="00A55002">
      <w:pPr>
        <w:pStyle w:val="BulletedList3"/>
        <w:rPr>
          <w:lang w:val="fr-FR"/>
        </w:rPr>
      </w:pPr>
      <w:r>
        <w:rPr>
          <w:lang w:val="sl"/>
        </w:rPr>
        <w:t xml:space="preserve">ali bi proučitev vprašanja prispevala k namenu in učinkovitosti </w:t>
      </w:r>
      <w:r>
        <w:rPr>
          <w:i/>
          <w:iCs/>
          <w:lang w:val="sl"/>
        </w:rPr>
        <w:t>smernic</w:t>
      </w:r>
      <w:r>
        <w:rPr>
          <w:lang w:val="sl"/>
        </w:rPr>
        <w:t>.</w:t>
      </w:r>
    </w:p>
    <w:p w14:paraId="1F640365" w14:textId="77777777" w:rsidR="00A55002" w:rsidRPr="008A691D" w:rsidRDefault="00A55002" w:rsidP="00A55002">
      <w:pPr>
        <w:pStyle w:val="Para2"/>
        <w:rPr>
          <w:i/>
          <w:lang w:val="sl"/>
        </w:rPr>
      </w:pPr>
      <w:r>
        <w:rPr>
          <w:lang w:val="sl"/>
        </w:rPr>
        <w:t xml:space="preserve">Po začetni oceni NKT odgovori vpletenim strankam. Če NKT odloči, da sprožena vprašanja ne terjajo nadaljnje proučitve, stranke obvesti o razlogih za svojo odločitev. Odločitev, da zadeva terja nadaljnjo proučitev, ne pomeni, da so bila sprožena vprašanja dokončno obravnavana, niti ne pomeni ugotovitve, da podjetje je ali ni delovalo v skladu s </w:t>
      </w:r>
      <w:r>
        <w:rPr>
          <w:i/>
          <w:iCs/>
          <w:lang w:val="sl"/>
        </w:rPr>
        <w:t>smernicami</w:t>
      </w:r>
      <w:r>
        <w:rPr>
          <w:lang w:val="sl"/>
        </w:rPr>
        <w:t>.</w:t>
      </w:r>
    </w:p>
    <w:p w14:paraId="5AE302AC" w14:textId="77777777" w:rsidR="00A55002" w:rsidRPr="00C85FE2" w:rsidRDefault="00A55002" w:rsidP="0042619C">
      <w:pPr>
        <w:pStyle w:val="Para0"/>
        <w:rPr>
          <w:b/>
          <w:bCs/>
        </w:rPr>
      </w:pPr>
      <w:r>
        <w:rPr>
          <w:b/>
          <w:bCs/>
          <w:lang w:val="sl"/>
        </w:rPr>
        <w:t>Vzporedni postopek</w:t>
      </w:r>
    </w:p>
    <w:p w14:paraId="51EA572D" w14:textId="77777777" w:rsidR="00A55002" w:rsidRPr="00E205CD" w:rsidRDefault="00A55002" w:rsidP="00A55002">
      <w:pPr>
        <w:pStyle w:val="Para2"/>
        <w:rPr>
          <w:lang w:val="pl-PL"/>
        </w:rPr>
      </w:pPr>
      <w:r>
        <w:rPr>
          <w:lang w:val="sl"/>
        </w:rPr>
        <w:t xml:space="preserve">Izraz "vzporedni postopek" se nanaša na sodni ali nesodni postopek na domači ali mednarodni ravni za ista ali tesno povezana vprašanja, ki bi lahko vplival na tekoči posebni primer. To vključuje posebne primere pred isto ali drugo NKT. Če se je vodil ali teče ali je na voljo vpletenim strankam vzporedni postopek, to NKT ne preprečuje nudenja dobrih uslug strankam. NKT naj ocenijo, ali bi nudenje dobrih uslug lahko koristno prispevalo k rešitvi sproženih vprašanj in/ali izvajanju </w:t>
      </w:r>
      <w:r>
        <w:rPr>
          <w:i/>
          <w:iCs/>
          <w:lang w:val="sl"/>
        </w:rPr>
        <w:t>smernic</w:t>
      </w:r>
      <w:r>
        <w:rPr>
          <w:lang w:val="sl"/>
        </w:rPr>
        <w:t xml:space="preserve"> v prihodnosti ter ne bi resno škodovalo kateri koli stranki, vpleteni v vzporedni postopek, ali povzročilo razžalitev sodišča. Pri tej oceni NKT lahko upošteva prakso drugih NKT, razmisli o možnosti delnega sprejema posebnega primera </w:t>
      </w:r>
      <w:r>
        <w:rPr>
          <w:lang w:val="sl"/>
        </w:rPr>
        <w:lastRenderedPageBreak/>
        <w:t>ali prekinitve proučevanja, dokler traja vzporedni postopek, ter se po potrebi posvetuje z institucijami, v katerih se vodi ali bi se lahko vodil vzporedni postopek. NKT prosi stranke, da ji pri tem pomagajo z informacijami in stališči o vzporednem postopku.</w:t>
      </w:r>
    </w:p>
    <w:p w14:paraId="261F3942" w14:textId="77777777" w:rsidR="00A55002" w:rsidRPr="00BD4DFD" w:rsidRDefault="00A55002" w:rsidP="0042619C">
      <w:pPr>
        <w:pStyle w:val="Para0"/>
        <w:rPr>
          <w:b/>
          <w:bCs/>
          <w:strike/>
        </w:rPr>
      </w:pPr>
      <w:r>
        <w:rPr>
          <w:b/>
          <w:bCs/>
          <w:lang w:val="sl"/>
        </w:rPr>
        <w:t>Dobre usluge</w:t>
      </w:r>
    </w:p>
    <w:p w14:paraId="16E45FA3" w14:textId="77777777" w:rsidR="00A55002" w:rsidRPr="008A691D" w:rsidRDefault="00A55002" w:rsidP="00A55002">
      <w:pPr>
        <w:pStyle w:val="Para2"/>
        <w:rPr>
          <w:b/>
          <w:i/>
          <w:u w:val="single"/>
          <w:lang w:val="sl"/>
        </w:rPr>
      </w:pPr>
      <w:r>
        <w:rPr>
          <w:lang w:val="sl"/>
        </w:rPr>
        <w:t xml:space="preserve">Kadar sprožena vprašanja terjajo nadaljnjo proučitev, NKT ponudi "dobre usluge" v prizadevanju prispevati k reševanju vprašanj. V okviru dobrih uslug NKT lahko pridobiva nasvete ustreznih organov ter predstavnikov poslovne skupnosti, delavskih organizacij, drugih nevladnih organizacij in strokovnjakov v skladu s svojimi postopki za obravnavo zadev. Pri reševanju vprašanja lahko pomaga tudi posvetovanje z NKT v drugih državah ali pridobivanje informacij od sekretariata ali napotkov od DSORP o vprašanjih, povezanih z razlago </w:t>
      </w:r>
      <w:r>
        <w:rPr>
          <w:i/>
          <w:iCs/>
          <w:lang w:val="sl"/>
        </w:rPr>
        <w:t>smernic</w:t>
      </w:r>
      <w:r>
        <w:rPr>
          <w:lang w:val="sl"/>
        </w:rPr>
        <w:t>.</w:t>
      </w:r>
      <w:r>
        <w:rPr>
          <w:b/>
          <w:bCs/>
          <w:i/>
          <w:iCs/>
          <w:u w:val="single"/>
          <w:lang w:val="sl"/>
        </w:rPr>
        <w:t xml:space="preserve"> </w:t>
      </w:r>
    </w:p>
    <w:p w14:paraId="5235AEB4" w14:textId="77777777" w:rsidR="00A55002" w:rsidRPr="008A691D" w:rsidRDefault="00A55002" w:rsidP="00A55002">
      <w:pPr>
        <w:pStyle w:val="Para2"/>
        <w:rPr>
          <w:b/>
          <w:i/>
          <w:u w:val="single"/>
          <w:lang w:val="sl"/>
        </w:rPr>
      </w:pPr>
      <w:r>
        <w:rPr>
          <w:lang w:val="sl"/>
        </w:rPr>
        <w:t xml:space="preserve">Z dobrimi uslugami NKT zagotavlja prostor za dialog med strankami, da pomaga pri reševanju sproženih vprašanj. V skladu z nesodno naravo postopka za posebne primere in ob soglasju strank naloge NKT vključujejo ustvarjanje ustreznih razmer za dialog in dogovor med strankami glede zaveze podjetja k nadaljnjemu izvajanju </w:t>
      </w:r>
      <w:r>
        <w:rPr>
          <w:i/>
          <w:iCs/>
          <w:lang w:val="sl"/>
        </w:rPr>
        <w:t>smernic</w:t>
      </w:r>
      <w:r>
        <w:rPr>
          <w:lang w:val="sl"/>
        </w:rPr>
        <w:t xml:space="preserve"> v prihodnosti ter po potrebi za odpravljanje morebitnih škodljivih vplivov v skladu s </w:t>
      </w:r>
      <w:r>
        <w:rPr>
          <w:i/>
          <w:iCs/>
          <w:lang w:val="sl"/>
        </w:rPr>
        <w:t>smernicami</w:t>
      </w:r>
      <w:r>
        <w:rPr>
          <w:lang w:val="sl"/>
        </w:rPr>
        <w:t xml:space="preserve">. Pri omogočanju dialoga naj NKT razloži določbe </w:t>
      </w:r>
      <w:r>
        <w:rPr>
          <w:i/>
          <w:iCs/>
          <w:lang w:val="sl"/>
        </w:rPr>
        <w:t>smernic</w:t>
      </w:r>
      <w:r>
        <w:rPr>
          <w:lang w:val="sl"/>
        </w:rPr>
        <w:t xml:space="preserve">, pomembne za sprožena vprašanja, da strankam pomaga doseči dogovor, skladen s </w:t>
      </w:r>
      <w:r>
        <w:rPr>
          <w:i/>
          <w:iCs/>
          <w:lang w:val="sl"/>
        </w:rPr>
        <w:t>smernicami</w:t>
      </w:r>
      <w:r>
        <w:rPr>
          <w:lang w:val="sl"/>
        </w:rPr>
        <w:t>.</w:t>
      </w:r>
      <w:r>
        <w:rPr>
          <w:b/>
          <w:bCs/>
          <w:i/>
          <w:iCs/>
          <w:u w:val="single"/>
          <w:lang w:val="sl"/>
        </w:rPr>
        <w:t xml:space="preserve"> </w:t>
      </w:r>
    </w:p>
    <w:p w14:paraId="707C1BF6" w14:textId="77777777" w:rsidR="00A55002" w:rsidRPr="008A691D" w:rsidRDefault="00A55002" w:rsidP="00A55002">
      <w:pPr>
        <w:pStyle w:val="Para2"/>
        <w:rPr>
          <w:b/>
          <w:i/>
          <w:u w:val="single"/>
          <w:lang w:val="sl"/>
        </w:rPr>
      </w:pPr>
      <w:r>
        <w:rPr>
          <w:lang w:val="sl"/>
        </w:rPr>
        <w:t xml:space="preserve">NKT kot del zagotavljanja dobrih uslug in kadar je to pomembno za obravnavana vprašanja, ponudi sporazumne in </w:t>
      </w:r>
      <w:proofErr w:type="spellStart"/>
      <w:r>
        <w:rPr>
          <w:lang w:val="sl"/>
        </w:rPr>
        <w:t>nekontradiktorne</w:t>
      </w:r>
      <w:proofErr w:type="spellEnd"/>
      <w:r>
        <w:rPr>
          <w:lang w:val="sl"/>
        </w:rPr>
        <w:t xml:space="preserve"> postopke, kot je mediacija ali sprava, ali olajša dostop do takih postopkov za pomoč strankam pri reševanju obravnavanih vprašanj. Skladno s sprejeto prakso o spravi in mediaciji se ti postopki uporabljajo le ob soglasju zadevnih strank in njihovi zavezi, da bodo med postopkom sodelovale v dobri veri. Če se izbere mediacija, se NKT lahko odloči, da jo opravi sama, ali pa ob posvetovanju s strankami najame zunanje mediatorje, da opravijo mediacijo ali pomagajo pri njej.</w:t>
      </w:r>
    </w:p>
    <w:p w14:paraId="64498DC6" w14:textId="77777777" w:rsidR="00A55002" w:rsidRPr="004D758D" w:rsidRDefault="00A55002" w:rsidP="0042619C">
      <w:pPr>
        <w:pStyle w:val="Para0"/>
        <w:rPr>
          <w:b/>
          <w:bCs/>
        </w:rPr>
      </w:pPr>
      <w:r>
        <w:rPr>
          <w:b/>
          <w:bCs/>
          <w:lang w:val="sl"/>
        </w:rPr>
        <w:t>Zaključek postopka</w:t>
      </w:r>
    </w:p>
    <w:p w14:paraId="74D0C3DC" w14:textId="77777777" w:rsidR="00A55002" w:rsidRPr="00E205CD" w:rsidRDefault="00A55002" w:rsidP="00A55002">
      <w:pPr>
        <w:pStyle w:val="Para2"/>
        <w:rPr>
          <w:lang w:val="pl-PL"/>
        </w:rPr>
      </w:pPr>
      <w:r>
        <w:rPr>
          <w:lang w:val="sl"/>
        </w:rPr>
        <w:t>Od NKT se pričakuje, da vedno javno objavijo izide posebnih primerov v skladu s 4. in 6. točko podrazdelka C I. razdelka postopkov.</w:t>
      </w:r>
    </w:p>
    <w:p w14:paraId="07F6D473" w14:textId="77777777" w:rsidR="00A55002" w:rsidRPr="008A691D" w:rsidRDefault="00A55002" w:rsidP="00A55002">
      <w:pPr>
        <w:pStyle w:val="Para2"/>
        <w:rPr>
          <w:lang w:val="sl"/>
        </w:rPr>
      </w:pPr>
      <w:r>
        <w:rPr>
          <w:lang w:val="sl"/>
        </w:rPr>
        <w:t>Če NKT po začetni oceni odloči, da vprašanja, sprožena v posebnem primeru, ne terjajo nadaljnje proučitve, javno objavi izjavo po posvetovanju z vpletenimi strankami in ob upoštevanju potrebe po ohranitvi zaupnosti občutljivih poslovnih in drugih informacij. Če NKT na podlagi svoje začetne ocene meni, da bi bilo nepravično v izjavi o odločitvi javno objaviti identiteto stranke, lahko izjavo sestavi tako, da zavaruje identiteto stranke.</w:t>
      </w:r>
    </w:p>
    <w:p w14:paraId="2340E744" w14:textId="77777777" w:rsidR="00A55002" w:rsidRPr="008A691D" w:rsidRDefault="00A55002" w:rsidP="00A55002">
      <w:pPr>
        <w:pStyle w:val="Para2"/>
        <w:rPr>
          <w:lang w:val="sl"/>
        </w:rPr>
      </w:pPr>
      <w:r>
        <w:rPr>
          <w:lang w:val="sl"/>
        </w:rPr>
        <w:t>NKT lahko javno objavi tudi svojo odločitev, da sprožena vprašanja terjajo nadaljnjo proučitev, in svojo ponudbo dobrih uslug vpletenim strankam.</w:t>
      </w:r>
    </w:p>
    <w:p w14:paraId="0BF4EAFB" w14:textId="77777777" w:rsidR="00A55002" w:rsidRPr="008A691D" w:rsidRDefault="00A55002" w:rsidP="00A55002">
      <w:pPr>
        <w:pStyle w:val="Para2"/>
        <w:rPr>
          <w:strike/>
          <w:lang w:val="sl"/>
        </w:rPr>
      </w:pPr>
      <w:r>
        <w:rPr>
          <w:lang w:val="sl"/>
        </w:rPr>
        <w:t xml:space="preserve">Če vpletene stranke dosežejo dogovor o sproženih vprašanjih, v dogovoru določijo, kako in v kakšnem obsegu se vsebina dogovora javno objavi. NKT ob posvetovanju s strankami javno objavi izjavo o izidu postopka. NKT lahko da priporočila o izvajanju </w:t>
      </w:r>
      <w:r>
        <w:rPr>
          <w:i/>
          <w:iCs/>
          <w:lang w:val="sl"/>
        </w:rPr>
        <w:t>smernic</w:t>
      </w:r>
      <w:r>
        <w:rPr>
          <w:lang w:val="sl"/>
        </w:rPr>
        <w:t xml:space="preserve"> tudi, kadar stranke sklenejo dogovor ali delni dogovor. </w:t>
      </w:r>
    </w:p>
    <w:p w14:paraId="4DE75967" w14:textId="77777777" w:rsidR="00A55002" w:rsidRPr="008A691D" w:rsidRDefault="00A55002" w:rsidP="00A55002">
      <w:pPr>
        <w:pStyle w:val="Para2"/>
        <w:rPr>
          <w:lang w:val="sl"/>
        </w:rPr>
      </w:pPr>
      <w:r>
        <w:rPr>
          <w:lang w:val="sl"/>
        </w:rPr>
        <w:t xml:space="preserve">Če vpletene stranke ne dosežejo dogovora o vseh ali nekaterih sproženih vprašanjih, če ena stranka ali </w:t>
      </w:r>
      <w:commentRangeStart w:id="55"/>
      <w:r>
        <w:rPr>
          <w:lang w:val="sl"/>
        </w:rPr>
        <w:t xml:space="preserve">obe stranki </w:t>
      </w:r>
      <w:commentRangeEnd w:id="55"/>
      <w:r>
        <w:rPr>
          <w:lang w:val="sl"/>
        </w:rPr>
        <w:commentReference w:id="55"/>
      </w:r>
      <w:r>
        <w:rPr>
          <w:lang w:val="sl"/>
        </w:rPr>
        <w:t xml:space="preserve">odstopita od postopka ali če NKT ugotovi, da ena stranka ali več strank posebnega primera ne želi sodelovati ali sodelovati v dobri veri, NKT izda izjavo in po potrebi da priporočila o izvajanju </w:t>
      </w:r>
      <w:r>
        <w:rPr>
          <w:i/>
          <w:iCs/>
          <w:lang w:val="sl"/>
        </w:rPr>
        <w:t>smernic</w:t>
      </w:r>
      <w:r>
        <w:rPr>
          <w:lang w:val="sl"/>
        </w:rPr>
        <w:t xml:space="preserve"> v zvezi s sproženimi vprašanji. Postopek jasno določa, da NKT izda izjavo tudi, kadar meni, da posebno priporočilo ni potrebno. V izjavi naj NKT navede, kdo so stranke, katera vprašanja so bila sprožena in datum, ko so bila vprašanja sprožena pri NKT, ter doda morebitna priporočila NKT in kakršna koli pojasnila, ki so po njenem mnenju potrebna, o razlogih za to, da v postopku ni bil dosežen dogovor. </w:t>
      </w:r>
    </w:p>
    <w:p w14:paraId="3F5DA36D" w14:textId="77777777" w:rsidR="00A55002" w:rsidRPr="008A691D" w:rsidRDefault="00A55002" w:rsidP="00A55002">
      <w:pPr>
        <w:pStyle w:val="Para2"/>
        <w:rPr>
          <w:b/>
          <w:i/>
          <w:u w:val="single"/>
          <w:lang w:val="sl"/>
        </w:rPr>
      </w:pPr>
      <w:bookmarkStart w:id="56" w:name="_Hlk130933482"/>
      <w:r>
        <w:rPr>
          <w:lang w:val="sl"/>
        </w:rPr>
        <w:t>Kadar je primerno in pomembno za rešitev vprašanj</w:t>
      </w:r>
      <w:bookmarkEnd w:id="56"/>
      <w:r>
        <w:rPr>
          <w:lang w:val="sl"/>
        </w:rPr>
        <w:t xml:space="preserve">, NKT po svoji presoji ter če to dopuščajo veljavno pravo in njeni postopki za obravnavo zadev, v svoji končni izjavi lahko tudi izrazi svoje stališče o </w:t>
      </w:r>
      <w:r>
        <w:rPr>
          <w:lang w:val="sl"/>
        </w:rPr>
        <w:lastRenderedPageBreak/>
        <w:t xml:space="preserve">tem, ali je podjetje upoštevalo </w:t>
      </w:r>
      <w:r>
        <w:rPr>
          <w:i/>
          <w:iCs/>
          <w:lang w:val="sl"/>
        </w:rPr>
        <w:t>smernice</w:t>
      </w:r>
      <w:r>
        <w:rPr>
          <w:lang w:val="sl"/>
        </w:rPr>
        <w:t>.</w:t>
      </w:r>
      <w:r>
        <w:rPr>
          <w:i/>
          <w:iCs/>
          <w:lang w:val="sl"/>
        </w:rPr>
        <w:t xml:space="preserve"> </w:t>
      </w:r>
      <w:r>
        <w:rPr>
          <w:lang w:val="sl"/>
        </w:rPr>
        <w:t>Prav tako NKT, kadar je primerno, lahko obvesti ustrezne državne organe o dobrovernem sodelovanju ali nesodelovanju strank ter naj s strankami pregledno komunicira o nameravanih ali dejanskih ukrepih v zvezi s tem.</w:t>
      </w:r>
    </w:p>
    <w:p w14:paraId="065372BB" w14:textId="77777777" w:rsidR="00A55002" w:rsidRPr="008A691D" w:rsidRDefault="00A55002" w:rsidP="00A55002">
      <w:pPr>
        <w:pStyle w:val="Para2"/>
        <w:rPr>
          <w:lang w:val="sl"/>
        </w:rPr>
      </w:pPr>
      <w:r>
        <w:rPr>
          <w:lang w:val="sl"/>
        </w:rPr>
        <w:t xml:space="preserve">NKT naj strankam zagotovi priložnost, da dajo pripombe na osnutek izjave. Vendar je to izjava NKT in NKT ima pravico po svoji presoji odločiti, ali bo spremenila osnutek izjave glede na pripombe strank. </w:t>
      </w:r>
    </w:p>
    <w:p w14:paraId="4A651326" w14:textId="77777777" w:rsidR="00A55002" w:rsidRPr="00401F96" w:rsidRDefault="00A55002" w:rsidP="0042619C">
      <w:pPr>
        <w:pStyle w:val="Para0"/>
        <w:rPr>
          <w:b/>
          <w:bCs/>
        </w:rPr>
      </w:pPr>
      <w:r>
        <w:rPr>
          <w:b/>
          <w:bCs/>
          <w:lang w:val="sl"/>
        </w:rPr>
        <w:t>Nadaljnje spremljanje</w:t>
      </w:r>
    </w:p>
    <w:p w14:paraId="229C80E2" w14:textId="77777777" w:rsidR="00A55002" w:rsidRPr="008A691D" w:rsidRDefault="00A55002" w:rsidP="00A55002">
      <w:pPr>
        <w:pStyle w:val="Para2"/>
        <w:rPr>
          <w:lang w:val="sl"/>
        </w:rPr>
      </w:pPr>
      <w:r>
        <w:rPr>
          <w:lang w:val="sl"/>
        </w:rPr>
        <w:t>NKT po potrebi nadalje spremlja dogovore, pri katerih sklenitvi je pomagala, ali priporočila, ki jih je dala. Nadaljnje spremljanje na primer ne bo potrebno, kadar stranke zavrnejo tako spremljanje ali soglašajo, da so bila vprašanja v celoti rešena. Roki za to naj bodo določeni v izjavi NKT. Nadaljnje spremljanje lahko vključuje na primer zahteve za informacije o napredku od strank ali sestanek ali več sestankov med NKT in strankami (ločeno ali skupaj), da se oceni napredek pri izpolnjevanju zavez iz dogovora ali izvajanju priporočil NKT. Ko NKT opravi nadaljnje spremljanje, naj objavi izjave o nadaljnjem spremljanju.</w:t>
      </w:r>
    </w:p>
    <w:p w14:paraId="69091D0A" w14:textId="77777777" w:rsidR="00A55002" w:rsidRPr="00DC5D18" w:rsidRDefault="00A55002" w:rsidP="0042619C">
      <w:pPr>
        <w:pStyle w:val="Para0"/>
        <w:rPr>
          <w:b/>
          <w:bCs/>
        </w:rPr>
      </w:pPr>
      <w:r>
        <w:rPr>
          <w:b/>
          <w:bCs/>
          <w:lang w:val="sl"/>
        </w:rPr>
        <w:t>Preglednost in zaupnost</w:t>
      </w:r>
    </w:p>
    <w:p w14:paraId="1DABF8A7" w14:textId="77777777" w:rsidR="00A55002" w:rsidRPr="008A691D" w:rsidRDefault="00A55002" w:rsidP="00A55002">
      <w:pPr>
        <w:pStyle w:val="Para2"/>
        <w:rPr>
          <w:strike/>
          <w:lang w:val="it-IT"/>
        </w:rPr>
      </w:pPr>
      <w:r>
        <w:rPr>
          <w:lang w:val="sl"/>
        </w:rPr>
        <w:t xml:space="preserve">Preglednost je priznana kot temeljno načelo delovanja NKT (glej točko c razdelka "Osrednja merila učinkovitosti" v 10. odstavku). Vendar 6. odstavek podrazdelka C I. razdelka postopkov priznava, da je v posebnih okoliščinah varovanje zaupnosti nekaterih dejstev in trditev strank upravičeno. Na primer, NKT z ustreznimi ukrepi zaščiti občutljive poslovne informacije, kot so poslovne skrivnosti. Prav tako naj se ohrani zaupnost drugih informacij, kot je identiteta posameznikov, vpletenih v postopek, na primer, če bi zaradi razkritja informacij tem posameznikom ali povezanim osebam grozila nevarnost povračilnih ukrepov. Ne glede na to je za vzpostavitev zaupanja v postopek za posebne primere in spodbujanje učinkovitega izvajanja </w:t>
      </w:r>
      <w:r>
        <w:rPr>
          <w:i/>
          <w:iCs/>
          <w:lang w:val="sl"/>
        </w:rPr>
        <w:t>smernic</w:t>
      </w:r>
      <w:r>
        <w:rPr>
          <w:lang w:val="sl"/>
        </w:rPr>
        <w:t xml:space="preserve"> pomembno, da se najde ravnovesje med preglednostjo in zaupnostjo. Priznava se, da bodo NKT ne glede na te določbe morda morale upoštevati notranjo zakonodajo o preglednosti in razkritju.</w:t>
      </w:r>
      <w:r>
        <w:rPr>
          <w:b/>
          <w:bCs/>
          <w:i/>
          <w:iCs/>
          <w:u w:val="single"/>
          <w:lang w:val="sl"/>
        </w:rPr>
        <w:t xml:space="preserve"> </w:t>
      </w:r>
    </w:p>
    <w:p w14:paraId="696EE759" w14:textId="77777777" w:rsidR="00A55002" w:rsidRPr="008A691D" w:rsidRDefault="00A55002" w:rsidP="00A55002">
      <w:pPr>
        <w:pStyle w:val="Para2"/>
        <w:rPr>
          <w:lang w:val="sl"/>
        </w:rPr>
      </w:pPr>
      <w:r>
        <w:rPr>
          <w:lang w:val="sl"/>
        </w:rPr>
        <w:t>Glede deljenja informacij med strankami naj NKT za zagotovitev pravičnega postopka načeloma seznanja stranke z vsemi pomembnimi dejstvi in trditvami, s katerimi so jo med postopkom seznanile druge stranke (zlasti v fazi dobrih uslug). Če stranka predloži utemeljeno zahtevo, da se njena vloga ne deli v celoti z drugo stranko, predvsem da se zaščitijo občutljive poslovne informacije in interesi drugih deležnikov, naj NKT skupaj s stranko, ki je predložila zahtevo, prekrije občutljivo vsebino in s tem omogoči deljenje. NKT naj se pri bistvenih vidikih svoje odločitve ne opira na informacije, ki niso na voljo obema strankama, kolikor je to mogoče.</w:t>
      </w:r>
    </w:p>
    <w:p w14:paraId="5EAE2283" w14:textId="77777777" w:rsidR="00A55002" w:rsidRPr="008A691D" w:rsidRDefault="00A55002" w:rsidP="00A55002">
      <w:pPr>
        <w:pStyle w:val="Para2"/>
        <w:rPr>
          <w:lang w:val="sl"/>
        </w:rPr>
      </w:pPr>
      <w:r>
        <w:rPr>
          <w:lang w:val="sl"/>
        </w:rPr>
        <w:t xml:space="preserve">Glede obveščanja javnosti ali tretjih oseb o posebnem primeru v skladu z osrednjim merilom učinkovitosti o preglednosti stranke in NKT lahko javno komunicirajo o obstoju posebnega primera, če se ne dogovorijo drugače. Poleg tega se NKT spodbujajo, da strankam dovolijo javno komunicirati o fazi postopka, kot je opisano v 1.–5. odstavku podrazdelka C I. razdelka postopkov (ali to storijo same), in objaviti svoje začetne vloge. Stranki o informacijah ali dokumentih, ki jih deli druga stranka, lahko tudi razpravljata s svojimi svetovalci pri posebnem primeru, pod pogojem, da ti svetovalci ne razkrijejo teh informacij nikomur drugemu. Druge informacije so zaupne, razen če se stranki dogovorita drugače. NKT zlasti na začetku postopka obvesti stranki, da ne smeta nikoli razkriti dejstev in trditev, ki jih med postopkom deli druga stranka ali NKT (kar po potrebi vključuje zunanjega mediatorja ali posredovalca pri spravi) in še niso javne, brez soglasja druge stranke oziroma NKT. Zaradi predvidljivosti in zaupanja NKT od strank in njihovih svetovalcev lahko pridobi pisno zagotovilo o tem ter sprejme določbe o svojem postopku za obravnavo zadev, ki spodbujajo skladnost z njenimi zahtevami po </w:t>
      </w:r>
      <w:proofErr w:type="spellStart"/>
      <w:r>
        <w:rPr>
          <w:lang w:val="sl"/>
        </w:rPr>
        <w:t>nerazkritju</w:t>
      </w:r>
      <w:proofErr w:type="spellEnd"/>
      <w:r>
        <w:rPr>
          <w:lang w:val="sl"/>
        </w:rPr>
        <w:t xml:space="preserve">. </w:t>
      </w:r>
    </w:p>
    <w:p w14:paraId="596EEBFB" w14:textId="77777777" w:rsidR="00A55002" w:rsidRPr="003062E3" w:rsidRDefault="00A55002" w:rsidP="0042619C">
      <w:pPr>
        <w:pStyle w:val="Para0"/>
        <w:rPr>
          <w:b/>
          <w:bCs/>
        </w:rPr>
      </w:pPr>
      <w:r>
        <w:rPr>
          <w:b/>
          <w:bCs/>
          <w:lang w:val="sl"/>
        </w:rPr>
        <w:t xml:space="preserve">Vprašanja, sprožena v </w:t>
      </w:r>
      <w:proofErr w:type="spellStart"/>
      <w:r>
        <w:rPr>
          <w:b/>
          <w:bCs/>
          <w:lang w:val="sl"/>
        </w:rPr>
        <w:t>nepristopnicah</w:t>
      </w:r>
      <w:proofErr w:type="spellEnd"/>
    </w:p>
    <w:p w14:paraId="0F5FE7B6" w14:textId="77777777" w:rsidR="00A55002" w:rsidRDefault="00A55002" w:rsidP="00A55002">
      <w:pPr>
        <w:pStyle w:val="Para2"/>
      </w:pPr>
      <w:r>
        <w:rPr>
          <w:lang w:val="sl"/>
        </w:rPr>
        <w:t xml:space="preserve">Kot je navedeno v 2. odstavku poglavja o zasnovah in načelih, se podjetja spodbujajo, da </w:t>
      </w:r>
      <w:r>
        <w:rPr>
          <w:i/>
          <w:iCs/>
          <w:lang w:val="sl"/>
        </w:rPr>
        <w:t>smernice</w:t>
      </w:r>
      <w:r>
        <w:rPr>
          <w:lang w:val="sl"/>
        </w:rPr>
        <w:t xml:space="preserve"> upoštevajo, kjer koli poslujejo, ob upoštevanju posebnih okoliščin vsake države gostiteljice.</w:t>
      </w:r>
    </w:p>
    <w:p w14:paraId="6D48D754" w14:textId="77777777" w:rsidR="00A55002" w:rsidRPr="008A691D" w:rsidRDefault="00A55002" w:rsidP="00A55002">
      <w:pPr>
        <w:pStyle w:val="BulletedList3"/>
        <w:rPr>
          <w:lang w:val="sl"/>
        </w:rPr>
      </w:pPr>
      <w:r>
        <w:rPr>
          <w:lang w:val="sl"/>
        </w:rPr>
        <w:lastRenderedPageBreak/>
        <w:t xml:space="preserve">Če s </w:t>
      </w:r>
      <w:r>
        <w:rPr>
          <w:i/>
          <w:iCs/>
          <w:lang w:val="sl"/>
        </w:rPr>
        <w:t>smernicami</w:t>
      </w:r>
      <w:r>
        <w:rPr>
          <w:lang w:val="sl"/>
        </w:rPr>
        <w:t xml:space="preserve"> povezana vprašanja nastanejo v </w:t>
      </w:r>
      <w:proofErr w:type="spellStart"/>
      <w:r>
        <w:rPr>
          <w:lang w:val="sl"/>
        </w:rPr>
        <w:t>nepristopnicah</w:t>
      </w:r>
      <w:proofErr w:type="spellEnd"/>
      <w:r>
        <w:rPr>
          <w:lang w:val="sl"/>
        </w:rPr>
        <w:t xml:space="preserve">, domača NKT sprejme ukrepe za razumevanje teh vprašanj. Čeprav ni vedno mogoče pridobiti vseh potrebnih informacij ali zbrati skupaj vseh vpletenih strank, bo NKT morda vendarle imela možnost, da opravi poizvedbe in druge dejavnosti za odkrivanje dejstev. To na primer lahko vključuje vzpostavitev stika z upravo podjetja v domači državi ter po potrebi z veleposlaništvi in vladnimi uradniki v </w:t>
      </w:r>
      <w:proofErr w:type="spellStart"/>
      <w:r>
        <w:rPr>
          <w:lang w:val="sl"/>
        </w:rPr>
        <w:t>nepristopnici</w:t>
      </w:r>
      <w:proofErr w:type="spellEnd"/>
      <w:r>
        <w:rPr>
          <w:lang w:val="sl"/>
        </w:rPr>
        <w:t>.</w:t>
      </w:r>
    </w:p>
    <w:p w14:paraId="1E79A3C9" w14:textId="77777777" w:rsidR="00A55002" w:rsidRPr="008A691D" w:rsidRDefault="00A55002" w:rsidP="00A55002">
      <w:pPr>
        <w:pStyle w:val="BulletedList3"/>
        <w:rPr>
          <w:lang w:val="sl"/>
        </w:rPr>
      </w:pPr>
      <w:r>
        <w:rPr>
          <w:lang w:val="sl"/>
        </w:rPr>
        <w:t xml:space="preserve">Učinkovito izvajanje </w:t>
      </w:r>
      <w:r>
        <w:rPr>
          <w:i/>
          <w:iCs/>
          <w:lang w:val="sl"/>
        </w:rPr>
        <w:t>smernic</w:t>
      </w:r>
      <w:r>
        <w:rPr>
          <w:lang w:val="sl"/>
        </w:rPr>
        <w:t xml:space="preserve"> v posebnih primerih je v državi gostiteljici lahko težje kot v pristopnicah zaradi nasprotij z njenimi zakoni, drugimi predpisi, pravili in politikami. Kot je navedeno v komentarjih k poglavju o splošnih politikah, čeprav </w:t>
      </w:r>
      <w:r>
        <w:rPr>
          <w:i/>
          <w:iCs/>
          <w:lang w:val="sl"/>
        </w:rPr>
        <w:t>smernice</w:t>
      </w:r>
      <w:r>
        <w:rPr>
          <w:lang w:val="sl"/>
        </w:rPr>
        <w:t xml:space="preserve"> v številnih primerih presegajo zakonodajo, naj </w:t>
      </w:r>
      <w:r>
        <w:rPr>
          <w:i/>
          <w:iCs/>
          <w:lang w:val="sl"/>
        </w:rPr>
        <w:t>smernice</w:t>
      </w:r>
      <w:r>
        <w:rPr>
          <w:lang w:val="sl"/>
        </w:rPr>
        <w:t xml:space="preserve"> ne bi podjetja postavile v položaj, v katerem bi se spoprijemalo z nasprotujočimi si zahtevami, niti niso namenjene temu.</w:t>
      </w:r>
    </w:p>
    <w:p w14:paraId="3B8D09A5" w14:textId="77777777" w:rsidR="00A55002" w:rsidRPr="008A691D" w:rsidRDefault="00A55002" w:rsidP="00A55002">
      <w:pPr>
        <w:pStyle w:val="BulletedList3"/>
        <w:rPr>
          <w:lang w:val="sl"/>
        </w:rPr>
      </w:pPr>
      <w:r>
        <w:rPr>
          <w:lang w:val="sl"/>
        </w:rPr>
        <w:t xml:space="preserve">Vpletene stranke je treba seznaniti z omejitvami pri izvajanju </w:t>
      </w:r>
      <w:r>
        <w:rPr>
          <w:i/>
          <w:iCs/>
          <w:lang w:val="sl"/>
        </w:rPr>
        <w:t>smernic</w:t>
      </w:r>
      <w:r>
        <w:rPr>
          <w:lang w:val="sl"/>
        </w:rPr>
        <w:t xml:space="preserve"> v </w:t>
      </w:r>
      <w:proofErr w:type="spellStart"/>
      <w:r>
        <w:rPr>
          <w:lang w:val="sl"/>
        </w:rPr>
        <w:t>nepristopnicah</w:t>
      </w:r>
      <w:proofErr w:type="spellEnd"/>
      <w:r>
        <w:rPr>
          <w:lang w:val="sl"/>
        </w:rPr>
        <w:t>.</w:t>
      </w:r>
    </w:p>
    <w:p w14:paraId="2CB7DE8D" w14:textId="77777777" w:rsidR="00A55002" w:rsidRPr="008A691D" w:rsidRDefault="00A55002" w:rsidP="00A55002">
      <w:pPr>
        <w:pStyle w:val="BulletedList3"/>
        <w:rPr>
          <w:lang w:val="sl"/>
        </w:rPr>
      </w:pPr>
      <w:r>
        <w:rPr>
          <w:lang w:val="sl"/>
        </w:rPr>
        <w:t xml:space="preserve">S </w:t>
      </w:r>
      <w:r>
        <w:rPr>
          <w:i/>
          <w:iCs/>
          <w:lang w:val="sl"/>
        </w:rPr>
        <w:t>smernicami</w:t>
      </w:r>
      <w:r>
        <w:rPr>
          <w:lang w:val="sl"/>
        </w:rPr>
        <w:t xml:space="preserve"> povezana vprašanja v </w:t>
      </w:r>
      <w:proofErr w:type="spellStart"/>
      <w:r>
        <w:rPr>
          <w:lang w:val="sl"/>
        </w:rPr>
        <w:t>nepristopnicah</w:t>
      </w:r>
      <w:proofErr w:type="spellEnd"/>
      <w:r>
        <w:rPr>
          <w:lang w:val="sl"/>
        </w:rPr>
        <w:t xml:space="preserve"> se lahko obravnavajo na sestankih NKT, da se zberejo strokovno znanje in izkušnje o obravnavi vprašanj, nastalih v </w:t>
      </w:r>
      <w:proofErr w:type="spellStart"/>
      <w:r>
        <w:rPr>
          <w:lang w:val="sl"/>
        </w:rPr>
        <w:t>nepristopnicah</w:t>
      </w:r>
      <w:proofErr w:type="spellEnd"/>
      <w:r>
        <w:rPr>
          <w:lang w:val="sl"/>
        </w:rPr>
        <w:t>.</w:t>
      </w:r>
    </w:p>
    <w:p w14:paraId="24E1985F" w14:textId="77777777" w:rsidR="00A55002" w:rsidRPr="00245892" w:rsidRDefault="00A55002" w:rsidP="0042619C">
      <w:pPr>
        <w:pStyle w:val="Para0"/>
        <w:rPr>
          <w:b/>
          <w:bCs/>
        </w:rPr>
      </w:pPr>
      <w:r>
        <w:rPr>
          <w:b/>
          <w:bCs/>
          <w:lang w:val="sl"/>
        </w:rPr>
        <w:t>Okvirni roki</w:t>
      </w:r>
    </w:p>
    <w:p w14:paraId="7D9F437C" w14:textId="77777777" w:rsidR="00A55002" w:rsidRPr="008A691D" w:rsidRDefault="00A55002" w:rsidP="00A55002">
      <w:pPr>
        <w:pStyle w:val="Para2"/>
        <w:rPr>
          <w:lang w:val="it-IT"/>
        </w:rPr>
      </w:pPr>
      <w:r>
        <w:rPr>
          <w:lang w:val="sl"/>
        </w:rPr>
        <w:t>Postopek za posebne primere ima pet faz:</w:t>
      </w:r>
    </w:p>
    <w:p w14:paraId="61ECD71E" w14:textId="77777777" w:rsidR="00A55002" w:rsidRPr="008A691D" w:rsidRDefault="00A55002" w:rsidP="00A55002">
      <w:pPr>
        <w:pStyle w:val="BulletedList3"/>
        <w:numPr>
          <w:ilvl w:val="0"/>
          <w:numId w:val="50"/>
        </w:numPr>
        <w:rPr>
          <w:lang w:val="sl"/>
        </w:rPr>
      </w:pPr>
      <w:r>
        <w:rPr>
          <w:i/>
          <w:iCs/>
          <w:lang w:val="sl"/>
        </w:rPr>
        <w:t>Usklajevanje</w:t>
      </w:r>
      <w:r>
        <w:rPr>
          <w:lang w:val="sl"/>
        </w:rPr>
        <w:t>: Kadar je potrebno, se NKT na podlagi značilnosti prejetega posebnega primera uskladi z drugimi NKT, da se določi vodilna NKT. Začetno usklajevanje za določitev vodilne in podpornih NKT naj se zaključi v dveh mesecih.</w:t>
      </w:r>
    </w:p>
    <w:p w14:paraId="56058977" w14:textId="77777777" w:rsidR="00A55002" w:rsidRPr="008A691D" w:rsidRDefault="00A55002" w:rsidP="00A55002">
      <w:pPr>
        <w:pStyle w:val="BulletedList3"/>
        <w:numPr>
          <w:ilvl w:val="0"/>
          <w:numId w:val="50"/>
        </w:numPr>
        <w:rPr>
          <w:lang w:val="sl"/>
        </w:rPr>
      </w:pPr>
      <w:r>
        <w:rPr>
          <w:i/>
          <w:iCs/>
          <w:lang w:val="sl"/>
        </w:rPr>
        <w:t>Začetna ocena in odločitev, ali ponuditi dobre usluge za pomoč strankam</w:t>
      </w:r>
      <w:r>
        <w:rPr>
          <w:lang w:val="sl"/>
        </w:rPr>
        <w:t>: NKT naj si prizadeva začetno oceno opraviti v treh mesecih po določitvi vodilne in podpornih NKT, bo pa morda potreben dodatni čas za zbiranje in prevajanje informacij, potrebnih za informirano odločitev.</w:t>
      </w:r>
    </w:p>
    <w:p w14:paraId="2D7785D4" w14:textId="77777777" w:rsidR="00A55002" w:rsidRPr="008A691D" w:rsidRDefault="00A55002" w:rsidP="00A55002">
      <w:pPr>
        <w:pStyle w:val="BulletedList3"/>
        <w:numPr>
          <w:ilvl w:val="0"/>
          <w:numId w:val="50"/>
        </w:numPr>
        <w:rPr>
          <w:lang w:val="sl"/>
        </w:rPr>
      </w:pPr>
      <w:r>
        <w:rPr>
          <w:i/>
          <w:iCs/>
          <w:lang w:val="sl"/>
        </w:rPr>
        <w:t>Pomoč strankam pri reševanju sproženih vprašanj</w:t>
      </w:r>
      <w:r>
        <w:rPr>
          <w:lang w:val="sl"/>
        </w:rPr>
        <w:t>: Če se NKT odloči ponuditi svoje dobre usluge, naj si prizadeva omogočiti pravočasno razrešitev vprašanj. Ob priznavanju, da je napredek, omogočen z dobrimi uslugami, vključno z mediacijo in spravo, navsezadnje odvisen od vpletenih strank, naj NKT po posvetovanju s strankami določi razumen časovni okvir za razpravo, s katero bi stranke razrešile sprožena vprašanja. Če stranke ne dosežejo dogovora v tem času, naj se NKT z njimi posvetuje o tem, ali je smiselno, da jim še naprej pomaga; če NKT ugotovi, da nadaljevanje postopka verjetno ne bo uspešno, naj postopek zaključi in pripravi izjavo.</w:t>
      </w:r>
    </w:p>
    <w:p w14:paraId="5D55E98F" w14:textId="77777777" w:rsidR="00A55002" w:rsidRPr="008A691D" w:rsidRDefault="00A55002" w:rsidP="00A55002">
      <w:pPr>
        <w:pStyle w:val="BulletedList3"/>
        <w:numPr>
          <w:ilvl w:val="0"/>
          <w:numId w:val="50"/>
        </w:numPr>
        <w:rPr>
          <w:lang w:val="sl"/>
        </w:rPr>
      </w:pPr>
      <w:r>
        <w:rPr>
          <w:i/>
          <w:iCs/>
          <w:lang w:val="sl"/>
        </w:rPr>
        <w:t>Zaključek postopka</w:t>
      </w:r>
      <w:r>
        <w:rPr>
          <w:lang w:val="sl"/>
        </w:rPr>
        <w:t>: NKT naj si prizadeva svojo izjavo izdati v treh mesecih po zaključku postopka.</w:t>
      </w:r>
    </w:p>
    <w:p w14:paraId="43EE0118" w14:textId="77777777" w:rsidR="00A55002" w:rsidRPr="008A691D" w:rsidRDefault="00A55002" w:rsidP="00A55002">
      <w:pPr>
        <w:pStyle w:val="BulletedList3"/>
        <w:numPr>
          <w:ilvl w:val="0"/>
          <w:numId w:val="50"/>
        </w:numPr>
        <w:rPr>
          <w:lang w:val="sl"/>
        </w:rPr>
      </w:pPr>
      <w:r>
        <w:rPr>
          <w:i/>
          <w:iCs/>
          <w:lang w:val="sl"/>
        </w:rPr>
        <w:t>Nadaljnje spremljanje</w:t>
      </w:r>
      <w:r>
        <w:rPr>
          <w:lang w:val="sl"/>
        </w:rPr>
        <w:t xml:space="preserve">: NKT lahko določi svojo </w:t>
      </w:r>
      <w:proofErr w:type="spellStart"/>
      <w:r>
        <w:rPr>
          <w:lang w:val="sl"/>
        </w:rPr>
        <w:t>časovnico</w:t>
      </w:r>
      <w:proofErr w:type="spellEnd"/>
      <w:r>
        <w:rPr>
          <w:lang w:val="sl"/>
        </w:rPr>
        <w:t xml:space="preserve"> za vsako nadaljnje spremljanje ob posvetovanju s strankami.</w:t>
      </w:r>
    </w:p>
    <w:p w14:paraId="1CACD003" w14:textId="77777777" w:rsidR="00A55002" w:rsidRPr="008A691D" w:rsidRDefault="00A55002" w:rsidP="00A55002">
      <w:pPr>
        <w:pStyle w:val="Para2"/>
        <w:spacing w:after="0"/>
        <w:rPr>
          <w:lang w:val="sl"/>
        </w:rPr>
      </w:pPr>
      <w:r>
        <w:rPr>
          <w:lang w:val="sl"/>
        </w:rPr>
        <w:t xml:space="preserve">Na splošno naj si NKT prizadeva postopek zaključiti v 12 mesecih (14 mesecih, če je potrebno usklajevanje za določitev vodilne NKT) od prejema posebnega primera. Priznava se, da bo morda treba ta rok podaljšati, če to zahtevajo okoliščine. Take okoliščine so lahko na primer, kadar vprašanja nastanejo v </w:t>
      </w:r>
      <w:proofErr w:type="spellStart"/>
      <w:r>
        <w:rPr>
          <w:lang w:val="sl"/>
        </w:rPr>
        <w:t>nepristopnici</w:t>
      </w:r>
      <w:proofErr w:type="spellEnd"/>
      <w:r>
        <w:rPr>
          <w:lang w:val="sl"/>
        </w:rPr>
        <w:t>, kadar posebni primer vključuje več podjetij, več predlagateljev in več NKT ali kadar so potrebni prevodi. Če se pričakujejo ali nastajajo zamude pri obravnavi posebnega primera, naj NKT stranke o tem pravočasno obvesti, da postopek ostane predvidljiv. NKT se ob upoštevanju svojih postopkov za obravnavo zadev lahko odloči javno objaviti najnovejše informacije o stanju zadev.</w:t>
      </w:r>
    </w:p>
    <w:p w14:paraId="2CB4B1D9" w14:textId="77777777" w:rsidR="00A55002" w:rsidRPr="008A691D" w:rsidRDefault="00A55002" w:rsidP="0042619C">
      <w:pPr>
        <w:pStyle w:val="Para2"/>
        <w:numPr>
          <w:ilvl w:val="0"/>
          <w:numId w:val="0"/>
        </w:numPr>
        <w:spacing w:after="0"/>
        <w:rPr>
          <w:lang w:val="sl"/>
        </w:rPr>
      </w:pPr>
    </w:p>
    <w:p w14:paraId="2B17927F" w14:textId="77777777" w:rsidR="00A55002" w:rsidRPr="008A691D" w:rsidRDefault="00A55002" w:rsidP="0042619C">
      <w:pPr>
        <w:pStyle w:val="Para2"/>
        <w:numPr>
          <w:ilvl w:val="0"/>
          <w:numId w:val="0"/>
        </w:numPr>
        <w:spacing w:after="0"/>
        <w:rPr>
          <w:lang w:val="sl"/>
        </w:rPr>
      </w:pPr>
    </w:p>
    <w:p w14:paraId="425BE29C" w14:textId="77777777" w:rsidR="00A55002" w:rsidRPr="008A691D" w:rsidRDefault="00A55002" w:rsidP="0042619C">
      <w:pPr>
        <w:pStyle w:val="Para0"/>
        <w:spacing w:before="240"/>
        <w:rPr>
          <w:b/>
          <w:bCs/>
          <w:lang w:val="sl"/>
        </w:rPr>
      </w:pPr>
      <w:r>
        <w:rPr>
          <w:b/>
          <w:bCs/>
          <w:lang w:val="sl"/>
        </w:rPr>
        <w:t>Poročanje DSORP in odboru za naložbe</w:t>
      </w:r>
    </w:p>
    <w:p w14:paraId="5A1157A8" w14:textId="77777777" w:rsidR="00A55002" w:rsidRPr="008A691D" w:rsidRDefault="00A55002" w:rsidP="00A55002">
      <w:pPr>
        <w:pStyle w:val="Para2"/>
        <w:rPr>
          <w:lang w:val="sl"/>
        </w:rPr>
      </w:pPr>
      <w:r>
        <w:rPr>
          <w:lang w:val="sl"/>
        </w:rPr>
        <w:t xml:space="preserve">Poročanje je pomembna naloga NKT, ki tudi pomaga pri vzpostavitvi zbirke znanja in temeljnih zmogljivosti za krepitev učinkovitosti </w:t>
      </w:r>
      <w:r>
        <w:rPr>
          <w:i/>
          <w:iCs/>
          <w:lang w:val="sl"/>
        </w:rPr>
        <w:t>smernic</w:t>
      </w:r>
      <w:r>
        <w:rPr>
          <w:lang w:val="sl"/>
        </w:rPr>
        <w:t xml:space="preserve">. Glede na to NKT predloži svoje letno poročilo DSORP in odboru za naložbe, da se v letno poročilo o smernicah OECD vključijo informacije o vseh posebnih primerih, ki so jih sprožile stranke. DSORP odboru zagotovi analizo letnih poročil NKT, ki se vključi v letno </w:t>
      </w:r>
      <w:r>
        <w:rPr>
          <w:lang w:val="sl"/>
        </w:rPr>
        <w:lastRenderedPageBreak/>
        <w:t xml:space="preserve">poročilo o </w:t>
      </w:r>
      <w:r>
        <w:rPr>
          <w:i/>
          <w:iCs/>
          <w:lang w:val="sl"/>
        </w:rPr>
        <w:t>smernicah</w:t>
      </w:r>
      <w:r>
        <w:rPr>
          <w:lang w:val="sl"/>
        </w:rPr>
        <w:t>. Letna poročila NKT naj vključujejo posebne primere v fazi usklajevanja, začetne ocene, dobrih uslug, zaključka ali nadaljnjega spremljanja. NKT pri poročanju o izvedbenih dejavnostih v posebnih primerih upoštevajo vidike preglednosti in zaupnosti, kot je navedeno v 6. in 7. odstavku podrazdelka C I. razdelka postopkov in v njihovih postopkih za obravnavo zadev.</w:t>
      </w:r>
    </w:p>
    <w:p w14:paraId="665CB1D4" w14:textId="77777777" w:rsidR="00A55002" w:rsidRPr="008A691D" w:rsidRDefault="00A55002" w:rsidP="0042619C">
      <w:pPr>
        <w:pStyle w:val="Para0"/>
        <w:rPr>
          <w:b/>
          <w:bCs/>
          <w:lang w:val="sl"/>
        </w:rPr>
      </w:pPr>
      <w:r>
        <w:rPr>
          <w:b/>
          <w:bCs/>
          <w:lang w:val="sl"/>
        </w:rPr>
        <w:t>Podpora prizadevanjem vlade za spodbujanje odgovornega ravnanja podjetij</w:t>
      </w:r>
    </w:p>
    <w:p w14:paraId="0D1EFE24" w14:textId="77777777" w:rsidR="00A55002" w:rsidRPr="008A691D" w:rsidRDefault="00A55002" w:rsidP="00A55002">
      <w:pPr>
        <w:pStyle w:val="Para2"/>
        <w:rPr>
          <w:lang w:val="sl"/>
        </w:rPr>
      </w:pPr>
      <w:r>
        <w:rPr>
          <w:lang w:val="sl"/>
        </w:rPr>
        <w:t xml:space="preserve">Sklep priznava podporo, ki jo NKT lahko nudijo pri oblikovanju, upravljanju in povezanosti vladnih politik in programov, ki spodbujajo odgovorno ravnanje podjetij, kadar je primerno in v dogovoru z ustreznimi državnimi organi. Zlasti NKT lahko pomagajo pri usklajevanju takih prizadevanj s </w:t>
      </w:r>
      <w:r>
        <w:rPr>
          <w:i/>
          <w:iCs/>
          <w:lang w:val="sl"/>
        </w:rPr>
        <w:t>smernicami</w:t>
      </w:r>
      <w:r>
        <w:rPr>
          <w:lang w:val="sl"/>
        </w:rPr>
        <w:t xml:space="preserve"> in prispevajo k ohranjanju statusa </w:t>
      </w:r>
      <w:r>
        <w:rPr>
          <w:i/>
          <w:iCs/>
          <w:lang w:val="sl"/>
        </w:rPr>
        <w:t>smernic</w:t>
      </w:r>
      <w:r>
        <w:rPr>
          <w:lang w:val="sl"/>
        </w:rPr>
        <w:t xml:space="preserve"> kot mednarodnega standarda za odgovorno ravnanje podjetij ter drugih dokumentov in napotkov OECD, ki temeljijo na </w:t>
      </w:r>
      <w:r>
        <w:rPr>
          <w:i/>
          <w:iCs/>
          <w:lang w:val="sl"/>
        </w:rPr>
        <w:t>smernicah</w:t>
      </w:r>
      <w:r>
        <w:rPr>
          <w:lang w:val="sl"/>
        </w:rPr>
        <w:t>, kot so napotki OECD za skrbni pregled poslovanja.</w:t>
      </w:r>
    </w:p>
    <w:p w14:paraId="790862AC" w14:textId="77777777" w:rsidR="00A55002" w:rsidRPr="008A691D" w:rsidRDefault="00A55002" w:rsidP="00A55002">
      <w:pPr>
        <w:pStyle w:val="Para2"/>
        <w:rPr>
          <w:lang w:val="sl"/>
        </w:rPr>
      </w:pPr>
      <w:r>
        <w:rPr>
          <w:lang w:val="sl"/>
        </w:rPr>
        <w:t xml:space="preserve">NKT na različne načine lahko pomagajo pri prizadevanjih svojih vlad, da oblikujejo in izvajajo politike za spodbujanje odgovornega ravnanja podjetij ter podpirajo povezanost teh politik, odvisno od okvira. Prvič, NKT se spodbujajo, da obveščajo ustrezne državne organe z deljenjem svojih izjav in poročil ter drugih podatkov, raziskav in spoznanj, kadar vedo, da so pomembni za politike in programe posameznega organa, kot so zagovorništvo trgovine, gospodarska diplomacija ter druga podpora in storitve za podjetja. Drugič, pristopnice so ugotovile, da je koristno, če svoje NKT vključijo v oblikovanje in izvajanje politik ali programov, kot so državni načrti ukrepov za odgovorno ravnanje podjetij in/ali za podjetja in človekove pravice. Te določbe ne spreminjajo prostovoljne narave </w:t>
      </w:r>
      <w:r>
        <w:rPr>
          <w:i/>
          <w:iCs/>
          <w:lang w:val="sl"/>
        </w:rPr>
        <w:t>smernic</w:t>
      </w:r>
      <w:r>
        <w:rPr>
          <w:lang w:val="sl"/>
        </w:rPr>
        <w:t xml:space="preserve"> in vsaka pomoč, ki jo nudijo NKT ali so zanjo zaprošene, naj upošteva zmogljivosti in prednostne naloge NKT ter naj ne zmanjša njene zmožnosti opravljati naloge, opisane v sklepu in postopkih. </w:t>
      </w:r>
    </w:p>
    <w:p w14:paraId="51BE5825" w14:textId="77777777" w:rsidR="00A55002" w:rsidRPr="00EC1531" w:rsidRDefault="00A55002" w:rsidP="00A55002">
      <w:pPr>
        <w:pStyle w:val="Naslov2"/>
        <w:numPr>
          <w:ilvl w:val="1"/>
          <w:numId w:val="51"/>
        </w:numPr>
        <w:rPr>
          <w:i/>
          <w:color w:val="366091" w:themeColor="accent1" w:themeShade="BF"/>
          <w:lang w:val="sl"/>
        </w:rPr>
      </w:pPr>
      <w:r w:rsidRPr="00EC1531">
        <w:rPr>
          <w:bCs/>
          <w:color w:val="366091" w:themeColor="accent1" w:themeShade="BF"/>
          <w:lang w:val="sl"/>
        </w:rPr>
        <w:t>II. Komentar k postopkom za odbor za naložbe, DSORP in sekretariat</w:t>
      </w:r>
    </w:p>
    <w:p w14:paraId="0E48606E" w14:textId="77777777" w:rsidR="00A55002" w:rsidRPr="008A691D" w:rsidRDefault="00A55002" w:rsidP="00A55002">
      <w:pPr>
        <w:pStyle w:val="Para2"/>
        <w:rPr>
          <w:lang w:val="sl"/>
        </w:rPr>
      </w:pPr>
      <w:r>
        <w:rPr>
          <w:lang w:val="sl"/>
        </w:rPr>
        <w:t>Postopki, priloženi k sklepu Sveta, dajejo dodatne napotke odboru, DSORP in sekretariatu pri opravljanju njihovih nalog, ti naj med drugim:</w:t>
      </w:r>
    </w:p>
    <w:p w14:paraId="09A81F66" w14:textId="77777777" w:rsidR="00A55002" w:rsidRPr="008A691D" w:rsidRDefault="00A55002" w:rsidP="00A55002">
      <w:pPr>
        <w:pStyle w:val="BulletedList3"/>
        <w:rPr>
          <w:lang w:val="it-IT"/>
        </w:rPr>
      </w:pPr>
      <w:r>
        <w:rPr>
          <w:lang w:val="sl"/>
        </w:rPr>
        <w:t>svoje naloge opravljajo učinkovito in pravočasno;</w:t>
      </w:r>
    </w:p>
    <w:p w14:paraId="11C951D1" w14:textId="77777777" w:rsidR="00A55002" w:rsidRPr="008A691D" w:rsidRDefault="00A55002" w:rsidP="00A55002">
      <w:pPr>
        <w:pStyle w:val="BulletedList3"/>
        <w:rPr>
          <w:lang w:val="it-IT"/>
        </w:rPr>
      </w:pPr>
      <w:r>
        <w:rPr>
          <w:lang w:val="sl"/>
        </w:rPr>
        <w:t xml:space="preserve">obravnavajo prošnje NKT za pomoč, vključno z dajanjem pojasnil, napotkov in informacij o razlagi </w:t>
      </w:r>
      <w:r>
        <w:rPr>
          <w:i/>
          <w:iCs/>
          <w:lang w:val="sl"/>
        </w:rPr>
        <w:t>smernic</w:t>
      </w:r>
      <w:r>
        <w:rPr>
          <w:lang w:val="sl"/>
        </w:rPr>
        <w:t xml:space="preserve"> v posebnih primerih;</w:t>
      </w:r>
    </w:p>
    <w:p w14:paraId="73547685" w14:textId="77777777" w:rsidR="00A55002" w:rsidRPr="008A691D" w:rsidRDefault="00A55002" w:rsidP="00A55002">
      <w:pPr>
        <w:pStyle w:val="BulletedList3"/>
        <w:rPr>
          <w:lang w:val="it-IT"/>
        </w:rPr>
      </w:pPr>
      <w:r>
        <w:rPr>
          <w:lang w:val="sl"/>
        </w:rPr>
        <w:t>organizirajo izmenjav stališč o dejavnostih NKT;</w:t>
      </w:r>
    </w:p>
    <w:p w14:paraId="0A53C3FB" w14:textId="77777777" w:rsidR="00A55002" w:rsidRPr="008A691D" w:rsidRDefault="00A55002" w:rsidP="00A55002">
      <w:pPr>
        <w:pStyle w:val="BulletedList3"/>
        <w:rPr>
          <w:lang w:val="it-IT"/>
        </w:rPr>
      </w:pPr>
      <w:r>
        <w:rPr>
          <w:lang w:val="sl"/>
        </w:rPr>
        <w:t>omogočajo pridobivanje nasvetov od mednarodnih partnerjev in strokovnjakov.</w:t>
      </w:r>
    </w:p>
    <w:p w14:paraId="4A922ACE" w14:textId="77777777" w:rsidR="00A55002" w:rsidRPr="008A691D" w:rsidRDefault="00A55002" w:rsidP="00A55002">
      <w:pPr>
        <w:pStyle w:val="Para2"/>
        <w:rPr>
          <w:lang w:val="sl"/>
        </w:rPr>
      </w:pPr>
      <w:proofErr w:type="spellStart"/>
      <w:r>
        <w:rPr>
          <w:lang w:val="sl"/>
        </w:rPr>
        <w:t>Nezavezujoča</w:t>
      </w:r>
      <w:proofErr w:type="spellEnd"/>
      <w:r>
        <w:rPr>
          <w:lang w:val="sl"/>
        </w:rPr>
        <w:t xml:space="preserve"> narava </w:t>
      </w:r>
      <w:r>
        <w:rPr>
          <w:i/>
          <w:iCs/>
          <w:lang w:val="sl"/>
        </w:rPr>
        <w:t>smernic</w:t>
      </w:r>
      <w:r>
        <w:rPr>
          <w:lang w:val="sl"/>
        </w:rPr>
        <w:t xml:space="preserve"> odboru onemogoča, da bi deloval kot sodni ali </w:t>
      </w:r>
      <w:proofErr w:type="spellStart"/>
      <w:r>
        <w:rPr>
          <w:lang w:val="sl"/>
        </w:rPr>
        <w:t>kvazisodni</w:t>
      </w:r>
      <w:proofErr w:type="spellEnd"/>
      <w:r>
        <w:rPr>
          <w:lang w:val="sl"/>
        </w:rPr>
        <w:t xml:space="preserve"> organ. Ugotovitve in izjave NKT (razen razlag </w:t>
      </w:r>
      <w:r>
        <w:rPr>
          <w:i/>
          <w:iCs/>
          <w:lang w:val="sl"/>
        </w:rPr>
        <w:t>smernic</w:t>
      </w:r>
      <w:r>
        <w:rPr>
          <w:lang w:val="sl"/>
        </w:rPr>
        <w:t>) naj se ne izpodbijajo s predložitvijo odboru. Določba, da odbor ne sprejema sklepov o ravnanju posameznih podjetij, je vključena tudi v sklep.</w:t>
      </w:r>
    </w:p>
    <w:p w14:paraId="64810AA2" w14:textId="77777777" w:rsidR="00A55002" w:rsidRPr="008A691D" w:rsidRDefault="00A55002" w:rsidP="00A55002">
      <w:pPr>
        <w:pStyle w:val="Para2"/>
        <w:rPr>
          <w:lang w:val="sl"/>
        </w:rPr>
      </w:pPr>
      <w:r>
        <w:rPr>
          <w:lang w:val="sl"/>
        </w:rPr>
        <w:t xml:space="preserve">Sekretariat in DSORP obravnavata prošnje NKT za pomoč, kadar nastanejo dvomi o razlagi </w:t>
      </w:r>
      <w:r>
        <w:rPr>
          <w:i/>
          <w:iCs/>
          <w:lang w:val="sl"/>
        </w:rPr>
        <w:t>smernic</w:t>
      </w:r>
      <w:r>
        <w:rPr>
          <w:lang w:val="sl"/>
        </w:rPr>
        <w:t xml:space="preserve"> pri tekočih posebnih primerih. V takih primerih NKT najprej prosi sekretariat za informacije o razlagi </w:t>
      </w:r>
      <w:r>
        <w:rPr>
          <w:i/>
          <w:iCs/>
          <w:lang w:val="sl"/>
        </w:rPr>
        <w:t>smernic</w:t>
      </w:r>
      <w:r>
        <w:rPr>
          <w:lang w:val="sl"/>
        </w:rPr>
        <w:t xml:space="preserve"> v podobnih zadevah. Če take informacije niso na voljo ali ne zadoščajo za pomoč NKT ali če sekretariat ne more pomagati, NKT lahko prosi za napotke DSORP. Take prošnje se obravnavajo zaupno in hitro, v skladu z razpoložljivimi viri. Za hitrejšo obravnavo prošenj za napotke DSORP lahko organizira priložnostne sestanke ali ustanovi podskupino za odgovore na take prošnje. V takih primerih DSORP določi postopke, ki jih mora podskupina upoštevati. Informacije, ki jih zagotovi sekretariat, in napotki DSORP so zaupni in svetovalni ter se nanašajo le na obravnavano zadevo. Sekretariat redno poroča DSORP, DSORP pa redno poroča odboru o vprašanjih, zaradi katerih sta bila zaprošena za informacije in napotke, ter o odgovorih z ustreznim upoštevanjem zaupnosti. Če DSORP meni, da vprašanje, v zvezi s katerim je bil zaprošen za napotke, zahteva razlago </w:t>
      </w:r>
      <w:r>
        <w:rPr>
          <w:i/>
          <w:iCs/>
          <w:lang w:val="sl"/>
        </w:rPr>
        <w:t>smernic</w:t>
      </w:r>
      <w:r>
        <w:rPr>
          <w:lang w:val="sl"/>
        </w:rPr>
        <w:t xml:space="preserve">, pozove NKT, da pojasnilo pridobi od odbora na podlagi točke c) 2. odstavka II. razdelka postopkov. </w:t>
      </w:r>
    </w:p>
    <w:p w14:paraId="4581D4F9" w14:textId="77777777" w:rsidR="00A55002" w:rsidRPr="008A691D" w:rsidRDefault="00A55002" w:rsidP="00A55002">
      <w:pPr>
        <w:pStyle w:val="Para2"/>
        <w:rPr>
          <w:lang w:val="sl"/>
        </w:rPr>
      </w:pPr>
      <w:r>
        <w:rPr>
          <w:lang w:val="sl"/>
        </w:rPr>
        <w:lastRenderedPageBreak/>
        <w:t xml:space="preserve">Pojasnila glede razlage </w:t>
      </w:r>
      <w:r>
        <w:rPr>
          <w:i/>
          <w:iCs/>
          <w:lang w:val="sl"/>
        </w:rPr>
        <w:t>smernic</w:t>
      </w:r>
      <w:r>
        <w:rPr>
          <w:lang w:val="sl"/>
        </w:rPr>
        <w:t xml:space="preserve"> po točki c) 2. odstavka II. razdelka postopkov so ključna naloga odbora, ki zagotavlja, da se razlaga smernic ne razlikuje od države do države. Zahtevo za pojasnitev lahko vloži pristopnica, svetovalno telo (BIAC ali TUAC) ali OECD Watch, tudi glede tega, ali je NKT pravilno razlagala </w:t>
      </w:r>
      <w:r>
        <w:rPr>
          <w:i/>
          <w:iCs/>
          <w:lang w:val="sl"/>
        </w:rPr>
        <w:t>smernice</w:t>
      </w:r>
      <w:r>
        <w:rPr>
          <w:lang w:val="sl"/>
        </w:rPr>
        <w:t xml:space="preserve"> ali prejšnjo razlago odbora v zaprtem posebnem primeru. Pojasnilo odbora pripravi DSORP ob podpori sekretariata v skladu s postopki, ki jih določi odbor; pojasnilo se objavi na spletnem mestu OECD. Odbor za naložbe pri izdajanju pojasnil ne sprejema sklepov o ravnanju posameznih podjetij in od NKT se ne pričakuje, da bo zaradi pojasnila znova odprla posebni primer. </w:t>
      </w:r>
    </w:p>
    <w:p w14:paraId="20D4326B" w14:textId="77777777" w:rsidR="00A55002" w:rsidRPr="008A691D" w:rsidRDefault="00A55002" w:rsidP="00A55002">
      <w:pPr>
        <w:pStyle w:val="Para2"/>
        <w:rPr>
          <w:lang w:val="sl"/>
        </w:rPr>
      </w:pPr>
      <w:r>
        <w:rPr>
          <w:lang w:val="sl"/>
        </w:rPr>
        <w:t xml:space="preserve">Pri obravnavi dejavnosti NKT odbor po potrebi lahko daje priporočila za izboljšanje njihovega delovanja, vključno glede učinkovitega izvajanja </w:t>
      </w:r>
      <w:r>
        <w:rPr>
          <w:i/>
          <w:iCs/>
          <w:lang w:val="sl"/>
        </w:rPr>
        <w:t>smernic</w:t>
      </w:r>
      <w:r>
        <w:rPr>
          <w:lang w:val="sl"/>
        </w:rPr>
        <w:t xml:space="preserve"> in za odpravo razmer, v katerih NKT preneha delovati. Odbor na podlagi zadnjih dveh obdobij letnih poročil NKT in na predlog DSORP lahko zlasti ugotovi, da NKT dlje časa in brez upravičenega razloga očitno ni delovala v skladu s postopki. Taka ugotovitev lahko na primer temelji na večkrat neuspeli dodelitvi sredstev, potrebnih za opravljanje osnovnih nalog NKT, očitno neprimerni institucionalni ureditvi, odsotnosti kakršnih koli promocijskih dejavnosti, ponavljajočih se znatnih zamudah pri obravnavanju posebnih primerov ali na </w:t>
      </w:r>
      <w:proofErr w:type="spellStart"/>
      <w:r>
        <w:rPr>
          <w:lang w:val="sl"/>
        </w:rPr>
        <w:t>neporočanju</w:t>
      </w:r>
      <w:proofErr w:type="spellEnd"/>
      <w:r>
        <w:rPr>
          <w:lang w:val="sl"/>
        </w:rPr>
        <w:t xml:space="preserve">. Odbor lahko nato državi NKT da priporočila in jo pozove, da poroča o izvedbi v določenem roku, ter da nadaljnja priporočila, če ga poročilo ne prepriča, da NKT deluje v skladu s postopki. Odbor lahko zahteva, da sekretariat pomaga pristopnici pri izvedbi priporočil. Pristopnica, za katere NKT gre, naj sodeluje pri postopku v dobri veri in od nje se pričakuje, da se bo pridružila soglasju, razen v izjemnih okoliščinah, kot sama določi.  </w:t>
      </w:r>
    </w:p>
    <w:p w14:paraId="079F042C" w14:textId="77777777" w:rsidR="00A55002" w:rsidRPr="008A691D" w:rsidRDefault="00A55002" w:rsidP="00A55002">
      <w:pPr>
        <w:pStyle w:val="Para2"/>
        <w:rPr>
          <w:lang w:val="sl"/>
        </w:rPr>
      </w:pPr>
      <w:r>
        <w:rPr>
          <w:lang w:val="sl"/>
        </w:rPr>
        <w:t xml:space="preserve">Odbor obravnava tudi utemeljene vloge države pristopnice, svetovalnega telesa (BIAC ali TUAC) ali OECD Watch o tem, da NKT ni izpolnila svojih postopkovnih nalog pri izvajanju </w:t>
      </w:r>
      <w:r>
        <w:rPr>
          <w:i/>
          <w:iCs/>
          <w:lang w:val="sl"/>
        </w:rPr>
        <w:t>smernic</w:t>
      </w:r>
      <w:r>
        <w:rPr>
          <w:lang w:val="sl"/>
        </w:rPr>
        <w:t xml:space="preserve"> v posebnih primerih. Odgovor odbora pripravi DSORP ob podpori sekretariata v skladu s postopki, ki jih določi odbor. Odgovor se odobri soglasno. Pristopnica, katere NKT je predmet utemeljene vloge, naj sodeluje pri postopku v dobri veri in od nje se pričakuje, da se bo pridružila soglasju, razen v izjemnih okoliščinah, kot sama določi. Odbor pred svojo odločitvijo tej pristopnici da priložnost, da izrazi svoje stališče o utemeljeni vlogi, in lahko jo pozove, da poroča o izvajanju morebitnih priporočil v dvanajstih mesecih od odgovora. </w:t>
      </w:r>
    </w:p>
    <w:p w14:paraId="7A6FC287" w14:textId="77777777" w:rsidR="00A55002" w:rsidRPr="008A691D" w:rsidRDefault="00A55002" w:rsidP="00A55002">
      <w:pPr>
        <w:pStyle w:val="Para2"/>
        <w:rPr>
          <w:lang w:val="sl"/>
        </w:rPr>
      </w:pPr>
      <w:r>
        <w:rPr>
          <w:lang w:val="sl"/>
        </w:rPr>
        <w:t xml:space="preserve">Za sodelovanje </w:t>
      </w:r>
      <w:proofErr w:type="spellStart"/>
      <w:r>
        <w:rPr>
          <w:lang w:val="sl"/>
        </w:rPr>
        <w:t>nepristopnic</w:t>
      </w:r>
      <w:proofErr w:type="spellEnd"/>
      <w:r>
        <w:rPr>
          <w:lang w:val="sl"/>
        </w:rPr>
        <w:t xml:space="preserve"> glede zadev, zajetih v </w:t>
      </w:r>
      <w:r>
        <w:rPr>
          <w:i/>
          <w:iCs/>
          <w:lang w:val="sl"/>
        </w:rPr>
        <w:t>smernicah</w:t>
      </w:r>
      <w:r>
        <w:rPr>
          <w:lang w:val="sl"/>
        </w:rPr>
        <w:t xml:space="preserve">, odbor lahko povabi zainteresirane </w:t>
      </w:r>
      <w:proofErr w:type="spellStart"/>
      <w:r>
        <w:rPr>
          <w:lang w:val="sl"/>
        </w:rPr>
        <w:t>nepristopnice</w:t>
      </w:r>
      <w:proofErr w:type="spellEnd"/>
      <w:r>
        <w:rPr>
          <w:lang w:val="sl"/>
        </w:rPr>
        <w:t xml:space="preserve"> na svoje seje, letne okrogle mize o odgovornosti podjetij ter sestanke o posebnih projektih za odgovorno ravnanje podjetij.</w:t>
      </w:r>
    </w:p>
    <w:p w14:paraId="2C86BE3D" w14:textId="77777777" w:rsidR="00A55002" w:rsidRPr="008A691D" w:rsidRDefault="00A55002" w:rsidP="00A55002">
      <w:pPr>
        <w:pStyle w:val="Para2"/>
        <w:rPr>
          <w:lang w:val="it-IT"/>
        </w:rPr>
        <w:sectPr w:rsidR="00A55002" w:rsidRPr="008A691D" w:rsidSect="00A55002">
          <w:headerReference w:type="even" r:id="rId57"/>
          <w:headerReference w:type="default" r:id="rId58"/>
          <w:footerReference w:type="even" r:id="rId59"/>
          <w:footerReference w:type="default" r:id="rId60"/>
          <w:headerReference w:type="first" r:id="rId61"/>
          <w:footerReference w:type="first" r:id="rId62"/>
          <w:endnotePr>
            <w:numFmt w:val="decimal"/>
            <w:numRestart w:val="eachSect"/>
          </w:endnotePr>
          <w:type w:val="oddPage"/>
          <w:pgSz w:w="11906" w:h="16838" w:code="9"/>
          <w:pgMar w:top="1814" w:right="1304" w:bottom="1758" w:left="1304" w:header="1247" w:footer="1020" w:gutter="0"/>
          <w:cols w:space="708"/>
          <w:docGrid w:linePitch="360"/>
        </w:sectPr>
      </w:pPr>
      <w:r>
        <w:rPr>
          <w:lang w:val="sl"/>
        </w:rPr>
        <w:t>Odbor in DSORP bosta morda želela pozvati vse strokovnjake, da obravnavajo širša vprašanja (na primer delo otrok ali človekove pravice) ali posamezna vprašanja ter o tem poročajo ali da povečajo učinkovitost postopkov. V ta namen se odbor lahko obrne tudi na strokovnjake OECD, mednarodne organizacije, svetovalni telesi (BIAC in TUAC), OECD Watch, nevladne organizacije, univerze in druge. Razume se, da to ne sme postati zbor za razreševanje posameznih vprašanj.</w:t>
      </w:r>
    </w:p>
    <w:p w14:paraId="483CF41D" w14:textId="77777777" w:rsidR="00751B2A" w:rsidRPr="008A691D" w:rsidRDefault="00751B2A" w:rsidP="00751B2A">
      <w:pPr>
        <w:pStyle w:val="Para0"/>
        <w:rPr>
          <w:lang w:val="it-IT"/>
        </w:rPr>
      </w:pPr>
    </w:p>
    <w:sectPr w:rsidR="00751B2A" w:rsidRPr="008A691D" w:rsidSect="00CF6ED9">
      <w:endnotePr>
        <w:numFmt w:val="decimal"/>
        <w:numRestart w:val="eachSect"/>
      </w:endnotePr>
      <w:type w:val="continuous"/>
      <w:pgSz w:w="11906" w:h="16838" w:code="9"/>
      <w:pgMar w:top="1814" w:right="1304" w:bottom="1758" w:left="1304" w:header="1247" w:footer="10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tlengar" w:date="2024-06-07T13:53:00Z" w:initials="t">
    <w:p w14:paraId="0B355CE3" w14:textId="77777777" w:rsidR="0042619C" w:rsidRPr="008A691D" w:rsidRDefault="0042619C">
      <w:pPr>
        <w:rPr>
          <w:lang w:val="it-IT"/>
        </w:rPr>
      </w:pPr>
      <w:r>
        <w:annotationRef/>
      </w:r>
      <w:r w:rsidRPr="008A691D">
        <w:rPr>
          <w:lang w:val="it-IT"/>
        </w:rPr>
        <w:t>Večinoma nakazano, da je strank lahko več, ne le dve (tudi v nadaljevanju te povedi).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55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55CE3" w16cid:durableId="2A534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87CC" w14:textId="77777777" w:rsidR="00321C06" w:rsidRDefault="00321C06" w:rsidP="00CC3749"/>
  </w:endnote>
  <w:endnote w:type="continuationSeparator" w:id="0">
    <w:p w14:paraId="219BCA10" w14:textId="77777777" w:rsidR="00321C06" w:rsidRPr="00CF4424" w:rsidRDefault="00321C06" w:rsidP="00CF4424">
      <w:pPr>
        <w:pStyle w:val="Noga"/>
        <w:jc w:val="both"/>
      </w:pPr>
    </w:p>
  </w:endnote>
  <w:endnote w:type="continuationNotice" w:id="1">
    <w:p w14:paraId="4A72DAEB" w14:textId="77777777" w:rsidR="00321C06" w:rsidRDefault="00321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embedRegular r:id="rId1" w:fontKey="{2261CC88-AE20-45F6-B4E9-7E917E78A579}"/>
    <w:embedBold r:id="rId2" w:fontKey="{DFD9B574-0D4E-4CAE-B688-CB2B31B95408}"/>
    <w:embedItalic r:id="rId3" w:fontKey="{9321EC03-5A1C-41B4-95F5-333404A9DC00}"/>
    <w:embedBoldItalic r:id="rId4" w:fontKey="{2E9CD846-9364-4A71-951B-DEB4187A3E79}"/>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EndPr/>
    <w:sdtContent>
      <w:p w14:paraId="30649B9C" w14:textId="77777777" w:rsidR="0042619C" w:rsidRPr="00C33D51" w:rsidRDefault="0042619C" w:rsidP="004E100F">
        <w:pPr>
          <w:pStyle w:val="Noga"/>
          <w:jc w:val="right"/>
          <w:rPr>
            <w:lang w:val="pl-PL"/>
          </w:rPr>
        </w:pPr>
        <w:r>
          <w:rPr>
            <w:lang w:val="sl"/>
          </w:rPr>
          <w:t>Smernice OECD o odgovornem ravnanju podjetij za mednarodna podjetja © OECD 2023</w:t>
        </w:r>
      </w:p>
    </w:sdtContent>
  </w:sdt>
  <w:sdt>
    <w:sdtPr>
      <w:alias w:val="Classification"/>
      <w:tag w:val="txtHeaderClassif"/>
      <w:id w:val="-1918931641"/>
      <w:lock w:val="sdtLocked"/>
    </w:sdtPr>
    <w:sdtEndPr/>
    <w:sdtContent>
      <w:p w14:paraId="1EB27129" w14:textId="77777777" w:rsidR="0042619C" w:rsidRDefault="0042619C" w:rsidP="004E100F">
        <w:pPr>
          <w:pStyle w:val="FooterClassification"/>
          <w:jc w:val="left"/>
        </w:pPr>
        <w:r>
          <w:rPr>
            <w:lang w:val="sl"/>
          </w:rPr>
          <w:t xml:space="preserve"> </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79322480"/>
      <w:lock w:val="sdtLocked"/>
    </w:sdtPr>
    <w:sdtEndPr/>
    <w:sdtContent>
      <w:p w14:paraId="39B20661" w14:textId="77777777" w:rsidR="0042619C" w:rsidRPr="00C33D51" w:rsidRDefault="0042619C" w:rsidP="004E100F">
        <w:pPr>
          <w:pStyle w:val="Noga"/>
          <w:jc w:val="right"/>
          <w:rPr>
            <w:lang w:val="pl-PL"/>
          </w:rPr>
        </w:pPr>
        <w:r>
          <w:rPr>
            <w:lang w:val="sl"/>
          </w:rPr>
          <w:t>Smernice OECD o odgovornem ravnanju podjetij za mednarodna podjetja © OECD 2023</w:t>
        </w:r>
      </w:p>
    </w:sdtContent>
  </w:sdt>
  <w:sdt>
    <w:sdtPr>
      <w:alias w:val="Classification"/>
      <w:tag w:val="txtHeaderClassif"/>
      <w:id w:val="-1295209779"/>
      <w:lock w:val="sdtLocked"/>
    </w:sdtPr>
    <w:sdtEndPr/>
    <w:sdtContent>
      <w:p w14:paraId="7DAB9293" w14:textId="77777777" w:rsidR="0042619C" w:rsidRDefault="0042619C" w:rsidP="004E100F">
        <w:pPr>
          <w:pStyle w:val="FooterClassification"/>
          <w:jc w:val="left"/>
        </w:pPr>
        <w:r>
          <w:rPr>
            <w:lang w:val="sl"/>
          </w:rPr>
          <w:t xml:space="preserve">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266382544"/>
      <w:lock w:val="sdtLocked"/>
    </w:sdtPr>
    <w:sdtEndPr/>
    <w:sdtContent>
      <w:p w14:paraId="6B117F8A" w14:textId="77777777" w:rsidR="0042619C" w:rsidRPr="00C33D51" w:rsidRDefault="0042619C" w:rsidP="004E100F">
        <w:pPr>
          <w:pStyle w:val="Noga"/>
          <w:jc w:val="left"/>
          <w:rPr>
            <w:caps w:val="0"/>
            <w:szCs w:val="16"/>
            <w:lang w:val="pl-PL"/>
          </w:rPr>
        </w:pPr>
        <w:r>
          <w:rPr>
            <w:lang w:val="sl"/>
          </w:rPr>
          <w:t>Smernice OECD o odgovornem ravnanju podjetij za mednarodna podjetja © OECD 2023</w:t>
        </w:r>
      </w:p>
    </w:sdtContent>
  </w:sdt>
  <w:sdt>
    <w:sdtPr>
      <w:alias w:val="Classification"/>
      <w:tag w:val="txtHeaderClassif"/>
      <w:id w:val="-1419322961"/>
      <w:lock w:val="sdtLocked"/>
    </w:sdtPr>
    <w:sdtEndPr/>
    <w:sdtContent>
      <w:p w14:paraId="1956B4CA" w14:textId="77777777" w:rsidR="0042619C" w:rsidRPr="00FD7BD8" w:rsidRDefault="0042619C" w:rsidP="004E100F">
        <w:pPr>
          <w:pStyle w:val="FooterClassification"/>
          <w:rPr>
            <w:szCs w:val="16"/>
          </w:rPr>
        </w:pPr>
        <w:r>
          <w:rPr>
            <w:lang w:val="sl"/>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E8BA" w14:textId="77777777" w:rsidR="0042619C" w:rsidRDefault="0042619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dtPr>
    <w:sdtEndPr/>
    <w:sdtContent>
      <w:p w14:paraId="67E0CD43" w14:textId="77777777" w:rsidR="0042619C" w:rsidRPr="00C33D51" w:rsidRDefault="0042619C" w:rsidP="004E100F">
        <w:pPr>
          <w:pStyle w:val="Noga"/>
          <w:jc w:val="left"/>
          <w:rPr>
            <w:caps w:val="0"/>
            <w:szCs w:val="16"/>
            <w:lang w:val="pl-PL"/>
          </w:rPr>
        </w:pPr>
        <w:r>
          <w:rPr>
            <w:lang w:val="sl"/>
          </w:rPr>
          <w:t>Smernice OECD o odgovornem ravnanju podjetij za mednarodna podjetja © OECD 2023</w:t>
        </w:r>
      </w:p>
    </w:sdtContent>
  </w:sdt>
  <w:sdt>
    <w:sdtPr>
      <w:alias w:val="Classification"/>
      <w:tag w:val="txtHeaderClassif"/>
      <w:id w:val="-311407045"/>
      <w:lock w:val="sdtLocked"/>
    </w:sdtPr>
    <w:sdtEndPr/>
    <w:sdtContent>
      <w:p w14:paraId="362F7143" w14:textId="77777777" w:rsidR="0042619C" w:rsidRPr="00FD7BD8" w:rsidRDefault="0042619C" w:rsidP="004E100F">
        <w:pPr>
          <w:pStyle w:val="FooterClassification"/>
          <w:rPr>
            <w:szCs w:val="16"/>
          </w:rPr>
        </w:pPr>
        <w:r>
          <w:rPr>
            <w:lang w:val="sl"/>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5A24" w14:textId="77777777" w:rsidR="0042619C" w:rsidRDefault="0042619C">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683964891"/>
      <w:lock w:val="sdtLocked"/>
    </w:sdtPr>
    <w:sdtEndPr/>
    <w:sdtContent>
      <w:p w14:paraId="4A973A4C" w14:textId="77777777" w:rsidR="0042619C" w:rsidRPr="00C33D51" w:rsidRDefault="0042619C" w:rsidP="004E100F">
        <w:pPr>
          <w:pStyle w:val="Noga"/>
          <w:jc w:val="right"/>
          <w:rPr>
            <w:lang w:val="pl-PL"/>
          </w:rPr>
        </w:pPr>
        <w:r>
          <w:rPr>
            <w:lang w:val="sl"/>
          </w:rPr>
          <w:t>Smernice OECD o odgovornem ravnanju podjetij za mednarodna podjetja © OECD 2023</w:t>
        </w:r>
      </w:p>
    </w:sdtContent>
  </w:sdt>
  <w:sdt>
    <w:sdtPr>
      <w:alias w:val="Classification"/>
      <w:tag w:val="txtHeaderClassif"/>
      <w:id w:val="798505081"/>
      <w:lock w:val="sdtLocked"/>
    </w:sdtPr>
    <w:sdtEndPr/>
    <w:sdtContent>
      <w:p w14:paraId="26A43FDD" w14:textId="77777777" w:rsidR="0042619C" w:rsidRDefault="0042619C" w:rsidP="004E100F">
        <w:pPr>
          <w:pStyle w:val="FooterClassification"/>
          <w:jc w:val="left"/>
        </w:pPr>
        <w:r>
          <w:rPr>
            <w:lang w:val="sl"/>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072190585"/>
      <w:lock w:val="sdtLocked"/>
    </w:sdtPr>
    <w:sdtEndPr/>
    <w:sdtContent>
      <w:p w14:paraId="6815CBE8" w14:textId="77777777" w:rsidR="0042619C" w:rsidRPr="00C33D51" w:rsidRDefault="0042619C" w:rsidP="004E100F">
        <w:pPr>
          <w:pStyle w:val="Noga"/>
          <w:jc w:val="left"/>
          <w:rPr>
            <w:caps w:val="0"/>
            <w:szCs w:val="16"/>
            <w:lang w:val="pl-PL"/>
          </w:rPr>
        </w:pPr>
        <w:r>
          <w:rPr>
            <w:lang w:val="sl"/>
          </w:rPr>
          <w:t>Smernice OECD o odgovornem ravnanju podjetij za mednarodna podjetja © OECD 2023</w:t>
        </w:r>
      </w:p>
    </w:sdtContent>
  </w:sdt>
  <w:sdt>
    <w:sdtPr>
      <w:alias w:val="Classification"/>
      <w:tag w:val="txtHeaderClassif"/>
      <w:id w:val="-1411079685"/>
      <w:lock w:val="sdtLocked"/>
    </w:sdtPr>
    <w:sdtEndPr/>
    <w:sdtContent>
      <w:p w14:paraId="273C76AC" w14:textId="77777777" w:rsidR="0042619C" w:rsidRPr="00FD7BD8" w:rsidRDefault="0042619C" w:rsidP="004E100F">
        <w:pPr>
          <w:pStyle w:val="FooterClassification"/>
          <w:rPr>
            <w:szCs w:val="16"/>
          </w:rPr>
        </w:pPr>
        <w:r>
          <w:rPr>
            <w:lang w:val="sl"/>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AED5" w14:textId="77777777" w:rsidR="0042619C" w:rsidRDefault="0042619C">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078134418"/>
      <w:lock w:val="sdtLocked"/>
    </w:sdtPr>
    <w:sdtEndPr/>
    <w:sdtContent>
      <w:p w14:paraId="6B9778A5" w14:textId="77777777" w:rsidR="0042619C" w:rsidRPr="00C33D51" w:rsidRDefault="0042619C" w:rsidP="004E100F">
        <w:pPr>
          <w:pStyle w:val="Noga"/>
          <w:jc w:val="right"/>
          <w:rPr>
            <w:lang w:val="pl-PL"/>
          </w:rPr>
        </w:pPr>
        <w:r>
          <w:rPr>
            <w:lang w:val="sl"/>
          </w:rPr>
          <w:t>Smernice OECD o odgovornem ravnanju podjetij za mednarodna podjetja © OECD 2023</w:t>
        </w:r>
      </w:p>
    </w:sdtContent>
  </w:sdt>
  <w:sdt>
    <w:sdtPr>
      <w:alias w:val="Classification"/>
      <w:tag w:val="txtHeaderClassif"/>
      <w:id w:val="1755241514"/>
      <w:lock w:val="sdtLocked"/>
    </w:sdtPr>
    <w:sdtEndPr/>
    <w:sdtContent>
      <w:p w14:paraId="2CFC3705" w14:textId="77777777" w:rsidR="0042619C" w:rsidRDefault="0042619C" w:rsidP="004E100F">
        <w:pPr>
          <w:pStyle w:val="FooterClassification"/>
          <w:jc w:val="left"/>
        </w:pPr>
        <w:r>
          <w:rPr>
            <w:lang w:val="sl"/>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91649841"/>
      <w:lock w:val="sdtLocked"/>
    </w:sdtPr>
    <w:sdtEndPr/>
    <w:sdtContent>
      <w:p w14:paraId="03A28061" w14:textId="77777777" w:rsidR="0042619C" w:rsidRPr="00C33D51" w:rsidRDefault="0042619C" w:rsidP="004E100F">
        <w:pPr>
          <w:pStyle w:val="Noga"/>
          <w:jc w:val="left"/>
          <w:rPr>
            <w:caps w:val="0"/>
            <w:szCs w:val="16"/>
            <w:lang w:val="pl-PL"/>
          </w:rPr>
        </w:pPr>
        <w:r>
          <w:rPr>
            <w:lang w:val="sl"/>
          </w:rPr>
          <w:t>Smernice OECD o odgovornem ravnanju podjetij za mednarodna podjetja © OECD 2023</w:t>
        </w:r>
      </w:p>
    </w:sdtContent>
  </w:sdt>
  <w:sdt>
    <w:sdtPr>
      <w:alias w:val="Classification"/>
      <w:tag w:val="txtHeaderClassif"/>
      <w:id w:val="-1722278004"/>
      <w:lock w:val="sdtLocked"/>
    </w:sdtPr>
    <w:sdtEndPr/>
    <w:sdtContent>
      <w:p w14:paraId="0C23BED1" w14:textId="77777777" w:rsidR="0042619C" w:rsidRPr="00FD7BD8" w:rsidRDefault="0042619C" w:rsidP="004E100F">
        <w:pPr>
          <w:pStyle w:val="FooterClassification"/>
          <w:rPr>
            <w:szCs w:val="16"/>
          </w:rPr>
        </w:pPr>
        <w:r>
          <w:rPr>
            <w:lang w:val="sl"/>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F6F" w14:textId="77777777" w:rsidR="0042619C" w:rsidRDefault="004261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ED2F" w14:textId="77777777" w:rsidR="00321C06" w:rsidRDefault="00321C06" w:rsidP="00CC3749">
      <w:r>
        <w:separator/>
      </w:r>
    </w:p>
  </w:footnote>
  <w:footnote w:type="continuationSeparator" w:id="0">
    <w:p w14:paraId="338720A2" w14:textId="77777777" w:rsidR="00321C06" w:rsidRDefault="00321C06" w:rsidP="00CC3749">
      <w:r>
        <w:continuationSeparator/>
      </w:r>
    </w:p>
  </w:footnote>
  <w:footnote w:type="continuationNotice" w:id="1">
    <w:p w14:paraId="0E9B4053" w14:textId="77777777" w:rsidR="00321C06" w:rsidRDefault="00321C06"/>
  </w:footnote>
  <w:footnote w:id="2">
    <w:p w14:paraId="697E0837" w14:textId="77777777" w:rsidR="0042619C" w:rsidRPr="008A691D" w:rsidRDefault="0042619C">
      <w:pPr>
        <w:pStyle w:val="Sprotnaopomba-besedilo"/>
        <w:rPr>
          <w:lang w:val="sl"/>
        </w:rPr>
      </w:pPr>
      <w:r>
        <w:rPr>
          <w:rStyle w:val="Sprotnaopomba-sklic"/>
          <w:lang w:val="sl"/>
        </w:rPr>
        <w:footnoteRef/>
      </w:r>
      <w:r>
        <w:rPr>
          <w:lang w:val="sl"/>
        </w:rPr>
        <w:t xml:space="preserve"> Od 8. junija 2023 so pristopnice vse članice OECD ter Argentina, Brazilija, Bolgarija, Hrvaška, Egipt, Jordanija, Kazahstan, Maroko, Peru, Romunija, Tunizija, Ukrajina in Urugvaj. Evropska skupnost je bila povabljena, da sodeluje pri razdelku o nacionalni obravnavi v zadevah, ki so v njeni pristojnosti.</w:t>
      </w:r>
    </w:p>
  </w:footnote>
  <w:footnote w:id="3">
    <w:p w14:paraId="230E1421" w14:textId="77777777" w:rsidR="0042619C" w:rsidRPr="008A691D" w:rsidRDefault="0042619C" w:rsidP="0042619C">
      <w:pPr>
        <w:pStyle w:val="Sprotnaopomba-besedilo"/>
        <w:rPr>
          <w:lang w:val="sl"/>
        </w:rPr>
      </w:pPr>
      <w:r>
        <w:rPr>
          <w:rStyle w:val="Sprotnaopomba-sklic"/>
          <w:lang w:val="sl"/>
        </w:rPr>
        <w:footnoteRef/>
      </w:r>
      <w:r>
        <w:rPr>
          <w:lang w:val="sl"/>
        </w:rPr>
        <w:t xml:space="preserve"> Besedilo </w:t>
      </w:r>
      <w:r>
        <w:rPr>
          <w:i/>
          <w:iCs/>
          <w:lang w:val="sl"/>
        </w:rPr>
        <w:t xml:space="preserve">Smernic o odgovornem ravnanju podjetij za mednarodna podjetja </w:t>
      </w:r>
      <w:r>
        <w:rPr>
          <w:lang w:val="sl"/>
        </w:rPr>
        <w:t>je v I. delu te publikacije.</w:t>
      </w:r>
    </w:p>
  </w:footnote>
  <w:footnote w:id="4">
    <w:p w14:paraId="6E26E9E9" w14:textId="77777777" w:rsidR="0042619C" w:rsidRPr="008A691D" w:rsidRDefault="0042619C" w:rsidP="0042619C">
      <w:pPr>
        <w:pStyle w:val="Sprotnaopomba-besedilo"/>
        <w:rPr>
          <w:lang w:val="sl"/>
        </w:rPr>
      </w:pPr>
      <w:r>
        <w:rPr>
          <w:rStyle w:val="Sprotnaopomba-sklic"/>
          <w:lang w:val="sl"/>
        </w:rPr>
        <w:footnoteRef/>
      </w:r>
      <w:r>
        <w:rPr>
          <w:lang w:val="sl"/>
        </w:rPr>
        <w:t xml:space="preserve"> Priloga 2 je na voljo v celotni različici Deklaracije o mednarodnih naložbah in mednarodnih podjetjih, ki je na voljo tukaj: </w:t>
      </w:r>
      <w:hyperlink r:id="rId1" w:history="1">
        <w:r>
          <w:rPr>
            <w:rStyle w:val="Hiperpovezava"/>
            <w:lang w:val="sl"/>
          </w:rPr>
          <w:t>https://legalinstruments.oecd.org/en/instruments/OECD-LEGAL-0144</w:t>
        </w:r>
      </w:hyperlink>
      <w:r>
        <w:rPr>
          <w:rStyle w:val="Hiperpovezava"/>
          <w:lang w:val="sl"/>
        </w:rPr>
        <w:t xml:space="preserve">. </w:t>
      </w:r>
    </w:p>
  </w:footnote>
  <w:footnote w:id="5">
    <w:p w14:paraId="65E88B20" w14:textId="77777777" w:rsidR="0042619C" w:rsidRPr="008A691D" w:rsidRDefault="0042619C" w:rsidP="007D12EC">
      <w:pPr>
        <w:pStyle w:val="Sprotnaopomba-besedilo"/>
        <w:rPr>
          <w:lang w:val="sl"/>
        </w:rPr>
      </w:pPr>
      <w:r>
        <w:rPr>
          <w:rStyle w:val="Sprotnaopomba-sklic"/>
          <w:lang w:val="sl"/>
        </w:rPr>
        <w:t>1</w:t>
      </w:r>
      <w:r>
        <w:rPr>
          <w:lang w:val="sl"/>
        </w:rPr>
        <w:t xml:space="preserve"> Ena od najbolj splošno sprejetih opredelitev trajnostnega razvoja, ki jo je leta 1987 pripravila Svetovna komisija za okolje in razvoj (</w:t>
      </w:r>
      <w:r>
        <w:rPr>
          <w:lang w:val="sl"/>
        </w:rPr>
        <w:t>Brundtlandova komisija), se glasi: "Razvoj, ki zadovoljuje potrebe sedanje generacije, ne da bi pri tem ogrozil zmožnost prihodnjih generacij, da zadovoljijo svoje potrebe." Pomembna referenčna točka pri tem so svetovni cilji za izkoreninjenje svetovne revščine, zaščito planeta ter zagotavljanje miru in blaginje vsem ljudem.</w:t>
      </w:r>
    </w:p>
  </w:footnote>
  <w:footnote w:id="6">
    <w:p w14:paraId="252E31A7" w14:textId="77777777" w:rsidR="0042619C" w:rsidRPr="008A691D" w:rsidRDefault="0042619C" w:rsidP="0042619C">
      <w:pPr>
        <w:pStyle w:val="Sprotnaopomba-besedilo"/>
        <w:rPr>
          <w:lang w:val="sl"/>
        </w:rPr>
      </w:pPr>
      <w:r>
        <w:rPr>
          <w:rStyle w:val="Sprotnaopomba-sklic"/>
          <w:lang w:val="sl"/>
        </w:rPr>
        <w:t>2</w:t>
      </w:r>
      <w:r>
        <w:rPr>
          <w:lang w:val="sl"/>
        </w:rPr>
        <w:t xml:space="preserve"> V </w:t>
      </w:r>
      <w:r>
        <w:rPr>
          <w:i/>
          <w:iCs/>
          <w:lang w:val="sl"/>
        </w:rPr>
        <w:t>konvenciji OECD proti podkupovanju</w:t>
      </w:r>
      <w:r>
        <w:rPr>
          <w:lang w:val="sl"/>
        </w:rPr>
        <w:t xml:space="preserve"> je kršitev tujega podkupovanja opredeljena kot "... ponujanje, obljubljanje ali dajanje nedovoljene denarne ali druge koristi tujemu javnemu uslužbencu, zanj ali za kogar koli drugega, da bi z namenom pridobitve ali ohranitve posla ali druge neprimerne prednosti v mednarodnem poslovanju opravil uradno dejanje ali da tega dejanja ne bi opravil". V komentarjih h </w:t>
      </w:r>
      <w:r>
        <w:rPr>
          <w:i/>
          <w:iCs/>
          <w:lang w:val="sl"/>
        </w:rPr>
        <w:t>konvenciji OECD proti podkupovanju</w:t>
      </w:r>
      <w:r>
        <w:rPr>
          <w:lang w:val="sl"/>
        </w:rPr>
        <w:t xml:space="preserve"> (9. odstavek) je pojasnjeno, da "manjša '</w:t>
      </w:r>
      <w:r>
        <w:rPr>
          <w:lang w:val="sl"/>
        </w:rPr>
        <w:t xml:space="preserve">pospešitvena' plačila niso plačila za 'pridobitev ali ohranitev posla ali druge neprimerne prednosti' po 1. odstavku in torej niso kršitev. Taka plačila, ki se opravljajo v nekaterih državah za spodbuditev uradnikov, da opravijo svojo nalogo, kot je izdaja licence ali dovoljenja, so praviloma nezakonita v tuji državi, v kateri se opravijo. Druge države lahko in naj odpravijo ta škodljivi pojav, na primer s podporo programom dobrega upravljanja." </w:t>
      </w:r>
      <w:r>
        <w:rPr>
          <w:i/>
          <w:iCs/>
          <w:lang w:val="sl"/>
        </w:rPr>
        <w:t>Priporočilo proti podkupovanju</w:t>
      </w:r>
      <w:r>
        <w:rPr>
          <w:lang w:val="sl"/>
        </w:rPr>
        <w:t xml:space="preserve"> (točka i XIV. razdelka) priporoča, da vlade "redno pregledujejo svoje politike in obravnavo manjših pospešitvenih plačil, da se učinkovito spopadejo s tem pojavom".</w:t>
      </w:r>
    </w:p>
    <w:p w14:paraId="7833A423" w14:textId="77777777" w:rsidR="0042619C" w:rsidRPr="008A691D" w:rsidRDefault="0042619C" w:rsidP="0042619C">
      <w:pPr>
        <w:pStyle w:val="Sprotnaopomba-besedilo"/>
        <w:rPr>
          <w:lang w:val="sl"/>
        </w:rPr>
      </w:pPr>
    </w:p>
  </w:footnote>
  <w:footnote w:id="7">
    <w:p w14:paraId="702CD610" w14:textId="77777777" w:rsidR="0042619C" w:rsidRPr="008A691D" w:rsidRDefault="0042619C">
      <w:pPr>
        <w:pStyle w:val="Sprotnaopomba-besedilo"/>
        <w:rPr>
          <w:lang w:val="sl"/>
        </w:rPr>
      </w:pPr>
      <w:r>
        <w:rPr>
          <w:rStyle w:val="Sprotnaopomba-sklic"/>
          <w:lang w:val="sl"/>
        </w:rPr>
        <w:t>3</w:t>
      </w:r>
      <w:r>
        <w:rPr>
          <w:lang w:val="sl"/>
        </w:rPr>
        <w:t xml:space="preserve"> Vsebina 7. odstavka ne posega v stališča vlad na področju elektronskega poslovanja pri Svetovni trgovinski organizaciji (STO). Namen odstavka ni zanemariti druge pomembne interese javne politike, ki se lahko nanašajo na uporabo interneta in jih bo treba upoštevati. Nekatere države so se v zvezi s tem sklicevale na Tuniško agendo za informacijsko družbo iz leta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8966" w14:textId="77777777" w:rsidR="0042619C" w:rsidRDefault="007C6346" w:rsidP="004E100F">
    <w:pPr>
      <w:pStyle w:val="Glava"/>
    </w:pPr>
    <w:sdt>
      <w:sdtPr>
        <w:rPr>
          <w:rStyle w:val="tevilkastrani"/>
        </w:rPr>
        <w:alias w:val="Page Number"/>
        <w:tag w:val="TxtPageNumber"/>
        <w:id w:val="-1835755985"/>
        <w:lock w:val="sdtLocked"/>
      </w:sdtPr>
      <w:sdtEndPr>
        <w:rPr>
          <w:rStyle w:val="Privzetapisavaodstavka"/>
          <w:b w:val="0"/>
        </w:rPr>
      </w:sdtEndPr>
      <w:sdtContent>
        <w:r w:rsidR="0042619C">
          <w:rPr>
            <w:rStyle w:val="tevilkastrani"/>
            <w:b w:val="0"/>
            <w:lang w:val="sl"/>
          </w:rPr>
          <w:fldChar w:fldCharType="begin"/>
        </w:r>
        <w:r w:rsidR="0042619C">
          <w:rPr>
            <w:rStyle w:val="tevilkastrani"/>
            <w:b w:val="0"/>
            <w:lang w:val="sl"/>
          </w:rPr>
          <w:instrText xml:space="preserve"> PAGE   \* MERGEFORMAT </w:instrText>
        </w:r>
        <w:r w:rsidR="0042619C">
          <w:rPr>
            <w:rStyle w:val="tevilkastrani"/>
            <w:b w:val="0"/>
            <w:lang w:val="sl"/>
          </w:rPr>
          <w:fldChar w:fldCharType="separate"/>
        </w:r>
        <w:r w:rsidR="0042619C">
          <w:rPr>
            <w:rStyle w:val="tevilkastrani"/>
            <w:bCs/>
            <w:noProof/>
            <w:lang w:val="sl"/>
          </w:rPr>
          <w:t>2</w:t>
        </w:r>
        <w:r w:rsidR="0042619C">
          <w:rPr>
            <w:rStyle w:val="tevilkastrani"/>
            <w:b w:val="0"/>
            <w:noProof/>
            <w:lang w:val="sl"/>
          </w:rPr>
          <w:fldChar w:fldCharType="end"/>
        </w:r>
      </w:sdtContent>
    </w:sdt>
    <w:r w:rsidR="0042619C">
      <w:rPr>
        <w:lang w:val="sl"/>
      </w:rPr>
      <w:t xml:space="preserve"> </w:t>
    </w:r>
    <w:r w:rsidR="0042619C">
      <w:rPr>
        <w:lang w:val="sl"/>
      </w:rPr>
      <w:sym w:font="Symbol" w:char="F07C"/>
    </w:r>
    <w:r w:rsidR="0042619C">
      <w:rPr>
        <w:lang w:val="sl"/>
      </w:rPr>
      <w:t xml:space="preserve"> </w:t>
    </w:r>
    <w:sdt>
      <w:sdtPr>
        <w:rPr>
          <w:rStyle w:val="HeaderTitle"/>
        </w:rPr>
        <w:alias w:val="Cote/Chapter"/>
        <w:tag w:val="txtHeaderValue"/>
        <w:id w:val="-308635562"/>
        <w:lock w:val="sdtLocked"/>
      </w:sdtPr>
      <w:sdtEndPr>
        <w:rPr>
          <w:rStyle w:val="Privzetapisavaodstavka"/>
          <w:caps w:val="0"/>
          <w:sz w:val="22"/>
        </w:rPr>
      </w:sdtEndPr>
      <w:sdtContent>
        <w:r w:rsidR="0042619C">
          <w:rPr>
            <w:rStyle w:val="HeaderTitle"/>
            <w:lang w:val="sl"/>
          </w:rPr>
          <w:t xml:space="preserve"> </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0A50" w14:textId="77777777" w:rsidR="0042619C" w:rsidRDefault="007C6346" w:rsidP="004E100F">
    <w:pPr>
      <w:pStyle w:val="Glava"/>
    </w:pPr>
    <w:sdt>
      <w:sdtPr>
        <w:rPr>
          <w:rStyle w:val="tevilkastrani"/>
        </w:rPr>
        <w:alias w:val="Page Number"/>
        <w:tag w:val="TxtPageNumber"/>
        <w:id w:val="-1011059813"/>
        <w:lock w:val="sdtLocked"/>
      </w:sdtPr>
      <w:sdtEndPr>
        <w:rPr>
          <w:rStyle w:val="Privzetapisavaodstavka"/>
          <w:b w:val="0"/>
        </w:rPr>
      </w:sdtEndPr>
      <w:sdtContent>
        <w:r w:rsidR="0042619C">
          <w:rPr>
            <w:rStyle w:val="tevilkastrani"/>
            <w:b w:val="0"/>
            <w:lang w:val="sl"/>
          </w:rPr>
          <w:fldChar w:fldCharType="begin"/>
        </w:r>
        <w:r w:rsidR="0042619C">
          <w:rPr>
            <w:rStyle w:val="tevilkastrani"/>
            <w:b w:val="0"/>
            <w:lang w:val="sl"/>
          </w:rPr>
          <w:instrText xml:space="preserve"> PAGE   \* MERGEFORMAT </w:instrText>
        </w:r>
        <w:r w:rsidR="0042619C">
          <w:rPr>
            <w:rStyle w:val="tevilkastrani"/>
            <w:b w:val="0"/>
            <w:lang w:val="sl"/>
          </w:rPr>
          <w:fldChar w:fldCharType="separate"/>
        </w:r>
        <w:r w:rsidR="005F7AB4" w:rsidRPr="005F7AB4">
          <w:rPr>
            <w:rStyle w:val="tevilkastrani"/>
            <w:bCs/>
            <w:noProof/>
            <w:lang w:val="sl"/>
          </w:rPr>
          <w:t>74</w:t>
        </w:r>
        <w:r w:rsidR="0042619C">
          <w:rPr>
            <w:rStyle w:val="tevilkastrani"/>
            <w:b w:val="0"/>
            <w:noProof/>
            <w:lang w:val="sl"/>
          </w:rPr>
          <w:fldChar w:fldCharType="end"/>
        </w:r>
      </w:sdtContent>
    </w:sdt>
    <w:r w:rsidR="0042619C">
      <w:rPr>
        <w:lang w:val="sl"/>
      </w:rPr>
      <w:t xml:space="preserve"> </w:t>
    </w:r>
    <w:r w:rsidR="0042619C">
      <w:rPr>
        <w:lang w:val="sl"/>
      </w:rPr>
      <w:sym w:font="Symbol" w:char="F07C"/>
    </w:r>
    <w:r w:rsidR="0042619C">
      <w:rPr>
        <w:lang w:val="sl"/>
      </w:rPr>
      <w:t xml:space="preserve"> </w:t>
    </w:r>
    <w:sdt>
      <w:sdtPr>
        <w:rPr>
          <w:rStyle w:val="HeaderTitle"/>
        </w:rPr>
        <w:alias w:val="Cote/Chapter"/>
        <w:tag w:val="txtHeaderValue"/>
        <w:id w:val="1637835882"/>
        <w:lock w:val="sdtLocked"/>
      </w:sdtPr>
      <w:sdtEndPr>
        <w:rPr>
          <w:rStyle w:val="Privzetapisavaodstavka"/>
          <w:caps w:val="0"/>
          <w:sz w:val="22"/>
        </w:rPr>
      </w:sdtEndPr>
      <w:sdtContent>
        <w:r w:rsidR="0042619C">
          <w:rPr>
            <w:rStyle w:val="HeaderTitle"/>
            <w:lang w:val="sl"/>
          </w:rPr>
          <w:t xml:space="preserve"> </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0DCD" w14:textId="77777777" w:rsidR="0042619C" w:rsidRDefault="007C6346" w:rsidP="004E100F">
    <w:pPr>
      <w:pStyle w:val="Glava"/>
      <w:jc w:val="right"/>
    </w:pPr>
    <w:sdt>
      <w:sdtPr>
        <w:rPr>
          <w:rStyle w:val="HeaderTitle"/>
        </w:rPr>
        <w:alias w:val="Cote/Chapter"/>
        <w:tag w:val="txtHeaderValue"/>
        <w:id w:val="-2124760207"/>
        <w:lock w:val="sdtLocked"/>
      </w:sdtPr>
      <w:sdtEndPr>
        <w:rPr>
          <w:rStyle w:val="Privzetapisavaodstavka"/>
          <w:caps w:val="0"/>
          <w:sz w:val="22"/>
        </w:rPr>
      </w:sdtEndPr>
      <w:sdtContent>
        <w:r w:rsidR="0042619C">
          <w:rPr>
            <w:rStyle w:val="HeaderTitle"/>
            <w:lang w:val="sl"/>
          </w:rPr>
          <w:t xml:space="preserve"> </w:t>
        </w:r>
      </w:sdtContent>
    </w:sdt>
    <w:r w:rsidR="0042619C">
      <w:rPr>
        <w:rStyle w:val="tevilkastrani"/>
        <w:bCs/>
        <w:lang w:val="sl"/>
      </w:rPr>
      <w:t xml:space="preserve"> </w:t>
    </w:r>
    <w:r w:rsidR="0042619C">
      <w:rPr>
        <w:rStyle w:val="tevilkastrani"/>
        <w:bCs/>
        <w:lang w:val="sl"/>
      </w:rPr>
      <w:sym w:font="Symbol" w:char="F07C"/>
    </w:r>
    <w:r w:rsidR="0042619C">
      <w:rPr>
        <w:rStyle w:val="tevilkastrani"/>
        <w:bCs/>
        <w:lang w:val="sl"/>
      </w:rPr>
      <w:t xml:space="preserve"> </w:t>
    </w:r>
    <w:sdt>
      <w:sdtPr>
        <w:rPr>
          <w:rStyle w:val="tevilkastrani"/>
        </w:rPr>
        <w:alias w:val="Page Number"/>
        <w:tag w:val="TxtPageNumber"/>
        <w:id w:val="1288620325"/>
        <w:lock w:val="sdtLocked"/>
      </w:sdtPr>
      <w:sdtEndPr>
        <w:rPr>
          <w:rStyle w:val="Privzetapisavaodstavka"/>
          <w:b w:val="0"/>
        </w:rPr>
      </w:sdtEndPr>
      <w:sdtContent>
        <w:r w:rsidR="0042619C">
          <w:rPr>
            <w:rStyle w:val="tevilkastrani"/>
            <w:bCs/>
            <w:lang w:val="sl"/>
          </w:rPr>
          <w:fldChar w:fldCharType="begin"/>
        </w:r>
        <w:r w:rsidR="0042619C">
          <w:rPr>
            <w:rStyle w:val="tevilkastrani"/>
            <w:bCs/>
            <w:lang w:val="sl"/>
          </w:rPr>
          <w:instrText xml:space="preserve"> PAGE   \* MERGEFORMAT </w:instrText>
        </w:r>
        <w:r w:rsidR="0042619C">
          <w:rPr>
            <w:rStyle w:val="tevilkastrani"/>
            <w:bCs/>
            <w:lang w:val="sl"/>
          </w:rPr>
          <w:fldChar w:fldCharType="separate"/>
        </w:r>
        <w:r w:rsidR="005F7AB4">
          <w:rPr>
            <w:rStyle w:val="tevilkastrani"/>
            <w:bCs/>
            <w:noProof/>
            <w:lang w:val="sl"/>
          </w:rPr>
          <w:t>73</w:t>
        </w:r>
        <w:r w:rsidR="0042619C">
          <w:rPr>
            <w:rStyle w:val="tevilkastrani"/>
            <w:b w:val="0"/>
            <w:noProof/>
            <w:lang w:val="sl"/>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8ECD" w14:textId="77777777" w:rsidR="0042619C" w:rsidRDefault="0042619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5658" w14:textId="77777777" w:rsidR="0042619C" w:rsidRDefault="007C6346" w:rsidP="004E100F">
    <w:pPr>
      <w:pStyle w:val="Glava"/>
      <w:jc w:val="right"/>
    </w:pPr>
    <w:sdt>
      <w:sdtPr>
        <w:rPr>
          <w:rStyle w:val="HeaderTitle"/>
        </w:rPr>
        <w:alias w:val="Cote/Chapter"/>
        <w:tag w:val="txtHeaderValue"/>
        <w:id w:val="-244348000"/>
        <w:lock w:val="sdtLocked"/>
      </w:sdtPr>
      <w:sdtEndPr>
        <w:rPr>
          <w:rStyle w:val="Privzetapisavaodstavka"/>
          <w:caps w:val="0"/>
          <w:sz w:val="22"/>
        </w:rPr>
      </w:sdtEndPr>
      <w:sdtContent>
        <w:r w:rsidR="0042619C">
          <w:rPr>
            <w:rStyle w:val="HeaderTitle"/>
            <w:lang w:val="sl"/>
          </w:rPr>
          <w:t xml:space="preserve"> </w:t>
        </w:r>
      </w:sdtContent>
    </w:sdt>
    <w:r w:rsidR="0042619C">
      <w:rPr>
        <w:rStyle w:val="tevilkastrani"/>
        <w:bCs/>
        <w:lang w:val="sl"/>
      </w:rPr>
      <w:t xml:space="preserve"> </w:t>
    </w:r>
    <w:r w:rsidR="0042619C">
      <w:rPr>
        <w:rStyle w:val="tevilkastrani"/>
        <w:bCs/>
        <w:lang w:val="sl"/>
      </w:rPr>
      <w:sym w:font="Symbol" w:char="F07C"/>
    </w:r>
    <w:r w:rsidR="0042619C">
      <w:rPr>
        <w:rStyle w:val="tevilkastrani"/>
        <w:bCs/>
        <w:lang w:val="sl"/>
      </w:rPr>
      <w:t xml:space="preserve"> </w:t>
    </w:r>
    <w:sdt>
      <w:sdtPr>
        <w:rPr>
          <w:rStyle w:val="tevilkastrani"/>
        </w:rPr>
        <w:alias w:val="Page Number"/>
        <w:tag w:val="TxtPageNumber"/>
        <w:id w:val="1076251128"/>
        <w:lock w:val="sdtLocked"/>
      </w:sdtPr>
      <w:sdtEndPr>
        <w:rPr>
          <w:rStyle w:val="Privzetapisavaodstavka"/>
          <w:b w:val="0"/>
        </w:rPr>
      </w:sdtEndPr>
      <w:sdtContent>
        <w:r w:rsidR="0042619C">
          <w:rPr>
            <w:rStyle w:val="tevilkastrani"/>
            <w:bCs/>
            <w:lang w:val="sl"/>
          </w:rPr>
          <w:fldChar w:fldCharType="begin"/>
        </w:r>
        <w:r w:rsidR="0042619C">
          <w:rPr>
            <w:rStyle w:val="tevilkastrani"/>
            <w:bCs/>
            <w:lang w:val="sl"/>
          </w:rPr>
          <w:instrText xml:space="preserve"> PAGE   \* MERGEFORMAT </w:instrText>
        </w:r>
        <w:r w:rsidR="0042619C">
          <w:rPr>
            <w:rStyle w:val="tevilkastrani"/>
            <w:bCs/>
            <w:lang w:val="sl"/>
          </w:rPr>
          <w:fldChar w:fldCharType="separate"/>
        </w:r>
        <w:r w:rsidR="0042619C">
          <w:rPr>
            <w:rStyle w:val="tevilkastrani"/>
            <w:bCs/>
            <w:noProof/>
            <w:lang w:val="sl"/>
          </w:rPr>
          <w:t>3</w:t>
        </w:r>
        <w:r w:rsidR="0042619C">
          <w:rPr>
            <w:rStyle w:val="tevilkastrani"/>
            <w:b w:val="0"/>
            <w:noProof/>
            <w:lang w:val="sl"/>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86B1" w14:textId="77777777" w:rsidR="0042619C" w:rsidRDefault="0042619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AB21" w14:textId="77777777" w:rsidR="0042619C" w:rsidRDefault="007C6346" w:rsidP="004E100F">
    <w:pPr>
      <w:pStyle w:val="Glava"/>
    </w:pPr>
    <w:sdt>
      <w:sdtPr>
        <w:rPr>
          <w:rStyle w:val="tevilkastrani"/>
        </w:rPr>
        <w:alias w:val="Page Number"/>
        <w:tag w:val="TxtPageNumber"/>
        <w:id w:val="1051423977"/>
        <w:lock w:val="sdtLocked"/>
      </w:sdtPr>
      <w:sdtEndPr>
        <w:rPr>
          <w:rStyle w:val="Privzetapisavaodstavka"/>
          <w:b w:val="0"/>
        </w:rPr>
      </w:sdtEndPr>
      <w:sdtContent>
        <w:r w:rsidR="0042619C">
          <w:rPr>
            <w:rStyle w:val="tevilkastrani"/>
            <w:b w:val="0"/>
            <w:lang w:val="sl"/>
          </w:rPr>
          <w:fldChar w:fldCharType="begin"/>
        </w:r>
        <w:r w:rsidR="0042619C">
          <w:rPr>
            <w:rStyle w:val="tevilkastrani"/>
            <w:b w:val="0"/>
            <w:lang w:val="sl"/>
          </w:rPr>
          <w:instrText xml:space="preserve"> PAGE   \* MERGEFORMAT </w:instrText>
        </w:r>
        <w:r w:rsidR="0042619C">
          <w:rPr>
            <w:rStyle w:val="tevilkastrani"/>
            <w:b w:val="0"/>
            <w:lang w:val="sl"/>
          </w:rPr>
          <w:fldChar w:fldCharType="separate"/>
        </w:r>
        <w:r w:rsidR="005F7AB4" w:rsidRPr="005F7AB4">
          <w:rPr>
            <w:rStyle w:val="tevilkastrani"/>
            <w:bCs/>
            <w:noProof/>
            <w:lang w:val="sl"/>
          </w:rPr>
          <w:t>4</w:t>
        </w:r>
        <w:r w:rsidR="0042619C">
          <w:rPr>
            <w:rStyle w:val="tevilkastrani"/>
            <w:b w:val="0"/>
            <w:noProof/>
            <w:lang w:val="sl"/>
          </w:rPr>
          <w:fldChar w:fldCharType="end"/>
        </w:r>
      </w:sdtContent>
    </w:sdt>
    <w:r w:rsidR="0042619C">
      <w:rPr>
        <w:lang w:val="sl"/>
      </w:rPr>
      <w:t xml:space="preserve"> </w:t>
    </w:r>
    <w:r w:rsidR="0042619C">
      <w:rPr>
        <w:rFonts w:ascii="Symbol" w:hAnsi="Symbol"/>
        <w:lang w:val="sl"/>
      </w:rPr>
      <w:t></w:t>
    </w:r>
    <w:r w:rsidR="0042619C">
      <w:rPr>
        <w:lang w:val="sl"/>
      </w:rPr>
      <w:t xml:space="preserve"> </w:t>
    </w:r>
    <w:sdt>
      <w:sdtPr>
        <w:rPr>
          <w:rStyle w:val="HeaderTitle"/>
        </w:rPr>
        <w:alias w:val="Cote/Chapter"/>
        <w:tag w:val="txtHeaderValue"/>
        <w:id w:val="1629813503"/>
        <w:lock w:val="sdtLocked"/>
      </w:sdtPr>
      <w:sdtEndPr>
        <w:rPr>
          <w:rStyle w:val="Privzetapisavaodstavka"/>
          <w:caps w:val="0"/>
          <w:sz w:val="22"/>
        </w:rPr>
      </w:sdtEndPr>
      <w:sdtContent>
        <w:r w:rsidR="0042619C">
          <w:rPr>
            <w:rStyle w:val="HeaderTitle"/>
            <w:lang w:val="sl"/>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C02B" w14:textId="77777777" w:rsidR="0042619C" w:rsidRDefault="007C6346" w:rsidP="004E100F">
    <w:pPr>
      <w:pStyle w:val="Glava"/>
      <w:jc w:val="right"/>
    </w:pPr>
    <w:sdt>
      <w:sdtPr>
        <w:rPr>
          <w:rStyle w:val="HeaderTitle"/>
        </w:rPr>
        <w:alias w:val="Cote/Chapter"/>
        <w:tag w:val="txtHeaderValue"/>
        <w:id w:val="-2020146036"/>
        <w:lock w:val="sdtLocked"/>
      </w:sdtPr>
      <w:sdtEndPr>
        <w:rPr>
          <w:rStyle w:val="Privzetapisavaodstavka"/>
          <w:caps w:val="0"/>
          <w:sz w:val="22"/>
        </w:rPr>
      </w:sdtEndPr>
      <w:sdtContent>
        <w:r w:rsidR="0042619C">
          <w:rPr>
            <w:rStyle w:val="HeaderTitle"/>
            <w:lang w:val="sl"/>
          </w:rPr>
          <w:t xml:space="preserve"> </w:t>
        </w:r>
      </w:sdtContent>
    </w:sdt>
    <w:r w:rsidR="0042619C">
      <w:rPr>
        <w:rStyle w:val="tevilkastrani"/>
        <w:bCs/>
        <w:lang w:val="sl"/>
      </w:rPr>
      <w:t xml:space="preserve"> </w:t>
    </w:r>
    <w:r w:rsidR="0042619C">
      <w:rPr>
        <w:rStyle w:val="tevilkastrani"/>
        <w:rFonts w:ascii="Symbol" w:eastAsia="Symbol" w:hAnsi="Symbol" w:cs="Symbol"/>
        <w:bCs/>
        <w:lang w:val="sl"/>
      </w:rPr>
      <w:t></w:t>
    </w:r>
    <w:r w:rsidR="0042619C">
      <w:rPr>
        <w:rStyle w:val="tevilkastrani"/>
        <w:bCs/>
        <w:lang w:val="sl"/>
      </w:rPr>
      <w:t xml:space="preserve"> </w:t>
    </w:r>
    <w:sdt>
      <w:sdtPr>
        <w:rPr>
          <w:rStyle w:val="tevilkastrani"/>
        </w:rPr>
        <w:alias w:val="Page Number"/>
        <w:tag w:val="TxtPageNumber"/>
        <w:id w:val="-975604608"/>
        <w:lock w:val="sdtLocked"/>
      </w:sdtPr>
      <w:sdtEndPr>
        <w:rPr>
          <w:rStyle w:val="Privzetapisavaodstavka"/>
          <w:b w:val="0"/>
        </w:rPr>
      </w:sdtEndPr>
      <w:sdtContent>
        <w:r w:rsidR="0042619C">
          <w:rPr>
            <w:rStyle w:val="tevilkastrani"/>
            <w:bCs/>
            <w:lang w:val="sl"/>
          </w:rPr>
          <w:fldChar w:fldCharType="begin"/>
        </w:r>
        <w:r w:rsidR="0042619C">
          <w:rPr>
            <w:rStyle w:val="tevilkastrani"/>
            <w:bCs/>
            <w:lang w:val="sl"/>
          </w:rPr>
          <w:instrText xml:space="preserve"> PAGE   \* MERGEFORMAT </w:instrText>
        </w:r>
        <w:r w:rsidR="0042619C">
          <w:rPr>
            <w:rStyle w:val="tevilkastrani"/>
            <w:bCs/>
            <w:lang w:val="sl"/>
          </w:rPr>
          <w:fldChar w:fldCharType="separate"/>
        </w:r>
        <w:r w:rsidR="005F7AB4">
          <w:rPr>
            <w:rStyle w:val="tevilkastrani"/>
            <w:bCs/>
            <w:noProof/>
            <w:lang w:val="sl"/>
          </w:rPr>
          <w:t>5</w:t>
        </w:r>
        <w:r w:rsidR="0042619C">
          <w:rPr>
            <w:rStyle w:val="tevilkastrani"/>
            <w:b w:val="0"/>
            <w:noProof/>
            <w:lang w:val="sl"/>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99EE" w14:textId="77777777" w:rsidR="0042619C" w:rsidRDefault="0042619C">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44F2" w14:textId="77777777" w:rsidR="0042619C" w:rsidRDefault="007C6346" w:rsidP="004E100F">
    <w:pPr>
      <w:pStyle w:val="Glava"/>
    </w:pPr>
    <w:sdt>
      <w:sdtPr>
        <w:rPr>
          <w:rStyle w:val="tevilkastrani"/>
        </w:rPr>
        <w:alias w:val="Page Number"/>
        <w:tag w:val="TxtPageNumber"/>
        <w:id w:val="-1906912714"/>
        <w:lock w:val="sdtLocked"/>
      </w:sdtPr>
      <w:sdtEndPr>
        <w:rPr>
          <w:rStyle w:val="Privzetapisavaodstavka"/>
          <w:b w:val="0"/>
        </w:rPr>
      </w:sdtEndPr>
      <w:sdtContent>
        <w:r w:rsidR="0042619C">
          <w:rPr>
            <w:rStyle w:val="tevilkastrani"/>
            <w:b w:val="0"/>
            <w:lang w:val="sl"/>
          </w:rPr>
          <w:fldChar w:fldCharType="begin"/>
        </w:r>
        <w:r w:rsidR="0042619C">
          <w:rPr>
            <w:rStyle w:val="tevilkastrani"/>
            <w:b w:val="0"/>
            <w:lang w:val="sl"/>
          </w:rPr>
          <w:instrText xml:space="preserve"> PAGE   \* MERGEFORMAT </w:instrText>
        </w:r>
        <w:r w:rsidR="0042619C">
          <w:rPr>
            <w:rStyle w:val="tevilkastrani"/>
            <w:b w:val="0"/>
            <w:lang w:val="sl"/>
          </w:rPr>
          <w:fldChar w:fldCharType="separate"/>
        </w:r>
        <w:r w:rsidR="005F7AB4" w:rsidRPr="005F7AB4">
          <w:rPr>
            <w:rStyle w:val="tevilkastrani"/>
            <w:bCs/>
            <w:noProof/>
            <w:lang w:val="sl"/>
          </w:rPr>
          <w:t>52</w:t>
        </w:r>
        <w:r w:rsidR="0042619C">
          <w:rPr>
            <w:rStyle w:val="tevilkastrani"/>
            <w:b w:val="0"/>
            <w:noProof/>
            <w:lang w:val="sl"/>
          </w:rPr>
          <w:fldChar w:fldCharType="end"/>
        </w:r>
      </w:sdtContent>
    </w:sdt>
    <w:r w:rsidR="0042619C">
      <w:rPr>
        <w:lang w:val="sl"/>
      </w:rPr>
      <w:t xml:space="preserve"> </w:t>
    </w:r>
    <w:r w:rsidR="0042619C">
      <w:rPr>
        <w:lang w:val="sl"/>
      </w:rPr>
      <w:sym w:font="Symbol" w:char="F07C"/>
    </w:r>
    <w:r w:rsidR="0042619C">
      <w:rPr>
        <w:lang w:val="sl"/>
      </w:rPr>
      <w:t xml:space="preserve"> </w:t>
    </w:r>
    <w:sdt>
      <w:sdtPr>
        <w:rPr>
          <w:rStyle w:val="HeaderTitle"/>
        </w:rPr>
        <w:alias w:val="Cote/Chapter"/>
        <w:tag w:val="txtHeaderValue"/>
        <w:id w:val="-911544786"/>
        <w:lock w:val="sdtLocked"/>
      </w:sdtPr>
      <w:sdtEndPr>
        <w:rPr>
          <w:rStyle w:val="Privzetapisavaodstavka"/>
          <w:caps w:val="0"/>
          <w:sz w:val="22"/>
        </w:rPr>
      </w:sdtEndPr>
      <w:sdtContent>
        <w:r w:rsidR="0042619C">
          <w:rPr>
            <w:rStyle w:val="HeaderTitle"/>
            <w:lang w:val="sl"/>
          </w:rPr>
          <w:t xml:space="preserve"> </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95FB" w14:textId="77777777" w:rsidR="0042619C" w:rsidRDefault="007C6346" w:rsidP="004E100F">
    <w:pPr>
      <w:pStyle w:val="Glava"/>
      <w:jc w:val="right"/>
    </w:pPr>
    <w:sdt>
      <w:sdtPr>
        <w:rPr>
          <w:rStyle w:val="HeaderTitle"/>
        </w:rPr>
        <w:alias w:val="Cote/Chapter"/>
        <w:tag w:val="txtHeaderValue"/>
        <w:id w:val="-1176414337"/>
        <w:lock w:val="sdtLocked"/>
      </w:sdtPr>
      <w:sdtEndPr>
        <w:rPr>
          <w:rStyle w:val="Privzetapisavaodstavka"/>
          <w:caps w:val="0"/>
          <w:sz w:val="22"/>
        </w:rPr>
      </w:sdtEndPr>
      <w:sdtContent>
        <w:r w:rsidR="0042619C">
          <w:rPr>
            <w:rStyle w:val="HeaderTitle"/>
            <w:lang w:val="sl"/>
          </w:rPr>
          <w:t xml:space="preserve"> </w:t>
        </w:r>
      </w:sdtContent>
    </w:sdt>
    <w:r w:rsidR="0042619C">
      <w:rPr>
        <w:rStyle w:val="tevilkastrani"/>
        <w:bCs/>
        <w:lang w:val="sl"/>
      </w:rPr>
      <w:t xml:space="preserve"> </w:t>
    </w:r>
    <w:r w:rsidR="0042619C">
      <w:rPr>
        <w:rStyle w:val="tevilkastrani"/>
        <w:bCs/>
        <w:lang w:val="sl"/>
      </w:rPr>
      <w:sym w:font="Symbol" w:char="F07C"/>
    </w:r>
    <w:r w:rsidR="0042619C">
      <w:rPr>
        <w:rStyle w:val="tevilkastrani"/>
        <w:bCs/>
        <w:lang w:val="sl"/>
      </w:rPr>
      <w:t xml:space="preserve"> </w:t>
    </w:r>
    <w:sdt>
      <w:sdtPr>
        <w:rPr>
          <w:rStyle w:val="tevilkastrani"/>
        </w:rPr>
        <w:alias w:val="Page Number"/>
        <w:tag w:val="TxtPageNumber"/>
        <w:id w:val="-27104635"/>
        <w:lock w:val="sdtLocked"/>
      </w:sdtPr>
      <w:sdtEndPr>
        <w:rPr>
          <w:rStyle w:val="Privzetapisavaodstavka"/>
          <w:b w:val="0"/>
        </w:rPr>
      </w:sdtEndPr>
      <w:sdtContent>
        <w:r w:rsidR="0042619C">
          <w:rPr>
            <w:rStyle w:val="tevilkastrani"/>
            <w:bCs/>
            <w:lang w:val="sl"/>
          </w:rPr>
          <w:fldChar w:fldCharType="begin"/>
        </w:r>
        <w:r w:rsidR="0042619C">
          <w:rPr>
            <w:rStyle w:val="tevilkastrani"/>
            <w:bCs/>
            <w:lang w:val="sl"/>
          </w:rPr>
          <w:instrText xml:space="preserve"> PAGE   \* MERGEFORMAT </w:instrText>
        </w:r>
        <w:r w:rsidR="0042619C">
          <w:rPr>
            <w:rStyle w:val="tevilkastrani"/>
            <w:bCs/>
            <w:lang w:val="sl"/>
          </w:rPr>
          <w:fldChar w:fldCharType="separate"/>
        </w:r>
        <w:r w:rsidR="005F7AB4">
          <w:rPr>
            <w:rStyle w:val="tevilkastrani"/>
            <w:bCs/>
            <w:noProof/>
            <w:lang w:val="sl"/>
          </w:rPr>
          <w:t>53</w:t>
        </w:r>
        <w:r w:rsidR="0042619C">
          <w:rPr>
            <w:rStyle w:val="tevilkastrani"/>
            <w:b w:val="0"/>
            <w:noProof/>
            <w:lang w:val="sl"/>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687F" w14:textId="77777777" w:rsidR="0042619C" w:rsidRDefault="004261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CA39"/>
    <w:multiLevelType w:val="hybridMultilevel"/>
    <w:tmpl w:val="C04A6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2A50"/>
    <w:multiLevelType w:val="hybridMultilevel"/>
    <w:tmpl w:val="79729880"/>
    <w:lvl w:ilvl="0" w:tplc="D9AAEAE0">
      <w:start w:val="1"/>
      <w:numFmt w:val="bullet"/>
      <w:pStyle w:val="BulletedList2"/>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10477A2E"/>
    <w:multiLevelType w:val="hybridMultilevel"/>
    <w:tmpl w:val="89749D22"/>
    <w:lvl w:ilvl="0" w:tplc="FFFFFFFF">
      <w:start w:val="1"/>
      <w:numFmt w:val="lowerLetter"/>
      <w:lvlText w:val="%1)"/>
      <w:lvlJc w:val="left"/>
      <w:pPr>
        <w:ind w:left="680" w:hanging="340"/>
      </w:pPr>
      <w:rPr>
        <w:rFonts w:hint="default"/>
        <w:i w:val="0"/>
        <w:iCs w:val="0"/>
        <w:color w:val="auto"/>
      </w:rPr>
    </w:lvl>
    <w:lvl w:ilvl="1" w:tplc="FFFFFFFF">
      <w:start w:val="1"/>
      <w:numFmt w:val="bullet"/>
      <w:lvlText w:val="o"/>
      <w:lvlJc w:val="left"/>
      <w:pPr>
        <w:tabs>
          <w:tab w:val="num" w:pos="680"/>
        </w:tabs>
        <w:ind w:left="1021" w:hanging="341"/>
      </w:pPr>
      <w:rPr>
        <w:rFonts w:ascii="Courier New" w:hAnsi="Courier New" w:hint="default"/>
      </w:rPr>
    </w:lvl>
    <w:lvl w:ilvl="2" w:tplc="FFFFFFFF">
      <w:start w:val="1"/>
      <w:numFmt w:val="bullet"/>
      <w:lvlText w:val="‒"/>
      <w:lvlJc w:val="left"/>
      <w:pPr>
        <w:tabs>
          <w:tab w:val="num" w:pos="1021"/>
        </w:tabs>
        <w:ind w:left="1361" w:hanging="340"/>
      </w:pPr>
      <w:rPr>
        <w:rFonts w:ascii="Calibri" w:hAnsi="Calibri" w:hint="default"/>
      </w:rPr>
    </w:lvl>
    <w:lvl w:ilvl="3" w:tplc="FFFFFFFF">
      <w:start w:val="1"/>
      <w:numFmt w:val="bullet"/>
      <w:lvlText w:val="‒"/>
      <w:lvlJc w:val="left"/>
      <w:pPr>
        <w:tabs>
          <w:tab w:val="num" w:pos="1361"/>
        </w:tabs>
        <w:ind w:left="1701" w:hanging="340"/>
      </w:pPr>
      <w:rPr>
        <w:rFonts w:ascii="Calibri" w:hAnsi="Calibri" w:hint="default"/>
      </w:rPr>
    </w:lvl>
    <w:lvl w:ilvl="4" w:tplc="FFFFFFFF">
      <w:start w:val="1"/>
      <w:numFmt w:val="bullet"/>
      <w:lvlText w:val="‒"/>
      <w:lvlJc w:val="left"/>
      <w:pPr>
        <w:tabs>
          <w:tab w:val="num" w:pos="1701"/>
        </w:tabs>
        <w:ind w:left="2041" w:hanging="340"/>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 w15:restartNumberingAfterBreak="0">
    <w:nsid w:val="12D8A64A"/>
    <w:multiLevelType w:val="hybridMultilevel"/>
    <w:tmpl w:val="E0F0D438"/>
    <w:lvl w:ilvl="0" w:tplc="E11CA5E6">
      <w:start w:val="1"/>
      <w:numFmt w:val="decimal"/>
      <w:pStyle w:val="Para2"/>
      <w:lvlText w:val="%1."/>
      <w:lvlJc w:val="left"/>
      <w:pPr>
        <w:tabs>
          <w:tab w:val="num" w:pos="720"/>
        </w:tabs>
        <w:ind w:left="0" w:firstLine="0"/>
      </w:pPr>
      <w:rPr>
        <w:rFonts w:hint="default"/>
        <w:b w:val="0"/>
        <w:bCs w:val="0"/>
        <w:i w:val="0"/>
        <w:iCs/>
        <w:strike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CD7C5"/>
    <w:multiLevelType w:val="hybridMultilevel"/>
    <w:tmpl w:val="8DF8D546"/>
    <w:lvl w:ilvl="0" w:tplc="6CEACD90">
      <w:start w:val="1"/>
      <w:numFmt w:val="bullet"/>
      <w:pStyle w:val="GroupHeading1"/>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8" w15:restartNumberingAfterBreak="0">
    <w:nsid w:val="2A713EA2"/>
    <w:multiLevelType w:val="hybridMultilevel"/>
    <w:tmpl w:val="2496E552"/>
    <w:lvl w:ilvl="0" w:tplc="D9AAEAE0">
      <w:start w:val="1"/>
      <w:numFmt w:val="bullet"/>
      <w:pStyle w:val="BulletedList1"/>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2C50BDED"/>
    <w:multiLevelType w:val="hybridMultilevel"/>
    <w:tmpl w:val="BDD8B256"/>
    <w:lvl w:ilvl="0" w:tplc="74F423D6">
      <w:start w:val="1"/>
      <w:numFmt w:val="lowerLetter"/>
      <w:pStyle w:val="ProposedAction1"/>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 w15:restartNumberingAfterBreak="0">
    <w:nsid w:val="2E7E516C"/>
    <w:multiLevelType w:val="hybridMultilevel"/>
    <w:tmpl w:val="D528F7DE"/>
    <w:lvl w:ilvl="0" w:tplc="84D66F22">
      <w:start w:val="1"/>
      <w:numFmt w:val="decimal"/>
      <w:pStyle w:val="NumberedList"/>
      <w:lvlText w:val="%1."/>
      <w:lvlJc w:val="left"/>
      <w:pPr>
        <w:ind w:left="680" w:hanging="340"/>
      </w:pPr>
      <w:rPr>
        <w:rFonts w:asciiTheme="minorHAnsi" w:hAnsiTheme="minorHAnsi" w:cstheme="minorHAnsi" w:hint="default"/>
        <w:sz w:val="20"/>
        <w:szCs w:val="20"/>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224210B"/>
    <w:multiLevelType w:val="hybridMultilevel"/>
    <w:tmpl w:val="90E04830"/>
    <w:lvl w:ilvl="0" w:tplc="E6E69716">
      <w:start w:val="1"/>
      <w:numFmt w:val="decimal"/>
      <w:pStyle w:val="NumberedList1"/>
      <w:lvlText w:val="%1."/>
      <w:lvlJc w:val="left"/>
      <w:pPr>
        <w:ind w:left="680" w:hanging="340"/>
      </w:pPr>
      <w:rPr>
        <w:rFonts w:hint="default"/>
        <w:b w:val="0"/>
        <w:bCs/>
        <w:i w:val="0"/>
        <w:iCs/>
        <w:strike w:val="0"/>
      </w:rPr>
    </w:lvl>
    <w:lvl w:ilvl="1" w:tplc="04090017">
      <w:start w:val="1"/>
      <w:numFmt w:val="lowerLetter"/>
      <w:lvlText w:val="%2)"/>
      <w:lvlJc w:val="left"/>
      <w:pPr>
        <w:ind w:left="1040" w:hanging="360"/>
      </w:p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F638D0"/>
    <w:multiLevelType w:val="hybridMultilevel"/>
    <w:tmpl w:val="99C6BCCC"/>
    <w:lvl w:ilvl="0" w:tplc="0409000F">
      <w:start w:val="1"/>
      <w:numFmt w:val="decimal"/>
      <w:lvlText w:val="%1."/>
      <w:lvlJc w:val="left"/>
      <w:pPr>
        <w:ind w:left="680" w:hanging="340"/>
      </w:pPr>
      <w:rPr>
        <w:rFonts w:hint="default"/>
        <w:i w:val="0"/>
        <w:iCs w:val="0"/>
        <w:color w:val="auto"/>
      </w:rPr>
    </w:lvl>
    <w:lvl w:ilvl="1" w:tplc="FFFFFFFF">
      <w:start w:val="1"/>
      <w:numFmt w:val="bullet"/>
      <w:lvlText w:val="o"/>
      <w:lvlJc w:val="left"/>
      <w:pPr>
        <w:tabs>
          <w:tab w:val="num" w:pos="680"/>
        </w:tabs>
        <w:ind w:left="1021" w:hanging="341"/>
      </w:pPr>
      <w:rPr>
        <w:rFonts w:ascii="Courier New" w:hAnsi="Courier New" w:hint="default"/>
      </w:rPr>
    </w:lvl>
    <w:lvl w:ilvl="2" w:tplc="FFFFFFFF">
      <w:start w:val="1"/>
      <w:numFmt w:val="bullet"/>
      <w:lvlText w:val="‒"/>
      <w:lvlJc w:val="left"/>
      <w:pPr>
        <w:tabs>
          <w:tab w:val="num" w:pos="1021"/>
        </w:tabs>
        <w:ind w:left="1361" w:hanging="340"/>
      </w:pPr>
      <w:rPr>
        <w:rFonts w:ascii="Calibri" w:hAnsi="Calibri" w:hint="default"/>
      </w:rPr>
    </w:lvl>
    <w:lvl w:ilvl="3" w:tplc="FFFFFFFF">
      <w:start w:val="1"/>
      <w:numFmt w:val="bullet"/>
      <w:lvlText w:val="‒"/>
      <w:lvlJc w:val="left"/>
      <w:pPr>
        <w:tabs>
          <w:tab w:val="num" w:pos="1361"/>
        </w:tabs>
        <w:ind w:left="1701" w:hanging="340"/>
      </w:pPr>
      <w:rPr>
        <w:rFonts w:ascii="Calibri" w:hAnsi="Calibri" w:hint="default"/>
      </w:rPr>
    </w:lvl>
    <w:lvl w:ilvl="4" w:tplc="FFFFFFFF">
      <w:start w:val="1"/>
      <w:numFmt w:val="bullet"/>
      <w:lvlText w:val="‒"/>
      <w:lvlJc w:val="left"/>
      <w:pPr>
        <w:tabs>
          <w:tab w:val="num" w:pos="1701"/>
        </w:tabs>
        <w:ind w:left="2041" w:hanging="340"/>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3" w15:restartNumberingAfterBreak="0">
    <w:nsid w:val="3A347CC4"/>
    <w:multiLevelType w:val="hybridMultilevel"/>
    <w:tmpl w:val="CE320976"/>
    <w:lvl w:ilvl="0" w:tplc="FFFFFFFF">
      <w:start w:val="1"/>
      <w:numFmt w:val="decimal"/>
      <w:lvlText w:val="%1."/>
      <w:lvlJc w:val="left"/>
      <w:pPr>
        <w:ind w:left="680" w:hanging="340"/>
      </w:pPr>
      <w:rPr>
        <w:rFonts w:hint="default"/>
      </w:rPr>
    </w:lvl>
    <w:lvl w:ilvl="1" w:tplc="04090017">
      <w:start w:val="1"/>
      <w:numFmt w:val="lowerLetter"/>
      <w:lvlText w:val="%2)"/>
      <w:lvlJc w:val="left"/>
      <w:pPr>
        <w:ind w:left="1040" w:hanging="360"/>
      </w:pPr>
    </w:lvl>
    <w:lvl w:ilvl="2" w:tplc="FFFFFFFF">
      <w:start w:val="1"/>
      <w:numFmt w:val="lowerRoman"/>
      <w:lvlText w:val="%3."/>
      <w:lvlJc w:val="right"/>
      <w:pPr>
        <w:ind w:left="1361" w:hanging="227"/>
      </w:pPr>
      <w:rPr>
        <w:rFonts w:hint="default"/>
      </w:rPr>
    </w:lvl>
    <w:lvl w:ilvl="3" w:tplc="FFFFFFFF">
      <w:start w:val="1"/>
      <w:numFmt w:val="lowerLetter"/>
      <w:lvlText w:val="%4)"/>
      <w:lvlJc w:val="left"/>
      <w:pPr>
        <w:tabs>
          <w:tab w:val="num" w:pos="1361"/>
        </w:tabs>
        <w:ind w:left="1701" w:hanging="340"/>
      </w:pPr>
      <w:rPr>
        <w:rFonts w:hint="default"/>
      </w:rPr>
    </w:lvl>
    <w:lvl w:ilvl="4" w:tplc="FFFFFFFF">
      <w:start w:val="1"/>
      <w:numFmt w:val="decimal"/>
      <w:lvlText w:val="%5)"/>
      <w:lvlJc w:val="left"/>
      <w:pPr>
        <w:tabs>
          <w:tab w:val="num" w:pos="1701"/>
        </w:tabs>
        <w:ind w:left="2041" w:hanging="34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00AF5FA"/>
    <w:multiLevelType w:val="hybridMultilevel"/>
    <w:tmpl w:val="333AC4DA"/>
    <w:lvl w:ilvl="0" w:tplc="04090017">
      <w:start w:val="1"/>
      <w:numFmt w:val="lowerLetter"/>
      <w:lvlText w:val="%1)"/>
      <w:lvlJc w:val="left"/>
      <w:pPr>
        <w:ind w:left="680" w:hanging="340"/>
      </w:pPr>
      <w:rPr>
        <w:rFonts w:hint="default"/>
        <w:i w:val="0"/>
        <w:iCs w:val="0"/>
        <w:color w:val="auto"/>
      </w:rPr>
    </w:lvl>
    <w:lvl w:ilvl="1" w:tplc="FFFFFFFF">
      <w:start w:val="1"/>
      <w:numFmt w:val="bullet"/>
      <w:lvlText w:val="o"/>
      <w:lvlJc w:val="left"/>
      <w:pPr>
        <w:tabs>
          <w:tab w:val="num" w:pos="680"/>
        </w:tabs>
        <w:ind w:left="1021" w:hanging="341"/>
      </w:pPr>
      <w:rPr>
        <w:rFonts w:ascii="Courier New" w:hAnsi="Courier New" w:hint="default"/>
      </w:rPr>
    </w:lvl>
    <w:lvl w:ilvl="2" w:tplc="FFFFFFFF">
      <w:start w:val="1"/>
      <w:numFmt w:val="bullet"/>
      <w:lvlText w:val="‒"/>
      <w:lvlJc w:val="left"/>
      <w:pPr>
        <w:tabs>
          <w:tab w:val="num" w:pos="1021"/>
        </w:tabs>
        <w:ind w:left="1361" w:hanging="340"/>
      </w:pPr>
      <w:rPr>
        <w:rFonts w:ascii="Calibri" w:hAnsi="Calibri" w:hint="default"/>
      </w:rPr>
    </w:lvl>
    <w:lvl w:ilvl="3" w:tplc="FFFFFFFF">
      <w:start w:val="1"/>
      <w:numFmt w:val="bullet"/>
      <w:lvlText w:val="‒"/>
      <w:lvlJc w:val="left"/>
      <w:pPr>
        <w:tabs>
          <w:tab w:val="num" w:pos="1361"/>
        </w:tabs>
        <w:ind w:left="1701" w:hanging="340"/>
      </w:pPr>
      <w:rPr>
        <w:rFonts w:ascii="Calibri" w:hAnsi="Calibri" w:hint="default"/>
      </w:rPr>
    </w:lvl>
    <w:lvl w:ilvl="4" w:tplc="FFFFFFFF">
      <w:start w:val="1"/>
      <w:numFmt w:val="bullet"/>
      <w:lvlText w:val="‒"/>
      <w:lvlJc w:val="left"/>
      <w:pPr>
        <w:tabs>
          <w:tab w:val="num" w:pos="1701"/>
        </w:tabs>
        <w:ind w:left="2041" w:hanging="340"/>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5"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7B828"/>
    <w:multiLevelType w:val="hybridMultilevel"/>
    <w:tmpl w:val="B8681B90"/>
    <w:lvl w:ilvl="0" w:tplc="BD3408B6">
      <w:start w:val="1"/>
      <w:numFmt w:val="decimal"/>
      <w:pStyle w:val="Para1"/>
      <w:lvlText w:val="%1."/>
      <w:lvlJc w:val="left"/>
      <w:pPr>
        <w:tabs>
          <w:tab w:val="num" w:pos="720"/>
        </w:tabs>
        <w:ind w:left="0" w:firstLine="0"/>
      </w:pPr>
      <w:rPr>
        <w:rFonts w:hint="default"/>
        <w:b w:val="0"/>
        <w:bCs/>
        <w:i w:val="0"/>
        <w:iCs/>
        <w:strike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42FC846C"/>
    <w:multiLevelType w:val="multilevel"/>
    <w:tmpl w:val="D3447D20"/>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680" w:firstLine="0"/>
      </w:pPr>
      <w:rPr>
        <w:rFonts w:hint="default"/>
      </w:rPr>
    </w:lvl>
    <w:lvl w:ilvl="5">
      <w:start w:val="2"/>
      <w:numFmt w:val="upperRoman"/>
      <w:lvlRestart w:val="0"/>
      <w:suff w:val="space"/>
      <w:lvlText w:val="Part %6"/>
      <w:lvlJc w:val="left"/>
      <w:pPr>
        <w:ind w:left="0" w:firstLine="0"/>
      </w:pPr>
      <w:rPr>
        <w:rFonts w:asciiTheme="majorHAnsi" w:hAnsiTheme="majorHAnsi" w:hint="default"/>
        <w:sz w:val="96"/>
      </w:rPr>
    </w:lvl>
    <w:lvl w:ilvl="6">
      <w:start w:val="1"/>
      <w:numFmt w:val="upperLetter"/>
      <w:lvlRestart w:val="0"/>
      <w:suff w:val="space"/>
      <w:lvlText w:val="Annex %7."/>
      <w:lvlJc w:val="left"/>
      <w:pPr>
        <w:ind w:left="0" w:firstLine="0"/>
      </w:pPr>
      <w:rPr>
        <w:rFonts w:asciiTheme="majorHAnsi" w:hAnsiTheme="majorHAnsi" w:hint="default"/>
      </w:rPr>
    </w:lvl>
    <w:lvl w:ilvl="7">
      <w:start w:val="1"/>
      <w:numFmt w:val="upperLetter"/>
      <w:lvlRestart w:val="6"/>
      <w:suff w:val="space"/>
      <w:lvlText w:val="Annex %6.%8."/>
      <w:lvlJc w:val="left"/>
      <w:pPr>
        <w:ind w:left="0" w:firstLine="0"/>
      </w:pPr>
      <w:rPr>
        <w:rFonts w:asciiTheme="majorHAnsi" w:hAnsiTheme="majorHAnsi" w:hint="default"/>
      </w:rPr>
    </w:lvl>
    <w:lvl w:ilvl="8">
      <w:start w:val="1"/>
      <w:numFmt w:val="upperLetter"/>
      <w:lvlRestart w:val="1"/>
      <w:suff w:val="space"/>
      <w:lvlText w:val="Annex %1.%9."/>
      <w:lvlJc w:val="left"/>
      <w:pPr>
        <w:ind w:left="0" w:firstLine="0"/>
      </w:pPr>
      <w:rPr>
        <w:rFonts w:asciiTheme="majorHAnsi" w:hAnsiTheme="majorHAnsi" w:hint="default"/>
      </w:rPr>
    </w:lvl>
  </w:abstractNum>
  <w:abstractNum w:abstractNumId="18" w15:restartNumberingAfterBreak="0">
    <w:nsid w:val="432F2BE5"/>
    <w:multiLevelType w:val="hybridMultilevel"/>
    <w:tmpl w:val="76F2C324"/>
    <w:lvl w:ilvl="0" w:tplc="04090017">
      <w:start w:val="1"/>
      <w:numFmt w:val="lowerLetter"/>
      <w:lvlText w:val="%1)"/>
      <w:lvlJc w:val="left"/>
      <w:pPr>
        <w:ind w:left="680" w:hanging="340"/>
      </w:pPr>
      <w:rPr>
        <w:rFonts w:hint="default"/>
        <w:i w:val="0"/>
        <w:iCs w:val="0"/>
        <w:color w:val="auto"/>
      </w:rPr>
    </w:lvl>
    <w:lvl w:ilvl="1" w:tplc="FFFFFFFF">
      <w:start w:val="1"/>
      <w:numFmt w:val="bullet"/>
      <w:lvlText w:val="o"/>
      <w:lvlJc w:val="left"/>
      <w:pPr>
        <w:tabs>
          <w:tab w:val="num" w:pos="680"/>
        </w:tabs>
        <w:ind w:left="1021" w:hanging="341"/>
      </w:pPr>
      <w:rPr>
        <w:rFonts w:ascii="Courier New" w:hAnsi="Courier New" w:hint="default"/>
      </w:rPr>
    </w:lvl>
    <w:lvl w:ilvl="2" w:tplc="FFFFFFFF">
      <w:start w:val="1"/>
      <w:numFmt w:val="bullet"/>
      <w:lvlText w:val="‒"/>
      <w:lvlJc w:val="left"/>
      <w:pPr>
        <w:tabs>
          <w:tab w:val="num" w:pos="1021"/>
        </w:tabs>
        <w:ind w:left="1361" w:hanging="340"/>
      </w:pPr>
      <w:rPr>
        <w:rFonts w:ascii="Calibri" w:hAnsi="Calibri" w:hint="default"/>
      </w:rPr>
    </w:lvl>
    <w:lvl w:ilvl="3" w:tplc="FFFFFFFF">
      <w:start w:val="1"/>
      <w:numFmt w:val="bullet"/>
      <w:lvlText w:val="‒"/>
      <w:lvlJc w:val="left"/>
      <w:pPr>
        <w:tabs>
          <w:tab w:val="num" w:pos="1361"/>
        </w:tabs>
        <w:ind w:left="1701" w:hanging="340"/>
      </w:pPr>
      <w:rPr>
        <w:rFonts w:ascii="Calibri" w:hAnsi="Calibri" w:hint="default"/>
      </w:rPr>
    </w:lvl>
    <w:lvl w:ilvl="4" w:tplc="FFFFFFFF">
      <w:start w:val="1"/>
      <w:numFmt w:val="bullet"/>
      <w:lvlText w:val="‒"/>
      <w:lvlJc w:val="left"/>
      <w:pPr>
        <w:tabs>
          <w:tab w:val="num" w:pos="1701"/>
        </w:tabs>
        <w:ind w:left="2041" w:hanging="340"/>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9" w15:restartNumberingAfterBreak="0">
    <w:nsid w:val="475F566E"/>
    <w:multiLevelType w:val="multilevel"/>
    <w:tmpl w:val="D6982892"/>
    <w:lvl w:ilvl="0">
      <w:start w:val="1"/>
      <w:numFmt w:val="none"/>
      <w:pStyle w:val="Naslov1"/>
      <w:suff w:val="nothing"/>
      <w:lvlText w:val=""/>
      <w:lvlJc w:val="left"/>
      <w:pPr>
        <w:ind w:left="0" w:firstLine="0"/>
      </w:pPr>
      <w:rPr>
        <w:rFonts w:hint="default"/>
        <w:w w:val="100"/>
        <w:sz w:val="130"/>
        <w:u w:val="thick"/>
      </w:rPr>
    </w:lvl>
    <w:lvl w:ilvl="1">
      <w:start w:val="1"/>
      <w:numFmt w:val="none"/>
      <w:pStyle w:val="Naslov2"/>
      <w:suff w:val="nothing"/>
      <w:lvlText w:val=""/>
      <w:lvlJc w:val="left"/>
      <w:pPr>
        <w:ind w:left="0" w:firstLine="0"/>
      </w:pPr>
      <w:rPr>
        <w:rFonts w:hint="default"/>
      </w:rPr>
    </w:lvl>
    <w:lvl w:ilvl="2">
      <w:start w:val="1"/>
      <w:numFmt w:val="none"/>
      <w:pStyle w:val="Naslov3"/>
      <w:suff w:val="nothing"/>
      <w:lvlText w:val=""/>
      <w:lvlJc w:val="left"/>
      <w:pPr>
        <w:ind w:left="680" w:firstLine="0"/>
      </w:pPr>
      <w:rPr>
        <w:rFonts w:hint="default"/>
      </w:rPr>
    </w:lvl>
    <w:lvl w:ilvl="3">
      <w:start w:val="1"/>
      <w:numFmt w:val="none"/>
      <w:pStyle w:val="Naslov4"/>
      <w:suff w:val="nothing"/>
      <w:lvlText w:val=""/>
      <w:lvlJc w:val="left"/>
      <w:pPr>
        <w:ind w:left="680" w:firstLine="0"/>
      </w:pPr>
      <w:rPr>
        <w:rFonts w:hint="default"/>
      </w:rPr>
    </w:lvl>
    <w:lvl w:ilvl="4">
      <w:start w:val="1"/>
      <w:numFmt w:val="none"/>
      <w:pStyle w:val="Naslov5"/>
      <w:suff w:val="nothing"/>
      <w:lvlText w:val=""/>
      <w:lvlJc w:val="left"/>
      <w:pPr>
        <w:ind w:left="851" w:firstLine="0"/>
      </w:pPr>
      <w:rPr>
        <w:rFonts w:hint="default"/>
      </w:rPr>
    </w:lvl>
    <w:lvl w:ilvl="5">
      <w:start w:val="1"/>
      <w:numFmt w:val="none"/>
      <w:pStyle w:val="Naslov6"/>
      <w:suff w:val="nothing"/>
      <w:lvlText w:val=""/>
      <w:lvlJc w:val="left"/>
      <w:pPr>
        <w:ind w:left="0" w:firstLine="0"/>
      </w:pPr>
      <w:rPr>
        <w:rFonts w:hint="default"/>
        <w:sz w:val="96"/>
      </w:rPr>
    </w:lvl>
    <w:lvl w:ilvl="6">
      <w:start w:val="1"/>
      <w:numFmt w:val="upperLetter"/>
      <w:lvlRestart w:val="0"/>
      <w:pStyle w:val="Naslov7"/>
      <w:suff w:val="space"/>
      <w:lvlText w:val="Annex %7."/>
      <w:lvlJc w:val="left"/>
      <w:pPr>
        <w:ind w:left="0" w:firstLine="0"/>
      </w:pPr>
      <w:rPr>
        <w:rFonts w:hint="default"/>
      </w:rPr>
    </w:lvl>
    <w:lvl w:ilvl="7">
      <w:start w:val="1"/>
      <w:numFmt w:val="none"/>
      <w:pStyle w:val="Naslov8"/>
      <w:suff w:val="nothing"/>
      <w:lvlText w:val=""/>
      <w:lvlJc w:val="left"/>
      <w:pPr>
        <w:ind w:left="0" w:firstLine="0"/>
      </w:pPr>
      <w:rPr>
        <w:rFonts w:hint="default"/>
      </w:rPr>
    </w:lvl>
    <w:lvl w:ilvl="8">
      <w:start w:val="1"/>
      <w:numFmt w:val="none"/>
      <w:pStyle w:val="Naslov9"/>
      <w:suff w:val="nothing"/>
      <w:lvlText w:val=""/>
      <w:lvlJc w:val="left"/>
      <w:pPr>
        <w:ind w:left="0" w:firstLine="0"/>
      </w:pPr>
      <w:rPr>
        <w:rFonts w:hint="default"/>
      </w:rPr>
    </w:lvl>
  </w:abstractNum>
  <w:abstractNum w:abstractNumId="20" w15:restartNumberingAfterBreak="0">
    <w:nsid w:val="4A41DFB8"/>
    <w:multiLevelType w:val="hybridMultilevel"/>
    <w:tmpl w:val="BA141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FF7E1"/>
    <w:multiLevelType w:val="hybridMultilevel"/>
    <w:tmpl w:val="45A2C036"/>
    <w:lvl w:ilvl="0" w:tplc="A818341A">
      <w:start w:val="1"/>
      <w:numFmt w:val="bullet"/>
      <w:pStyle w:val="Annotation1"/>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801BD"/>
    <w:multiLevelType w:val="hybridMultilevel"/>
    <w:tmpl w:val="EBF82236"/>
    <w:lvl w:ilvl="0" w:tplc="04090017">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50A6786F"/>
    <w:multiLevelType w:val="hybridMultilevel"/>
    <w:tmpl w:val="8B1AC9F0"/>
    <w:lvl w:ilvl="0" w:tplc="802452B6">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6726A"/>
    <w:multiLevelType w:val="hybridMultilevel"/>
    <w:tmpl w:val="2D00A774"/>
    <w:lvl w:ilvl="0" w:tplc="82FA2A2E">
      <w:start w:val="1"/>
      <w:numFmt w:val="bullet"/>
      <w:pStyle w:val="BulletedList"/>
      <w:lvlText w:val="˗"/>
      <w:lvlJc w:val="left"/>
      <w:pPr>
        <w:ind w:left="680" w:hanging="340"/>
      </w:pPr>
      <w:rPr>
        <w:rFonts w:ascii="Times New Roman" w:hAnsi="Times New Roman" w:cs="Times New Roman" w:hint="default"/>
        <w:color w:val="auto"/>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394833C"/>
    <w:multiLevelType w:val="hybridMultilevel"/>
    <w:tmpl w:val="96CC9026"/>
    <w:lvl w:ilvl="0" w:tplc="74322024">
      <w:start w:val="1"/>
      <w:numFmt w:val="bullet"/>
      <w:pStyle w:val="BulletedList3"/>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55CCBA8E"/>
    <w:multiLevelType w:val="hybridMultilevel"/>
    <w:tmpl w:val="A8EE6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1E409"/>
    <w:multiLevelType w:val="hybridMultilevel"/>
    <w:tmpl w:val="4AB690EE"/>
    <w:lvl w:ilvl="0" w:tplc="FFFFFFFF">
      <w:start w:val="1"/>
      <w:numFmt w:val="decimal"/>
      <w:lvlText w:val="%1."/>
      <w:lvlJc w:val="left"/>
      <w:pPr>
        <w:ind w:left="680" w:hanging="340"/>
      </w:pPr>
      <w:rPr>
        <w:rFonts w:hint="default"/>
      </w:rPr>
    </w:lvl>
    <w:lvl w:ilvl="1" w:tplc="FFFFFFFF">
      <w:start w:val="1"/>
      <w:numFmt w:val="lowerLetter"/>
      <w:lvlText w:val="%2)"/>
      <w:lvlJc w:val="left"/>
      <w:pPr>
        <w:ind w:left="720" w:hanging="360"/>
      </w:pPr>
    </w:lvl>
    <w:lvl w:ilvl="2" w:tplc="04090017">
      <w:start w:val="1"/>
      <w:numFmt w:val="lowerLetter"/>
      <w:lvlText w:val="%3)"/>
      <w:lvlJc w:val="left"/>
      <w:pPr>
        <w:ind w:left="720" w:hanging="360"/>
      </w:pPr>
      <w:rPr>
        <w:rFonts w:hint="default"/>
        <w:i w:val="0"/>
        <w:iCs w:val="0"/>
        <w:color w:val="auto"/>
      </w:rPr>
    </w:lvl>
    <w:lvl w:ilvl="3" w:tplc="FFFFFFFF">
      <w:start w:val="1"/>
      <w:numFmt w:val="lowerLetter"/>
      <w:lvlText w:val="%4)"/>
      <w:lvlJc w:val="left"/>
      <w:pPr>
        <w:tabs>
          <w:tab w:val="num" w:pos="1361"/>
        </w:tabs>
        <w:ind w:left="1701" w:hanging="340"/>
      </w:pPr>
      <w:rPr>
        <w:rFonts w:hint="default"/>
      </w:rPr>
    </w:lvl>
    <w:lvl w:ilvl="4" w:tplc="FFFFFFFF">
      <w:start w:val="1"/>
      <w:numFmt w:val="decimal"/>
      <w:lvlText w:val="%5)"/>
      <w:lvlJc w:val="left"/>
      <w:pPr>
        <w:tabs>
          <w:tab w:val="num" w:pos="1701"/>
        </w:tabs>
        <w:ind w:left="2041" w:hanging="34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4264765"/>
    <w:multiLevelType w:val="multilevel"/>
    <w:tmpl w:val="D6982892"/>
    <w:lvl w:ilvl="0">
      <w:start w:val="1"/>
      <w:numFmt w:val="none"/>
      <w:suff w:val="nothing"/>
      <w:lvlText w:val=""/>
      <w:lvlJc w:val="left"/>
      <w:pPr>
        <w:ind w:left="0" w:firstLine="0"/>
      </w:pPr>
      <w:rPr>
        <w:rFonts w:hint="default"/>
        <w:w w:val="10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0" w:firstLine="0"/>
      </w:pPr>
      <w:rPr>
        <w:rFonts w:hint="default"/>
        <w:sz w:val="96"/>
      </w:rPr>
    </w:lvl>
    <w:lvl w:ilvl="6">
      <w:start w:val="1"/>
      <w:numFmt w:val="upperLetter"/>
      <w:lvlRestart w:val="0"/>
      <w:suff w:val="space"/>
      <w:lvlText w:val="Anne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ED69113"/>
    <w:multiLevelType w:val="hybridMultilevel"/>
    <w:tmpl w:val="B6508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C4E61"/>
    <w:multiLevelType w:val="hybridMultilevel"/>
    <w:tmpl w:val="AA645C24"/>
    <w:lvl w:ilvl="0" w:tplc="6EF66F78">
      <w:start w:val="1"/>
      <w:numFmt w:val="decimal"/>
      <w:lvlText w:val="%1."/>
      <w:lvlJc w:val="left"/>
      <w:pPr>
        <w:ind w:left="680" w:hanging="340"/>
      </w:pPr>
      <w:rPr>
        <w:rFonts w:hint="default"/>
      </w:rPr>
    </w:lvl>
    <w:lvl w:ilvl="1" w:tplc="04090017">
      <w:start w:val="1"/>
      <w:numFmt w:val="lowerLetter"/>
      <w:lvlText w:val="%2)"/>
      <w:lvlJc w:val="left"/>
      <w:pPr>
        <w:ind w:left="720" w:hanging="360"/>
      </w:p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64E3BE2"/>
    <w:multiLevelType w:val="hybridMultilevel"/>
    <w:tmpl w:val="BB1CCBDC"/>
    <w:lvl w:ilvl="0" w:tplc="FFFFFFFF">
      <w:start w:val="1"/>
      <w:numFmt w:val="decimal"/>
      <w:lvlText w:val="%1."/>
      <w:lvlJc w:val="left"/>
      <w:pPr>
        <w:ind w:left="680" w:hanging="340"/>
      </w:pPr>
      <w:rPr>
        <w:rFonts w:hint="default"/>
      </w:rPr>
    </w:lvl>
    <w:lvl w:ilvl="1" w:tplc="FFFFFFFF">
      <w:start w:val="1"/>
      <w:numFmt w:val="lowerLetter"/>
      <w:lvlText w:val="%2)"/>
      <w:lvlJc w:val="left"/>
      <w:pPr>
        <w:ind w:left="720" w:hanging="360"/>
      </w:pPr>
    </w:lvl>
    <w:lvl w:ilvl="2" w:tplc="04090017">
      <w:start w:val="1"/>
      <w:numFmt w:val="lowerLetter"/>
      <w:lvlText w:val="%3)"/>
      <w:lvlJc w:val="left"/>
      <w:pPr>
        <w:ind w:left="720" w:hanging="360"/>
      </w:pPr>
      <w:rPr>
        <w:rFonts w:hint="default"/>
        <w:i w:val="0"/>
        <w:iCs w:val="0"/>
        <w:color w:val="auto"/>
      </w:rPr>
    </w:lvl>
    <w:lvl w:ilvl="3" w:tplc="FFFFFFFF">
      <w:start w:val="1"/>
      <w:numFmt w:val="lowerLetter"/>
      <w:lvlText w:val="%4)"/>
      <w:lvlJc w:val="left"/>
      <w:pPr>
        <w:tabs>
          <w:tab w:val="num" w:pos="1361"/>
        </w:tabs>
        <w:ind w:left="1701" w:hanging="340"/>
      </w:pPr>
      <w:rPr>
        <w:rFonts w:hint="default"/>
      </w:rPr>
    </w:lvl>
    <w:lvl w:ilvl="4" w:tplc="FFFFFFFF">
      <w:start w:val="1"/>
      <w:numFmt w:val="decimal"/>
      <w:lvlText w:val="%5)"/>
      <w:lvlJc w:val="left"/>
      <w:pPr>
        <w:tabs>
          <w:tab w:val="num" w:pos="1701"/>
        </w:tabs>
        <w:ind w:left="2041" w:hanging="34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24938928">
    <w:abstractNumId w:val="7"/>
  </w:num>
  <w:num w:numId="2" w16cid:durableId="112988592">
    <w:abstractNumId w:val="10"/>
  </w:num>
  <w:num w:numId="3" w16cid:durableId="1776516301">
    <w:abstractNumId w:val="5"/>
  </w:num>
  <w:num w:numId="4" w16cid:durableId="127743682">
    <w:abstractNumId w:val="15"/>
  </w:num>
  <w:num w:numId="5" w16cid:durableId="249237637">
    <w:abstractNumId w:val="4"/>
  </w:num>
  <w:num w:numId="6" w16cid:durableId="489103596">
    <w:abstractNumId w:val="24"/>
  </w:num>
  <w:num w:numId="7" w16cid:durableId="336076188">
    <w:abstractNumId w:val="19"/>
  </w:num>
  <w:num w:numId="8" w16cid:durableId="1226255464">
    <w:abstractNumId w:val="8"/>
  </w:num>
  <w:num w:numId="9" w16cid:durableId="681082265">
    <w:abstractNumId w:val="21"/>
  </w:num>
  <w:num w:numId="10" w16cid:durableId="30619618">
    <w:abstractNumId w:val="6"/>
  </w:num>
  <w:num w:numId="11" w16cid:durableId="1301304263">
    <w:abstractNumId w:val="9"/>
  </w:num>
  <w:num w:numId="12" w16cid:durableId="361825132">
    <w:abstractNumId w:val="30"/>
    <w:lvlOverride w:ilvl="0">
      <w:startOverride w:val="1"/>
    </w:lvlOverride>
  </w:num>
  <w:num w:numId="13" w16cid:durableId="2146003338">
    <w:abstractNumId w:val="30"/>
    <w:lvlOverride w:ilvl="0">
      <w:startOverride w:val="1"/>
    </w:lvlOverride>
  </w:num>
  <w:num w:numId="14" w16cid:durableId="1482649745">
    <w:abstractNumId w:val="14"/>
  </w:num>
  <w:num w:numId="15" w16cid:durableId="2007588156">
    <w:abstractNumId w:val="2"/>
  </w:num>
  <w:num w:numId="16" w16cid:durableId="2037459452">
    <w:abstractNumId w:val="30"/>
    <w:lvlOverride w:ilvl="0">
      <w:startOverride w:val="1"/>
    </w:lvlOverride>
  </w:num>
  <w:num w:numId="17" w16cid:durableId="2109306920">
    <w:abstractNumId w:val="30"/>
    <w:lvlOverride w:ilvl="0">
      <w:startOverride w:val="1"/>
    </w:lvlOverride>
  </w:num>
  <w:num w:numId="18" w16cid:durableId="843976965">
    <w:abstractNumId w:val="16"/>
  </w:num>
  <w:num w:numId="19" w16cid:durableId="1233392854">
    <w:abstractNumId w:val="30"/>
  </w:num>
  <w:num w:numId="20" w16cid:durableId="875965586">
    <w:abstractNumId w:val="1"/>
  </w:num>
  <w:num w:numId="21" w16cid:durableId="1834099553">
    <w:abstractNumId w:val="28"/>
  </w:num>
  <w:num w:numId="22" w16cid:durableId="832375461">
    <w:abstractNumId w:val="16"/>
    <w:lvlOverride w:ilvl="0">
      <w:startOverride w:val="1"/>
    </w:lvlOverride>
  </w:num>
  <w:num w:numId="23" w16cid:durableId="1406804610">
    <w:abstractNumId w:val="16"/>
    <w:lvlOverride w:ilvl="0">
      <w:startOverride w:val="1"/>
    </w:lvlOverride>
  </w:num>
  <w:num w:numId="24" w16cid:durableId="1818719701">
    <w:abstractNumId w:val="23"/>
  </w:num>
  <w:num w:numId="25" w16cid:durableId="608510843">
    <w:abstractNumId w:val="20"/>
  </w:num>
  <w:num w:numId="26" w16cid:durableId="1233808646">
    <w:abstractNumId w:val="16"/>
    <w:lvlOverride w:ilvl="0">
      <w:startOverride w:val="30"/>
    </w:lvlOverride>
  </w:num>
  <w:num w:numId="27" w16cid:durableId="1527712919">
    <w:abstractNumId w:val="16"/>
    <w:lvlOverride w:ilvl="0">
      <w:startOverride w:val="1"/>
    </w:lvlOverride>
  </w:num>
  <w:num w:numId="28" w16cid:durableId="199635148">
    <w:abstractNumId w:val="0"/>
  </w:num>
  <w:num w:numId="29" w16cid:durableId="104543158">
    <w:abstractNumId w:val="16"/>
    <w:lvlOverride w:ilvl="0">
      <w:startOverride w:val="52"/>
    </w:lvlOverride>
  </w:num>
  <w:num w:numId="30" w16cid:durableId="476606570">
    <w:abstractNumId w:val="29"/>
  </w:num>
  <w:num w:numId="31" w16cid:durableId="1720736825">
    <w:abstractNumId w:val="16"/>
    <w:lvlOverride w:ilvl="0">
      <w:startOverride w:val="86"/>
    </w:lvlOverride>
  </w:num>
  <w:num w:numId="32" w16cid:durableId="1306664534">
    <w:abstractNumId w:val="16"/>
    <w:lvlOverride w:ilvl="0">
      <w:startOverride w:val="93"/>
    </w:lvlOverride>
  </w:num>
  <w:num w:numId="33" w16cid:durableId="154759688">
    <w:abstractNumId w:val="16"/>
    <w:lvlOverride w:ilvl="0">
      <w:startOverride w:val="105"/>
    </w:lvlOverride>
  </w:num>
  <w:num w:numId="34" w16cid:durableId="1066953266">
    <w:abstractNumId w:val="26"/>
  </w:num>
  <w:num w:numId="35" w16cid:durableId="558781561">
    <w:abstractNumId w:val="16"/>
    <w:lvlOverride w:ilvl="0">
      <w:startOverride w:val="1"/>
    </w:lvlOverride>
  </w:num>
  <w:num w:numId="36" w16cid:durableId="2003005516">
    <w:abstractNumId w:val="16"/>
    <w:lvlOverride w:ilvl="0">
      <w:startOverride w:val="116"/>
    </w:lvlOverride>
  </w:num>
  <w:num w:numId="37" w16cid:durableId="277296249">
    <w:abstractNumId w:val="16"/>
    <w:lvlOverride w:ilvl="0">
      <w:startOverride w:val="123"/>
    </w:lvlOverride>
  </w:num>
  <w:num w:numId="38" w16cid:durableId="1125537388">
    <w:abstractNumId w:val="31"/>
  </w:num>
  <w:num w:numId="39" w16cid:durableId="1917275698">
    <w:abstractNumId w:val="27"/>
  </w:num>
  <w:num w:numId="40" w16cid:durableId="794371298">
    <w:abstractNumId w:val="30"/>
    <w:lvlOverride w:ilvl="0">
      <w:startOverride w:val="1"/>
    </w:lvlOverride>
  </w:num>
  <w:num w:numId="41" w16cid:durableId="1672681169">
    <w:abstractNumId w:val="30"/>
    <w:lvlOverride w:ilvl="0">
      <w:startOverride w:val="1"/>
    </w:lvlOverride>
  </w:num>
  <w:num w:numId="42" w16cid:durableId="1638990876">
    <w:abstractNumId w:val="30"/>
    <w:lvlOverride w:ilvl="0">
      <w:startOverride w:val="1"/>
    </w:lvlOverride>
  </w:num>
  <w:num w:numId="43" w16cid:durableId="1280573808">
    <w:abstractNumId w:val="30"/>
    <w:lvlOverride w:ilvl="0">
      <w:startOverride w:val="1"/>
    </w:lvlOverride>
  </w:num>
  <w:num w:numId="44" w16cid:durableId="1764377349">
    <w:abstractNumId w:val="11"/>
  </w:num>
  <w:num w:numId="45" w16cid:durableId="1717773945">
    <w:abstractNumId w:val="11"/>
    <w:lvlOverride w:ilvl="0">
      <w:startOverride w:val="1"/>
    </w:lvlOverride>
  </w:num>
  <w:num w:numId="46" w16cid:durableId="211232981">
    <w:abstractNumId w:val="11"/>
    <w:lvlOverride w:ilvl="0">
      <w:startOverride w:val="1"/>
    </w:lvlOverride>
  </w:num>
  <w:num w:numId="47" w16cid:durableId="2114982438">
    <w:abstractNumId w:val="11"/>
    <w:lvlOverride w:ilvl="0">
      <w:startOverride w:val="1"/>
    </w:lvlOverride>
  </w:num>
  <w:num w:numId="48" w16cid:durableId="390660739">
    <w:abstractNumId w:val="11"/>
    <w:lvlOverride w:ilvl="0">
      <w:startOverride w:val="1"/>
    </w:lvlOverride>
  </w:num>
  <w:num w:numId="49" w16cid:durableId="1417436781">
    <w:abstractNumId w:val="11"/>
    <w:lvlOverride w:ilvl="0">
      <w:startOverride w:val="1"/>
    </w:lvlOverride>
  </w:num>
  <w:num w:numId="50" w16cid:durableId="1153251342">
    <w:abstractNumId w:val="12"/>
  </w:num>
  <w:num w:numId="51" w16cid:durableId="195316494">
    <w:abstractNumId w:val="17"/>
  </w:num>
  <w:num w:numId="52" w16cid:durableId="154613650">
    <w:abstractNumId w:val="3"/>
  </w:num>
  <w:num w:numId="53" w16cid:durableId="715662569">
    <w:abstractNumId w:val="25"/>
  </w:num>
  <w:num w:numId="54" w16cid:durableId="1757163967">
    <w:abstractNumId w:val="3"/>
    <w:lvlOverride w:ilvl="0">
      <w:startOverride w:val="1"/>
    </w:lvlOverride>
  </w:num>
  <w:num w:numId="55" w16cid:durableId="1871070339">
    <w:abstractNumId w:val="13"/>
  </w:num>
  <w:num w:numId="56" w16cid:durableId="1317339600">
    <w:abstractNumId w:val="3"/>
    <w:lvlOverride w:ilvl="0">
      <w:startOverride w:val="1"/>
    </w:lvlOverride>
  </w:num>
  <w:num w:numId="57" w16cid:durableId="1151368144">
    <w:abstractNumId w:val="3"/>
    <w:lvlOverride w:ilvl="0">
      <w:startOverride w:val="1"/>
    </w:lvlOverride>
  </w:num>
  <w:num w:numId="58" w16cid:durableId="174729378">
    <w:abstractNumId w:val="18"/>
  </w:num>
  <w:num w:numId="59" w16cid:durableId="1388262007">
    <w:abstractNumId w:val="3"/>
    <w:lvlOverride w:ilvl="0">
      <w:startOverride w:val="1"/>
    </w:lvlOverride>
  </w:num>
  <w:num w:numId="60" w16cid:durableId="917440302">
    <w:abstractNumId w:val="22"/>
  </w:num>
  <w:num w:numId="61" w16cid:durableId="2173154">
    <w:abstractNumId w:val="16"/>
    <w:lvlOverride w:ilvl="0">
      <w:startOverride w:val="1"/>
    </w:lvlOverride>
  </w:num>
  <w:num w:numId="62" w16cid:durableId="624889938">
    <w:abstractNumId w:val="16"/>
    <w:lvlOverride w:ilvl="0">
      <w:startOverride w:val="6"/>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hyphenationZone w:val="425"/>
  <w:evenAndOddHeaders/>
  <w:characterSpacingControl w:val="doNotCompress"/>
  <w:hdrShapeDefaults>
    <o:shapedefaults v:ext="edit" spidmax="10241"/>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tInPropertywdPropertyAuthor" w:val="IKIC Anna"/>
    <w:docVar w:name="BuiltInPropertywdPropertySubject" w:val=" "/>
    <w:docVar w:name="OECDDocumentDocumentLanguage" w:val="Unknown"/>
    <w:docVar w:name="OECDDocumentId" w:val="2BEE3B80D073333C4ECA4C803E20CBD7F5A2527D4FA6EE9A3DB4AB042E7FCC6D"/>
    <w:docVar w:name="OECDDocumentOriginalLanguage" w:val="English"/>
    <w:docVar w:name="OECDDocumentValidationDate" w:val="05/30/2023 16:03:35"/>
    <w:docVar w:name="OECDDocumentValidationErrors" w:val="1"/>
    <w:docVar w:name="OECDDocumentValidationWarnings" w:val="0"/>
    <w:docVar w:name="OECDDocumentValidationWordCount" w:val="144"/>
    <w:docVar w:name="OECDMasterDocCreated" w:val="2023-05-31"/>
    <w:docVar w:name="OECDTemplateLocation" w:val="W:\Office2016\Workgroup Templates"/>
    <w:docVar w:name="OECDTemplateName" w:val="ONE Author ODPub.dotx"/>
    <w:docVar w:name="OECDTemplateVersion" w:val="3.24"/>
    <w:docVar w:name="OECDTemplateVersionOriginal" w:val="3.24"/>
  </w:docVars>
  <w:rsids>
    <w:rsidRoot w:val="008039E7"/>
    <w:rsid w:val="000037D9"/>
    <w:rsid w:val="00004DAB"/>
    <w:rsid w:val="000064D6"/>
    <w:rsid w:val="00012184"/>
    <w:rsid w:val="00014ED3"/>
    <w:rsid w:val="00017230"/>
    <w:rsid w:val="00024178"/>
    <w:rsid w:val="00027D14"/>
    <w:rsid w:val="00030E8C"/>
    <w:rsid w:val="000338B2"/>
    <w:rsid w:val="00033E50"/>
    <w:rsid w:val="00041279"/>
    <w:rsid w:val="0004402D"/>
    <w:rsid w:val="00044517"/>
    <w:rsid w:val="000454E8"/>
    <w:rsid w:val="0005102C"/>
    <w:rsid w:val="00052575"/>
    <w:rsid w:val="00052588"/>
    <w:rsid w:val="000542B8"/>
    <w:rsid w:val="00055124"/>
    <w:rsid w:val="00055536"/>
    <w:rsid w:val="00064BF4"/>
    <w:rsid w:val="00064C7A"/>
    <w:rsid w:val="0007759B"/>
    <w:rsid w:val="00085197"/>
    <w:rsid w:val="0008739B"/>
    <w:rsid w:val="000913CD"/>
    <w:rsid w:val="000A5133"/>
    <w:rsid w:val="000A655C"/>
    <w:rsid w:val="000A69AD"/>
    <w:rsid w:val="000B03E2"/>
    <w:rsid w:val="000B1E6C"/>
    <w:rsid w:val="000B74AE"/>
    <w:rsid w:val="000B7665"/>
    <w:rsid w:val="000B7B86"/>
    <w:rsid w:val="000C0FE0"/>
    <w:rsid w:val="000C1DF4"/>
    <w:rsid w:val="000D34F9"/>
    <w:rsid w:val="000D4550"/>
    <w:rsid w:val="000E0DC7"/>
    <w:rsid w:val="000E2815"/>
    <w:rsid w:val="000E5745"/>
    <w:rsid w:val="000E5F57"/>
    <w:rsid w:val="000F040F"/>
    <w:rsid w:val="000F68AF"/>
    <w:rsid w:val="000F77AD"/>
    <w:rsid w:val="001007E8"/>
    <w:rsid w:val="00101323"/>
    <w:rsid w:val="00111592"/>
    <w:rsid w:val="00111A19"/>
    <w:rsid w:val="0011701E"/>
    <w:rsid w:val="00130B1E"/>
    <w:rsid w:val="001313D9"/>
    <w:rsid w:val="00132E78"/>
    <w:rsid w:val="00143F71"/>
    <w:rsid w:val="00146063"/>
    <w:rsid w:val="001479CF"/>
    <w:rsid w:val="0015065F"/>
    <w:rsid w:val="00151485"/>
    <w:rsid w:val="001516B4"/>
    <w:rsid w:val="00151AE5"/>
    <w:rsid w:val="001535B9"/>
    <w:rsid w:val="00157A58"/>
    <w:rsid w:val="00160B10"/>
    <w:rsid w:val="00160D78"/>
    <w:rsid w:val="00162B87"/>
    <w:rsid w:val="00170C55"/>
    <w:rsid w:val="00173418"/>
    <w:rsid w:val="00183469"/>
    <w:rsid w:val="00192BE9"/>
    <w:rsid w:val="001931F5"/>
    <w:rsid w:val="001933C5"/>
    <w:rsid w:val="00196642"/>
    <w:rsid w:val="001A3423"/>
    <w:rsid w:val="001A518D"/>
    <w:rsid w:val="001B2144"/>
    <w:rsid w:val="001B2FAD"/>
    <w:rsid w:val="001B4E01"/>
    <w:rsid w:val="001C0B13"/>
    <w:rsid w:val="001C1F73"/>
    <w:rsid w:val="001C4E4F"/>
    <w:rsid w:val="001C617B"/>
    <w:rsid w:val="001D3952"/>
    <w:rsid w:val="001D4565"/>
    <w:rsid w:val="001E1F22"/>
    <w:rsid w:val="001E757C"/>
    <w:rsid w:val="001F11B3"/>
    <w:rsid w:val="001F18A8"/>
    <w:rsid w:val="001F63FD"/>
    <w:rsid w:val="001F6920"/>
    <w:rsid w:val="001F76B3"/>
    <w:rsid w:val="00201266"/>
    <w:rsid w:val="00202409"/>
    <w:rsid w:val="00203113"/>
    <w:rsid w:val="00203CC1"/>
    <w:rsid w:val="00210A5D"/>
    <w:rsid w:val="002111A0"/>
    <w:rsid w:val="00224AC3"/>
    <w:rsid w:val="0022556E"/>
    <w:rsid w:val="00237A1B"/>
    <w:rsid w:val="0025481A"/>
    <w:rsid w:val="0025625F"/>
    <w:rsid w:val="002565E1"/>
    <w:rsid w:val="00262325"/>
    <w:rsid w:val="00263627"/>
    <w:rsid w:val="00267FCB"/>
    <w:rsid w:val="00275477"/>
    <w:rsid w:val="00280DDB"/>
    <w:rsid w:val="002818F4"/>
    <w:rsid w:val="00287C71"/>
    <w:rsid w:val="00287ED5"/>
    <w:rsid w:val="00293CB2"/>
    <w:rsid w:val="00296CE1"/>
    <w:rsid w:val="002A2091"/>
    <w:rsid w:val="002A226D"/>
    <w:rsid w:val="002A4D74"/>
    <w:rsid w:val="002A6B56"/>
    <w:rsid w:val="002B353F"/>
    <w:rsid w:val="002C1DD6"/>
    <w:rsid w:val="002C308E"/>
    <w:rsid w:val="002E0230"/>
    <w:rsid w:val="002F1928"/>
    <w:rsid w:val="002F3A06"/>
    <w:rsid w:val="002F605B"/>
    <w:rsid w:val="002F732A"/>
    <w:rsid w:val="00303173"/>
    <w:rsid w:val="00305C43"/>
    <w:rsid w:val="00310601"/>
    <w:rsid w:val="00321C06"/>
    <w:rsid w:val="00321C51"/>
    <w:rsid w:val="00323108"/>
    <w:rsid w:val="00324483"/>
    <w:rsid w:val="00326CAE"/>
    <w:rsid w:val="003276FA"/>
    <w:rsid w:val="00333261"/>
    <w:rsid w:val="00337396"/>
    <w:rsid w:val="00347AA2"/>
    <w:rsid w:val="00350662"/>
    <w:rsid w:val="00350963"/>
    <w:rsid w:val="00350CCC"/>
    <w:rsid w:val="0035293B"/>
    <w:rsid w:val="00356AC4"/>
    <w:rsid w:val="003570CA"/>
    <w:rsid w:val="003578FC"/>
    <w:rsid w:val="00366BED"/>
    <w:rsid w:val="0037118F"/>
    <w:rsid w:val="00372918"/>
    <w:rsid w:val="00375A7C"/>
    <w:rsid w:val="00376570"/>
    <w:rsid w:val="00376C23"/>
    <w:rsid w:val="00381AB2"/>
    <w:rsid w:val="00386F03"/>
    <w:rsid w:val="003957E7"/>
    <w:rsid w:val="003A3A69"/>
    <w:rsid w:val="003A72FB"/>
    <w:rsid w:val="003B0FCE"/>
    <w:rsid w:val="003B2EF0"/>
    <w:rsid w:val="003B312C"/>
    <w:rsid w:val="003B42F8"/>
    <w:rsid w:val="003B60CD"/>
    <w:rsid w:val="003C2137"/>
    <w:rsid w:val="003C4738"/>
    <w:rsid w:val="003C6E42"/>
    <w:rsid w:val="003D0071"/>
    <w:rsid w:val="003D0145"/>
    <w:rsid w:val="003D0D81"/>
    <w:rsid w:val="003D283F"/>
    <w:rsid w:val="003D51CA"/>
    <w:rsid w:val="003D7C3F"/>
    <w:rsid w:val="003E0362"/>
    <w:rsid w:val="003E2486"/>
    <w:rsid w:val="003E2E5C"/>
    <w:rsid w:val="003E5BE5"/>
    <w:rsid w:val="003E6393"/>
    <w:rsid w:val="003E7235"/>
    <w:rsid w:val="003F3341"/>
    <w:rsid w:val="003F3E9F"/>
    <w:rsid w:val="003F5B66"/>
    <w:rsid w:val="003F60CA"/>
    <w:rsid w:val="00401004"/>
    <w:rsid w:val="004036CB"/>
    <w:rsid w:val="00403A1F"/>
    <w:rsid w:val="00404A52"/>
    <w:rsid w:val="00407712"/>
    <w:rsid w:val="004104C0"/>
    <w:rsid w:val="004120ED"/>
    <w:rsid w:val="004230BA"/>
    <w:rsid w:val="004234CE"/>
    <w:rsid w:val="004243B4"/>
    <w:rsid w:val="004259A6"/>
    <w:rsid w:val="0042619C"/>
    <w:rsid w:val="004348F1"/>
    <w:rsid w:val="00440FA5"/>
    <w:rsid w:val="00444C08"/>
    <w:rsid w:val="004529B7"/>
    <w:rsid w:val="00452DA0"/>
    <w:rsid w:val="00456142"/>
    <w:rsid w:val="00456E03"/>
    <w:rsid w:val="00461C3F"/>
    <w:rsid w:val="0046201C"/>
    <w:rsid w:val="004622CF"/>
    <w:rsid w:val="00462721"/>
    <w:rsid w:val="00464ED3"/>
    <w:rsid w:val="004661B2"/>
    <w:rsid w:val="00467E8A"/>
    <w:rsid w:val="00472CA9"/>
    <w:rsid w:val="004744D0"/>
    <w:rsid w:val="0048276C"/>
    <w:rsid w:val="004A00A8"/>
    <w:rsid w:val="004A117A"/>
    <w:rsid w:val="004A1A3F"/>
    <w:rsid w:val="004A1A7B"/>
    <w:rsid w:val="004A6F9B"/>
    <w:rsid w:val="004B163D"/>
    <w:rsid w:val="004B3675"/>
    <w:rsid w:val="004B7B10"/>
    <w:rsid w:val="004C102F"/>
    <w:rsid w:val="004E100F"/>
    <w:rsid w:val="004E432F"/>
    <w:rsid w:val="004E4993"/>
    <w:rsid w:val="004F1D9C"/>
    <w:rsid w:val="004F644E"/>
    <w:rsid w:val="004F6BF2"/>
    <w:rsid w:val="004F6CB7"/>
    <w:rsid w:val="004F759F"/>
    <w:rsid w:val="005011D9"/>
    <w:rsid w:val="00502163"/>
    <w:rsid w:val="00502342"/>
    <w:rsid w:val="005059C6"/>
    <w:rsid w:val="00510E93"/>
    <w:rsid w:val="00511263"/>
    <w:rsid w:val="005136BF"/>
    <w:rsid w:val="005206CA"/>
    <w:rsid w:val="00523806"/>
    <w:rsid w:val="00524708"/>
    <w:rsid w:val="00524825"/>
    <w:rsid w:val="0052749E"/>
    <w:rsid w:val="00532FB1"/>
    <w:rsid w:val="005350C8"/>
    <w:rsid w:val="00535F2B"/>
    <w:rsid w:val="005360A8"/>
    <w:rsid w:val="005361EC"/>
    <w:rsid w:val="00543135"/>
    <w:rsid w:val="00551604"/>
    <w:rsid w:val="005527A6"/>
    <w:rsid w:val="00555D6A"/>
    <w:rsid w:val="0056606B"/>
    <w:rsid w:val="00567146"/>
    <w:rsid w:val="00575855"/>
    <w:rsid w:val="00576984"/>
    <w:rsid w:val="005776E6"/>
    <w:rsid w:val="00582D40"/>
    <w:rsid w:val="005852A5"/>
    <w:rsid w:val="00593D13"/>
    <w:rsid w:val="005A0A55"/>
    <w:rsid w:val="005A41B4"/>
    <w:rsid w:val="005A4A42"/>
    <w:rsid w:val="005A6B81"/>
    <w:rsid w:val="005B2F28"/>
    <w:rsid w:val="005B734D"/>
    <w:rsid w:val="005B7CA2"/>
    <w:rsid w:val="005C099E"/>
    <w:rsid w:val="005C1FD6"/>
    <w:rsid w:val="005D0747"/>
    <w:rsid w:val="005D25FC"/>
    <w:rsid w:val="005D450E"/>
    <w:rsid w:val="005D5F8F"/>
    <w:rsid w:val="005D7D42"/>
    <w:rsid w:val="005E0016"/>
    <w:rsid w:val="005E3782"/>
    <w:rsid w:val="005F7AB4"/>
    <w:rsid w:val="00600227"/>
    <w:rsid w:val="00603681"/>
    <w:rsid w:val="0061216A"/>
    <w:rsid w:val="006128C8"/>
    <w:rsid w:val="006214C3"/>
    <w:rsid w:val="006218BD"/>
    <w:rsid w:val="00622E0C"/>
    <w:rsid w:val="00624F9D"/>
    <w:rsid w:val="00625626"/>
    <w:rsid w:val="006304BF"/>
    <w:rsid w:val="00635AEE"/>
    <w:rsid w:val="00640529"/>
    <w:rsid w:val="00642F3D"/>
    <w:rsid w:val="00644510"/>
    <w:rsid w:val="00644FCE"/>
    <w:rsid w:val="00680162"/>
    <w:rsid w:val="0068361F"/>
    <w:rsid w:val="00691F2C"/>
    <w:rsid w:val="006A1139"/>
    <w:rsid w:val="006A7A19"/>
    <w:rsid w:val="006B38E2"/>
    <w:rsid w:val="006B4BAA"/>
    <w:rsid w:val="006B7345"/>
    <w:rsid w:val="006B7A61"/>
    <w:rsid w:val="006C315E"/>
    <w:rsid w:val="006C35CC"/>
    <w:rsid w:val="006C7B61"/>
    <w:rsid w:val="006D1C15"/>
    <w:rsid w:val="006D2B23"/>
    <w:rsid w:val="006D62A7"/>
    <w:rsid w:val="006E50BA"/>
    <w:rsid w:val="006E5AA5"/>
    <w:rsid w:val="006E67BE"/>
    <w:rsid w:val="006F0A20"/>
    <w:rsid w:val="0070033F"/>
    <w:rsid w:val="00710E8C"/>
    <w:rsid w:val="00711F1B"/>
    <w:rsid w:val="00712B15"/>
    <w:rsid w:val="00712B50"/>
    <w:rsid w:val="007135D0"/>
    <w:rsid w:val="00715B2E"/>
    <w:rsid w:val="00722339"/>
    <w:rsid w:val="00724820"/>
    <w:rsid w:val="0072513F"/>
    <w:rsid w:val="007306FA"/>
    <w:rsid w:val="007323ED"/>
    <w:rsid w:val="00733ED1"/>
    <w:rsid w:val="00734135"/>
    <w:rsid w:val="00735C39"/>
    <w:rsid w:val="00740CB7"/>
    <w:rsid w:val="00743058"/>
    <w:rsid w:val="00743381"/>
    <w:rsid w:val="00751B2A"/>
    <w:rsid w:val="00753095"/>
    <w:rsid w:val="00753EEE"/>
    <w:rsid w:val="00754C15"/>
    <w:rsid w:val="00757D43"/>
    <w:rsid w:val="007622EA"/>
    <w:rsid w:val="00762B89"/>
    <w:rsid w:val="007712AC"/>
    <w:rsid w:val="00771361"/>
    <w:rsid w:val="007728EB"/>
    <w:rsid w:val="007773B5"/>
    <w:rsid w:val="007811F5"/>
    <w:rsid w:val="007823FE"/>
    <w:rsid w:val="007836B4"/>
    <w:rsid w:val="00785A1E"/>
    <w:rsid w:val="00796525"/>
    <w:rsid w:val="007A76BA"/>
    <w:rsid w:val="007B1A88"/>
    <w:rsid w:val="007B21E2"/>
    <w:rsid w:val="007B31F6"/>
    <w:rsid w:val="007B32B0"/>
    <w:rsid w:val="007B64FE"/>
    <w:rsid w:val="007C3714"/>
    <w:rsid w:val="007C5CAD"/>
    <w:rsid w:val="007C6346"/>
    <w:rsid w:val="007C6866"/>
    <w:rsid w:val="007D09AE"/>
    <w:rsid w:val="007D12EC"/>
    <w:rsid w:val="007D21CF"/>
    <w:rsid w:val="007D7784"/>
    <w:rsid w:val="007E307B"/>
    <w:rsid w:val="007F41F9"/>
    <w:rsid w:val="007F712B"/>
    <w:rsid w:val="008039E7"/>
    <w:rsid w:val="00803F51"/>
    <w:rsid w:val="00803F69"/>
    <w:rsid w:val="00804ACC"/>
    <w:rsid w:val="00805427"/>
    <w:rsid w:val="008127CA"/>
    <w:rsid w:val="008129C4"/>
    <w:rsid w:val="00814FD3"/>
    <w:rsid w:val="00816020"/>
    <w:rsid w:val="00816695"/>
    <w:rsid w:val="00820362"/>
    <w:rsid w:val="00821370"/>
    <w:rsid w:val="008230ED"/>
    <w:rsid w:val="008232BC"/>
    <w:rsid w:val="00825BF9"/>
    <w:rsid w:val="00827BD2"/>
    <w:rsid w:val="00827FB5"/>
    <w:rsid w:val="00833FF5"/>
    <w:rsid w:val="00835614"/>
    <w:rsid w:val="008460B0"/>
    <w:rsid w:val="00846824"/>
    <w:rsid w:val="008542C2"/>
    <w:rsid w:val="008566CB"/>
    <w:rsid w:val="0085691D"/>
    <w:rsid w:val="00857920"/>
    <w:rsid w:val="008640B5"/>
    <w:rsid w:val="0086742E"/>
    <w:rsid w:val="008728E0"/>
    <w:rsid w:val="008745A2"/>
    <w:rsid w:val="00875377"/>
    <w:rsid w:val="008757C6"/>
    <w:rsid w:val="00875DAD"/>
    <w:rsid w:val="00880E82"/>
    <w:rsid w:val="00882314"/>
    <w:rsid w:val="008844F9"/>
    <w:rsid w:val="008941AE"/>
    <w:rsid w:val="00895D73"/>
    <w:rsid w:val="008A2014"/>
    <w:rsid w:val="008A691D"/>
    <w:rsid w:val="008B35DF"/>
    <w:rsid w:val="008B4965"/>
    <w:rsid w:val="008B5E8B"/>
    <w:rsid w:val="008C38B5"/>
    <w:rsid w:val="008C5973"/>
    <w:rsid w:val="008C7702"/>
    <w:rsid w:val="008D0119"/>
    <w:rsid w:val="008D6307"/>
    <w:rsid w:val="008E2C7C"/>
    <w:rsid w:val="008E2F6C"/>
    <w:rsid w:val="008F0F36"/>
    <w:rsid w:val="008F0F84"/>
    <w:rsid w:val="008F1437"/>
    <w:rsid w:val="008F461E"/>
    <w:rsid w:val="008F632C"/>
    <w:rsid w:val="008F66D2"/>
    <w:rsid w:val="008F6F27"/>
    <w:rsid w:val="008F7A96"/>
    <w:rsid w:val="008F7B1F"/>
    <w:rsid w:val="008F7BFD"/>
    <w:rsid w:val="00904F11"/>
    <w:rsid w:val="00907E59"/>
    <w:rsid w:val="009106FA"/>
    <w:rsid w:val="00916BDE"/>
    <w:rsid w:val="0092327D"/>
    <w:rsid w:val="00923C6B"/>
    <w:rsid w:val="00925760"/>
    <w:rsid w:val="009305C4"/>
    <w:rsid w:val="009321E4"/>
    <w:rsid w:val="0093281A"/>
    <w:rsid w:val="00943271"/>
    <w:rsid w:val="0094705D"/>
    <w:rsid w:val="009544D0"/>
    <w:rsid w:val="00961C60"/>
    <w:rsid w:val="0096394A"/>
    <w:rsid w:val="009644DD"/>
    <w:rsid w:val="0096519D"/>
    <w:rsid w:val="00966A58"/>
    <w:rsid w:val="0096728F"/>
    <w:rsid w:val="0097116C"/>
    <w:rsid w:val="0097346D"/>
    <w:rsid w:val="009811DE"/>
    <w:rsid w:val="009828E5"/>
    <w:rsid w:val="00982C10"/>
    <w:rsid w:val="0098377F"/>
    <w:rsid w:val="009877F0"/>
    <w:rsid w:val="00991A9A"/>
    <w:rsid w:val="0099203B"/>
    <w:rsid w:val="00992AB5"/>
    <w:rsid w:val="009A1527"/>
    <w:rsid w:val="009A22AE"/>
    <w:rsid w:val="009A3363"/>
    <w:rsid w:val="009A4284"/>
    <w:rsid w:val="009A46B0"/>
    <w:rsid w:val="009B27D8"/>
    <w:rsid w:val="009B2F6F"/>
    <w:rsid w:val="009B36EC"/>
    <w:rsid w:val="009B3725"/>
    <w:rsid w:val="009B4679"/>
    <w:rsid w:val="009C532B"/>
    <w:rsid w:val="009C6426"/>
    <w:rsid w:val="009C697D"/>
    <w:rsid w:val="009D0A30"/>
    <w:rsid w:val="009D0EC4"/>
    <w:rsid w:val="009D30C1"/>
    <w:rsid w:val="009D640E"/>
    <w:rsid w:val="009D6989"/>
    <w:rsid w:val="009E05F9"/>
    <w:rsid w:val="009E1A99"/>
    <w:rsid w:val="009E3337"/>
    <w:rsid w:val="009E7C04"/>
    <w:rsid w:val="009F7097"/>
    <w:rsid w:val="009F7287"/>
    <w:rsid w:val="00A01981"/>
    <w:rsid w:val="00A07625"/>
    <w:rsid w:val="00A104FC"/>
    <w:rsid w:val="00A1253E"/>
    <w:rsid w:val="00A12B7B"/>
    <w:rsid w:val="00A14DC4"/>
    <w:rsid w:val="00A15F4B"/>
    <w:rsid w:val="00A1735A"/>
    <w:rsid w:val="00A20967"/>
    <w:rsid w:val="00A21E27"/>
    <w:rsid w:val="00A31CCE"/>
    <w:rsid w:val="00A322DB"/>
    <w:rsid w:val="00A33D14"/>
    <w:rsid w:val="00A33FBE"/>
    <w:rsid w:val="00A3587B"/>
    <w:rsid w:val="00A37D0A"/>
    <w:rsid w:val="00A40263"/>
    <w:rsid w:val="00A42716"/>
    <w:rsid w:val="00A42EED"/>
    <w:rsid w:val="00A44501"/>
    <w:rsid w:val="00A506C1"/>
    <w:rsid w:val="00A55002"/>
    <w:rsid w:val="00A5698B"/>
    <w:rsid w:val="00A61DC4"/>
    <w:rsid w:val="00A63486"/>
    <w:rsid w:val="00A73BFF"/>
    <w:rsid w:val="00A74AFD"/>
    <w:rsid w:val="00A75251"/>
    <w:rsid w:val="00A752EA"/>
    <w:rsid w:val="00A76883"/>
    <w:rsid w:val="00A8126B"/>
    <w:rsid w:val="00A81F07"/>
    <w:rsid w:val="00A92F3D"/>
    <w:rsid w:val="00A95B06"/>
    <w:rsid w:val="00A961E9"/>
    <w:rsid w:val="00AA591D"/>
    <w:rsid w:val="00AA7673"/>
    <w:rsid w:val="00AB34FF"/>
    <w:rsid w:val="00AB3C9C"/>
    <w:rsid w:val="00AB459C"/>
    <w:rsid w:val="00AB5A6F"/>
    <w:rsid w:val="00AC4AE2"/>
    <w:rsid w:val="00AC5E9B"/>
    <w:rsid w:val="00AC7B0C"/>
    <w:rsid w:val="00AD08D5"/>
    <w:rsid w:val="00AD15C4"/>
    <w:rsid w:val="00AD196B"/>
    <w:rsid w:val="00AD32A7"/>
    <w:rsid w:val="00AD373D"/>
    <w:rsid w:val="00AE3244"/>
    <w:rsid w:val="00AE48DF"/>
    <w:rsid w:val="00AE5FED"/>
    <w:rsid w:val="00AE6017"/>
    <w:rsid w:val="00AF2CA8"/>
    <w:rsid w:val="00B0250B"/>
    <w:rsid w:val="00B06D82"/>
    <w:rsid w:val="00B11E2C"/>
    <w:rsid w:val="00B12F75"/>
    <w:rsid w:val="00B15A2D"/>
    <w:rsid w:val="00B16E93"/>
    <w:rsid w:val="00B2065D"/>
    <w:rsid w:val="00B34036"/>
    <w:rsid w:val="00B363EB"/>
    <w:rsid w:val="00B37B02"/>
    <w:rsid w:val="00B46C8D"/>
    <w:rsid w:val="00B52D98"/>
    <w:rsid w:val="00B66B2E"/>
    <w:rsid w:val="00B67859"/>
    <w:rsid w:val="00B720F6"/>
    <w:rsid w:val="00B73366"/>
    <w:rsid w:val="00B7351B"/>
    <w:rsid w:val="00B95C93"/>
    <w:rsid w:val="00BA01C3"/>
    <w:rsid w:val="00BA092F"/>
    <w:rsid w:val="00BA1ADD"/>
    <w:rsid w:val="00BA28FD"/>
    <w:rsid w:val="00BD4F7D"/>
    <w:rsid w:val="00BD584D"/>
    <w:rsid w:val="00BE268B"/>
    <w:rsid w:val="00BF1697"/>
    <w:rsid w:val="00BF53D8"/>
    <w:rsid w:val="00BF5475"/>
    <w:rsid w:val="00BF69F3"/>
    <w:rsid w:val="00BF773A"/>
    <w:rsid w:val="00C0190E"/>
    <w:rsid w:val="00C03067"/>
    <w:rsid w:val="00C24704"/>
    <w:rsid w:val="00C26DD0"/>
    <w:rsid w:val="00C3172F"/>
    <w:rsid w:val="00C33D51"/>
    <w:rsid w:val="00C3513F"/>
    <w:rsid w:val="00C40110"/>
    <w:rsid w:val="00C43213"/>
    <w:rsid w:val="00C45E14"/>
    <w:rsid w:val="00C5382F"/>
    <w:rsid w:val="00C549BA"/>
    <w:rsid w:val="00C57049"/>
    <w:rsid w:val="00C611FD"/>
    <w:rsid w:val="00C6171E"/>
    <w:rsid w:val="00C6314B"/>
    <w:rsid w:val="00C710A7"/>
    <w:rsid w:val="00C71392"/>
    <w:rsid w:val="00C732F4"/>
    <w:rsid w:val="00C77599"/>
    <w:rsid w:val="00C83CC5"/>
    <w:rsid w:val="00C87BFF"/>
    <w:rsid w:val="00C9136B"/>
    <w:rsid w:val="00C9339D"/>
    <w:rsid w:val="00CA10B3"/>
    <w:rsid w:val="00CA1A65"/>
    <w:rsid w:val="00CA2765"/>
    <w:rsid w:val="00CA27CC"/>
    <w:rsid w:val="00CB0366"/>
    <w:rsid w:val="00CB4B68"/>
    <w:rsid w:val="00CB6B34"/>
    <w:rsid w:val="00CC1A99"/>
    <w:rsid w:val="00CC3749"/>
    <w:rsid w:val="00CC41F7"/>
    <w:rsid w:val="00CC67BC"/>
    <w:rsid w:val="00CC6D23"/>
    <w:rsid w:val="00CD5C3E"/>
    <w:rsid w:val="00CD6A6F"/>
    <w:rsid w:val="00CE2207"/>
    <w:rsid w:val="00CE347A"/>
    <w:rsid w:val="00CE4798"/>
    <w:rsid w:val="00CE6E7E"/>
    <w:rsid w:val="00CF4424"/>
    <w:rsid w:val="00CF6762"/>
    <w:rsid w:val="00CF6ED9"/>
    <w:rsid w:val="00D02666"/>
    <w:rsid w:val="00D03CC5"/>
    <w:rsid w:val="00D047D4"/>
    <w:rsid w:val="00D048EC"/>
    <w:rsid w:val="00D05A24"/>
    <w:rsid w:val="00D142B4"/>
    <w:rsid w:val="00D15234"/>
    <w:rsid w:val="00D20610"/>
    <w:rsid w:val="00D20C3E"/>
    <w:rsid w:val="00D213C3"/>
    <w:rsid w:val="00D216F4"/>
    <w:rsid w:val="00D21923"/>
    <w:rsid w:val="00D21B35"/>
    <w:rsid w:val="00D22EC8"/>
    <w:rsid w:val="00D27A8B"/>
    <w:rsid w:val="00D33BA3"/>
    <w:rsid w:val="00D34E37"/>
    <w:rsid w:val="00D43B52"/>
    <w:rsid w:val="00D45551"/>
    <w:rsid w:val="00D52504"/>
    <w:rsid w:val="00D5651D"/>
    <w:rsid w:val="00D708A5"/>
    <w:rsid w:val="00D73C3A"/>
    <w:rsid w:val="00D762B2"/>
    <w:rsid w:val="00D81E01"/>
    <w:rsid w:val="00D854FA"/>
    <w:rsid w:val="00D919C2"/>
    <w:rsid w:val="00D93EF3"/>
    <w:rsid w:val="00D942EC"/>
    <w:rsid w:val="00D95933"/>
    <w:rsid w:val="00D96407"/>
    <w:rsid w:val="00D972AE"/>
    <w:rsid w:val="00DA12AF"/>
    <w:rsid w:val="00DA6E6A"/>
    <w:rsid w:val="00DA70B9"/>
    <w:rsid w:val="00DA79F8"/>
    <w:rsid w:val="00DB5EA7"/>
    <w:rsid w:val="00DB7564"/>
    <w:rsid w:val="00DC314E"/>
    <w:rsid w:val="00DC4A8C"/>
    <w:rsid w:val="00DC7E9E"/>
    <w:rsid w:val="00DD518A"/>
    <w:rsid w:val="00DD64B1"/>
    <w:rsid w:val="00DE3D1B"/>
    <w:rsid w:val="00DF1A57"/>
    <w:rsid w:val="00DF3E84"/>
    <w:rsid w:val="00E00E25"/>
    <w:rsid w:val="00E02F2E"/>
    <w:rsid w:val="00E108E8"/>
    <w:rsid w:val="00E1286D"/>
    <w:rsid w:val="00E14045"/>
    <w:rsid w:val="00E14850"/>
    <w:rsid w:val="00E17741"/>
    <w:rsid w:val="00E17C48"/>
    <w:rsid w:val="00E205CD"/>
    <w:rsid w:val="00E35131"/>
    <w:rsid w:val="00E4492C"/>
    <w:rsid w:val="00E53877"/>
    <w:rsid w:val="00E62D2A"/>
    <w:rsid w:val="00E630F4"/>
    <w:rsid w:val="00E6592E"/>
    <w:rsid w:val="00E65E91"/>
    <w:rsid w:val="00E67FB6"/>
    <w:rsid w:val="00E71E47"/>
    <w:rsid w:val="00E7474A"/>
    <w:rsid w:val="00E77A68"/>
    <w:rsid w:val="00E82D9D"/>
    <w:rsid w:val="00E83500"/>
    <w:rsid w:val="00E852E3"/>
    <w:rsid w:val="00E855C5"/>
    <w:rsid w:val="00E8719C"/>
    <w:rsid w:val="00E90680"/>
    <w:rsid w:val="00E926A1"/>
    <w:rsid w:val="00E951AC"/>
    <w:rsid w:val="00EA6A82"/>
    <w:rsid w:val="00EB24D5"/>
    <w:rsid w:val="00EB6949"/>
    <w:rsid w:val="00EC1531"/>
    <w:rsid w:val="00EC45EF"/>
    <w:rsid w:val="00EC4FB9"/>
    <w:rsid w:val="00EC61F0"/>
    <w:rsid w:val="00EC7AB3"/>
    <w:rsid w:val="00ED1FCF"/>
    <w:rsid w:val="00ED2742"/>
    <w:rsid w:val="00ED300D"/>
    <w:rsid w:val="00ED7AD3"/>
    <w:rsid w:val="00EE2E27"/>
    <w:rsid w:val="00EE5B62"/>
    <w:rsid w:val="00EE64E3"/>
    <w:rsid w:val="00EE797C"/>
    <w:rsid w:val="00EF332B"/>
    <w:rsid w:val="00EF6B7C"/>
    <w:rsid w:val="00F066DD"/>
    <w:rsid w:val="00F12CAE"/>
    <w:rsid w:val="00F131AB"/>
    <w:rsid w:val="00F15B0A"/>
    <w:rsid w:val="00F16C6F"/>
    <w:rsid w:val="00F2231D"/>
    <w:rsid w:val="00F24F1E"/>
    <w:rsid w:val="00F33C07"/>
    <w:rsid w:val="00F34274"/>
    <w:rsid w:val="00F40E07"/>
    <w:rsid w:val="00F4273D"/>
    <w:rsid w:val="00F443C5"/>
    <w:rsid w:val="00F47BCF"/>
    <w:rsid w:val="00F47D46"/>
    <w:rsid w:val="00F509A8"/>
    <w:rsid w:val="00F52D23"/>
    <w:rsid w:val="00F6022E"/>
    <w:rsid w:val="00F66528"/>
    <w:rsid w:val="00F71E0B"/>
    <w:rsid w:val="00F733B8"/>
    <w:rsid w:val="00F7680F"/>
    <w:rsid w:val="00F76FA7"/>
    <w:rsid w:val="00F82B3D"/>
    <w:rsid w:val="00F84F5A"/>
    <w:rsid w:val="00F85065"/>
    <w:rsid w:val="00F86193"/>
    <w:rsid w:val="00F9011F"/>
    <w:rsid w:val="00F90C20"/>
    <w:rsid w:val="00F92475"/>
    <w:rsid w:val="00F9308A"/>
    <w:rsid w:val="00F93448"/>
    <w:rsid w:val="00F936EA"/>
    <w:rsid w:val="00F95E8C"/>
    <w:rsid w:val="00F96A0F"/>
    <w:rsid w:val="00FA4D10"/>
    <w:rsid w:val="00FA7E95"/>
    <w:rsid w:val="00FB0CE9"/>
    <w:rsid w:val="00FB5E31"/>
    <w:rsid w:val="00FB6349"/>
    <w:rsid w:val="00FB6DA4"/>
    <w:rsid w:val="00FC7C45"/>
    <w:rsid w:val="00FD55BA"/>
    <w:rsid w:val="00FD659A"/>
    <w:rsid w:val="00FD6C4D"/>
    <w:rsid w:val="00FD7BD8"/>
    <w:rsid w:val="00FE164A"/>
    <w:rsid w:val="00FE1D5D"/>
    <w:rsid w:val="00FF2512"/>
    <w:rsid w:val="00FF25F6"/>
    <w:rsid w:val="00FF381E"/>
    <w:rsid w:val="00FF72F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653DB"/>
  <w15:chartTrackingRefBased/>
  <w15:docId w15:val="{183D04FF-42F4-4852-9B64-337FAA8B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B34FF"/>
    <w:pPr>
      <w:widowControl w:val="0"/>
      <w:spacing w:after="0" w:line="240" w:lineRule="auto"/>
      <w:jc w:val="both"/>
    </w:pPr>
  </w:style>
  <w:style w:type="paragraph" w:styleId="Naslov1">
    <w:name w:val="heading 1"/>
    <w:next w:val="Para0"/>
    <w:link w:val="Naslov1Znak"/>
    <w:uiPriority w:val="4"/>
    <w:qFormat/>
    <w:rsid w:val="007A76BA"/>
    <w:pPr>
      <w:keepNext/>
      <w:keepLines/>
      <w:pageBreakBefore/>
      <w:framePr w:w="9072" w:wrap="notBeside" w:vAnchor="text" w:hAnchor="page" w:xAlign="center" w:y="1"/>
      <w:numPr>
        <w:numId w:val="7"/>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Naslov2">
    <w:name w:val="heading 2"/>
    <w:next w:val="Para0"/>
    <w:link w:val="Naslov2Znak"/>
    <w:uiPriority w:val="7"/>
    <w:qFormat/>
    <w:rsid w:val="000E5F57"/>
    <w:pPr>
      <w:keepNext/>
      <w:numPr>
        <w:ilvl w:val="1"/>
        <w:numId w:val="7"/>
      </w:numPr>
      <w:spacing w:before="440" w:after="240" w:line="320" w:lineRule="exact"/>
      <w:outlineLvl w:val="1"/>
    </w:pPr>
    <w:rPr>
      <w:rFonts w:eastAsiaTheme="majorEastAsia" w:cstheme="majorBidi"/>
      <w:b/>
      <w:color w:val="4E81BD" w:themeColor="accent1"/>
      <w:sz w:val="24"/>
      <w:szCs w:val="26"/>
    </w:rPr>
  </w:style>
  <w:style w:type="paragraph" w:styleId="Naslov3">
    <w:name w:val="heading 3"/>
    <w:next w:val="Para0"/>
    <w:link w:val="Naslov3Znak"/>
    <w:uiPriority w:val="9"/>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Naslov4">
    <w:name w:val="heading 4"/>
    <w:next w:val="Para0"/>
    <w:link w:val="Naslov4Znak"/>
    <w:uiPriority w:val="9"/>
    <w:qFormat/>
    <w:rsid w:val="000E5F57"/>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Naslov5">
    <w:name w:val="heading 5"/>
    <w:next w:val="Para0"/>
    <w:link w:val="Naslov5Znak"/>
    <w:uiPriority w:val="9"/>
    <w:qFormat/>
    <w:rsid w:val="000E5F57"/>
    <w:pPr>
      <w:keepNext/>
      <w:keepLines/>
      <w:numPr>
        <w:ilvl w:val="4"/>
        <w:numId w:val="7"/>
      </w:numPr>
      <w:spacing w:before="240" w:after="180" w:line="260" w:lineRule="exact"/>
      <w:outlineLvl w:val="4"/>
    </w:pPr>
    <w:rPr>
      <w:rFonts w:eastAsiaTheme="majorEastAsia" w:cstheme="majorBidi"/>
      <w:b/>
      <w:color w:val="000000" w:themeColor="text1"/>
      <w:sz w:val="20"/>
    </w:rPr>
  </w:style>
  <w:style w:type="paragraph" w:styleId="Naslov6">
    <w:name w:val="heading 6"/>
    <w:aliases w:val="Part,Part1,Part2"/>
    <w:next w:val="Naslov1"/>
    <w:link w:val="Naslov6Znak"/>
    <w:uiPriority w:val="3"/>
    <w:qFormat/>
    <w:rsid w:val="00C0190E"/>
    <w:pPr>
      <w:keepNext/>
      <w:pageBreakBefore/>
      <w:framePr w:w="7938" w:h="13325" w:hRule="exact" w:wrap="notBeside" w:vAnchor="page" w:hAnchor="page" w:xAlign="center" w:yAlign="center"/>
      <w:numPr>
        <w:ilvl w:val="5"/>
        <w:numId w:val="7"/>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Naslov7">
    <w:name w:val="heading 7"/>
    <w:aliases w:val="Doc AnnX"/>
    <w:basedOn w:val="Naslov9"/>
    <w:next w:val="Para0"/>
    <w:link w:val="Naslov7Znak"/>
    <w:uiPriority w:val="19"/>
    <w:qFormat/>
    <w:rsid w:val="00BF1697"/>
    <w:pPr>
      <w:numPr>
        <w:ilvl w:val="6"/>
      </w:numPr>
      <w:spacing w:after="1500" w:line="600" w:lineRule="exact"/>
      <w:outlineLvl w:val="6"/>
    </w:pPr>
  </w:style>
  <w:style w:type="paragraph" w:styleId="Naslov8">
    <w:name w:val="heading 8"/>
    <w:aliases w:val="Part AnnX,Part AnnX1,Part AnnX2"/>
    <w:next w:val="Para0"/>
    <w:link w:val="Naslov8Znak"/>
    <w:uiPriority w:val="9"/>
    <w:rsid w:val="00B06D82"/>
    <w:pPr>
      <w:keepNext/>
      <w:pageBreakBefore/>
      <w:numPr>
        <w:ilvl w:val="7"/>
        <w:numId w:val="7"/>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Naslov9">
    <w:name w:val="heading 9"/>
    <w:aliases w:val="Chap AnnX,Chap AnnX1,Chap AnnX2"/>
    <w:next w:val="Para0"/>
    <w:link w:val="Naslov9Znak"/>
    <w:uiPriority w:val="20"/>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Naslov">
    <w:name w:val="Title"/>
    <w:next w:val="Para0"/>
    <w:link w:val="NaslovZnak"/>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Privzetapisavaodstavka"/>
    <w:link w:val="Para0"/>
    <w:uiPriority w:val="4"/>
    <w:rsid w:val="00991A9A"/>
    <w:rPr>
      <w:color w:val="000000" w:themeColor="text1"/>
      <w:sz w:val="20"/>
    </w:rPr>
  </w:style>
  <w:style w:type="character" w:customStyle="1" w:styleId="NaslovZnak">
    <w:name w:val="Naslov Znak"/>
    <w:basedOn w:val="Privzetapisavaodstavka"/>
    <w:link w:val="Naslov"/>
    <w:rsid w:val="00E951AC"/>
    <w:rPr>
      <w:rFonts w:asciiTheme="majorHAnsi" w:eastAsiaTheme="majorEastAsia" w:hAnsiTheme="majorHAnsi" w:cstheme="majorBidi"/>
      <w:b/>
      <w:color w:val="4E81BD" w:themeColor="accent1"/>
      <w:sz w:val="72"/>
      <w:szCs w:val="56"/>
    </w:rPr>
  </w:style>
  <w:style w:type="character" w:customStyle="1" w:styleId="Naslov1Znak">
    <w:name w:val="Naslov 1 Znak"/>
    <w:basedOn w:val="Privzetapisavaodstavka"/>
    <w:link w:val="Naslov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Naslov2Znak">
    <w:name w:val="Naslov 2 Znak"/>
    <w:basedOn w:val="Privzetapisavaodstavka"/>
    <w:link w:val="Naslov2"/>
    <w:uiPriority w:val="7"/>
    <w:rsid w:val="000E5F57"/>
    <w:rPr>
      <w:rFonts w:eastAsiaTheme="majorEastAsia" w:cstheme="majorBidi"/>
      <w:b/>
      <w:color w:val="4E81BD" w:themeColor="accent1"/>
      <w:sz w:val="24"/>
      <w:szCs w:val="26"/>
    </w:rPr>
  </w:style>
  <w:style w:type="character" w:customStyle="1" w:styleId="Naslov3Znak">
    <w:name w:val="Naslov 3 Znak"/>
    <w:basedOn w:val="Privzetapisavaodstavka"/>
    <w:link w:val="Naslov3"/>
    <w:uiPriority w:val="9"/>
    <w:rsid w:val="000E5F57"/>
    <w:rPr>
      <w:rFonts w:eastAsiaTheme="majorEastAsia" w:cstheme="majorBidi"/>
      <w:b/>
      <w:i/>
      <w:color w:val="000000" w:themeColor="text1"/>
      <w:szCs w:val="24"/>
    </w:rPr>
  </w:style>
  <w:style w:type="character" w:customStyle="1" w:styleId="Naslov4Znak">
    <w:name w:val="Naslov 4 Znak"/>
    <w:basedOn w:val="Privzetapisavaodstavka"/>
    <w:link w:val="Naslov4"/>
    <w:uiPriority w:val="9"/>
    <w:rsid w:val="000E5F57"/>
    <w:rPr>
      <w:rFonts w:eastAsiaTheme="majorEastAsia" w:cstheme="majorBidi"/>
      <w:i/>
      <w:iCs/>
      <w:color w:val="3F3F3F" w:themeColor="text2"/>
    </w:rPr>
  </w:style>
  <w:style w:type="character" w:customStyle="1" w:styleId="Naslov5Znak">
    <w:name w:val="Naslov 5 Znak"/>
    <w:basedOn w:val="Privzetapisavaodstavka"/>
    <w:link w:val="Naslov5"/>
    <w:uiPriority w:val="9"/>
    <w:rsid w:val="000E5F57"/>
    <w:rPr>
      <w:rFonts w:eastAsiaTheme="majorEastAsia" w:cstheme="majorBidi"/>
      <w:b/>
      <w:color w:val="000000" w:themeColor="text1"/>
      <w:sz w:val="20"/>
    </w:rPr>
  </w:style>
  <w:style w:type="character" w:customStyle="1" w:styleId="Naslov6Znak">
    <w:name w:val="Naslov 6 Znak"/>
    <w:aliases w:val="Part Znak,Part1 Znak,Part2 Znak"/>
    <w:basedOn w:val="Privzetapisavaodstavka"/>
    <w:link w:val="Naslov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Naslov7Znak">
    <w:name w:val="Naslov 7 Znak"/>
    <w:aliases w:val="Doc AnnX Znak"/>
    <w:basedOn w:val="Privzetapisavaodstavka"/>
    <w:link w:val="Naslov7"/>
    <w:uiPriority w:val="19"/>
    <w:rsid w:val="001931F5"/>
    <w:rPr>
      <w:rFonts w:asciiTheme="majorHAnsi" w:eastAsiaTheme="majorEastAsia" w:hAnsiTheme="majorHAnsi" w:cstheme="majorBidi"/>
      <w:b/>
      <w:iCs/>
      <w:color w:val="4E81BD" w:themeColor="accent1"/>
      <w:sz w:val="48"/>
      <w:szCs w:val="21"/>
    </w:rPr>
  </w:style>
  <w:style w:type="character" w:customStyle="1" w:styleId="Naslov8Znak">
    <w:name w:val="Naslov 8 Znak"/>
    <w:aliases w:val="Part AnnX Znak,Part AnnX1 Znak,Part AnnX2 Znak"/>
    <w:basedOn w:val="Privzetapisavaodstavka"/>
    <w:link w:val="Naslov8"/>
    <w:uiPriority w:val="9"/>
    <w:rsid w:val="00B06D82"/>
    <w:rPr>
      <w:rFonts w:asciiTheme="majorHAnsi" w:eastAsiaTheme="majorEastAsia" w:hAnsiTheme="majorHAnsi" w:cstheme="majorBidi"/>
      <w:b/>
      <w:color w:val="4E81BD" w:themeColor="accent1"/>
      <w:sz w:val="28"/>
      <w:szCs w:val="21"/>
    </w:rPr>
  </w:style>
  <w:style w:type="character" w:customStyle="1" w:styleId="Naslov9Znak">
    <w:name w:val="Naslov 9 Znak"/>
    <w:aliases w:val="Chap AnnX Znak,Chap AnnX1 Znak,Chap AnnX2 Znak"/>
    <w:basedOn w:val="Privzetapisavaodstavka"/>
    <w:link w:val="Naslov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link w:val="ParaChar1"/>
    <w:uiPriority w:val="4"/>
    <w:qFormat/>
    <w:rsid w:val="00E71E47"/>
    <w:pPr>
      <w:numPr>
        <w:numId w:val="1"/>
      </w:numPr>
      <w:spacing w:before="120" w:after="120" w:line="260" w:lineRule="atLeast"/>
      <w:jc w:val="both"/>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Odstavekseznama">
    <w:name w:val="List Paragraph"/>
    <w:aliases w:val="Issue Action POC,List Paragraph1,3,POCG Table Text,Dot pt,F5 List Paragraph,List Paragraph Char Char Char,Indicator Text,Colorful List - Accent 11,Numbered Para 1,Bullet 1,Bullet Points,List Paragraph2,MAIN CONTENT,Normal numbered,L"/>
    <w:basedOn w:val="Navaden"/>
    <w:link w:val="OdstavekseznamaZnak"/>
    <w:uiPriority w:val="1"/>
    <w:qFormat/>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Napis">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avaden"/>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Citat">
    <w:name w:val="Quote"/>
    <w:aliases w:val="Quotation (long)"/>
    <w:basedOn w:val="Navaden"/>
    <w:link w:val="CitatZnak"/>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CitatZnak">
    <w:name w:val="Citat Znak"/>
    <w:aliases w:val="Quotation (long) Znak"/>
    <w:basedOn w:val="Privzetapisavaodstavka"/>
    <w:link w:val="Citat"/>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Naslov2"/>
    <w:rsid w:val="00326CAE"/>
    <w:rPr>
      <w:u w:val="single"/>
    </w:rPr>
  </w:style>
  <w:style w:type="paragraph" w:customStyle="1" w:styleId="Annotation">
    <w:name w:val="Annotation"/>
    <w:basedOn w:val="Navaden"/>
    <w:rsid w:val="004243B4"/>
    <w:pPr>
      <w:numPr>
        <w:numId w:val="3"/>
      </w:numPr>
      <w:pBdr>
        <w:bottom w:val="single" w:sz="4" w:space="10" w:color="auto"/>
      </w:pBdr>
      <w:spacing w:before="120" w:after="120"/>
      <w:ind w:left="981" w:hanging="414"/>
      <w:jc w:val="left"/>
    </w:pPr>
  </w:style>
  <w:style w:type="paragraph" w:styleId="Bibliografija">
    <w:name w:val="Bibliography"/>
    <w:basedOn w:val="Navaden"/>
    <w:next w:val="Navaden"/>
    <w:uiPriority w:val="37"/>
    <w:unhideWhenUsed/>
    <w:rsid w:val="00033E50"/>
    <w:pPr>
      <w:spacing w:after="60" w:line="260" w:lineRule="exact"/>
      <w:ind w:left="284" w:hanging="284"/>
      <w:jc w:val="left"/>
    </w:pPr>
    <w:rPr>
      <w:sz w:val="20"/>
    </w:rPr>
  </w:style>
  <w:style w:type="paragraph" w:customStyle="1" w:styleId="Break">
    <w:name w:val="Break"/>
    <w:basedOn w:val="Navaden"/>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avaden"/>
    <w:next w:val="Para0"/>
    <w:rsid w:val="00E67FB6"/>
    <w:pPr>
      <w:keepNext/>
      <w:spacing w:before="240" w:after="120"/>
      <w:ind w:left="851"/>
    </w:pPr>
    <w:rPr>
      <w:b/>
      <w:i/>
    </w:rPr>
  </w:style>
  <w:style w:type="paragraph" w:customStyle="1" w:styleId="Conclusion">
    <w:name w:val="Conclusion"/>
    <w:basedOn w:val="Para0"/>
    <w:next w:val="Naslov1"/>
    <w:rsid w:val="0052749E"/>
    <w:pPr>
      <w:jc w:val="center"/>
    </w:pPr>
    <w:rPr>
      <w:b/>
    </w:rPr>
  </w:style>
  <w:style w:type="character" w:styleId="Konnaopomba-sklic">
    <w:name w:val="endnote reference"/>
    <w:basedOn w:val="Privzetapisavaodstavka"/>
    <w:uiPriority w:val="99"/>
    <w:semiHidden/>
    <w:unhideWhenUsed/>
    <w:rsid w:val="00F443C5"/>
    <w:rPr>
      <w:rFonts w:asciiTheme="minorHAnsi" w:hAnsiTheme="minorHAnsi"/>
      <w:sz w:val="22"/>
      <w:vertAlign w:val="superscript"/>
    </w:rPr>
  </w:style>
  <w:style w:type="paragraph" w:styleId="Sprotnaopomba-besedilo">
    <w:name w:val="footnote text"/>
    <w:link w:val="Sprotnaopomba-besediloZnak"/>
    <w:uiPriority w:val="99"/>
    <w:semiHidden/>
    <w:unhideWhenUsed/>
    <w:qFormat/>
    <w:rsid w:val="00EA6A82"/>
    <w:pPr>
      <w:spacing w:after="120" w:line="240" w:lineRule="exact"/>
      <w:jc w:val="both"/>
    </w:pPr>
    <w:rPr>
      <w:sz w:val="18"/>
      <w:szCs w:val="20"/>
    </w:rPr>
  </w:style>
  <w:style w:type="character" w:customStyle="1" w:styleId="Sprotnaopomba-besediloZnak">
    <w:name w:val="Sprotna opomba - besedilo Znak"/>
    <w:basedOn w:val="Privzetapisavaodstavka"/>
    <w:link w:val="Sprotnaopomba-besedilo"/>
    <w:uiPriority w:val="99"/>
    <w:semiHidden/>
    <w:rsid w:val="00EA6A82"/>
    <w:rPr>
      <w:sz w:val="18"/>
      <w:szCs w:val="20"/>
    </w:rPr>
  </w:style>
  <w:style w:type="paragraph" w:styleId="Konnaopomba-besedilo">
    <w:name w:val="endnote text"/>
    <w:link w:val="Konnaopomba-besediloZnak"/>
    <w:uiPriority w:val="99"/>
    <w:semiHidden/>
    <w:unhideWhenUsed/>
    <w:rsid w:val="000A5133"/>
    <w:pPr>
      <w:jc w:val="both"/>
    </w:pPr>
    <w:rPr>
      <w:sz w:val="20"/>
      <w:szCs w:val="20"/>
    </w:rPr>
  </w:style>
  <w:style w:type="character" w:customStyle="1" w:styleId="Konnaopomba-besediloZnak">
    <w:name w:val="Končna opomba - besedilo Znak"/>
    <w:basedOn w:val="Privzetapisavaodstavka"/>
    <w:link w:val="Konnaopomba-besedilo"/>
    <w:uiPriority w:val="99"/>
    <w:semiHidden/>
    <w:rsid w:val="000A5133"/>
    <w:rPr>
      <w:sz w:val="20"/>
      <w:szCs w:val="20"/>
    </w:rPr>
  </w:style>
  <w:style w:type="paragraph" w:customStyle="1" w:styleId="Figure">
    <w:name w:val="Figure"/>
    <w:basedOn w:val="Navaden"/>
    <w:rsid w:val="000E2815"/>
    <w:pPr>
      <w:jc w:val="center"/>
    </w:pPr>
  </w:style>
  <w:style w:type="paragraph" w:styleId="Noga">
    <w:name w:val="footer"/>
    <w:basedOn w:val="Navaden"/>
    <w:link w:val="NogaZnak"/>
    <w:uiPriority w:val="99"/>
    <w:rsid w:val="00404A52"/>
    <w:pPr>
      <w:tabs>
        <w:tab w:val="center" w:pos="4513"/>
        <w:tab w:val="right" w:pos="9026"/>
      </w:tabs>
      <w:spacing w:before="120"/>
      <w:jc w:val="center"/>
    </w:pPr>
    <w:rPr>
      <w:caps/>
      <w:sz w:val="16"/>
    </w:rPr>
  </w:style>
  <w:style w:type="character" w:customStyle="1" w:styleId="NogaZnak">
    <w:name w:val="Noga Znak"/>
    <w:basedOn w:val="Privzetapisavaodstavka"/>
    <w:link w:val="Noga"/>
    <w:uiPriority w:val="99"/>
    <w:rsid w:val="00404A52"/>
    <w:rPr>
      <w:caps/>
      <w:sz w:val="16"/>
    </w:rPr>
  </w:style>
  <w:style w:type="paragraph" w:customStyle="1" w:styleId="Para3">
    <w:name w:val="Para #.#"/>
    <w:basedOn w:val="Para"/>
    <w:uiPriority w:val="4"/>
    <w:rsid w:val="00EC45EF"/>
    <w:pPr>
      <w:tabs>
        <w:tab w:val="left" w:pos="1361"/>
      </w:tabs>
    </w:pPr>
  </w:style>
  <w:style w:type="paragraph" w:customStyle="1" w:styleId="CoverNormal">
    <w:name w:val="CoverNormal"/>
    <w:basedOn w:val="Navaden"/>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Privzetapisavaodstavka"/>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avaden"/>
    <w:rsid w:val="00404A52"/>
    <w:pPr>
      <w:jc w:val="right"/>
    </w:pPr>
    <w:rPr>
      <w:sz w:val="16"/>
    </w:rPr>
  </w:style>
  <w:style w:type="character" w:styleId="Sprotnaopomba-sklic">
    <w:name w:val="footnote reference"/>
    <w:basedOn w:val="Privzetapisavaodstavka"/>
    <w:uiPriority w:val="99"/>
    <w:semiHidden/>
    <w:unhideWhenUsed/>
    <w:qFormat/>
    <w:rsid w:val="00F443C5"/>
    <w:rPr>
      <w:rFonts w:asciiTheme="minorHAnsi" w:hAnsiTheme="minorHAnsi"/>
      <w:sz w:val="22"/>
      <w:vertAlign w:val="superscript"/>
    </w:rPr>
  </w:style>
  <w:style w:type="paragraph" w:customStyle="1" w:styleId="GroupHeading">
    <w:name w:val="Group Heading"/>
    <w:basedOn w:val="Navaden"/>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Glava">
    <w:name w:val="header"/>
    <w:basedOn w:val="Navaden"/>
    <w:link w:val="GlavaZnak"/>
    <w:uiPriority w:val="99"/>
    <w:rsid w:val="00CC1A99"/>
    <w:pPr>
      <w:tabs>
        <w:tab w:val="center" w:pos="4513"/>
        <w:tab w:val="right" w:pos="9026"/>
      </w:tabs>
    </w:pPr>
  </w:style>
  <w:style w:type="character" w:customStyle="1" w:styleId="GlavaZnak">
    <w:name w:val="Glava Znak"/>
    <w:basedOn w:val="Privzetapisavaodstavka"/>
    <w:link w:val="Glava"/>
    <w:uiPriority w:val="99"/>
    <w:rsid w:val="0056606B"/>
    <w:rPr>
      <w:rFonts w:ascii="Times New Roman" w:hAnsi="Times New Roman"/>
    </w:rPr>
  </w:style>
  <w:style w:type="character" w:customStyle="1" w:styleId="HeaderCoteChar">
    <w:name w:val="Header Cote (Char)"/>
    <w:basedOn w:val="Privzetapisavaodstavka"/>
    <w:uiPriority w:val="1"/>
    <w:semiHidden/>
    <w:rsid w:val="00CC1A99"/>
    <w:rPr>
      <w:rFonts w:ascii="Times New Roman" w:hAnsi="Times New Roman"/>
      <w:sz w:val="22"/>
    </w:rPr>
  </w:style>
  <w:style w:type="paragraph" w:customStyle="1" w:styleId="HeaderOdd">
    <w:name w:val="Header Odd"/>
    <w:basedOn w:val="Navaden"/>
    <w:next w:val="Navaden"/>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avaden"/>
    <w:rsid w:val="00024178"/>
    <w:pPr>
      <w:keepNext/>
      <w:keepLines/>
      <w:spacing w:before="120"/>
      <w:ind w:left="680" w:right="680"/>
      <w:contextualSpacing/>
    </w:pPr>
    <w:rPr>
      <w:sz w:val="18"/>
    </w:rPr>
  </w:style>
  <w:style w:type="character" w:styleId="tevilkastrani">
    <w:name w:val="page number"/>
    <w:basedOn w:val="Privzetapisavaodstavka"/>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avaden"/>
    <w:next w:val="Time"/>
    <w:rsid w:val="002C1DD6"/>
    <w:pPr>
      <w:keepNext/>
      <w:spacing w:after="240"/>
      <w:jc w:val="left"/>
    </w:pPr>
    <w:rPr>
      <w:i/>
      <w:u w:val="single"/>
    </w:rPr>
  </w:style>
  <w:style w:type="paragraph" w:customStyle="1" w:styleId="SpecialItem">
    <w:name w:val="Special Item"/>
    <w:basedOn w:val="Navaden"/>
    <w:next w:val="Time"/>
    <w:rsid w:val="002C1DD6"/>
    <w:pPr>
      <w:spacing w:before="240" w:after="240"/>
    </w:pPr>
    <w:rPr>
      <w:i/>
    </w:rPr>
  </w:style>
  <w:style w:type="character" w:customStyle="1" w:styleId="StatLinkDOI">
    <w:name w:val="StatLink DOI"/>
    <w:basedOn w:val="Privzetapisavaodstavka"/>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Kazaloslik">
    <w:name w:val="table of figures"/>
    <w:next w:val="Navaden"/>
    <w:uiPriority w:val="99"/>
    <w:rsid w:val="00907E59"/>
    <w:pPr>
      <w:tabs>
        <w:tab w:val="right" w:pos="9072"/>
      </w:tabs>
      <w:spacing w:after="0" w:line="220" w:lineRule="exact"/>
      <w:ind w:right="510"/>
    </w:pPr>
    <w:rPr>
      <w:color w:val="000000" w:themeColor="text1"/>
      <w:sz w:val="18"/>
    </w:rPr>
  </w:style>
  <w:style w:type="paragraph" w:styleId="Kazalovsebine1">
    <w:name w:val="toc 1"/>
    <w:next w:val="Navaden"/>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Kazalovsebine2">
    <w:name w:val="toc 2"/>
    <w:next w:val="Navaden"/>
    <w:uiPriority w:val="39"/>
    <w:unhideWhenUsed/>
    <w:rsid w:val="00A81F07"/>
    <w:pPr>
      <w:tabs>
        <w:tab w:val="right" w:pos="9072"/>
      </w:tabs>
      <w:spacing w:before="20" w:after="20" w:line="240" w:lineRule="exact"/>
      <w:ind w:left="284" w:right="510"/>
    </w:pPr>
    <w:rPr>
      <w:color w:val="000000" w:themeColor="text1"/>
      <w:sz w:val="20"/>
    </w:rPr>
  </w:style>
  <w:style w:type="paragraph" w:styleId="Kazalovsebine3">
    <w:name w:val="toc 3"/>
    <w:next w:val="Navaden"/>
    <w:autoRedefine/>
    <w:uiPriority w:val="39"/>
    <w:unhideWhenUsed/>
    <w:rsid w:val="00C03067"/>
    <w:pPr>
      <w:tabs>
        <w:tab w:val="right" w:pos="9072"/>
      </w:tabs>
      <w:spacing w:after="0" w:line="240" w:lineRule="exact"/>
      <w:ind w:left="454" w:right="510"/>
    </w:pPr>
    <w:rPr>
      <w:color w:val="000000" w:themeColor="text1"/>
      <w:sz w:val="20"/>
    </w:rPr>
  </w:style>
  <w:style w:type="paragraph" w:styleId="Kazalovsebine4">
    <w:name w:val="toc 4"/>
    <w:basedOn w:val="Navaden"/>
    <w:next w:val="Navaden"/>
    <w:uiPriority w:val="39"/>
    <w:semiHidden/>
    <w:unhideWhenUsed/>
    <w:rsid w:val="0025481A"/>
    <w:pPr>
      <w:tabs>
        <w:tab w:val="right" w:leader="dot" w:pos="9072"/>
      </w:tabs>
      <w:ind w:left="595" w:right="510"/>
      <w:jc w:val="left"/>
    </w:pPr>
  </w:style>
  <w:style w:type="paragraph" w:styleId="Kazalovsebine5">
    <w:name w:val="toc 5"/>
    <w:aliases w:val="Annotated Item"/>
    <w:basedOn w:val="Navaden"/>
    <w:next w:val="Navaden"/>
    <w:uiPriority w:val="39"/>
    <w:semiHidden/>
    <w:unhideWhenUsed/>
    <w:rsid w:val="0025481A"/>
    <w:pPr>
      <w:keepNext/>
      <w:spacing w:after="120"/>
    </w:pPr>
    <w:rPr>
      <w:b/>
      <w:color w:val="4E81BD"/>
    </w:rPr>
  </w:style>
  <w:style w:type="paragraph" w:styleId="NaslovTOC">
    <w:name w:val="TOC Heading"/>
    <w:next w:val="Navaden"/>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Podnaslov">
    <w:name w:val="Subtitle"/>
    <w:next w:val="Para0"/>
    <w:link w:val="PodnaslovZnak"/>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PodnaslovZnak">
    <w:name w:val="Podnaslov Znak"/>
    <w:basedOn w:val="Privzetapisavaodstavka"/>
    <w:link w:val="Podnaslov"/>
    <w:uiPriority w:val="11"/>
    <w:rsid w:val="00160B10"/>
    <w:rPr>
      <w:rFonts w:asciiTheme="majorHAnsi" w:eastAsiaTheme="minorEastAsia" w:hAnsiTheme="majorHAnsi"/>
      <w:b/>
      <w:color w:val="4E81BD" w:themeColor="accent1"/>
      <w:sz w:val="24"/>
    </w:rPr>
  </w:style>
  <w:style w:type="character" w:styleId="Besedilooznabemesta">
    <w:name w:val="Placeholder Text"/>
    <w:basedOn w:val="Privzetapisavaodstavka"/>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elamrea">
    <w:name w:val="Table Grid"/>
    <w:basedOn w:val="Navadnatabela"/>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Privzetapisavaodstavka"/>
    <w:link w:val="CoverNormal"/>
    <w:rsid w:val="00EF6B7C"/>
    <w:rPr>
      <w:rFonts w:asciiTheme="majorHAnsi" w:hAnsiTheme="majorHAnsi"/>
    </w:rPr>
  </w:style>
  <w:style w:type="character" w:customStyle="1" w:styleId="CoverSubTitleChar">
    <w:name w:val="CoverSubTitle Char"/>
    <w:basedOn w:val="Privzetapisavaodstavka"/>
    <w:link w:val="CoverSubTitle"/>
    <w:rsid w:val="00FB0CE9"/>
    <w:rPr>
      <w:rFonts w:ascii="Times New Roman" w:hAnsi="Times New Roman"/>
      <w:b/>
    </w:rPr>
  </w:style>
  <w:style w:type="character" w:customStyle="1" w:styleId="CoverTitleChar">
    <w:name w:val="CoverTitle Char"/>
    <w:basedOn w:val="Privzetapisavaodstavka"/>
    <w:link w:val="CoverTitle"/>
    <w:rsid w:val="00FB0CE9"/>
    <w:rPr>
      <w:rFonts w:ascii="Times New Roman" w:hAnsi="Times New Roman"/>
      <w:b/>
      <w:sz w:val="24"/>
    </w:rPr>
  </w:style>
  <w:style w:type="character" w:customStyle="1" w:styleId="CoverCancelChar">
    <w:name w:val="CoverCancel Char"/>
    <w:basedOn w:val="Privzetapisavaodstavka"/>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iperpovezava">
    <w:name w:val="Hyperlink"/>
    <w:basedOn w:val="Privzetapisavaodstavka"/>
    <w:uiPriority w:val="99"/>
    <w:unhideWhenUsed/>
    <w:rsid w:val="00461C3F"/>
    <w:rPr>
      <w:color w:val="0000FF" w:themeColor="hyperlink"/>
      <w:u w:val="single"/>
    </w:rPr>
  </w:style>
  <w:style w:type="table" w:customStyle="1" w:styleId="OECDOld">
    <w:name w:val="OECD Old"/>
    <w:basedOn w:val="Svetlosenenjepoudarek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Svetlosenenjepoudarek1">
    <w:name w:val="Light Shading Accent 1"/>
    <w:basedOn w:val="Navadnatabela"/>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elapreprosta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elapreprosta1">
    <w:name w:val="Table Simple 1"/>
    <w:basedOn w:val="Navadnatabela"/>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Kazalovsebine9">
    <w:name w:val="toc 9"/>
    <w:next w:val="Navaden"/>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Napis"/>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Naslov2"/>
    <w:next w:val="Para0"/>
    <w:uiPriority w:val="9"/>
    <w:qFormat/>
    <w:rsid w:val="00F47BCF"/>
    <w:pPr>
      <w:outlineLvl w:val="2"/>
    </w:pPr>
  </w:style>
  <w:style w:type="character" w:styleId="Pripombasklic">
    <w:name w:val="annotation reference"/>
    <w:basedOn w:val="Privzetapisavaodstavka"/>
    <w:uiPriority w:val="99"/>
    <w:semiHidden/>
    <w:unhideWhenUsed/>
    <w:rsid w:val="00E17741"/>
    <w:rPr>
      <w:sz w:val="16"/>
      <w:szCs w:val="16"/>
    </w:rPr>
  </w:style>
  <w:style w:type="paragraph" w:styleId="Pripombabesedilo">
    <w:name w:val="annotation text"/>
    <w:basedOn w:val="Navaden"/>
    <w:link w:val="PripombabesediloZnak"/>
    <w:uiPriority w:val="99"/>
    <w:unhideWhenUsed/>
    <w:rsid w:val="00E17741"/>
    <w:rPr>
      <w:sz w:val="20"/>
      <w:szCs w:val="20"/>
    </w:rPr>
  </w:style>
  <w:style w:type="character" w:customStyle="1" w:styleId="PripombabesediloZnak">
    <w:name w:val="Pripomba – besedilo Znak"/>
    <w:basedOn w:val="Privzetapisavaodstavka"/>
    <w:link w:val="Pripombabesedilo"/>
    <w:uiPriority w:val="99"/>
    <w:semiHidden/>
    <w:rsid w:val="00E17741"/>
    <w:rPr>
      <w:sz w:val="20"/>
      <w:szCs w:val="20"/>
    </w:rPr>
  </w:style>
  <w:style w:type="paragraph" w:styleId="Zadevapripombe">
    <w:name w:val="annotation subject"/>
    <w:basedOn w:val="Pripombabesedilo"/>
    <w:next w:val="Pripombabesedilo"/>
    <w:link w:val="ZadevapripombeZnak"/>
    <w:uiPriority w:val="99"/>
    <w:semiHidden/>
    <w:unhideWhenUsed/>
    <w:rsid w:val="00E17741"/>
    <w:rPr>
      <w:b/>
      <w:bCs/>
    </w:rPr>
  </w:style>
  <w:style w:type="character" w:customStyle="1" w:styleId="ZadevapripombeZnak">
    <w:name w:val="Zadeva pripombe Znak"/>
    <w:basedOn w:val="PripombabesediloZnak"/>
    <w:link w:val="Zadevapripombe"/>
    <w:uiPriority w:val="99"/>
    <w:semiHidden/>
    <w:rsid w:val="00E17741"/>
    <w:rPr>
      <w:b/>
      <w:bCs/>
      <w:sz w:val="20"/>
      <w:szCs w:val="20"/>
    </w:rPr>
  </w:style>
  <w:style w:type="paragraph" w:styleId="Revizija">
    <w:name w:val="Revision"/>
    <w:hidden/>
    <w:uiPriority w:val="99"/>
    <w:semiHidden/>
    <w:rsid w:val="00E17741"/>
    <w:pPr>
      <w:spacing w:after="0" w:line="240" w:lineRule="auto"/>
    </w:pPr>
  </w:style>
  <w:style w:type="table" w:styleId="Navadnatabela4">
    <w:name w:val="Plain Table 4"/>
    <w:basedOn w:val="Navadnatabela"/>
    <w:uiPriority w:val="44"/>
    <w:rsid w:val="00E177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lobesedila">
    <w:name w:val="Body Text"/>
    <w:basedOn w:val="Navaden"/>
    <w:link w:val="TelobesedilaZnak"/>
    <w:uiPriority w:val="1"/>
    <w:qFormat/>
    <w:rsid w:val="00740CB7"/>
    <w:pPr>
      <w:autoSpaceDE w:val="0"/>
      <w:autoSpaceDN w:val="0"/>
      <w:jc w:val="left"/>
    </w:pPr>
    <w:rPr>
      <w:rFonts w:ascii="Times New Roman" w:eastAsia="Times New Roman" w:hAnsi="Times New Roman" w:cs="Times New Roman"/>
      <w:sz w:val="21"/>
      <w:szCs w:val="21"/>
      <w:lang w:val="en-US"/>
    </w:rPr>
  </w:style>
  <w:style w:type="character" w:customStyle="1" w:styleId="TelobesedilaZnak">
    <w:name w:val="Telo besedila Znak"/>
    <w:basedOn w:val="Privzetapisavaodstavka"/>
    <w:link w:val="Telobesedila"/>
    <w:uiPriority w:val="1"/>
    <w:rsid w:val="00740CB7"/>
    <w:rPr>
      <w:rFonts w:ascii="Times New Roman" w:eastAsia="Times New Roman" w:hAnsi="Times New Roman" w:cs="Times New Roman"/>
      <w:sz w:val="21"/>
      <w:szCs w:val="21"/>
      <w:lang w:val="en-US"/>
    </w:rPr>
  </w:style>
  <w:style w:type="table" w:styleId="Tabela-svetlamrea1poudarek2">
    <w:name w:val="Grid Table 1 Light Accent 2"/>
    <w:basedOn w:val="Navadnatabela"/>
    <w:uiPriority w:val="46"/>
    <w:rsid w:val="00D213C3"/>
    <w:pPr>
      <w:spacing w:after="0" w:line="240" w:lineRule="auto"/>
    </w:pPr>
    <w:tblPr>
      <w:tblStyleRowBandSize w:val="1"/>
      <w:tblStyleColBandSize w:val="1"/>
      <w:tblBorders>
        <w:top w:val="single" w:sz="4" w:space="0" w:color="FFFFFF" w:themeColor="accent2" w:themeTint="66"/>
        <w:left w:val="single" w:sz="4" w:space="0" w:color="FFFFFF" w:themeColor="accent2" w:themeTint="66"/>
        <w:bottom w:val="single" w:sz="4" w:space="0" w:color="FFFFFF" w:themeColor="accent2" w:themeTint="66"/>
        <w:right w:val="single" w:sz="4" w:space="0" w:color="FFFFFF" w:themeColor="accent2" w:themeTint="66"/>
        <w:insideH w:val="single" w:sz="4" w:space="0" w:color="FFFFFF" w:themeColor="accent2" w:themeTint="66"/>
        <w:insideV w:val="single" w:sz="4" w:space="0" w:color="FFFFFF" w:themeColor="accent2" w:themeTint="66"/>
      </w:tblBorders>
    </w:tblPr>
    <w:tblStylePr w:type="firstRow">
      <w:rPr>
        <w:b/>
        <w:bCs/>
      </w:rPr>
      <w:tblPr/>
      <w:tcPr>
        <w:tcBorders>
          <w:bottom w:val="single" w:sz="12" w:space="0" w:color="FFFFFF" w:themeColor="accent2" w:themeTint="99"/>
        </w:tcBorders>
      </w:tcPr>
    </w:tblStylePr>
    <w:tblStylePr w:type="lastRow">
      <w:rPr>
        <w:b/>
        <w:bCs/>
      </w:rPr>
      <w:tblPr/>
      <w:tcPr>
        <w:tcBorders>
          <w:top w:val="double" w:sz="2" w:space="0" w:color="FFFFFF" w:themeColor="accent2" w:themeTint="99"/>
        </w:tcBorders>
      </w:tcPr>
    </w:tblStylePr>
    <w:tblStylePr w:type="firstCol">
      <w:rPr>
        <w:b/>
        <w:bCs/>
      </w:rPr>
    </w:tblStylePr>
    <w:tblStylePr w:type="lastCol">
      <w:rPr>
        <w:b/>
        <w:bCs/>
      </w:rPr>
    </w:tblStylePr>
  </w:style>
  <w:style w:type="paragraph" w:customStyle="1" w:styleId="BulletedList1">
    <w:name w:val="Bulleted List1"/>
    <w:uiPriority w:val="12"/>
    <w:qFormat/>
    <w:rsid w:val="00A55002"/>
    <w:pPr>
      <w:numPr>
        <w:numId w:val="8"/>
      </w:numPr>
      <w:spacing w:after="60" w:line="260" w:lineRule="exact"/>
      <w:jc w:val="both"/>
    </w:pPr>
    <w:rPr>
      <w:color w:val="000000" w:themeColor="text1"/>
      <w:sz w:val="20"/>
    </w:rPr>
  </w:style>
  <w:style w:type="paragraph" w:customStyle="1" w:styleId="Para1">
    <w:name w:val="Para #1"/>
    <w:uiPriority w:val="4"/>
    <w:qFormat/>
    <w:rsid w:val="00A55002"/>
    <w:pPr>
      <w:numPr>
        <w:numId w:val="18"/>
      </w:numPr>
      <w:spacing w:before="120" w:after="120" w:line="260" w:lineRule="atLeast"/>
      <w:jc w:val="both"/>
    </w:pPr>
    <w:rPr>
      <w:sz w:val="20"/>
    </w:rPr>
  </w:style>
  <w:style w:type="paragraph" w:customStyle="1" w:styleId="BulletedList2">
    <w:name w:val="Bulleted List2"/>
    <w:uiPriority w:val="12"/>
    <w:qFormat/>
    <w:rsid w:val="00A55002"/>
    <w:pPr>
      <w:numPr>
        <w:numId w:val="20"/>
      </w:numPr>
      <w:spacing w:after="60" w:line="260" w:lineRule="exact"/>
      <w:jc w:val="both"/>
    </w:pPr>
    <w:rPr>
      <w:color w:val="000000" w:themeColor="text1"/>
      <w:sz w:val="20"/>
    </w:rPr>
  </w:style>
  <w:style w:type="paragraph" w:customStyle="1" w:styleId="Annotation1">
    <w:name w:val="Annotation1"/>
    <w:basedOn w:val="Navaden"/>
    <w:rsid w:val="00A55002"/>
    <w:pPr>
      <w:numPr>
        <w:numId w:val="9"/>
      </w:numPr>
      <w:pBdr>
        <w:bottom w:val="single" w:sz="4" w:space="10" w:color="auto"/>
      </w:pBdr>
      <w:spacing w:before="120" w:after="120"/>
      <w:ind w:left="981" w:hanging="414"/>
      <w:jc w:val="left"/>
    </w:pPr>
  </w:style>
  <w:style w:type="paragraph" w:customStyle="1" w:styleId="GroupHeading1">
    <w:name w:val="Group Heading1"/>
    <w:basedOn w:val="Navaden"/>
    <w:next w:val="Para0"/>
    <w:rsid w:val="00A55002"/>
    <w:pPr>
      <w:keepNext/>
      <w:numPr>
        <w:numId w:val="10"/>
      </w:numPr>
      <w:pBdr>
        <w:top w:val="single" w:sz="4" w:space="1" w:color="auto"/>
      </w:pBdr>
      <w:tabs>
        <w:tab w:val="num" w:pos="360"/>
      </w:tabs>
      <w:spacing w:after="120"/>
      <w:ind w:left="357" w:hanging="357"/>
      <w:jc w:val="left"/>
    </w:pPr>
    <w:rPr>
      <w:b/>
      <w:i/>
      <w:color w:val="4E81BD"/>
    </w:rPr>
  </w:style>
  <w:style w:type="paragraph" w:customStyle="1" w:styleId="ProposedAction1">
    <w:name w:val="Proposed Action1"/>
    <w:basedOn w:val="Para0"/>
    <w:rsid w:val="00A55002"/>
    <w:pPr>
      <w:numPr>
        <w:numId w:val="11"/>
      </w:numPr>
      <w:tabs>
        <w:tab w:val="num" w:pos="360"/>
        <w:tab w:val="left" w:pos="425"/>
      </w:tabs>
      <w:spacing w:before="0" w:after="240"/>
      <w:ind w:left="2268" w:hanging="425"/>
    </w:pPr>
  </w:style>
  <w:style w:type="character" w:customStyle="1" w:styleId="CommentTextChar1">
    <w:name w:val="Comment Text Char1"/>
    <w:basedOn w:val="Privzetapisavaodstavka"/>
    <w:uiPriority w:val="99"/>
    <w:rsid w:val="00A55002"/>
    <w:rPr>
      <w:sz w:val="20"/>
      <w:szCs w:val="20"/>
    </w:rPr>
  </w:style>
  <w:style w:type="character" w:customStyle="1" w:styleId="Nerazreenaomemba1">
    <w:name w:val="Nerazrešena omemba1"/>
    <w:basedOn w:val="Privzetapisavaodstavka"/>
    <w:uiPriority w:val="99"/>
    <w:semiHidden/>
    <w:unhideWhenUsed/>
    <w:rsid w:val="00A55002"/>
    <w:rPr>
      <w:color w:val="605E5C"/>
      <w:shd w:val="clear" w:color="auto" w:fill="E1DFDD"/>
    </w:rPr>
  </w:style>
  <w:style w:type="character" w:customStyle="1" w:styleId="OdstavekseznamaZnak">
    <w:name w:val="Odstavek seznama Znak"/>
    <w:aliases w:val="Issue Action POC Znak,List Paragraph1 Znak,3 Znak,POCG Table Text Znak,Dot pt Znak,F5 List Paragraph Znak,List Paragraph Char Char Char Znak,Indicator Text Znak,Colorful List - Accent 11 Znak,Numbered Para 1 Znak,Bullet 1 Znak"/>
    <w:basedOn w:val="Privzetapisavaodstavka"/>
    <w:link w:val="Odstavekseznama"/>
    <w:uiPriority w:val="1"/>
    <w:qFormat/>
    <w:rsid w:val="00A55002"/>
  </w:style>
  <w:style w:type="character" w:customStyle="1" w:styleId="BodyTextChar1">
    <w:name w:val="Body Text Char1"/>
    <w:basedOn w:val="Privzetapisavaodstavka"/>
    <w:uiPriority w:val="1"/>
    <w:rsid w:val="00A55002"/>
    <w:rPr>
      <w:rFonts w:ascii="Times New Roman" w:eastAsia="Times New Roman" w:hAnsi="Times New Roman" w:cs="Times New Roman"/>
    </w:rPr>
  </w:style>
  <w:style w:type="character" w:customStyle="1" w:styleId="ParaChar0">
    <w:name w:val="Para # Char"/>
    <w:basedOn w:val="Privzetapisavaodstavka"/>
    <w:link w:val="Para2"/>
    <w:uiPriority w:val="4"/>
    <w:locked/>
    <w:rsid w:val="00A55002"/>
    <w:rPr>
      <w:sz w:val="20"/>
    </w:rPr>
  </w:style>
  <w:style w:type="paragraph" w:customStyle="1" w:styleId="Para2">
    <w:name w:val="Para #2"/>
    <w:link w:val="ParaChar0"/>
    <w:uiPriority w:val="4"/>
    <w:qFormat/>
    <w:rsid w:val="00A55002"/>
    <w:pPr>
      <w:numPr>
        <w:numId w:val="52"/>
      </w:numPr>
      <w:spacing w:before="120" w:after="120" w:line="260" w:lineRule="atLeast"/>
      <w:jc w:val="both"/>
    </w:pPr>
    <w:rPr>
      <w:sz w:val="20"/>
    </w:rPr>
  </w:style>
  <w:style w:type="paragraph" w:customStyle="1" w:styleId="NumberedList1">
    <w:name w:val="Numbered List1"/>
    <w:uiPriority w:val="12"/>
    <w:qFormat/>
    <w:rsid w:val="00A55002"/>
    <w:pPr>
      <w:numPr>
        <w:numId w:val="44"/>
      </w:numPr>
      <w:spacing w:after="60" w:line="260" w:lineRule="exact"/>
      <w:jc w:val="both"/>
    </w:pPr>
    <w:rPr>
      <w:color w:val="000000" w:themeColor="text1"/>
      <w:sz w:val="20"/>
    </w:rPr>
  </w:style>
  <w:style w:type="paragraph" w:customStyle="1" w:styleId="BulletedList3">
    <w:name w:val="Bulleted List3"/>
    <w:uiPriority w:val="12"/>
    <w:qFormat/>
    <w:rsid w:val="00A55002"/>
    <w:pPr>
      <w:numPr>
        <w:numId w:val="53"/>
      </w:numPr>
      <w:spacing w:after="60" w:line="260" w:lineRule="exact"/>
      <w:jc w:val="both"/>
    </w:pPr>
    <w:rPr>
      <w:color w:val="000000" w:themeColor="text1"/>
      <w:sz w:val="20"/>
    </w:rPr>
  </w:style>
  <w:style w:type="character" w:customStyle="1" w:styleId="ParaChar1">
    <w:name w:val="Para # Char1"/>
    <w:basedOn w:val="Privzetapisavaodstavka"/>
    <w:link w:val="Para"/>
    <w:uiPriority w:val="4"/>
    <w:locked/>
    <w:rsid w:val="00A55002"/>
    <w:rPr>
      <w:sz w:val="20"/>
    </w:rPr>
  </w:style>
  <w:style w:type="paragraph" w:styleId="Besedilooblaka">
    <w:name w:val="Balloon Text"/>
    <w:basedOn w:val="Navaden"/>
    <w:link w:val="BesedilooblakaZnak"/>
    <w:uiPriority w:val="99"/>
    <w:semiHidden/>
    <w:unhideWhenUsed/>
    <w:rsid w:val="0042619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6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https://legalinstruments.oecd.org/en/instruments/OECD-LEGAL-0307" TargetMode="External"/><Relationship Id="rId39" Type="http://schemas.openxmlformats.org/officeDocument/2006/relationships/hyperlink" Target="https://legalinstruments.oecd.org/en/instruments/OECD-LEGAL-0447" TargetMode="External"/><Relationship Id="rId21" Type="http://schemas.openxmlformats.org/officeDocument/2006/relationships/footer" Target="footer4.xml"/><Relationship Id="rId34" Type="http://schemas.openxmlformats.org/officeDocument/2006/relationships/hyperlink" Target="https://legalinstruments.oecd.org/en/instruments/OECD-LEGAL-0413" TargetMode="External"/><Relationship Id="rId42" Type="http://schemas.openxmlformats.org/officeDocument/2006/relationships/hyperlink" Target="https://legalinstruments.oecd.org/en/instruments/OECD-LEGAL-0379" TargetMode="External"/><Relationship Id="rId47" Type="http://schemas.openxmlformats.org/officeDocument/2006/relationships/hyperlink" Target="https://legalinstruments.oecd.org/en/instruments/OECD-LEGAL-0449" TargetMode="External"/><Relationship Id="rId50" Type="http://schemas.openxmlformats.org/officeDocument/2006/relationships/hyperlink" Target="https://legalinstruments.oecd.org/en/instruments/OECD-LEGAL-0452" TargetMode="External"/><Relationship Id="rId55" Type="http://schemas.microsoft.com/office/2011/relationships/commentsExtended" Target="commentsExtended.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yperlink" Target="https://legalinstruments.oecd.org/en/instruments/OECD-LEGAL-0378" TargetMode="External"/><Relationship Id="rId40" Type="http://schemas.openxmlformats.org/officeDocument/2006/relationships/hyperlink" Target="https://legalinstruments.oecd.org/en/instruments/OECD-LEGAL-0431" TargetMode="External"/><Relationship Id="rId45" Type="http://schemas.openxmlformats.org/officeDocument/2006/relationships/hyperlink" Target="https://legalinstruments.oecd.org/en/instruments/OECD-LEGAL-0356" TargetMode="External"/><Relationship Id="rId53" Type="http://schemas.openxmlformats.org/officeDocument/2006/relationships/hyperlink" Target="https://legalinstruments.oecd.org/en/instruments/OECD-LEGAL-0144" TargetMode="External"/><Relationship Id="rId58" Type="http://schemas.openxmlformats.org/officeDocument/2006/relationships/header" Target="header11.xml"/><Relationship Id="rId5" Type="http://schemas.openxmlformats.org/officeDocument/2006/relationships/numbering" Target="numbering.xml"/><Relationship Id="rId61" Type="http://schemas.openxmlformats.org/officeDocument/2006/relationships/header" Target="header12.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legalinstruments.oecd.org/en/instruments/OECD-LEGAL-0413" TargetMode="External"/><Relationship Id="rId43" Type="http://schemas.openxmlformats.org/officeDocument/2006/relationships/hyperlink" Target="https://legalinstruments.oecd.org/en/instruments/OECD-LEGAL-0316" TargetMode="External"/><Relationship Id="rId48" Type="http://schemas.openxmlformats.org/officeDocument/2006/relationships/hyperlink" Target="https://legalinstruments.oecd.org/en/instruments/OECD-LEGAL-0457" TargetMode="External"/><Relationship Id="rId56" Type="http://schemas.microsoft.com/office/2016/09/relationships/commentsIds" Target="commentsIds.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egalinstruments.oecd.org/en/instruments/OECD-LEGAL-0279"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egalinstruments.oecd.org/en/instruments/OECD-LEGAL-0144" TargetMode="External"/><Relationship Id="rId33" Type="http://schemas.openxmlformats.org/officeDocument/2006/relationships/hyperlink" Target="https://legalinstruments.oecd.org/en/instruments/OECD-LEGAL-0379" TargetMode="External"/><Relationship Id="rId38" Type="http://schemas.openxmlformats.org/officeDocument/2006/relationships/hyperlink" Target="https://legalinstruments.oecd.org/en/instruments/OECD-LEGAL-0371" TargetMode="External"/><Relationship Id="rId46" Type="http://schemas.openxmlformats.org/officeDocument/2006/relationships/hyperlink" Target="https://legalinstruments.oecd.org/en/instruments/OECD-LEGAL-0463" TargetMode="External"/><Relationship Id="rId59" Type="http://schemas.openxmlformats.org/officeDocument/2006/relationships/footer" Target="footer10.xml"/><Relationship Id="rId20" Type="http://schemas.openxmlformats.org/officeDocument/2006/relationships/header" Target="header5.xml"/><Relationship Id="rId41" Type="http://schemas.openxmlformats.org/officeDocument/2006/relationships/hyperlink" Target="https://legalinstruments.oecd.org/en/instruments/OECD-LEGAL-0435" TargetMode="External"/><Relationship Id="rId54" Type="http://schemas.openxmlformats.org/officeDocument/2006/relationships/comments" Target="comments.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yperlink" Target="https://legalinstruments.oecd.org/en/instruments/OECD-LEGAL-0293" TargetMode="External"/><Relationship Id="rId49" Type="http://schemas.openxmlformats.org/officeDocument/2006/relationships/hyperlink" Target="https://legalinstruments.oecd.org/en/instruments/OECD-LEGAL-0389" TargetMode="External"/><Relationship Id="rId5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yperlink" Target="https://legalinstruments.oecd.org/en/instruments/OECD-LEGAL-0451" TargetMode="External"/><Relationship Id="rId52" Type="http://schemas.openxmlformats.org/officeDocument/2006/relationships/hyperlink" Target="https://legalinstruments.oecd.org/en/instruments/OECD-LEGAL-0432" TargetMode="External"/><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legalinstruments.oecd.org/en/instruments/OECD-LEGAL-01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r e f - c o t e s   x m l n s : x s d = " h t t p : / / w w w . w 3 . o r g / 2 0 0 1 / X M L S c h e m a "   x m l n s : x s i = " h t t p : / / w w w . w 3 . o r g / 2 0 0 1 / X M L S c h e m a - i n s t a n c e "   V e r s i o n = " 3 . 6 " 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C469DA0857744B2E25B15AB61C57C" ma:contentTypeVersion="15" ma:contentTypeDescription="Crée un document." ma:contentTypeScope="" ma:versionID="257d4393de1070e0cfd0a7df464419bc">
  <xsd:schema xmlns:xsd="http://www.w3.org/2001/XMLSchema" xmlns:xs="http://www.w3.org/2001/XMLSchema" xmlns:p="http://schemas.microsoft.com/office/2006/metadata/properties" xmlns:ns3="96a9e30f-a77c-4cdd-aa33-614d5f6400ab" xmlns:ns4="29ef7386-ee6a-4668-a4fb-9484f91bee7f" targetNamespace="http://schemas.microsoft.com/office/2006/metadata/properties" ma:root="true" ma:fieldsID="7d566881aa39f3ae2034d61681a90618" ns3:_="" ns4:_="">
    <xsd:import namespace="96a9e30f-a77c-4cdd-aa33-614d5f6400ab"/>
    <xsd:import namespace="29ef7386-ee6a-4668-a4fb-9484f91bee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9e30f-a77c-4cdd-aa33-614d5f640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f7386-ee6a-4668-a4fb-9484f91bee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DCAF0-8980-4E4B-85DC-12C93692AECC}">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08280422-0B45-489C-87B2-2602EC717B18}">
  <ds:schemaRefs>
    <ds:schemaRef ds:uri="http://schemas.openxmlformats.org/officeDocument/2006/bibliography"/>
  </ds:schemaRefs>
</ds:datastoreItem>
</file>

<file path=customXml/itemProps3.xml><?xml version="1.0" encoding="utf-8"?>
<ds:datastoreItem xmlns:ds="http://schemas.openxmlformats.org/officeDocument/2006/customXml" ds:itemID="{785C8E94-50FA-4789-A479-341957A91122}">
  <ds:schemaRefs>
    <ds:schemaRef ds:uri="http://schemas.microsoft.com/sharepoint/v3/contenttype/forms"/>
  </ds:schemaRefs>
</ds:datastoreItem>
</file>

<file path=customXml/itemProps4.xml><?xml version="1.0" encoding="utf-8"?>
<ds:datastoreItem xmlns:ds="http://schemas.openxmlformats.org/officeDocument/2006/customXml" ds:itemID="{044401A0-CCFE-4EF2-B196-5ADC61FA8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9e30f-a77c-4cdd-aa33-614d5f6400ab"/>
    <ds:schemaRef ds:uri="29ef7386-ee6a-4668-a4fb-9484f91be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ONE Author ODPub</Template>
  <TotalTime>2</TotalTime>
  <Pages>74</Pages>
  <Words>33972</Words>
  <Characters>193644</Characters>
  <Application>Microsoft Office Word</Application>
  <DocSecurity>0</DocSecurity>
  <Lines>1613</Lines>
  <Paragraphs>454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OECD Guidelines for Multinational Enterprises on Responsible Business Conduct</vt:lpstr>
      <vt:lpstr>[Title]</vt:lpstr>
    </vt:vector>
  </TitlesOfParts>
  <Company>OECD</Company>
  <LinksUpToDate>false</LinksUpToDate>
  <CharactersWithSpaces>227162</CharactersWithSpaces>
  <SharedDoc>false</SharedDoc>
  <HLinks>
    <vt:vector size="12" baseType="variant">
      <vt:variant>
        <vt:i4>1507386</vt:i4>
      </vt:variant>
      <vt:variant>
        <vt:i4>8</vt:i4>
      </vt:variant>
      <vt:variant>
        <vt:i4>0</vt:i4>
      </vt:variant>
      <vt:variant>
        <vt:i4>5</vt:i4>
      </vt:variant>
      <vt:variant>
        <vt:lpwstr/>
      </vt:variant>
      <vt:variant>
        <vt:lpwstr>_Toc135397770</vt:lpwstr>
      </vt:variant>
      <vt:variant>
        <vt:i4>1441850</vt:i4>
      </vt:variant>
      <vt:variant>
        <vt:i4>2</vt:i4>
      </vt:variant>
      <vt:variant>
        <vt:i4>0</vt:i4>
      </vt:variant>
      <vt:variant>
        <vt:i4>5</vt:i4>
      </vt:variant>
      <vt:variant>
        <vt:lpwstr/>
      </vt:variant>
      <vt:variant>
        <vt:lpwstr>_Toc135397769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OECD Guidelines for Multinational Enterprises on Responsible Business Conduct</dc:title>
  <dc:subject/>
  <dc:creator>IKIC Anna</dc:creator>
  <cp:keywords/>
  <dc:description/>
  <cp:lastModifiedBy>Staša Zabukošek</cp:lastModifiedBy>
  <cp:revision>3</cp:revision>
  <dcterms:created xsi:type="dcterms:W3CDTF">2025-06-18T06:35:00Z</dcterms:created>
  <dcterms:modified xsi:type="dcterms:W3CDTF">2025-06-18T07:09:00Z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2BEE3B80D073333C4ECA4C803E20CBD7F5A2527D4FA6EE9A3DB4AB042E7FCC6D</vt:lpwstr>
  </property>
  <property fmtid="{D5CDD505-2E9C-101B-9397-08002B2CF9AE}" pid="7" name="OecdDocumentCoteLangHash">
    <vt:lpwstr/>
  </property>
  <property fmtid="{D5CDD505-2E9C-101B-9397-08002B2CF9AE}" pid="8" name="OECDEventId">
    <vt:lpwstr/>
  </property>
  <property fmtid="{D5CDD505-2E9C-101B-9397-08002B2CF9AE}" pid="9" name="OECDDocumentValidationErrors">
    <vt:lpwstr>1</vt:lpwstr>
  </property>
  <property fmtid="{D5CDD505-2E9C-101B-9397-08002B2CF9AE}" pid="10" name="OECDDocumentValidationWarnings">
    <vt:lpwstr>0</vt:lpwstr>
  </property>
  <property fmtid="{D5CDD505-2E9C-101B-9397-08002B2CF9AE}" pid="11" name="OECDDocumentValidationWordCount">
    <vt:lpwstr>144</vt:lpwstr>
  </property>
  <property fmtid="{D5CDD505-2E9C-101B-9397-08002B2CF9AE}" pid="12" name="OECDDocumentValidationDate">
    <vt:lpwstr>05/30/2023 16:03:35</vt:lpwstr>
  </property>
  <property fmtid="{D5CDD505-2E9C-101B-9397-08002B2CF9AE}" pid="13" name="OECDDocumentCote">
    <vt:lpwstr/>
  </property>
  <property fmtid="{D5CDD505-2E9C-101B-9397-08002B2CF9AE}" pid="14" name="OECDDocumentDirectorate">
    <vt:lpwstr/>
  </property>
  <property fmtid="{D5CDD505-2E9C-101B-9397-08002B2CF9AE}" pid="15" name="OECDDocumentCommittee">
    <vt:lpwstr/>
  </property>
  <property fmtid="{D5CDD505-2E9C-101B-9397-08002B2CF9AE}" pid="16" name="OECDDocumentWorkingParty">
    <vt:lpwstr/>
  </property>
  <property fmtid="{D5CDD505-2E9C-101B-9397-08002B2CF9AE}" pid="17" name="OECDDocumentClassification">
    <vt:lpwstr/>
  </property>
  <property fmtid="{D5CDD505-2E9C-101B-9397-08002B2CF9AE}" pid="18" name="OECDDocumentDocumentAbstract">
    <vt:lpwstr/>
  </property>
  <property fmtid="{D5CDD505-2E9C-101B-9397-08002B2CF9AE}" pid="19" name="OECDDocumentContactInfo">
    <vt:lpwstr/>
  </property>
  <property fmtid="{D5CDD505-2E9C-101B-9397-08002B2CF9AE}" pid="20" name="OECDDocumentDocumentLanguage">
    <vt:lpwstr>Unknown</vt:lpwstr>
  </property>
  <property fmtid="{D5CDD505-2E9C-101B-9397-08002B2CF9AE}" pid="21" name="OECDDocumentOriginalLanguage">
    <vt:lpwstr>English</vt:lpwstr>
  </property>
  <property fmtid="{D5CDD505-2E9C-101B-9397-08002B2CF9AE}" pid="22" name="ContentTypeId">
    <vt:lpwstr>0x0101000E4C469DA0857744B2E25B15AB61C57C</vt:lpwstr>
  </property>
  <property fmtid="{D5CDD505-2E9C-101B-9397-08002B2CF9AE}" pid="23" name="OECDMasterDocCreated">
    <vt:lpwstr>2023-05-31</vt:lpwstr>
  </property>
</Properties>
</file>