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C9ED4" w14:textId="133B3A1F" w:rsidR="00F85C73" w:rsidRPr="008E077E" w:rsidRDefault="00F85C73" w:rsidP="008E077E">
      <w:pPr>
        <w:pStyle w:val="Naslov1"/>
        <w:rPr>
          <w:rFonts w:ascii="Arial" w:hAnsi="Arial" w:cs="Arial"/>
          <w:b/>
          <w:bCs/>
          <w:color w:val="auto"/>
          <w:sz w:val="28"/>
          <w:szCs w:val="28"/>
        </w:rPr>
      </w:pPr>
      <w:r w:rsidRPr="008E077E">
        <w:rPr>
          <w:rFonts w:ascii="Arial" w:hAnsi="Arial" w:cs="Arial"/>
          <w:b/>
          <w:bCs/>
          <w:color w:val="auto"/>
          <w:sz w:val="28"/>
          <w:szCs w:val="28"/>
        </w:rPr>
        <w:t>Prehod na novo uredbo o gradbenih proizvodih</w:t>
      </w:r>
    </w:p>
    <w:p w14:paraId="2EA02206" w14:textId="4A5E3117" w:rsidR="006F2EAD" w:rsidRPr="00F85C73" w:rsidRDefault="006F2EAD" w:rsidP="00F85C73">
      <w:pPr>
        <w:pStyle w:val="Naslov1"/>
        <w:rPr>
          <w:rFonts w:ascii="Arial" w:hAnsi="Arial" w:cs="Arial"/>
          <w:b/>
          <w:bCs/>
          <w:color w:val="auto"/>
          <w:sz w:val="24"/>
          <w:szCs w:val="24"/>
        </w:rPr>
      </w:pPr>
      <w:r w:rsidRPr="00F85C73">
        <w:rPr>
          <w:rFonts w:ascii="Arial" w:hAnsi="Arial" w:cs="Arial"/>
          <w:b/>
          <w:bCs/>
          <w:color w:val="auto"/>
          <w:sz w:val="24"/>
          <w:szCs w:val="24"/>
        </w:rPr>
        <w:t xml:space="preserve">Zakaj nova </w:t>
      </w:r>
      <w:r w:rsidR="00F85C73" w:rsidRPr="00F85C73">
        <w:rPr>
          <w:rFonts w:ascii="Arial" w:hAnsi="Arial" w:cs="Arial"/>
          <w:b/>
          <w:bCs/>
          <w:color w:val="auto"/>
          <w:sz w:val="24"/>
          <w:szCs w:val="24"/>
        </w:rPr>
        <w:t>uredba o gradbenih proizvodih (</w:t>
      </w:r>
      <w:r w:rsidRPr="00F85C73">
        <w:rPr>
          <w:rFonts w:ascii="Arial" w:hAnsi="Arial" w:cs="Arial"/>
          <w:b/>
          <w:bCs/>
          <w:color w:val="auto"/>
          <w:sz w:val="24"/>
          <w:szCs w:val="24"/>
        </w:rPr>
        <w:t>CPR</w:t>
      </w:r>
      <w:r w:rsidR="00F85C73" w:rsidRPr="00F85C73">
        <w:rPr>
          <w:rFonts w:ascii="Arial" w:hAnsi="Arial" w:cs="Arial"/>
          <w:b/>
          <w:bCs/>
          <w:color w:val="auto"/>
          <w:sz w:val="24"/>
          <w:szCs w:val="24"/>
        </w:rPr>
        <w:t>)</w:t>
      </w:r>
      <w:r w:rsidRPr="00F85C73">
        <w:rPr>
          <w:rFonts w:ascii="Arial" w:hAnsi="Arial" w:cs="Arial"/>
          <w:b/>
          <w:bCs/>
          <w:color w:val="auto"/>
          <w:sz w:val="24"/>
          <w:szCs w:val="24"/>
        </w:rPr>
        <w:t>?</w:t>
      </w:r>
    </w:p>
    <w:p w14:paraId="341669E3" w14:textId="43225E90" w:rsidR="00A05C59" w:rsidRPr="00F85C73" w:rsidRDefault="006F2EAD" w:rsidP="00F85C73">
      <w:pPr>
        <w:rPr>
          <w:rFonts w:ascii="Arial" w:hAnsi="Arial" w:cs="Arial"/>
        </w:rPr>
      </w:pPr>
      <w:r w:rsidRPr="00F85C73">
        <w:rPr>
          <w:rFonts w:ascii="Arial" w:hAnsi="Arial" w:cs="Arial"/>
        </w:rPr>
        <w:t xml:space="preserve">Evropska komisija je ob analizah implementacije </w:t>
      </w:r>
      <w:r w:rsidR="009C52BF" w:rsidRPr="00F85C73">
        <w:rPr>
          <w:rFonts w:ascii="Arial" w:hAnsi="Arial" w:cs="Arial"/>
        </w:rPr>
        <w:t>Uredbe</w:t>
      </w:r>
      <w:r w:rsidRPr="00F85C73">
        <w:rPr>
          <w:rFonts w:ascii="Arial" w:hAnsi="Arial" w:cs="Arial"/>
        </w:rPr>
        <w:t xml:space="preserve"> 305/2011</w:t>
      </w:r>
      <w:r w:rsidR="00F85C73">
        <w:rPr>
          <w:rFonts w:ascii="Arial" w:hAnsi="Arial" w:cs="Arial"/>
        </w:rPr>
        <w:t>/EU</w:t>
      </w:r>
      <w:r w:rsidRPr="00F85C73">
        <w:rPr>
          <w:rFonts w:ascii="Arial" w:hAnsi="Arial" w:cs="Arial"/>
        </w:rPr>
        <w:t xml:space="preserve"> ugotovila, da ima </w:t>
      </w:r>
      <w:r w:rsidR="009C52BF" w:rsidRPr="00F85C73">
        <w:rPr>
          <w:rFonts w:ascii="Arial" w:hAnsi="Arial" w:cs="Arial"/>
        </w:rPr>
        <w:t>ta</w:t>
      </w:r>
      <w:r w:rsidRPr="00F85C73">
        <w:rPr>
          <w:rFonts w:ascii="Arial" w:hAnsi="Arial" w:cs="Arial"/>
        </w:rPr>
        <w:t xml:space="preserve"> več pomanjkljivosti. Kot glavna težava se je izkazalo, da stara CPR ne zagotavlja enotnega trga E</w:t>
      </w:r>
      <w:r w:rsidR="00F85C73">
        <w:rPr>
          <w:rFonts w:ascii="Arial" w:hAnsi="Arial" w:cs="Arial"/>
        </w:rPr>
        <w:t>vropske unije</w:t>
      </w:r>
      <w:r w:rsidRPr="00F85C73">
        <w:rPr>
          <w:rFonts w:ascii="Arial" w:hAnsi="Arial" w:cs="Arial"/>
        </w:rPr>
        <w:t xml:space="preserve"> oziroma prostega pretoka blaga. Kot problematična se je izkazala tudi pomanjkljiva implementacija s strani držav članic, ugotovljena so bila prekrivanja ali neusklajenost z drugo zakonodajo</w:t>
      </w:r>
      <w:r w:rsidR="00F85C73" w:rsidRPr="00F85C73">
        <w:rPr>
          <w:rFonts w:ascii="Arial" w:hAnsi="Arial" w:cs="Arial"/>
        </w:rPr>
        <w:t xml:space="preserve"> E</w:t>
      </w:r>
      <w:r w:rsidR="00F85C73">
        <w:rPr>
          <w:rFonts w:ascii="Arial" w:hAnsi="Arial" w:cs="Arial"/>
        </w:rPr>
        <w:t>vropske unije</w:t>
      </w:r>
      <w:r w:rsidRPr="00F85C73">
        <w:rPr>
          <w:rFonts w:ascii="Arial" w:hAnsi="Arial" w:cs="Arial"/>
        </w:rPr>
        <w:t xml:space="preserve"> (</w:t>
      </w:r>
      <w:r w:rsidR="00F85C73">
        <w:rPr>
          <w:rFonts w:ascii="Arial" w:hAnsi="Arial" w:cs="Arial"/>
        </w:rPr>
        <w:t>na primer</w:t>
      </w:r>
      <w:r w:rsidRPr="00F85C73">
        <w:rPr>
          <w:rFonts w:ascii="Arial" w:hAnsi="Arial" w:cs="Arial"/>
        </w:rPr>
        <w:t xml:space="preserve"> na področju energetske učinkovitosti stavb) ali s širšimi politikami </w:t>
      </w:r>
      <w:r w:rsidR="00F85C73" w:rsidRPr="00F85C73">
        <w:rPr>
          <w:rFonts w:ascii="Arial" w:hAnsi="Arial" w:cs="Arial"/>
        </w:rPr>
        <w:t>E</w:t>
      </w:r>
      <w:r w:rsidR="00F85C73">
        <w:rPr>
          <w:rFonts w:ascii="Arial" w:hAnsi="Arial" w:cs="Arial"/>
        </w:rPr>
        <w:t>vropske unije</w:t>
      </w:r>
      <w:r w:rsidRPr="00F85C73">
        <w:rPr>
          <w:rFonts w:ascii="Arial" w:hAnsi="Arial" w:cs="Arial"/>
        </w:rPr>
        <w:t xml:space="preserve"> (n</w:t>
      </w:r>
      <w:r w:rsidR="00F85C73">
        <w:rPr>
          <w:rFonts w:ascii="Arial" w:hAnsi="Arial" w:cs="Arial"/>
        </w:rPr>
        <w:t>a primer</w:t>
      </w:r>
      <w:r w:rsidRPr="00F85C73">
        <w:rPr>
          <w:rFonts w:ascii="Arial" w:hAnsi="Arial" w:cs="Arial"/>
        </w:rPr>
        <w:t xml:space="preserve"> Zeleni dogovor), nekateri deli Uredbe 305/2011</w:t>
      </w:r>
      <w:r w:rsidR="00F85C73">
        <w:rPr>
          <w:rFonts w:ascii="Arial" w:hAnsi="Arial" w:cs="Arial"/>
        </w:rPr>
        <w:t>/EU</w:t>
      </w:r>
      <w:r w:rsidRPr="00F85C73">
        <w:rPr>
          <w:rFonts w:ascii="Arial" w:hAnsi="Arial" w:cs="Arial"/>
        </w:rPr>
        <w:t xml:space="preserve"> v praksi niso zaživeli, pomanjkljiva digitalizacija</w:t>
      </w:r>
      <w:r w:rsidR="00F85C73">
        <w:rPr>
          <w:rFonts w:ascii="Arial" w:hAnsi="Arial" w:cs="Arial"/>
        </w:rPr>
        <w:t xml:space="preserve"> in tako dalje</w:t>
      </w:r>
      <w:r w:rsidRPr="00F85C73">
        <w:rPr>
          <w:rFonts w:ascii="Arial" w:hAnsi="Arial" w:cs="Arial"/>
        </w:rPr>
        <w:t xml:space="preserve">. </w:t>
      </w:r>
      <w:r w:rsidR="009C52BF" w:rsidRPr="00F85C73">
        <w:rPr>
          <w:rFonts w:ascii="Arial" w:hAnsi="Arial" w:cs="Arial"/>
        </w:rPr>
        <w:t>Zato je bila pripravljena in lani decembra sprejeta Uredba 2024/3110</w:t>
      </w:r>
      <w:r w:rsidR="00F85C73">
        <w:rPr>
          <w:rFonts w:ascii="Arial" w:hAnsi="Arial" w:cs="Arial"/>
        </w:rPr>
        <w:t>/EU</w:t>
      </w:r>
      <w:r w:rsidR="009C52BF" w:rsidRPr="00F85C73">
        <w:rPr>
          <w:rFonts w:ascii="Arial" w:hAnsi="Arial" w:cs="Arial"/>
        </w:rPr>
        <w:t>.</w:t>
      </w:r>
    </w:p>
    <w:p w14:paraId="56CFF2AF" w14:textId="65C91076" w:rsidR="00250895" w:rsidRPr="00F85C73" w:rsidRDefault="00250895" w:rsidP="00F85C73">
      <w:pPr>
        <w:pStyle w:val="Naslov1"/>
        <w:rPr>
          <w:rFonts w:ascii="Arial" w:hAnsi="Arial" w:cs="Arial"/>
          <w:b/>
          <w:bCs/>
          <w:color w:val="auto"/>
          <w:sz w:val="24"/>
          <w:szCs w:val="24"/>
        </w:rPr>
      </w:pPr>
      <w:r w:rsidRPr="00F85C73">
        <w:rPr>
          <w:rFonts w:ascii="Arial" w:hAnsi="Arial" w:cs="Arial"/>
          <w:b/>
          <w:bCs/>
          <w:color w:val="auto"/>
          <w:sz w:val="24"/>
          <w:szCs w:val="24"/>
        </w:rPr>
        <w:t xml:space="preserve">Prehod </w:t>
      </w:r>
      <w:r w:rsidR="00F85C73">
        <w:rPr>
          <w:rFonts w:ascii="Arial" w:hAnsi="Arial" w:cs="Arial"/>
          <w:b/>
          <w:bCs/>
          <w:color w:val="auto"/>
          <w:sz w:val="24"/>
          <w:szCs w:val="24"/>
        </w:rPr>
        <w:t>na</w:t>
      </w:r>
      <w:r w:rsidRPr="00F85C73">
        <w:rPr>
          <w:rFonts w:ascii="Arial" w:hAnsi="Arial" w:cs="Arial"/>
          <w:b/>
          <w:bCs/>
          <w:color w:val="auto"/>
          <w:sz w:val="24"/>
          <w:szCs w:val="24"/>
        </w:rPr>
        <w:t xml:space="preserve"> uporabo Uredbe 2024/3110</w:t>
      </w:r>
      <w:r w:rsidR="00F85C73">
        <w:rPr>
          <w:rFonts w:ascii="Arial" w:hAnsi="Arial" w:cs="Arial"/>
          <w:b/>
          <w:bCs/>
          <w:color w:val="auto"/>
          <w:sz w:val="24"/>
          <w:szCs w:val="24"/>
        </w:rPr>
        <w:t>/EU</w:t>
      </w:r>
    </w:p>
    <w:p w14:paraId="029E14A5" w14:textId="5010F9C8" w:rsidR="00250895" w:rsidRPr="00F85C73" w:rsidRDefault="00250895" w:rsidP="00F85C73">
      <w:pPr>
        <w:rPr>
          <w:rFonts w:ascii="Arial" w:hAnsi="Arial" w:cs="Arial"/>
        </w:rPr>
      </w:pPr>
      <w:r w:rsidRPr="00F85C73">
        <w:rPr>
          <w:rFonts w:ascii="Arial" w:hAnsi="Arial" w:cs="Arial"/>
        </w:rPr>
        <w:t>V splošnem se prične Uredba 2024/3110</w:t>
      </w:r>
      <w:r w:rsidR="00F85C73">
        <w:rPr>
          <w:rFonts w:ascii="Arial" w:hAnsi="Arial" w:cs="Arial"/>
        </w:rPr>
        <w:t>/EU</w:t>
      </w:r>
      <w:r w:rsidRPr="00F85C73">
        <w:rPr>
          <w:rFonts w:ascii="Arial" w:hAnsi="Arial" w:cs="Arial"/>
        </w:rPr>
        <w:t xml:space="preserve"> uporabljati z 8. </w:t>
      </w:r>
      <w:r w:rsidR="00F85C73">
        <w:rPr>
          <w:rFonts w:ascii="Arial" w:hAnsi="Arial" w:cs="Arial"/>
        </w:rPr>
        <w:t>januarjem</w:t>
      </w:r>
      <w:r w:rsidRPr="00F85C73">
        <w:rPr>
          <w:rFonts w:ascii="Arial" w:hAnsi="Arial" w:cs="Arial"/>
        </w:rPr>
        <w:t xml:space="preserve"> 2026, vendar nekateri deli Uredbe 305/2011</w:t>
      </w:r>
      <w:r w:rsidR="00F85C73">
        <w:rPr>
          <w:rFonts w:ascii="Arial" w:hAnsi="Arial" w:cs="Arial"/>
        </w:rPr>
        <w:t>/EU</w:t>
      </w:r>
      <w:r w:rsidRPr="00F85C73">
        <w:rPr>
          <w:rFonts w:ascii="Arial" w:hAnsi="Arial" w:cs="Arial"/>
        </w:rPr>
        <w:t xml:space="preserve"> ostanejo v veljavi do leta 2040. Deli Uredbe 305/2011, ki ostanejo v veljavi do leta 2040, omogočajo, da lahko tisti gradbeni proizvodi, ki jih je Uredba 305/2011</w:t>
      </w:r>
      <w:r w:rsidR="00F85C73">
        <w:rPr>
          <w:rFonts w:ascii="Arial" w:hAnsi="Arial" w:cs="Arial"/>
        </w:rPr>
        <w:t>/EU</w:t>
      </w:r>
      <w:r w:rsidRPr="00F85C73">
        <w:rPr>
          <w:rFonts w:ascii="Arial" w:hAnsi="Arial" w:cs="Arial"/>
        </w:rPr>
        <w:t xml:space="preserve"> zajemala do sedaj in so tako harmonizirani, ostanejo harmonizirani tudi po pričetku uporabe Uredbe 2024/3110</w:t>
      </w:r>
      <w:r w:rsidR="00F85C73">
        <w:rPr>
          <w:rFonts w:ascii="Arial" w:hAnsi="Arial" w:cs="Arial"/>
        </w:rPr>
        <w:t>/EU</w:t>
      </w:r>
      <w:r w:rsidRPr="00F85C73">
        <w:rPr>
          <w:rFonts w:ascii="Arial" w:hAnsi="Arial" w:cs="Arial"/>
        </w:rPr>
        <w:t>. Hkrati takšen način sočasne uporabe omogoča, da se lahko pod Uredbo 305/2011</w:t>
      </w:r>
      <w:r w:rsidR="00F85C73">
        <w:rPr>
          <w:rFonts w:ascii="Arial" w:hAnsi="Arial" w:cs="Arial"/>
        </w:rPr>
        <w:t>/EU</w:t>
      </w:r>
      <w:r w:rsidRPr="00F85C73">
        <w:rPr>
          <w:rFonts w:ascii="Arial" w:hAnsi="Arial" w:cs="Arial"/>
        </w:rPr>
        <w:t xml:space="preserve"> še objavi </w:t>
      </w:r>
      <w:r w:rsidR="00AC6774" w:rsidRPr="00F85C73">
        <w:rPr>
          <w:rFonts w:ascii="Arial" w:hAnsi="Arial" w:cs="Arial"/>
        </w:rPr>
        <w:t xml:space="preserve">sklice na </w:t>
      </w:r>
      <w:r w:rsidRPr="00F85C73">
        <w:rPr>
          <w:rFonts w:ascii="Arial" w:hAnsi="Arial" w:cs="Arial"/>
        </w:rPr>
        <w:t xml:space="preserve">standarde, ki so že v pripravi. </w:t>
      </w:r>
    </w:p>
    <w:p w14:paraId="058AB518" w14:textId="66BDACB1" w:rsidR="00250895" w:rsidRPr="00F85C73" w:rsidRDefault="00250895" w:rsidP="00F85C73">
      <w:pPr>
        <w:rPr>
          <w:rFonts w:ascii="Arial" w:hAnsi="Arial" w:cs="Arial"/>
        </w:rPr>
      </w:pPr>
      <w:r w:rsidRPr="00F85C73">
        <w:rPr>
          <w:rFonts w:ascii="Arial" w:hAnsi="Arial" w:cs="Arial"/>
        </w:rPr>
        <w:t>Takšna ureditev</w:t>
      </w:r>
      <w:r w:rsidR="00AC6774" w:rsidRPr="00F85C73">
        <w:rPr>
          <w:rFonts w:ascii="Arial" w:hAnsi="Arial" w:cs="Arial"/>
        </w:rPr>
        <w:t xml:space="preserve"> v praksi</w:t>
      </w:r>
      <w:r w:rsidRPr="00F85C73">
        <w:rPr>
          <w:rFonts w:ascii="Arial" w:hAnsi="Arial" w:cs="Arial"/>
        </w:rPr>
        <w:t xml:space="preserve"> pomeni, da vsi do sedaj harmonizirani gradbeni proizvodi ostanejo harmonizirani in zanje veljajo pravila Uredbe 305/2011</w:t>
      </w:r>
      <w:r w:rsidR="00F85C73">
        <w:rPr>
          <w:rFonts w:ascii="Arial" w:hAnsi="Arial" w:cs="Arial"/>
        </w:rPr>
        <w:t>/EU</w:t>
      </w:r>
      <w:r w:rsidRPr="00F85C73">
        <w:rPr>
          <w:rFonts w:ascii="Arial" w:hAnsi="Arial" w:cs="Arial"/>
        </w:rPr>
        <w:t xml:space="preserve">. </w:t>
      </w:r>
      <w:r w:rsidRPr="00F85C73">
        <w:rPr>
          <w:rFonts w:ascii="Arial" w:hAnsi="Arial" w:cs="Arial"/>
          <w:b/>
          <w:bCs/>
        </w:rPr>
        <w:t>Za gradbeni proizvod se Uredba 2024/3110</w:t>
      </w:r>
      <w:r w:rsidR="00F85C73" w:rsidRPr="00F85C73">
        <w:rPr>
          <w:rFonts w:ascii="Arial" w:hAnsi="Arial" w:cs="Arial"/>
          <w:b/>
          <w:bCs/>
        </w:rPr>
        <w:t>/EU</w:t>
      </w:r>
      <w:r w:rsidRPr="00F85C73">
        <w:rPr>
          <w:rFonts w:ascii="Arial" w:hAnsi="Arial" w:cs="Arial"/>
          <w:b/>
          <w:bCs/>
        </w:rPr>
        <w:t xml:space="preserve"> začne uporabljati, ko je zanj objavljen</w:t>
      </w:r>
      <w:r w:rsidR="00AC6774" w:rsidRPr="00F85C73">
        <w:rPr>
          <w:rFonts w:ascii="Arial" w:hAnsi="Arial" w:cs="Arial"/>
          <w:b/>
          <w:bCs/>
        </w:rPr>
        <w:t>a harmonizirana tehnična specifikacija</w:t>
      </w:r>
      <w:r w:rsidR="001E6DD9" w:rsidRPr="00F85C73">
        <w:rPr>
          <w:rFonts w:ascii="Arial" w:hAnsi="Arial" w:cs="Arial"/>
          <w:b/>
          <w:bCs/>
        </w:rPr>
        <w:t xml:space="preserve"> (v nadaljevanju: HTS)</w:t>
      </w:r>
      <w:r w:rsidR="00AC6774" w:rsidRPr="00F85C73">
        <w:rPr>
          <w:rFonts w:ascii="Arial" w:hAnsi="Arial" w:cs="Arial"/>
          <w:b/>
          <w:bCs/>
        </w:rPr>
        <w:t xml:space="preserve"> za lastnosti proizvoda (h</w:t>
      </w:r>
      <w:r w:rsidRPr="00F85C73">
        <w:rPr>
          <w:rFonts w:ascii="Arial" w:hAnsi="Arial" w:cs="Arial"/>
          <w:b/>
          <w:bCs/>
        </w:rPr>
        <w:t>armoniziran standard za lastnosti ali izvedbeni akt za lastnosti</w:t>
      </w:r>
      <w:r w:rsidR="00AC6774" w:rsidRPr="00F85C73">
        <w:rPr>
          <w:rFonts w:ascii="Arial" w:hAnsi="Arial" w:cs="Arial"/>
          <w:b/>
          <w:bCs/>
        </w:rPr>
        <w:t>)</w:t>
      </w:r>
      <w:r w:rsidRPr="00F85C73">
        <w:rPr>
          <w:rFonts w:ascii="Arial" w:hAnsi="Arial" w:cs="Arial"/>
          <w:b/>
          <w:bCs/>
        </w:rPr>
        <w:t xml:space="preserve"> pod Uredbo 2024/3110 in je poteklo prehodno obdobje</w:t>
      </w:r>
      <w:r w:rsidR="00AC6774" w:rsidRPr="00F85C73">
        <w:rPr>
          <w:rFonts w:ascii="Arial" w:hAnsi="Arial" w:cs="Arial"/>
          <w:b/>
          <w:bCs/>
        </w:rPr>
        <w:t xml:space="preserve"> sočasne veljave HTS, ki običajno traja eno leto</w:t>
      </w:r>
      <w:r w:rsidRPr="00F85C73">
        <w:rPr>
          <w:rFonts w:ascii="Arial" w:hAnsi="Arial" w:cs="Arial"/>
        </w:rPr>
        <w:t>.</w:t>
      </w:r>
      <w:r w:rsidR="001E6DD9" w:rsidRPr="00F85C73">
        <w:rPr>
          <w:rFonts w:ascii="Arial" w:hAnsi="Arial" w:cs="Arial"/>
        </w:rPr>
        <w:t xml:space="preserve"> </w:t>
      </w:r>
      <w:r w:rsidR="00AC6774" w:rsidRPr="00F85C73">
        <w:rPr>
          <w:rFonts w:ascii="Arial" w:hAnsi="Arial" w:cs="Arial"/>
        </w:rPr>
        <w:t xml:space="preserve">Obvezno uporabo </w:t>
      </w:r>
      <w:r w:rsidR="001E6DD9" w:rsidRPr="00F85C73">
        <w:rPr>
          <w:rFonts w:ascii="Arial" w:hAnsi="Arial" w:cs="Arial"/>
        </w:rPr>
        <w:t xml:space="preserve">prvih </w:t>
      </w:r>
      <w:r w:rsidR="00AC6774" w:rsidRPr="00F85C73">
        <w:rPr>
          <w:rFonts w:ascii="Arial" w:hAnsi="Arial" w:cs="Arial"/>
        </w:rPr>
        <w:t>HTS pod Uredbo 2024/3110</w:t>
      </w:r>
      <w:r w:rsidR="00F85C73">
        <w:rPr>
          <w:rFonts w:ascii="Arial" w:hAnsi="Arial" w:cs="Arial"/>
        </w:rPr>
        <w:t>/EU</w:t>
      </w:r>
      <w:r w:rsidR="00AC6774" w:rsidRPr="00F85C73">
        <w:rPr>
          <w:rFonts w:ascii="Arial" w:hAnsi="Arial" w:cs="Arial"/>
        </w:rPr>
        <w:t xml:space="preserve"> se pričakuje konec leta 2027.</w:t>
      </w:r>
    </w:p>
    <w:p w14:paraId="26053486" w14:textId="5BB292C5" w:rsidR="00250895" w:rsidRPr="00F85C73" w:rsidRDefault="00250895" w:rsidP="00F85C73">
      <w:pPr>
        <w:rPr>
          <w:rFonts w:ascii="Arial" w:hAnsi="Arial" w:cs="Arial"/>
        </w:rPr>
      </w:pPr>
      <w:r w:rsidRPr="00F85C73">
        <w:rPr>
          <w:rFonts w:ascii="Arial" w:hAnsi="Arial" w:cs="Arial"/>
        </w:rPr>
        <w:t xml:space="preserve">Ko začne za </w:t>
      </w:r>
      <w:r w:rsidR="001E6DD9" w:rsidRPr="00F85C73">
        <w:rPr>
          <w:rFonts w:ascii="Arial" w:hAnsi="Arial" w:cs="Arial"/>
        </w:rPr>
        <w:t xml:space="preserve">nek konkreten gradbeni proizvod </w:t>
      </w:r>
      <w:r w:rsidRPr="00F85C73">
        <w:rPr>
          <w:rFonts w:ascii="Arial" w:hAnsi="Arial" w:cs="Arial"/>
        </w:rPr>
        <w:t>veljati</w:t>
      </w:r>
      <w:r w:rsidR="001E6DD9" w:rsidRPr="00F85C73">
        <w:rPr>
          <w:rFonts w:ascii="Arial" w:hAnsi="Arial" w:cs="Arial"/>
        </w:rPr>
        <w:t xml:space="preserve"> obvezna uporaba</w:t>
      </w:r>
      <w:r w:rsidRPr="00F85C73">
        <w:rPr>
          <w:rFonts w:ascii="Arial" w:hAnsi="Arial" w:cs="Arial"/>
        </w:rPr>
        <w:t xml:space="preserve"> </w:t>
      </w:r>
      <w:r w:rsidR="001E6DD9" w:rsidRPr="00F85C73">
        <w:rPr>
          <w:rFonts w:ascii="Arial" w:hAnsi="Arial" w:cs="Arial"/>
        </w:rPr>
        <w:t>Uredbe 2024/3110</w:t>
      </w:r>
      <w:r w:rsidR="00F85C73">
        <w:rPr>
          <w:rFonts w:ascii="Arial" w:hAnsi="Arial" w:cs="Arial"/>
        </w:rPr>
        <w:t>/EU</w:t>
      </w:r>
      <w:r w:rsidRPr="00F85C73">
        <w:rPr>
          <w:rFonts w:ascii="Arial" w:hAnsi="Arial" w:cs="Arial"/>
        </w:rPr>
        <w:t xml:space="preserve">, začnejo </w:t>
      </w:r>
      <w:r w:rsidR="001E6DD9" w:rsidRPr="00F85C73">
        <w:rPr>
          <w:rFonts w:ascii="Arial" w:hAnsi="Arial" w:cs="Arial"/>
        </w:rPr>
        <w:t xml:space="preserve">v zvezi s tem proizvodom </w:t>
      </w:r>
      <w:r w:rsidRPr="00F85C73">
        <w:rPr>
          <w:rFonts w:ascii="Arial" w:hAnsi="Arial" w:cs="Arial"/>
        </w:rPr>
        <w:t xml:space="preserve">veljati tudi obveznosti za </w:t>
      </w:r>
      <w:r w:rsidR="001E6DD9" w:rsidRPr="00F85C73">
        <w:rPr>
          <w:rFonts w:ascii="Arial" w:hAnsi="Arial" w:cs="Arial"/>
        </w:rPr>
        <w:t>gospodarske subjekte, sistemi ocenjevanja in preverjanja ter poenostavitve in izjeme iz Uredbe 2024/3110</w:t>
      </w:r>
      <w:r w:rsidR="00F85C73">
        <w:rPr>
          <w:rFonts w:ascii="Arial" w:hAnsi="Arial" w:cs="Arial"/>
        </w:rPr>
        <w:t>/EU</w:t>
      </w:r>
      <w:r w:rsidRPr="00F85C73">
        <w:rPr>
          <w:rFonts w:ascii="Arial" w:hAnsi="Arial" w:cs="Arial"/>
        </w:rPr>
        <w:t>.</w:t>
      </w:r>
    </w:p>
    <w:p w14:paraId="30BCC0F3" w14:textId="6CB56E93" w:rsidR="00250895" w:rsidRPr="00F85C73" w:rsidRDefault="00250895" w:rsidP="00F85C73">
      <w:pPr>
        <w:rPr>
          <w:rFonts w:ascii="Arial" w:hAnsi="Arial" w:cs="Arial"/>
        </w:rPr>
      </w:pPr>
      <w:r w:rsidRPr="00F85C73">
        <w:rPr>
          <w:rFonts w:ascii="Arial" w:hAnsi="Arial" w:cs="Arial"/>
          <w:b/>
          <w:bCs/>
        </w:rPr>
        <w:t>Podobna postopnost</w:t>
      </w:r>
      <w:r w:rsidR="001E6DD9" w:rsidRPr="00F85C73">
        <w:rPr>
          <w:rFonts w:ascii="Arial" w:hAnsi="Arial" w:cs="Arial"/>
          <w:b/>
          <w:bCs/>
        </w:rPr>
        <w:t xml:space="preserve"> velja na področju </w:t>
      </w:r>
      <w:r w:rsidRPr="00F85C73">
        <w:rPr>
          <w:rFonts w:ascii="Arial" w:hAnsi="Arial" w:cs="Arial"/>
          <w:b/>
          <w:bCs/>
        </w:rPr>
        <w:t>digitaln</w:t>
      </w:r>
      <w:r w:rsidR="001E6DD9" w:rsidRPr="00F85C73">
        <w:rPr>
          <w:rFonts w:ascii="Arial" w:hAnsi="Arial" w:cs="Arial"/>
          <w:b/>
          <w:bCs/>
        </w:rPr>
        <w:t>ega</w:t>
      </w:r>
      <w:r w:rsidRPr="00F85C73">
        <w:rPr>
          <w:rFonts w:ascii="Arial" w:hAnsi="Arial" w:cs="Arial"/>
          <w:b/>
          <w:bCs/>
        </w:rPr>
        <w:t xml:space="preserve"> potn</w:t>
      </w:r>
      <w:r w:rsidR="001E6DD9" w:rsidRPr="00F85C73">
        <w:rPr>
          <w:rFonts w:ascii="Arial" w:hAnsi="Arial" w:cs="Arial"/>
          <w:b/>
          <w:bCs/>
        </w:rPr>
        <w:t>ega</w:t>
      </w:r>
      <w:r w:rsidRPr="00F85C73">
        <w:rPr>
          <w:rFonts w:ascii="Arial" w:hAnsi="Arial" w:cs="Arial"/>
          <w:b/>
          <w:bCs/>
        </w:rPr>
        <w:t xml:space="preserve"> list</w:t>
      </w:r>
      <w:r w:rsidR="001E6DD9" w:rsidRPr="00F85C73">
        <w:rPr>
          <w:rFonts w:ascii="Arial" w:hAnsi="Arial" w:cs="Arial"/>
          <w:b/>
          <w:bCs/>
        </w:rPr>
        <w:t>a (v nadaljevanju: DPP)</w:t>
      </w:r>
      <w:r w:rsidRPr="00F85C73">
        <w:rPr>
          <w:rFonts w:ascii="Arial" w:hAnsi="Arial" w:cs="Arial"/>
          <w:b/>
          <w:bCs/>
        </w:rPr>
        <w:t xml:space="preserve">. </w:t>
      </w:r>
      <w:r w:rsidRPr="00F85C73">
        <w:rPr>
          <w:rFonts w:ascii="Arial" w:hAnsi="Arial" w:cs="Arial"/>
        </w:rPr>
        <w:t xml:space="preserve"> Ta obveznost velja</w:t>
      </w:r>
      <w:r w:rsidR="001E6DD9" w:rsidRPr="00F85C73">
        <w:rPr>
          <w:rFonts w:ascii="Arial" w:hAnsi="Arial" w:cs="Arial"/>
        </w:rPr>
        <w:t xml:space="preserve"> le</w:t>
      </w:r>
      <w:r w:rsidRPr="00F85C73">
        <w:rPr>
          <w:rFonts w:ascii="Arial" w:hAnsi="Arial" w:cs="Arial"/>
        </w:rPr>
        <w:t xml:space="preserve"> za proizvode, ki jih pokriva </w:t>
      </w:r>
      <w:r w:rsidR="001E6DD9" w:rsidRPr="00F85C73">
        <w:rPr>
          <w:rFonts w:ascii="Arial" w:hAnsi="Arial" w:cs="Arial"/>
        </w:rPr>
        <w:t>Uredba 2024/3110</w:t>
      </w:r>
      <w:r w:rsidR="00F85C73">
        <w:rPr>
          <w:rFonts w:ascii="Arial" w:hAnsi="Arial" w:cs="Arial"/>
        </w:rPr>
        <w:t>/EU</w:t>
      </w:r>
      <w:r w:rsidR="001E6DD9" w:rsidRPr="00F85C73">
        <w:rPr>
          <w:rFonts w:ascii="Arial" w:hAnsi="Arial" w:cs="Arial"/>
        </w:rPr>
        <w:t>, seveda pa bo lahko veljala šele, ko bo sistem DPP vzpostavljen</w:t>
      </w:r>
      <w:r w:rsidRPr="00F85C73">
        <w:rPr>
          <w:rFonts w:ascii="Arial" w:hAnsi="Arial" w:cs="Arial"/>
        </w:rPr>
        <w:t xml:space="preserve">. Za </w:t>
      </w:r>
      <w:r w:rsidR="001E6DD9" w:rsidRPr="00F85C73">
        <w:rPr>
          <w:rFonts w:ascii="Arial" w:hAnsi="Arial" w:cs="Arial"/>
        </w:rPr>
        <w:t>to, da se lahko sistem DPP vzpostavi, mora Evropska k</w:t>
      </w:r>
      <w:r w:rsidRPr="00F85C73">
        <w:rPr>
          <w:rFonts w:ascii="Arial" w:hAnsi="Arial" w:cs="Arial"/>
        </w:rPr>
        <w:t xml:space="preserve">omisija sprejeti </w:t>
      </w:r>
      <w:r w:rsidRPr="00F85C73">
        <w:rPr>
          <w:rFonts w:ascii="Arial" w:hAnsi="Arial" w:cs="Arial"/>
          <w:b/>
          <w:bCs/>
        </w:rPr>
        <w:t>delegiran akt</w:t>
      </w:r>
      <w:r w:rsidRPr="00F85C73">
        <w:rPr>
          <w:rFonts w:ascii="Arial" w:hAnsi="Arial" w:cs="Arial"/>
        </w:rPr>
        <w:t xml:space="preserve">, </w:t>
      </w:r>
      <w:r w:rsidR="001E6DD9" w:rsidRPr="00F85C73">
        <w:rPr>
          <w:rFonts w:ascii="Arial" w:hAnsi="Arial" w:cs="Arial"/>
        </w:rPr>
        <w:t>ki</w:t>
      </w:r>
      <w:r w:rsidRPr="00F85C73">
        <w:rPr>
          <w:rFonts w:ascii="Arial" w:hAnsi="Arial" w:cs="Arial"/>
        </w:rPr>
        <w:t xml:space="preserve"> se</w:t>
      </w:r>
      <w:r w:rsidR="001E6DD9" w:rsidRPr="00F85C73">
        <w:rPr>
          <w:rFonts w:ascii="Arial" w:hAnsi="Arial" w:cs="Arial"/>
        </w:rPr>
        <w:t xml:space="preserve"> ga</w:t>
      </w:r>
      <w:r w:rsidRPr="00F85C73">
        <w:rPr>
          <w:rFonts w:ascii="Arial" w:hAnsi="Arial" w:cs="Arial"/>
        </w:rPr>
        <w:t xml:space="preserve"> pričakuje konec </w:t>
      </w:r>
      <w:r w:rsidR="001E6DD9" w:rsidRPr="00F85C73">
        <w:rPr>
          <w:rFonts w:ascii="Arial" w:hAnsi="Arial" w:cs="Arial"/>
        </w:rPr>
        <w:t xml:space="preserve">leta </w:t>
      </w:r>
      <w:r w:rsidRPr="00F85C73">
        <w:rPr>
          <w:rFonts w:ascii="Arial" w:hAnsi="Arial" w:cs="Arial"/>
        </w:rPr>
        <w:t xml:space="preserve">2026. </w:t>
      </w:r>
      <w:r w:rsidR="001E6DD9" w:rsidRPr="00F85C73">
        <w:rPr>
          <w:rFonts w:ascii="Arial" w:hAnsi="Arial" w:cs="Arial"/>
          <w:b/>
          <w:bCs/>
        </w:rPr>
        <w:t xml:space="preserve">Po sprejetju akta pa bo v veljavi </w:t>
      </w:r>
      <w:r w:rsidRPr="00F85C73">
        <w:rPr>
          <w:rFonts w:ascii="Arial" w:hAnsi="Arial" w:cs="Arial"/>
          <w:b/>
          <w:bCs/>
        </w:rPr>
        <w:t>18</w:t>
      </w:r>
      <w:r w:rsidR="001E6DD9" w:rsidRPr="00F85C73">
        <w:rPr>
          <w:rFonts w:ascii="Arial" w:hAnsi="Arial" w:cs="Arial"/>
          <w:b/>
          <w:bCs/>
        </w:rPr>
        <w:t>-</w:t>
      </w:r>
      <w:r w:rsidRPr="00F85C73">
        <w:rPr>
          <w:rFonts w:ascii="Arial" w:hAnsi="Arial" w:cs="Arial"/>
          <w:b/>
          <w:bCs/>
        </w:rPr>
        <w:t>mese</w:t>
      </w:r>
      <w:r w:rsidR="001E6DD9" w:rsidRPr="00F85C73">
        <w:rPr>
          <w:rFonts w:ascii="Arial" w:hAnsi="Arial" w:cs="Arial"/>
          <w:b/>
          <w:bCs/>
        </w:rPr>
        <w:t>čno prehodno obdobje, po</w:t>
      </w:r>
      <w:r w:rsidR="00BE0987" w:rsidRPr="00F85C73">
        <w:rPr>
          <w:rFonts w:ascii="Arial" w:hAnsi="Arial" w:cs="Arial"/>
          <w:b/>
          <w:bCs/>
        </w:rPr>
        <w:t xml:space="preserve"> poteku katerega bo</w:t>
      </w:r>
      <w:r w:rsidRPr="00F85C73">
        <w:rPr>
          <w:rFonts w:ascii="Arial" w:hAnsi="Arial" w:cs="Arial"/>
          <w:b/>
          <w:bCs/>
        </w:rPr>
        <w:t xml:space="preserve"> </w:t>
      </w:r>
      <w:r w:rsidR="00BE0987" w:rsidRPr="00F85C73">
        <w:rPr>
          <w:rFonts w:ascii="Arial" w:hAnsi="Arial" w:cs="Arial"/>
          <w:b/>
          <w:bCs/>
        </w:rPr>
        <w:t>obvezno</w:t>
      </w:r>
      <w:r w:rsidRPr="00F85C73">
        <w:rPr>
          <w:rFonts w:ascii="Arial" w:hAnsi="Arial" w:cs="Arial"/>
          <w:b/>
          <w:bCs/>
        </w:rPr>
        <w:t xml:space="preserve"> dati na voljo digitalni potni list, seveda za tiste proizvode, ki bodo že zajeti z </w:t>
      </w:r>
      <w:r w:rsidR="001E6DD9" w:rsidRPr="00F85C73">
        <w:rPr>
          <w:rFonts w:ascii="Arial" w:hAnsi="Arial" w:cs="Arial"/>
          <w:b/>
          <w:bCs/>
        </w:rPr>
        <w:t xml:space="preserve">Uredbo 2024/3110 </w:t>
      </w:r>
      <w:r w:rsidRPr="00F85C73">
        <w:rPr>
          <w:rFonts w:ascii="Arial" w:hAnsi="Arial" w:cs="Arial"/>
          <w:b/>
          <w:bCs/>
        </w:rPr>
        <w:t>in je poteklo prehodno obdobje.</w:t>
      </w:r>
      <w:r w:rsidRPr="00F85C73">
        <w:rPr>
          <w:rFonts w:ascii="Arial" w:hAnsi="Arial" w:cs="Arial"/>
        </w:rPr>
        <w:t xml:space="preserve"> Tako da </w:t>
      </w:r>
      <w:r w:rsidR="00BE0987" w:rsidRPr="00F85C73">
        <w:rPr>
          <w:rFonts w:ascii="Arial" w:hAnsi="Arial" w:cs="Arial"/>
        </w:rPr>
        <w:t xml:space="preserve">prve obvezne DPP </w:t>
      </w:r>
      <w:r w:rsidRPr="00F85C73">
        <w:rPr>
          <w:rFonts w:ascii="Arial" w:hAnsi="Arial" w:cs="Arial"/>
        </w:rPr>
        <w:t xml:space="preserve">pričakujemo sredi leta 2028. </w:t>
      </w:r>
    </w:p>
    <w:p w14:paraId="5C0083CB" w14:textId="40E37C3D" w:rsidR="002324F8" w:rsidRPr="00F85C73" w:rsidRDefault="00BE0987" w:rsidP="00F85C73">
      <w:pPr>
        <w:rPr>
          <w:rFonts w:ascii="Arial" w:hAnsi="Arial" w:cs="Arial"/>
        </w:rPr>
      </w:pPr>
      <w:r w:rsidRPr="00F85C73">
        <w:rPr>
          <w:rFonts w:ascii="Arial" w:hAnsi="Arial" w:cs="Arial"/>
        </w:rPr>
        <w:t xml:space="preserve">Kar je verjetno še potrebno poudariti, je </w:t>
      </w:r>
      <w:r w:rsidRPr="00F85C73">
        <w:rPr>
          <w:rFonts w:ascii="Arial" w:hAnsi="Arial" w:cs="Arial"/>
          <w:b/>
          <w:bCs/>
        </w:rPr>
        <w:t xml:space="preserve">postopnost sprejemanja zakonodajnih obvez </w:t>
      </w:r>
      <w:r w:rsidRPr="00F85C73">
        <w:rPr>
          <w:rFonts w:ascii="Arial" w:hAnsi="Arial" w:cs="Arial"/>
        </w:rPr>
        <w:t xml:space="preserve">za konkreten proizvod. Za proizvod je potrebno </w:t>
      </w:r>
      <w:r w:rsidRPr="00F85C73">
        <w:rPr>
          <w:rFonts w:ascii="Arial" w:hAnsi="Arial" w:cs="Arial"/>
          <w:b/>
          <w:bCs/>
        </w:rPr>
        <w:t>najprej sprejeti oziroma objaviti HTS za lastnosti</w:t>
      </w:r>
      <w:r w:rsidRPr="00F85C73">
        <w:rPr>
          <w:rFonts w:ascii="Arial" w:hAnsi="Arial" w:cs="Arial"/>
        </w:rPr>
        <w:t xml:space="preserve">, šele nato lahko Komisija sprejme zakonodajni akt, s katerim za taisti konkreten proizvod oziroma družino proizvodov določi </w:t>
      </w:r>
      <w:r w:rsidRPr="00F85C73">
        <w:rPr>
          <w:rFonts w:ascii="Arial" w:hAnsi="Arial" w:cs="Arial"/>
          <w:b/>
          <w:bCs/>
        </w:rPr>
        <w:t>zahteve</w:t>
      </w:r>
      <w:r w:rsidRPr="00F85C73">
        <w:rPr>
          <w:rFonts w:ascii="Arial" w:hAnsi="Arial" w:cs="Arial"/>
        </w:rPr>
        <w:t xml:space="preserve">. Te zahteve izbere izmed zahtev, </w:t>
      </w:r>
      <w:r w:rsidRPr="00F85C73">
        <w:rPr>
          <w:rFonts w:ascii="Arial" w:hAnsi="Arial" w:cs="Arial"/>
        </w:rPr>
        <w:lastRenderedPageBreak/>
        <w:t>naštetih v Prilogi III Uredbe 2040/3110</w:t>
      </w:r>
      <w:r w:rsidR="00F85C73">
        <w:rPr>
          <w:rFonts w:ascii="Arial" w:hAnsi="Arial" w:cs="Arial"/>
        </w:rPr>
        <w:t>/EU</w:t>
      </w:r>
      <w:r w:rsidRPr="00F85C73">
        <w:rPr>
          <w:rFonts w:ascii="Arial" w:hAnsi="Arial" w:cs="Arial"/>
        </w:rPr>
        <w:t xml:space="preserve">.  Po sprejetju tega zakonodajnega akta lahko Evropska komisija standardizacijskim organizacijam naloži, da oblikujejo </w:t>
      </w:r>
      <w:r w:rsidRPr="00F85C73">
        <w:rPr>
          <w:rFonts w:ascii="Arial" w:hAnsi="Arial" w:cs="Arial"/>
          <w:b/>
          <w:bCs/>
        </w:rPr>
        <w:t>standard za zahteve za te proizvode</w:t>
      </w:r>
      <w:r w:rsidR="00C05913" w:rsidRPr="00F85C73">
        <w:rPr>
          <w:rFonts w:ascii="Arial" w:hAnsi="Arial" w:cs="Arial"/>
        </w:rPr>
        <w:t>. Ta je sicer prostovoljne narave, vendar skladnost s takšnim standardom pomeni skladnost z zahtevami za proizvode iz zakonodajnega akta.</w:t>
      </w:r>
    </w:p>
    <w:p w14:paraId="2CFD6979" w14:textId="04A8A211" w:rsidR="00C95FCB" w:rsidRPr="00F85C73" w:rsidRDefault="00C95FCB" w:rsidP="00F85C73">
      <w:pPr>
        <w:pStyle w:val="Naslov1"/>
        <w:rPr>
          <w:rFonts w:ascii="Arial" w:hAnsi="Arial" w:cs="Arial"/>
          <w:b/>
          <w:bCs/>
          <w:color w:val="auto"/>
          <w:sz w:val="24"/>
          <w:szCs w:val="24"/>
        </w:rPr>
      </w:pPr>
      <w:r w:rsidRPr="00F85C73">
        <w:rPr>
          <w:rFonts w:ascii="Arial" w:hAnsi="Arial" w:cs="Arial"/>
          <w:b/>
          <w:bCs/>
          <w:color w:val="auto"/>
          <w:sz w:val="24"/>
          <w:szCs w:val="24"/>
        </w:rPr>
        <w:t xml:space="preserve">Prehod </w:t>
      </w:r>
      <w:r w:rsidR="006723B7" w:rsidRPr="00F85C73">
        <w:rPr>
          <w:rFonts w:ascii="Arial" w:hAnsi="Arial" w:cs="Arial"/>
          <w:b/>
          <w:bCs/>
          <w:color w:val="auto"/>
          <w:sz w:val="24"/>
          <w:szCs w:val="24"/>
        </w:rPr>
        <w:t>na Uredbo 2024/3110</w:t>
      </w:r>
      <w:r w:rsidR="00F85C73" w:rsidRPr="00F85C73">
        <w:rPr>
          <w:rFonts w:ascii="Arial" w:hAnsi="Arial" w:cs="Arial"/>
          <w:b/>
          <w:bCs/>
          <w:color w:val="auto"/>
          <w:sz w:val="24"/>
          <w:szCs w:val="24"/>
        </w:rPr>
        <w:t>/EU</w:t>
      </w:r>
      <w:r w:rsidR="006723B7" w:rsidRPr="00F85C73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Pr="00F85C73">
        <w:rPr>
          <w:rFonts w:ascii="Arial" w:hAnsi="Arial" w:cs="Arial"/>
          <w:b/>
          <w:bCs/>
          <w:color w:val="auto"/>
          <w:sz w:val="24"/>
          <w:szCs w:val="24"/>
        </w:rPr>
        <w:t>na področju evropskih ocenjevalnih dokumentov in evropskih tehničnih ocen</w:t>
      </w:r>
    </w:p>
    <w:p w14:paraId="6BDD6E26" w14:textId="363596B5" w:rsidR="006723B7" w:rsidRPr="00F85C73" w:rsidRDefault="006723B7" w:rsidP="00F85C73">
      <w:pPr>
        <w:rPr>
          <w:rFonts w:ascii="Arial" w:hAnsi="Arial" w:cs="Arial"/>
        </w:rPr>
      </w:pPr>
      <w:r w:rsidRPr="00F85C73">
        <w:rPr>
          <w:rFonts w:ascii="Arial" w:hAnsi="Arial" w:cs="Arial"/>
        </w:rPr>
        <w:t xml:space="preserve">Po 8. </w:t>
      </w:r>
      <w:r w:rsidR="00F85C73">
        <w:rPr>
          <w:rFonts w:ascii="Arial" w:hAnsi="Arial" w:cs="Arial"/>
        </w:rPr>
        <w:t>januarja</w:t>
      </w:r>
      <w:r w:rsidRPr="00F85C73">
        <w:rPr>
          <w:rFonts w:ascii="Arial" w:hAnsi="Arial" w:cs="Arial"/>
        </w:rPr>
        <w:t xml:space="preserve"> 2026 ne bo več mogoče objavljati sklicev na evropske ocenjevalne dokumente (v nadaljevanju: EAD) pod Uredbo 305/2011</w:t>
      </w:r>
      <w:r w:rsidR="00F85C73">
        <w:rPr>
          <w:rFonts w:ascii="Arial" w:hAnsi="Arial" w:cs="Arial"/>
        </w:rPr>
        <w:t>/EU</w:t>
      </w:r>
      <w:r w:rsidRPr="00F85C73">
        <w:rPr>
          <w:rFonts w:ascii="Arial" w:hAnsi="Arial" w:cs="Arial"/>
        </w:rPr>
        <w:t xml:space="preserve">. EAD, ki so že objavljeni pod Uredbo 305/2011, bodo načeloma ostali v veljavi </w:t>
      </w:r>
      <w:r w:rsidR="00F85C73">
        <w:rPr>
          <w:rFonts w:ascii="Arial" w:hAnsi="Arial" w:cs="Arial"/>
        </w:rPr>
        <w:t>d</w:t>
      </w:r>
      <w:r w:rsidRPr="00F85C73">
        <w:rPr>
          <w:rFonts w:ascii="Arial" w:hAnsi="Arial" w:cs="Arial"/>
        </w:rPr>
        <w:t xml:space="preserve">o 8. </w:t>
      </w:r>
      <w:r w:rsidR="00F85C73">
        <w:rPr>
          <w:rFonts w:ascii="Arial" w:hAnsi="Arial" w:cs="Arial"/>
        </w:rPr>
        <w:t>januarja</w:t>
      </w:r>
      <w:r w:rsidRPr="00F85C73">
        <w:rPr>
          <w:rFonts w:ascii="Arial" w:hAnsi="Arial" w:cs="Arial"/>
        </w:rPr>
        <w:t xml:space="preserve"> 2031, razen če bo pred potekom tega obdobja za proizvod, ki ga zajema takšen EAD, objavljena HTS za lastnosti ali nov EAD pod Uredbo 2024/3110. Proizvodi bodo lahko dani na trg na podlagi evropskih tehničnih ocen</w:t>
      </w:r>
      <w:r w:rsidR="003627F3" w:rsidRPr="00F85C73">
        <w:rPr>
          <w:rFonts w:ascii="Arial" w:hAnsi="Arial" w:cs="Arial"/>
        </w:rPr>
        <w:t xml:space="preserve"> (v nadaljevanju: ETA)</w:t>
      </w:r>
      <w:r w:rsidRPr="00F85C73">
        <w:rPr>
          <w:rFonts w:ascii="Arial" w:hAnsi="Arial" w:cs="Arial"/>
        </w:rPr>
        <w:t xml:space="preserve">, izdelanih na podlagi EAD iz Uredbe 305/2011, do 8. </w:t>
      </w:r>
      <w:r w:rsidR="00F85C73">
        <w:rPr>
          <w:rFonts w:ascii="Arial" w:hAnsi="Arial" w:cs="Arial"/>
        </w:rPr>
        <w:t>januarja</w:t>
      </w:r>
      <w:r w:rsidRPr="00F85C73">
        <w:rPr>
          <w:rFonts w:ascii="Arial" w:hAnsi="Arial" w:cs="Arial"/>
        </w:rPr>
        <w:t xml:space="preserve"> 2036.</w:t>
      </w:r>
    </w:p>
    <w:p w14:paraId="45405405" w14:textId="27CF71D5" w:rsidR="003627F3" w:rsidRPr="00F85C73" w:rsidRDefault="003627F3" w:rsidP="00F85C73">
      <w:pPr>
        <w:rPr>
          <w:rFonts w:ascii="Arial" w:hAnsi="Arial" w:cs="Arial"/>
          <w:b/>
          <w:bCs/>
        </w:rPr>
      </w:pPr>
      <w:r w:rsidRPr="00F85C73">
        <w:rPr>
          <w:rFonts w:ascii="Arial" w:hAnsi="Arial" w:cs="Arial"/>
          <w:b/>
          <w:bCs/>
        </w:rPr>
        <w:t xml:space="preserve">Proizvodi, dani na trg na podlagi ETA, za katero sklic na pripadajoči EAD ni bil nikoli objavljen pod Uredbo 305/2011: te ETA bodo po 8. </w:t>
      </w:r>
      <w:r w:rsidR="00F85C73">
        <w:rPr>
          <w:rFonts w:ascii="Arial" w:hAnsi="Arial" w:cs="Arial"/>
          <w:b/>
          <w:bCs/>
        </w:rPr>
        <w:t>januarju</w:t>
      </w:r>
      <w:r w:rsidRPr="00F85C73">
        <w:rPr>
          <w:rFonts w:ascii="Arial" w:hAnsi="Arial" w:cs="Arial"/>
          <w:b/>
          <w:bCs/>
        </w:rPr>
        <w:t xml:space="preserve"> 2026 postale zahtevki za ETA pod Uredbo 2024/3110</w:t>
      </w:r>
      <w:r w:rsidR="00F85C73">
        <w:rPr>
          <w:rFonts w:ascii="Arial" w:hAnsi="Arial" w:cs="Arial"/>
          <w:b/>
          <w:bCs/>
        </w:rPr>
        <w:t>/EU</w:t>
      </w:r>
      <w:r w:rsidRPr="00F85C73">
        <w:rPr>
          <w:rFonts w:ascii="Arial" w:hAnsi="Arial" w:cs="Arial"/>
          <w:b/>
          <w:bCs/>
        </w:rPr>
        <w:t>.</w:t>
      </w:r>
    </w:p>
    <w:sectPr w:rsidR="003627F3" w:rsidRPr="00F85C73" w:rsidSect="00F85C7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2696B" w14:textId="77777777" w:rsidR="00703CE4" w:rsidRDefault="00703CE4" w:rsidP="00F85C73">
      <w:pPr>
        <w:spacing w:after="0" w:line="240" w:lineRule="auto"/>
      </w:pPr>
      <w:r>
        <w:separator/>
      </w:r>
    </w:p>
  </w:endnote>
  <w:endnote w:type="continuationSeparator" w:id="0">
    <w:p w14:paraId="2CAFCC5D" w14:textId="77777777" w:rsidR="00703CE4" w:rsidRDefault="00703CE4" w:rsidP="00F85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epublika">
    <w:altName w:val="Times New Roman"/>
    <w:panose1 w:val="02000506040000020004"/>
    <w:charset w:val="EE"/>
    <w:family w:val="auto"/>
    <w:pitch w:val="variable"/>
    <w:sig w:usb0="A00000FF" w:usb1="4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528A6" w14:textId="77777777" w:rsidR="00703CE4" w:rsidRDefault="00703CE4" w:rsidP="00F85C73">
      <w:pPr>
        <w:spacing w:after="0" w:line="240" w:lineRule="auto"/>
      </w:pPr>
      <w:r>
        <w:separator/>
      </w:r>
    </w:p>
  </w:footnote>
  <w:footnote w:type="continuationSeparator" w:id="0">
    <w:p w14:paraId="342C2EA7" w14:textId="77777777" w:rsidR="00703CE4" w:rsidRDefault="00703CE4" w:rsidP="00F85C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pPr w:leftFromText="142" w:rightFromText="142" w:bottomFromText="6005" w:vertAnchor="page" w:horzAnchor="page" w:tblpX="925" w:tblpY="86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Grb"/>
      <w:tblDescription w:val="Grb"/>
    </w:tblPr>
    <w:tblGrid>
      <w:gridCol w:w="284"/>
    </w:tblGrid>
    <w:tr w:rsidR="00F85C73" w:rsidRPr="00F85C73" w14:paraId="3B0D8404" w14:textId="77777777" w:rsidTr="00247972">
      <w:trPr>
        <w:trHeight w:hRule="exact" w:val="737"/>
        <w:tblHeader/>
      </w:trPr>
      <w:tc>
        <w:tcPr>
          <w:tcW w:w="284" w:type="dxa"/>
        </w:tcPr>
        <w:p w14:paraId="429EBF12" w14:textId="708FB3D2" w:rsidR="00F85C73" w:rsidRPr="00F85C73" w:rsidRDefault="00F85C73" w:rsidP="00F85C73">
          <w:pPr>
            <w:rPr>
              <w:rFonts w:ascii="Republika" w:hAnsi="Republika"/>
              <w:sz w:val="60"/>
              <w:szCs w:val="60"/>
            </w:rPr>
          </w:pPr>
          <w:r w:rsidRPr="00F85C73">
            <w:rPr>
              <w:rFonts w:ascii="Republika" w:hAnsi="Republika"/>
              <w:noProof/>
              <w:sz w:val="60"/>
              <w:szCs w:val="60"/>
            </w:rPr>
            <w:drawing>
              <wp:anchor distT="0" distB="0" distL="114300" distR="114300" simplePos="0" relativeHeight="251659264" behindDoc="0" locked="0" layoutInCell="1" allowOverlap="1" wp14:anchorId="6C4426AA" wp14:editId="64D7D5C6">
                <wp:simplePos x="0" y="0"/>
                <wp:positionH relativeFrom="column">
                  <wp:posOffset>-165906</wp:posOffset>
                </wp:positionH>
                <wp:positionV relativeFrom="paragraph">
                  <wp:posOffset>-141605</wp:posOffset>
                </wp:positionV>
                <wp:extent cx="302895" cy="344805"/>
                <wp:effectExtent l="0" t="0" r="1905" b="0"/>
                <wp:wrapNone/>
                <wp:docPr id="429648536" name="Slika 429648536" descr="GRB" title="G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2895" cy="344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5F14F90B" w14:textId="77777777" w:rsidR="00F85C73" w:rsidRPr="00F85C73" w:rsidRDefault="00F85C73" w:rsidP="00F85C73">
          <w:pPr>
            <w:rPr>
              <w:rFonts w:ascii="Republika" w:hAnsi="Republika"/>
              <w:sz w:val="60"/>
              <w:szCs w:val="60"/>
            </w:rPr>
          </w:pPr>
        </w:p>
        <w:p w14:paraId="42A2FD3A" w14:textId="77777777" w:rsidR="00F85C73" w:rsidRPr="00F85C73" w:rsidRDefault="00F85C73" w:rsidP="00F85C73">
          <w:pPr>
            <w:rPr>
              <w:rFonts w:ascii="Republika" w:hAnsi="Republika"/>
              <w:sz w:val="60"/>
              <w:szCs w:val="60"/>
            </w:rPr>
          </w:pPr>
        </w:p>
        <w:p w14:paraId="01D978EF" w14:textId="77777777" w:rsidR="00F85C73" w:rsidRPr="00F85C73" w:rsidRDefault="00F85C73" w:rsidP="00F85C73">
          <w:pPr>
            <w:rPr>
              <w:rFonts w:ascii="Republika" w:hAnsi="Republika"/>
              <w:sz w:val="60"/>
              <w:szCs w:val="60"/>
            </w:rPr>
          </w:pPr>
        </w:p>
        <w:p w14:paraId="0F011AA8" w14:textId="77777777" w:rsidR="00F85C73" w:rsidRPr="00F85C73" w:rsidRDefault="00F85C73" w:rsidP="00F85C73">
          <w:pPr>
            <w:rPr>
              <w:rFonts w:ascii="Republika" w:hAnsi="Republika"/>
              <w:sz w:val="60"/>
              <w:szCs w:val="60"/>
            </w:rPr>
          </w:pPr>
        </w:p>
        <w:p w14:paraId="38684A7E" w14:textId="77777777" w:rsidR="00F85C73" w:rsidRPr="00F85C73" w:rsidRDefault="00F85C73" w:rsidP="00F85C73">
          <w:pPr>
            <w:rPr>
              <w:rFonts w:ascii="Republika" w:hAnsi="Republika"/>
              <w:sz w:val="60"/>
              <w:szCs w:val="60"/>
            </w:rPr>
          </w:pPr>
        </w:p>
        <w:p w14:paraId="13FE9BBE" w14:textId="77777777" w:rsidR="00F85C73" w:rsidRPr="00F85C73" w:rsidRDefault="00F85C73" w:rsidP="00F85C73">
          <w:pPr>
            <w:rPr>
              <w:rFonts w:ascii="Republika" w:hAnsi="Republika"/>
              <w:sz w:val="60"/>
              <w:szCs w:val="60"/>
            </w:rPr>
          </w:pPr>
        </w:p>
        <w:p w14:paraId="29A984F1" w14:textId="77777777" w:rsidR="00F85C73" w:rsidRPr="00F85C73" w:rsidRDefault="00F85C73" w:rsidP="00F85C73">
          <w:pPr>
            <w:rPr>
              <w:rFonts w:ascii="Republika" w:hAnsi="Republika"/>
              <w:sz w:val="60"/>
              <w:szCs w:val="60"/>
            </w:rPr>
          </w:pPr>
        </w:p>
        <w:p w14:paraId="675DDEE0" w14:textId="77777777" w:rsidR="00F85C73" w:rsidRPr="00F85C73" w:rsidRDefault="00F85C73" w:rsidP="00F85C73">
          <w:pPr>
            <w:rPr>
              <w:rFonts w:ascii="Republika" w:hAnsi="Republika"/>
              <w:sz w:val="60"/>
              <w:szCs w:val="60"/>
            </w:rPr>
          </w:pPr>
        </w:p>
        <w:p w14:paraId="173C229A" w14:textId="77777777" w:rsidR="00F85C73" w:rsidRPr="00F85C73" w:rsidRDefault="00F85C73" w:rsidP="00F85C73">
          <w:pPr>
            <w:rPr>
              <w:rFonts w:ascii="Republika" w:hAnsi="Republika"/>
              <w:sz w:val="60"/>
              <w:szCs w:val="60"/>
            </w:rPr>
          </w:pPr>
        </w:p>
        <w:p w14:paraId="79081EA5" w14:textId="77777777" w:rsidR="00F85C73" w:rsidRPr="00F85C73" w:rsidRDefault="00F85C73" w:rsidP="00F85C73">
          <w:pPr>
            <w:rPr>
              <w:rFonts w:ascii="Republika" w:hAnsi="Republika"/>
              <w:sz w:val="60"/>
              <w:szCs w:val="60"/>
            </w:rPr>
          </w:pPr>
        </w:p>
        <w:p w14:paraId="478CA2B1" w14:textId="77777777" w:rsidR="00F85C73" w:rsidRPr="00F85C73" w:rsidRDefault="00F85C73" w:rsidP="00F85C73">
          <w:pPr>
            <w:rPr>
              <w:rFonts w:ascii="Republika" w:hAnsi="Republika"/>
              <w:sz w:val="60"/>
              <w:szCs w:val="60"/>
            </w:rPr>
          </w:pPr>
        </w:p>
        <w:p w14:paraId="794A38CA" w14:textId="77777777" w:rsidR="00F85C73" w:rsidRPr="00F85C73" w:rsidRDefault="00F85C73" w:rsidP="00F85C73">
          <w:pPr>
            <w:rPr>
              <w:rFonts w:ascii="Republika" w:hAnsi="Republika"/>
              <w:sz w:val="60"/>
              <w:szCs w:val="60"/>
            </w:rPr>
          </w:pPr>
        </w:p>
        <w:p w14:paraId="2F718B14" w14:textId="77777777" w:rsidR="00F85C73" w:rsidRPr="00F85C73" w:rsidRDefault="00F85C73" w:rsidP="00F85C73">
          <w:pPr>
            <w:rPr>
              <w:rFonts w:ascii="Republika" w:hAnsi="Republika"/>
              <w:sz w:val="60"/>
              <w:szCs w:val="60"/>
            </w:rPr>
          </w:pPr>
        </w:p>
        <w:p w14:paraId="31F1551C" w14:textId="77777777" w:rsidR="00F85C73" w:rsidRPr="00F85C73" w:rsidRDefault="00F85C73" w:rsidP="00F85C73">
          <w:pPr>
            <w:rPr>
              <w:rFonts w:ascii="Republika" w:hAnsi="Republika"/>
              <w:sz w:val="60"/>
              <w:szCs w:val="60"/>
            </w:rPr>
          </w:pPr>
        </w:p>
        <w:p w14:paraId="125ADAA8" w14:textId="77777777" w:rsidR="00F85C73" w:rsidRPr="00F85C73" w:rsidRDefault="00F85C73" w:rsidP="00F85C73">
          <w:pPr>
            <w:rPr>
              <w:rFonts w:ascii="Republika" w:hAnsi="Republika"/>
              <w:sz w:val="60"/>
              <w:szCs w:val="60"/>
            </w:rPr>
          </w:pPr>
        </w:p>
        <w:p w14:paraId="42831D72" w14:textId="77777777" w:rsidR="00F85C73" w:rsidRPr="00F85C73" w:rsidRDefault="00F85C73" w:rsidP="00F85C73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108E72FC" w14:textId="1B6AF041" w:rsidR="00F85C73" w:rsidRPr="00F85C73" w:rsidRDefault="00F85C73" w:rsidP="00F85C73">
    <w:pPr>
      <w:autoSpaceDE w:val="0"/>
      <w:autoSpaceDN w:val="0"/>
      <w:adjustRightInd w:val="0"/>
      <w:spacing w:after="0" w:line="240" w:lineRule="auto"/>
      <w:rPr>
        <w:rFonts w:ascii="Republika" w:hAnsi="Republika"/>
      </w:rPr>
    </w:pPr>
    <w:r w:rsidRPr="00F85C73">
      <w:rPr>
        <w:rFonts w:ascii="Republika" w:hAnsi="Republika"/>
      </w:rPr>
      <w:t>REPUBLIKA SLOVENIJA</w:t>
    </w:r>
  </w:p>
  <w:p w14:paraId="43DDE5BE" w14:textId="77777777" w:rsidR="00F85C73" w:rsidRPr="00F85C73" w:rsidRDefault="00F85C73" w:rsidP="00F85C73">
    <w:pPr>
      <w:pStyle w:val="Glava"/>
      <w:tabs>
        <w:tab w:val="left" w:pos="5112"/>
      </w:tabs>
      <w:spacing w:after="120" w:line="240" w:lineRule="exact"/>
      <w:rPr>
        <w:rFonts w:ascii="Republika" w:hAnsi="Republika"/>
        <w:b/>
        <w:caps/>
      </w:rPr>
    </w:pPr>
    <w:r w:rsidRPr="00F85C73">
      <w:rPr>
        <w:rFonts w:ascii="Republika" w:hAnsi="Republika"/>
        <w:b/>
        <w:caps/>
      </w:rPr>
      <w:t>Ministrstvo za gospodarsTVO, TURIZEM IN ŠPORT</w:t>
    </w:r>
  </w:p>
  <w:p w14:paraId="32C38CB5" w14:textId="77777777" w:rsidR="00F85C73" w:rsidRPr="00F85C73" w:rsidRDefault="00F85C73" w:rsidP="00F85C73">
    <w:pPr>
      <w:pStyle w:val="Glava"/>
      <w:tabs>
        <w:tab w:val="left" w:pos="5112"/>
      </w:tabs>
      <w:spacing w:after="120" w:line="240" w:lineRule="exact"/>
      <w:rPr>
        <w:rFonts w:ascii="Republika" w:hAnsi="Republika"/>
      </w:rPr>
    </w:pPr>
    <w:r w:rsidRPr="00F85C73">
      <w:rPr>
        <w:rFonts w:ascii="Republika" w:hAnsi="Republika"/>
      </w:rPr>
      <w:t>DIREKTORAT ZA NOTRANJI TRG</w:t>
    </w:r>
  </w:p>
  <w:p w14:paraId="23576ED8" w14:textId="55D37B84" w:rsidR="00F85C73" w:rsidRPr="00F85C73" w:rsidRDefault="00F85C73" w:rsidP="00F85C73">
    <w:pPr>
      <w:pStyle w:val="Glava"/>
      <w:tabs>
        <w:tab w:val="left" w:pos="5112"/>
      </w:tabs>
      <w:spacing w:after="120" w:line="240" w:lineRule="exact"/>
      <w:rPr>
        <w:rFonts w:ascii="Republika" w:hAnsi="Republika"/>
      </w:rPr>
    </w:pPr>
    <w:r w:rsidRPr="00F85C73">
      <w:rPr>
        <w:rFonts w:ascii="Republika" w:hAnsi="Republika"/>
      </w:rPr>
      <w:t>Sektor za prost pretok blaga in storitev</w:t>
    </w:r>
  </w:p>
  <w:p w14:paraId="3196A278" w14:textId="77777777" w:rsidR="00F85C73" w:rsidRPr="00F85C73" w:rsidRDefault="00F85C73">
    <w:pPr>
      <w:pStyle w:val="Glava"/>
      <w:rPr>
        <w:rFonts w:ascii="Republika" w:hAnsi="Republik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21C3A"/>
    <w:multiLevelType w:val="hybridMultilevel"/>
    <w:tmpl w:val="39ACF4A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B23A85"/>
    <w:multiLevelType w:val="hybridMultilevel"/>
    <w:tmpl w:val="DD80151E"/>
    <w:lvl w:ilvl="0" w:tplc="F84ABEC4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A21B40"/>
    <w:multiLevelType w:val="hybridMultilevel"/>
    <w:tmpl w:val="953CA28C"/>
    <w:lvl w:ilvl="0" w:tplc="53C068DE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935169"/>
    <w:multiLevelType w:val="hybridMultilevel"/>
    <w:tmpl w:val="DDEC25D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AB6442"/>
    <w:multiLevelType w:val="hybridMultilevel"/>
    <w:tmpl w:val="3352496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9139807">
    <w:abstractNumId w:val="2"/>
  </w:num>
  <w:num w:numId="2" w16cid:durableId="699165947">
    <w:abstractNumId w:val="1"/>
  </w:num>
  <w:num w:numId="3" w16cid:durableId="1678733094">
    <w:abstractNumId w:val="4"/>
  </w:num>
  <w:num w:numId="4" w16cid:durableId="600527173">
    <w:abstractNumId w:val="0"/>
  </w:num>
  <w:num w:numId="5" w16cid:durableId="8662144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4EE"/>
    <w:rsid w:val="000701F8"/>
    <w:rsid w:val="001E6DD9"/>
    <w:rsid w:val="002324F8"/>
    <w:rsid w:val="00250895"/>
    <w:rsid w:val="003300A9"/>
    <w:rsid w:val="003627F3"/>
    <w:rsid w:val="004E29E4"/>
    <w:rsid w:val="006723B7"/>
    <w:rsid w:val="006F2EAD"/>
    <w:rsid w:val="00703CE4"/>
    <w:rsid w:val="0071740E"/>
    <w:rsid w:val="008E077E"/>
    <w:rsid w:val="009C52BF"/>
    <w:rsid w:val="009E5C30"/>
    <w:rsid w:val="00A05C59"/>
    <w:rsid w:val="00AB587A"/>
    <w:rsid w:val="00AC6774"/>
    <w:rsid w:val="00BE0987"/>
    <w:rsid w:val="00C05913"/>
    <w:rsid w:val="00C95FCB"/>
    <w:rsid w:val="00E834EE"/>
    <w:rsid w:val="00F6249D"/>
    <w:rsid w:val="00F85C73"/>
    <w:rsid w:val="00FC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5268A"/>
  <w15:chartTrackingRefBased/>
  <w15:docId w15:val="{1795ED7A-D6B8-4DE8-AF00-1BE1E4339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F2EAD"/>
  </w:style>
  <w:style w:type="paragraph" w:styleId="Naslov1">
    <w:name w:val="heading 1"/>
    <w:basedOn w:val="Navaden"/>
    <w:next w:val="Navaden"/>
    <w:link w:val="Naslov1Znak"/>
    <w:uiPriority w:val="9"/>
    <w:qFormat/>
    <w:rsid w:val="00E834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834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834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E834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E834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E834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E834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E834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E834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834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E834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E834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834E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E834EE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E834EE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E834EE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E834EE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E834E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E834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E834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E834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E834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E834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E834EE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E834EE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E834EE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E834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E834EE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E834EE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nhideWhenUsed/>
    <w:rsid w:val="00F85C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F85C73"/>
  </w:style>
  <w:style w:type="paragraph" w:styleId="Noga">
    <w:name w:val="footer"/>
    <w:basedOn w:val="Navaden"/>
    <w:link w:val="NogaZnak"/>
    <w:uiPriority w:val="99"/>
    <w:unhideWhenUsed/>
    <w:rsid w:val="00F85C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85C73"/>
  </w:style>
  <w:style w:type="table" w:styleId="Tabelamrea">
    <w:name w:val="Table Grid"/>
    <w:basedOn w:val="Navadnatabela"/>
    <w:rsid w:val="00F85C7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1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Mozetič Lackovič</dc:creator>
  <cp:keywords/>
  <dc:description/>
  <cp:lastModifiedBy>MiP</cp:lastModifiedBy>
  <cp:revision>11</cp:revision>
  <dcterms:created xsi:type="dcterms:W3CDTF">2025-12-09T12:54:00Z</dcterms:created>
  <dcterms:modified xsi:type="dcterms:W3CDTF">2026-06-03T09:05:00Z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a3cf7de0-e212-4830-b619-ea9a74c0abc3</vt:lpwstr>
  </property>
</Properties>
</file>