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CEA5C" w14:textId="77777777" w:rsidR="000755BA" w:rsidRDefault="000755BA">
      <w:pPr>
        <w:pBdr>
          <w:top w:val="nil"/>
          <w:left w:val="nil"/>
          <w:bottom w:val="nil"/>
          <w:right w:val="nil"/>
          <w:between w:val="nil"/>
        </w:pBdr>
        <w:spacing w:line="276" w:lineRule="auto"/>
        <w:jc w:val="right"/>
        <w:rPr>
          <w:rFonts w:ascii="Arial" w:eastAsia="Arial" w:hAnsi="Arial" w:cs="Arial"/>
          <w:color w:val="000000"/>
          <w:sz w:val="22"/>
          <w:szCs w:val="22"/>
        </w:rPr>
      </w:pPr>
    </w:p>
    <w:p w14:paraId="7F3780FE" w14:textId="77777777" w:rsidR="000755BA" w:rsidRDefault="000755BA">
      <w:pPr>
        <w:pBdr>
          <w:top w:val="nil"/>
          <w:left w:val="nil"/>
          <w:bottom w:val="nil"/>
          <w:right w:val="nil"/>
          <w:between w:val="nil"/>
        </w:pBdr>
        <w:spacing w:line="276" w:lineRule="auto"/>
        <w:jc w:val="both"/>
        <w:rPr>
          <w:rFonts w:ascii="Arial" w:eastAsia="Arial" w:hAnsi="Arial" w:cs="Arial"/>
          <w:color w:val="000000"/>
          <w:sz w:val="22"/>
          <w:szCs w:val="22"/>
        </w:rPr>
      </w:pPr>
    </w:p>
    <w:p w14:paraId="0F5C8B9C" w14:textId="77777777" w:rsidR="000755BA" w:rsidRDefault="000755BA">
      <w:pPr>
        <w:pBdr>
          <w:top w:val="nil"/>
          <w:left w:val="nil"/>
          <w:bottom w:val="nil"/>
          <w:right w:val="nil"/>
          <w:between w:val="nil"/>
        </w:pBdr>
        <w:spacing w:line="276" w:lineRule="auto"/>
        <w:jc w:val="both"/>
        <w:rPr>
          <w:rFonts w:ascii="Arial" w:eastAsia="Arial" w:hAnsi="Arial" w:cs="Arial"/>
          <w:color w:val="000000"/>
          <w:sz w:val="22"/>
          <w:szCs w:val="22"/>
        </w:rPr>
      </w:pPr>
    </w:p>
    <w:p w14:paraId="6C64928C" w14:textId="77777777" w:rsidR="000755BA" w:rsidRDefault="000755BA">
      <w:pPr>
        <w:pBdr>
          <w:top w:val="nil"/>
          <w:left w:val="nil"/>
          <w:bottom w:val="nil"/>
          <w:right w:val="nil"/>
          <w:between w:val="nil"/>
        </w:pBdr>
        <w:spacing w:line="276" w:lineRule="auto"/>
        <w:jc w:val="both"/>
        <w:rPr>
          <w:rFonts w:ascii="Arial" w:eastAsia="Arial" w:hAnsi="Arial" w:cs="Arial"/>
          <w:color w:val="000000"/>
          <w:sz w:val="22"/>
          <w:szCs w:val="22"/>
        </w:rPr>
      </w:pPr>
    </w:p>
    <w:p w14:paraId="6956EB82" w14:textId="77777777" w:rsidR="000755BA" w:rsidRDefault="000755BA">
      <w:pPr>
        <w:pBdr>
          <w:top w:val="nil"/>
          <w:left w:val="nil"/>
          <w:bottom w:val="nil"/>
          <w:right w:val="nil"/>
          <w:between w:val="nil"/>
        </w:pBdr>
        <w:spacing w:line="276" w:lineRule="auto"/>
        <w:jc w:val="both"/>
        <w:rPr>
          <w:rFonts w:ascii="Arial" w:eastAsia="Arial" w:hAnsi="Arial" w:cs="Arial"/>
          <w:color w:val="000000"/>
          <w:sz w:val="22"/>
          <w:szCs w:val="22"/>
        </w:rPr>
      </w:pPr>
    </w:p>
    <w:p w14:paraId="4695D4BC"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36"/>
          <w:szCs w:val="36"/>
        </w:rPr>
      </w:pPr>
    </w:p>
    <w:p w14:paraId="7D0F0975"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36"/>
          <w:szCs w:val="36"/>
        </w:rPr>
      </w:pPr>
    </w:p>
    <w:p w14:paraId="44EAD38D"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36"/>
          <w:szCs w:val="36"/>
        </w:rPr>
      </w:pPr>
    </w:p>
    <w:p w14:paraId="7FC2A069" w14:textId="77777777" w:rsidR="000755BA" w:rsidRDefault="00EF1395">
      <w:pPr>
        <w:pBdr>
          <w:top w:val="nil"/>
          <w:left w:val="nil"/>
          <w:bottom w:val="nil"/>
          <w:right w:val="nil"/>
          <w:between w:val="nil"/>
        </w:pBdr>
        <w:spacing w:line="276" w:lineRule="auto"/>
        <w:jc w:val="center"/>
        <w:rPr>
          <w:rFonts w:ascii="Arial" w:eastAsia="Arial" w:hAnsi="Arial" w:cs="Arial"/>
          <w:color w:val="000000"/>
          <w:sz w:val="32"/>
          <w:szCs w:val="32"/>
        </w:rPr>
      </w:pPr>
      <w:r>
        <w:rPr>
          <w:rFonts w:ascii="Arial" w:eastAsia="Arial" w:hAnsi="Arial" w:cs="Arial"/>
          <w:b/>
          <w:bCs/>
          <w:color w:val="000000"/>
          <w:sz w:val="32"/>
          <w:szCs w:val="32"/>
        </w:rPr>
        <w:t>RAZPISNA DOKUMENTACIJA</w:t>
      </w:r>
    </w:p>
    <w:p w14:paraId="6890D454" w14:textId="77777777" w:rsidR="000755BA" w:rsidRDefault="000755BA">
      <w:pPr>
        <w:pBdr>
          <w:top w:val="nil"/>
          <w:left w:val="nil"/>
          <w:bottom w:val="nil"/>
          <w:right w:val="nil"/>
          <w:between w:val="nil"/>
        </w:pBdr>
        <w:spacing w:line="276" w:lineRule="auto"/>
        <w:rPr>
          <w:rFonts w:ascii="Arial" w:eastAsia="Arial" w:hAnsi="Arial" w:cs="Arial"/>
          <w:color w:val="000000"/>
          <w:sz w:val="32"/>
          <w:szCs w:val="32"/>
        </w:rPr>
      </w:pPr>
    </w:p>
    <w:p w14:paraId="172E81D8" w14:textId="77777777" w:rsidR="000755BA" w:rsidRDefault="00EF1395">
      <w:pPr>
        <w:pBdr>
          <w:top w:val="nil"/>
          <w:left w:val="nil"/>
          <w:bottom w:val="nil"/>
          <w:right w:val="nil"/>
          <w:between w:val="nil"/>
        </w:pBdr>
        <w:spacing w:line="276" w:lineRule="auto"/>
        <w:jc w:val="center"/>
        <w:rPr>
          <w:rFonts w:ascii="Arial" w:eastAsia="Arial" w:hAnsi="Arial" w:cs="Arial"/>
          <w:color w:val="000000"/>
          <w:sz w:val="32"/>
          <w:szCs w:val="32"/>
        </w:rPr>
      </w:pPr>
      <w:r>
        <w:rPr>
          <w:rFonts w:ascii="Arial" w:eastAsia="Arial" w:hAnsi="Arial" w:cs="Arial"/>
          <w:b/>
          <w:bCs/>
          <w:color w:val="000000"/>
          <w:sz w:val="32"/>
          <w:szCs w:val="32"/>
        </w:rPr>
        <w:t>za</w:t>
      </w:r>
    </w:p>
    <w:p w14:paraId="6E380173"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32"/>
          <w:szCs w:val="32"/>
        </w:rPr>
      </w:pPr>
      <w:bookmarkStart w:id="0" w:name="_isp6gf5fkb9x" w:colFirst="0" w:colLast="0"/>
      <w:bookmarkEnd w:id="0"/>
    </w:p>
    <w:p w14:paraId="759C8BA4" w14:textId="77777777" w:rsidR="000755BA" w:rsidRDefault="00EF1395">
      <w:pPr>
        <w:pBdr>
          <w:top w:val="nil"/>
          <w:left w:val="nil"/>
          <w:bottom w:val="nil"/>
          <w:right w:val="nil"/>
          <w:between w:val="nil"/>
        </w:pBdr>
        <w:spacing w:line="276" w:lineRule="auto"/>
        <w:jc w:val="center"/>
        <w:rPr>
          <w:rFonts w:ascii="Arial" w:eastAsia="Arial" w:hAnsi="Arial" w:cs="Arial"/>
          <w:color w:val="000000"/>
          <w:sz w:val="32"/>
          <w:szCs w:val="32"/>
        </w:rPr>
      </w:pPr>
      <w:r>
        <w:rPr>
          <w:rFonts w:ascii="Arial" w:eastAsia="Arial" w:hAnsi="Arial" w:cs="Arial"/>
          <w:b/>
          <w:bCs/>
          <w:color w:val="000000"/>
          <w:sz w:val="32"/>
          <w:szCs w:val="32"/>
        </w:rPr>
        <w:t xml:space="preserve">Javni razpis za trajnostni razvoj in upravljanje turističnih destinacij </w:t>
      </w:r>
    </w:p>
    <w:p w14:paraId="11A5FDF4" w14:textId="77777777" w:rsidR="000755BA" w:rsidRDefault="000755BA">
      <w:pPr>
        <w:pBdr>
          <w:top w:val="nil"/>
          <w:left w:val="nil"/>
          <w:bottom w:val="nil"/>
          <w:right w:val="nil"/>
          <w:between w:val="nil"/>
        </w:pBdr>
        <w:spacing w:after="200" w:line="276" w:lineRule="auto"/>
        <w:jc w:val="center"/>
        <w:rPr>
          <w:rFonts w:ascii="Arial" w:eastAsia="Arial" w:hAnsi="Arial" w:cs="Arial"/>
          <w:color w:val="000000"/>
          <w:sz w:val="32"/>
          <w:szCs w:val="32"/>
        </w:rPr>
      </w:pPr>
    </w:p>
    <w:p w14:paraId="280C385B"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36"/>
          <w:szCs w:val="36"/>
        </w:rPr>
      </w:pPr>
    </w:p>
    <w:p w14:paraId="77DAD62B"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22"/>
          <w:szCs w:val="22"/>
        </w:rPr>
      </w:pPr>
    </w:p>
    <w:p w14:paraId="21572B08"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22"/>
          <w:szCs w:val="22"/>
        </w:rPr>
      </w:pPr>
    </w:p>
    <w:p w14:paraId="281A8BAE"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22"/>
          <w:szCs w:val="22"/>
        </w:rPr>
      </w:pPr>
    </w:p>
    <w:p w14:paraId="1D6D476A"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22"/>
          <w:szCs w:val="22"/>
        </w:rPr>
      </w:pPr>
    </w:p>
    <w:p w14:paraId="04595FA4"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22"/>
          <w:szCs w:val="22"/>
        </w:rPr>
      </w:pPr>
    </w:p>
    <w:p w14:paraId="73B6B78B"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22"/>
          <w:szCs w:val="22"/>
        </w:rPr>
      </w:pPr>
    </w:p>
    <w:p w14:paraId="43AC4CB4"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22"/>
          <w:szCs w:val="22"/>
        </w:rPr>
      </w:pPr>
    </w:p>
    <w:p w14:paraId="44075CF2"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22"/>
          <w:szCs w:val="22"/>
        </w:rPr>
      </w:pPr>
    </w:p>
    <w:p w14:paraId="69859BA9" w14:textId="77777777" w:rsidR="000755BA" w:rsidRDefault="000755BA">
      <w:pPr>
        <w:pBdr>
          <w:top w:val="nil"/>
          <w:left w:val="nil"/>
          <w:bottom w:val="nil"/>
          <w:right w:val="nil"/>
          <w:between w:val="nil"/>
        </w:pBdr>
        <w:spacing w:line="276" w:lineRule="auto"/>
        <w:jc w:val="center"/>
        <w:rPr>
          <w:rFonts w:ascii="Arial" w:eastAsia="Arial" w:hAnsi="Arial" w:cs="Arial"/>
          <w:color w:val="000000"/>
          <w:sz w:val="22"/>
          <w:szCs w:val="22"/>
        </w:rPr>
      </w:pPr>
    </w:p>
    <w:p w14:paraId="45B183E0" w14:textId="77777777" w:rsidR="000755BA" w:rsidRDefault="00EF1395">
      <w:pPr>
        <w:pBdr>
          <w:top w:val="nil"/>
          <w:left w:val="nil"/>
          <w:bottom w:val="nil"/>
          <w:right w:val="nil"/>
          <w:between w:val="nil"/>
        </w:pBdr>
        <w:spacing w:line="276" w:lineRule="auto"/>
        <w:jc w:val="both"/>
        <w:rPr>
          <w:rFonts w:ascii="Arial" w:eastAsia="Arial" w:hAnsi="Arial" w:cs="Arial"/>
          <w:color w:val="000000"/>
          <w:sz w:val="24"/>
          <w:szCs w:val="24"/>
        </w:rPr>
      </w:pPr>
      <w:r>
        <w:br w:type="page"/>
      </w:r>
      <w:r>
        <w:rPr>
          <w:rFonts w:ascii="Arial" w:eastAsia="Arial" w:hAnsi="Arial" w:cs="Arial"/>
          <w:b/>
          <w:bCs/>
          <w:color w:val="000000"/>
          <w:sz w:val="24"/>
          <w:szCs w:val="24"/>
        </w:rPr>
        <w:lastRenderedPageBreak/>
        <w:t>KAZALO</w:t>
      </w:r>
    </w:p>
    <w:p w14:paraId="461D0E47"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63B994D4" w14:textId="77777777" w:rsidR="000755BA" w:rsidRDefault="000755BA">
      <w:pPr>
        <w:pBdr>
          <w:top w:val="nil"/>
          <w:left w:val="nil"/>
          <w:bottom w:val="nil"/>
          <w:right w:val="nil"/>
          <w:between w:val="nil"/>
        </w:pBdr>
        <w:spacing w:line="276" w:lineRule="auto"/>
        <w:rPr>
          <w:rFonts w:ascii="Arial" w:eastAsia="Arial" w:hAnsi="Arial" w:cs="Arial"/>
          <w:color w:val="000000"/>
        </w:rPr>
      </w:pPr>
    </w:p>
    <w:sdt>
      <w:sdtPr>
        <w:rPr>
          <w:rFonts w:ascii="Arial" w:eastAsia="Calibri" w:hAnsi="Arial" w:cs="Arial"/>
          <w:color w:val="auto"/>
          <w:sz w:val="20"/>
          <w:szCs w:val="20"/>
          <w:lang w:val="sl"/>
        </w:rPr>
        <w:id w:val="55211512"/>
        <w:docPartObj>
          <w:docPartGallery w:val="Table of Contents"/>
          <w:docPartUnique/>
        </w:docPartObj>
      </w:sdtPr>
      <w:sdtEndPr>
        <w:rPr>
          <w:b/>
          <w:bCs/>
        </w:rPr>
      </w:sdtEndPr>
      <w:sdtContent>
        <w:p w14:paraId="1F03CE27" w14:textId="54CD45F8" w:rsidR="0016168B" w:rsidRPr="008F1114" w:rsidRDefault="0016168B">
          <w:pPr>
            <w:pStyle w:val="NaslovTOC"/>
            <w:rPr>
              <w:rFonts w:ascii="Arial" w:hAnsi="Arial" w:cs="Arial"/>
              <w:sz w:val="20"/>
              <w:szCs w:val="20"/>
            </w:rPr>
          </w:pPr>
        </w:p>
        <w:p w14:paraId="4B3777C5" w14:textId="401608B6" w:rsidR="001F7C6A" w:rsidRPr="001F7C6A" w:rsidRDefault="0016168B">
          <w:pPr>
            <w:pStyle w:val="Kazalovsebine1"/>
            <w:tabs>
              <w:tab w:val="right" w:leader="dot" w:pos="9060"/>
            </w:tabs>
            <w:rPr>
              <w:rFonts w:ascii="Arial" w:eastAsiaTheme="minorEastAsia" w:hAnsi="Arial" w:cs="Arial"/>
              <w:noProof/>
              <w:kern w:val="2"/>
              <w:lang w:val="sl-SI"/>
              <w14:ligatures w14:val="standardContextual"/>
            </w:rPr>
          </w:pPr>
          <w:r w:rsidRPr="001F7C6A">
            <w:rPr>
              <w:rFonts w:ascii="Arial" w:hAnsi="Arial" w:cs="Arial"/>
            </w:rPr>
            <w:fldChar w:fldCharType="begin"/>
          </w:r>
          <w:r w:rsidRPr="001F7C6A">
            <w:rPr>
              <w:rFonts w:ascii="Arial" w:hAnsi="Arial" w:cs="Arial"/>
            </w:rPr>
            <w:instrText xml:space="preserve"> TOC \o "1-3" \h \z \u </w:instrText>
          </w:r>
          <w:r w:rsidRPr="001F7C6A">
            <w:rPr>
              <w:rFonts w:ascii="Arial" w:hAnsi="Arial" w:cs="Arial"/>
            </w:rPr>
            <w:fldChar w:fldCharType="separate"/>
          </w:r>
          <w:hyperlink w:anchor="_Toc239072446" w:history="1">
            <w:r w:rsidR="001F7C6A" w:rsidRPr="001F7C6A">
              <w:rPr>
                <w:rStyle w:val="Hiperpovezava"/>
                <w:rFonts w:ascii="Arial" w:hAnsi="Arial" w:cs="Arial"/>
                <w:noProof/>
              </w:rPr>
              <w:t>UVOD</w:t>
            </w:r>
            <w:r w:rsidR="001F7C6A" w:rsidRPr="001F7C6A">
              <w:rPr>
                <w:rFonts w:ascii="Arial" w:hAnsi="Arial" w:cs="Arial"/>
                <w:noProof/>
                <w:webHidden/>
              </w:rPr>
              <w:tab/>
            </w:r>
            <w:r w:rsidR="001F7C6A" w:rsidRPr="001F7C6A">
              <w:rPr>
                <w:rFonts w:ascii="Arial" w:hAnsi="Arial" w:cs="Arial"/>
                <w:noProof/>
                <w:webHidden/>
              </w:rPr>
              <w:fldChar w:fldCharType="begin"/>
            </w:r>
            <w:r w:rsidR="001F7C6A" w:rsidRPr="001F7C6A">
              <w:rPr>
                <w:rFonts w:ascii="Arial" w:hAnsi="Arial" w:cs="Arial"/>
                <w:noProof/>
                <w:webHidden/>
              </w:rPr>
              <w:instrText xml:space="preserve"> PAGEREF _Toc239072446 \h </w:instrText>
            </w:r>
            <w:r w:rsidR="001F7C6A" w:rsidRPr="001F7C6A">
              <w:rPr>
                <w:rFonts w:ascii="Arial" w:hAnsi="Arial" w:cs="Arial"/>
                <w:noProof/>
                <w:webHidden/>
              </w:rPr>
            </w:r>
            <w:r w:rsidR="001F7C6A" w:rsidRPr="001F7C6A">
              <w:rPr>
                <w:rFonts w:ascii="Arial" w:hAnsi="Arial" w:cs="Arial"/>
                <w:noProof/>
                <w:webHidden/>
              </w:rPr>
              <w:fldChar w:fldCharType="separate"/>
            </w:r>
            <w:r w:rsidR="001F7C6A" w:rsidRPr="001F7C6A">
              <w:rPr>
                <w:rFonts w:ascii="Arial" w:hAnsi="Arial" w:cs="Arial"/>
                <w:noProof/>
                <w:webHidden/>
              </w:rPr>
              <w:t>4</w:t>
            </w:r>
            <w:r w:rsidR="001F7C6A" w:rsidRPr="001F7C6A">
              <w:rPr>
                <w:rFonts w:ascii="Arial" w:hAnsi="Arial" w:cs="Arial"/>
                <w:noProof/>
                <w:webHidden/>
              </w:rPr>
              <w:fldChar w:fldCharType="end"/>
            </w:r>
          </w:hyperlink>
        </w:p>
        <w:p w14:paraId="29FA92C4" w14:textId="7914C4DF" w:rsidR="001F7C6A" w:rsidRPr="001F7C6A" w:rsidRDefault="001F7C6A">
          <w:pPr>
            <w:pStyle w:val="Kazalovsebine1"/>
            <w:tabs>
              <w:tab w:val="left" w:pos="480"/>
              <w:tab w:val="right" w:leader="dot" w:pos="9060"/>
            </w:tabs>
            <w:rPr>
              <w:rFonts w:ascii="Arial" w:eastAsiaTheme="minorEastAsia" w:hAnsi="Arial" w:cs="Arial"/>
              <w:noProof/>
              <w:kern w:val="2"/>
              <w:lang w:val="sl-SI"/>
              <w14:ligatures w14:val="standardContextual"/>
            </w:rPr>
          </w:pPr>
          <w:hyperlink w:anchor="_Toc239072447" w:history="1">
            <w:r w:rsidRPr="001F7C6A">
              <w:rPr>
                <w:rStyle w:val="Hiperpovezava"/>
                <w:rFonts w:ascii="Arial" w:hAnsi="Arial" w:cs="Arial"/>
                <w:noProof/>
              </w:rPr>
              <w:t xml:space="preserve">I. </w:t>
            </w:r>
            <w:r w:rsidRPr="001F7C6A">
              <w:rPr>
                <w:rFonts w:ascii="Arial" w:eastAsiaTheme="minorEastAsia" w:hAnsi="Arial" w:cs="Arial"/>
                <w:noProof/>
                <w:kern w:val="2"/>
                <w:lang w:val="sl-SI"/>
                <w14:ligatures w14:val="standardContextual"/>
              </w:rPr>
              <w:tab/>
            </w:r>
            <w:r w:rsidRPr="001F7C6A">
              <w:rPr>
                <w:rStyle w:val="Hiperpovezava"/>
                <w:rFonts w:ascii="Arial" w:hAnsi="Arial" w:cs="Arial"/>
                <w:noProof/>
              </w:rPr>
              <w:t>VSEBINA RAZPISA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_Toc239072447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7</w:t>
            </w:r>
            <w:r w:rsidRPr="001F7C6A">
              <w:rPr>
                <w:rFonts w:ascii="Arial" w:hAnsi="Arial" w:cs="Arial"/>
                <w:noProof/>
                <w:webHidden/>
              </w:rPr>
              <w:fldChar w:fldCharType="end"/>
            </w:r>
          </w:hyperlink>
        </w:p>
        <w:p w14:paraId="0CDD26A6" w14:textId="026B206C" w:rsidR="001F7C6A" w:rsidRPr="001F7C6A" w:rsidRDefault="001F7C6A">
          <w:pPr>
            <w:pStyle w:val="Kazalovsebine2"/>
            <w:tabs>
              <w:tab w:val="left" w:pos="720"/>
              <w:tab w:val="right" w:leader="dot" w:pos="9060"/>
            </w:tabs>
            <w:rPr>
              <w:rFonts w:ascii="Arial" w:eastAsiaTheme="minorEastAsia" w:hAnsi="Arial" w:cs="Arial"/>
              <w:noProof/>
              <w:kern w:val="2"/>
              <w:lang w:val="sl-SI"/>
              <w14:ligatures w14:val="standardContextual"/>
            </w:rPr>
          </w:pPr>
          <w:hyperlink w:anchor="_Toc239072448" w:history="1">
            <w:r w:rsidRPr="001F7C6A">
              <w:rPr>
                <w:rStyle w:val="Hiperpovezava"/>
                <w:rFonts w:ascii="Arial" w:hAnsi="Arial" w:cs="Arial"/>
                <w:noProof/>
              </w:rPr>
              <w:t xml:space="preserve">1. </w:t>
            </w:r>
            <w:r w:rsidRPr="001F7C6A">
              <w:rPr>
                <w:rFonts w:ascii="Arial" w:eastAsiaTheme="minorEastAsia" w:hAnsi="Arial" w:cs="Arial"/>
                <w:noProof/>
                <w:kern w:val="2"/>
                <w:lang w:val="sl-SI"/>
                <w14:ligatures w14:val="standardContextual"/>
              </w:rPr>
              <w:tab/>
            </w:r>
            <w:r w:rsidRPr="001F7C6A">
              <w:rPr>
                <w:rStyle w:val="Hiperpovezava"/>
                <w:rFonts w:ascii="Arial" w:hAnsi="Arial" w:cs="Arial"/>
                <w:noProof/>
              </w:rPr>
              <w:t>Ime oziroma naziv in sedež posredniškega organa, ki dodeljuje sredstva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_Toc239072448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7</w:t>
            </w:r>
            <w:r w:rsidRPr="001F7C6A">
              <w:rPr>
                <w:rFonts w:ascii="Arial" w:hAnsi="Arial" w:cs="Arial"/>
                <w:noProof/>
                <w:webHidden/>
              </w:rPr>
              <w:fldChar w:fldCharType="end"/>
            </w:r>
          </w:hyperlink>
        </w:p>
        <w:p w14:paraId="1B205FAF" w14:textId="1A057C45" w:rsidR="001F7C6A" w:rsidRPr="001F7C6A" w:rsidRDefault="001F7C6A">
          <w:pPr>
            <w:pStyle w:val="Kazalovsebine2"/>
            <w:tabs>
              <w:tab w:val="left" w:pos="720"/>
              <w:tab w:val="right" w:leader="dot" w:pos="9060"/>
            </w:tabs>
            <w:rPr>
              <w:rFonts w:ascii="Arial" w:eastAsiaTheme="minorEastAsia" w:hAnsi="Arial" w:cs="Arial"/>
              <w:noProof/>
              <w:kern w:val="2"/>
              <w:lang w:val="sl-SI"/>
              <w14:ligatures w14:val="standardContextual"/>
            </w:rPr>
          </w:pPr>
          <w:hyperlink w:anchor="_Toc239072449" w:history="1">
            <w:r w:rsidRPr="001F7C6A">
              <w:rPr>
                <w:rStyle w:val="Hiperpovezava"/>
                <w:rFonts w:ascii="Arial" w:hAnsi="Arial" w:cs="Arial"/>
                <w:noProof/>
              </w:rPr>
              <w:t>2.</w:t>
            </w:r>
            <w:r w:rsidRPr="001F7C6A">
              <w:rPr>
                <w:rFonts w:ascii="Arial" w:eastAsiaTheme="minorEastAsia" w:hAnsi="Arial" w:cs="Arial"/>
                <w:noProof/>
                <w:kern w:val="2"/>
                <w:lang w:val="sl-SI"/>
                <w14:ligatures w14:val="standardContextual"/>
              </w:rPr>
              <w:tab/>
            </w:r>
            <w:r w:rsidRPr="001F7C6A">
              <w:rPr>
                <w:rStyle w:val="Hiperpovezava"/>
                <w:rFonts w:ascii="Arial" w:hAnsi="Arial" w:cs="Arial"/>
                <w:noProof/>
              </w:rPr>
              <w:t>Uvrstitev javnega razpisa v programe Evropske kohezijske politike v obdobju 2021 – 2027 v Sloveniji</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_Toc239072449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7</w:t>
            </w:r>
            <w:r w:rsidRPr="001F7C6A">
              <w:rPr>
                <w:rFonts w:ascii="Arial" w:hAnsi="Arial" w:cs="Arial"/>
                <w:noProof/>
                <w:webHidden/>
              </w:rPr>
              <w:fldChar w:fldCharType="end"/>
            </w:r>
          </w:hyperlink>
        </w:p>
        <w:p w14:paraId="44038AF3" w14:textId="5E801107" w:rsidR="001F7C6A" w:rsidRPr="001F7C6A" w:rsidRDefault="001F7C6A">
          <w:pPr>
            <w:pStyle w:val="Kazalovsebine2"/>
            <w:tabs>
              <w:tab w:val="left" w:pos="720"/>
              <w:tab w:val="right" w:leader="dot" w:pos="9060"/>
            </w:tabs>
            <w:rPr>
              <w:rFonts w:ascii="Arial" w:eastAsiaTheme="minorEastAsia" w:hAnsi="Arial" w:cs="Arial"/>
              <w:noProof/>
              <w:kern w:val="2"/>
              <w:lang w:val="sl-SI"/>
              <w14:ligatures w14:val="standardContextual"/>
            </w:rPr>
          </w:pPr>
          <w:hyperlink w:anchor="_Toc239072450" w:history="1">
            <w:r w:rsidRPr="001F7C6A">
              <w:rPr>
                <w:rStyle w:val="Hiperpovezava"/>
                <w:rFonts w:ascii="Arial" w:hAnsi="Arial" w:cs="Arial"/>
                <w:noProof/>
              </w:rPr>
              <w:t>3.</w:t>
            </w:r>
            <w:r w:rsidRPr="001F7C6A">
              <w:rPr>
                <w:rFonts w:ascii="Arial" w:eastAsiaTheme="minorEastAsia" w:hAnsi="Arial" w:cs="Arial"/>
                <w:noProof/>
                <w:kern w:val="2"/>
                <w:lang w:val="sl-SI"/>
                <w14:ligatures w14:val="standardContextual"/>
              </w:rPr>
              <w:tab/>
            </w:r>
            <w:r w:rsidRPr="001F7C6A">
              <w:rPr>
                <w:rStyle w:val="Hiperpovezava"/>
                <w:rFonts w:ascii="Arial" w:hAnsi="Arial" w:cs="Arial"/>
                <w:noProof/>
              </w:rPr>
              <w:t>Namen, cilj in predmet javnega razpisa ter regija izvajanja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_Toc239072450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7</w:t>
            </w:r>
            <w:r w:rsidRPr="001F7C6A">
              <w:rPr>
                <w:rFonts w:ascii="Arial" w:hAnsi="Arial" w:cs="Arial"/>
                <w:noProof/>
                <w:webHidden/>
              </w:rPr>
              <w:fldChar w:fldCharType="end"/>
            </w:r>
          </w:hyperlink>
        </w:p>
        <w:p w14:paraId="56F665F7" w14:textId="6DEAA252"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51" w:history="1">
            <w:r w:rsidRPr="001F7C6A">
              <w:rPr>
                <w:rStyle w:val="Hiperpovezava"/>
                <w:rFonts w:ascii="Arial" w:hAnsi="Arial" w:cs="Arial"/>
                <w:noProof/>
              </w:rPr>
              <w:t>3.1 Namen in cilj javnega razpisa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_Toc239072451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7</w:t>
            </w:r>
            <w:r w:rsidRPr="001F7C6A">
              <w:rPr>
                <w:rFonts w:ascii="Arial" w:hAnsi="Arial" w:cs="Arial"/>
                <w:noProof/>
                <w:webHidden/>
              </w:rPr>
              <w:fldChar w:fldCharType="end"/>
            </w:r>
          </w:hyperlink>
        </w:p>
        <w:p w14:paraId="45B29ED4" w14:textId="195095EB"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52" w:history="1">
            <w:r w:rsidRPr="001F7C6A">
              <w:rPr>
                <w:rStyle w:val="Hiperpovezava"/>
                <w:rFonts w:ascii="Arial" w:hAnsi="Arial" w:cs="Arial"/>
                <w:noProof/>
              </w:rPr>
              <w:t>3.2 Predmet javnega razpisa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_Toc239072452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8</w:t>
            </w:r>
            <w:r w:rsidRPr="001F7C6A">
              <w:rPr>
                <w:rFonts w:ascii="Arial" w:hAnsi="Arial" w:cs="Arial"/>
                <w:noProof/>
                <w:webHidden/>
              </w:rPr>
              <w:fldChar w:fldCharType="end"/>
            </w:r>
          </w:hyperlink>
        </w:p>
        <w:p w14:paraId="70840CA5" w14:textId="24FE4E52"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53" w:history="1">
            <w:r w:rsidRPr="001F7C6A">
              <w:rPr>
                <w:rStyle w:val="Hiperpovezava"/>
                <w:rFonts w:ascii="Arial" w:hAnsi="Arial" w:cs="Arial"/>
                <w:noProof/>
              </w:rPr>
              <w:t>3.3 Regija izvajanja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_Toc239072453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9</w:t>
            </w:r>
            <w:r w:rsidRPr="001F7C6A">
              <w:rPr>
                <w:rFonts w:ascii="Arial" w:hAnsi="Arial" w:cs="Arial"/>
                <w:noProof/>
                <w:webHidden/>
              </w:rPr>
              <w:fldChar w:fldCharType="end"/>
            </w:r>
          </w:hyperlink>
        </w:p>
        <w:p w14:paraId="14E609C9" w14:textId="2880EC47"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54" w:history="1">
            <w:r w:rsidRPr="001F7C6A">
              <w:rPr>
                <w:rStyle w:val="Hiperpovezava"/>
                <w:rFonts w:ascii="Arial" w:hAnsi="Arial" w:cs="Arial"/>
                <w:noProof/>
              </w:rPr>
              <w:t>3.4 Kazalniki javnega razpisa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_Toc239072454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9</w:t>
            </w:r>
            <w:r w:rsidRPr="001F7C6A">
              <w:rPr>
                <w:rFonts w:ascii="Arial" w:hAnsi="Arial" w:cs="Arial"/>
                <w:noProof/>
                <w:webHidden/>
              </w:rPr>
              <w:fldChar w:fldCharType="end"/>
            </w:r>
          </w:hyperlink>
        </w:p>
        <w:p w14:paraId="5812109A" w14:textId="7DA5798C"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55" w:history="1">
            <w:r w:rsidRPr="001F7C6A">
              <w:rPr>
                <w:rStyle w:val="Hiperpovezava"/>
                <w:rFonts w:ascii="Arial" w:hAnsi="Arial" w:cs="Arial"/>
                <w:noProof/>
              </w:rPr>
              <w:t>4. Upravičenci</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_Toc239072455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9</w:t>
            </w:r>
            <w:r w:rsidRPr="001F7C6A">
              <w:rPr>
                <w:rFonts w:ascii="Arial" w:hAnsi="Arial" w:cs="Arial"/>
                <w:noProof/>
                <w:webHidden/>
              </w:rPr>
              <w:fldChar w:fldCharType="end"/>
            </w:r>
          </w:hyperlink>
        </w:p>
        <w:p w14:paraId="4813C0B5" w14:textId="19CDA8DB"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56" w:history="1">
            <w:r w:rsidRPr="001F7C6A">
              <w:rPr>
                <w:rStyle w:val="Hiperpovezava"/>
                <w:rFonts w:ascii="Arial" w:hAnsi="Arial" w:cs="Arial"/>
                <w:noProof/>
              </w:rPr>
              <w:t>5. Preverjanje in dokazovanje pogojev za kandidiranje</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_Toc239072456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10</w:t>
            </w:r>
            <w:r w:rsidRPr="001F7C6A">
              <w:rPr>
                <w:rFonts w:ascii="Arial" w:hAnsi="Arial" w:cs="Arial"/>
                <w:noProof/>
                <w:webHidden/>
              </w:rPr>
              <w:fldChar w:fldCharType="end"/>
            </w:r>
          </w:hyperlink>
        </w:p>
        <w:p w14:paraId="38D4B4A6" w14:textId="2D3DB3C7"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57" w:history="1">
            <w:r w:rsidRPr="001F7C6A">
              <w:rPr>
                <w:rStyle w:val="Hiperpovezava"/>
                <w:rFonts w:ascii="Arial" w:hAnsi="Arial" w:cs="Arial"/>
                <w:noProof/>
              </w:rPr>
              <w:t>5.1 Pogoji javnega razpisa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_Toc239072457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11</w:t>
            </w:r>
            <w:r w:rsidRPr="001F7C6A">
              <w:rPr>
                <w:rFonts w:ascii="Arial" w:hAnsi="Arial" w:cs="Arial"/>
                <w:noProof/>
                <w:webHidden/>
              </w:rPr>
              <w:fldChar w:fldCharType="end"/>
            </w:r>
          </w:hyperlink>
        </w:p>
        <w:p w14:paraId="5323166D" w14:textId="6C2C451F"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58" w:history="1">
            <w:r w:rsidRPr="001F7C6A">
              <w:rPr>
                <w:rStyle w:val="Hiperpovezava"/>
                <w:rFonts w:ascii="Arial" w:hAnsi="Arial" w:cs="Arial"/>
                <w:noProof/>
              </w:rPr>
              <w:t>6. Okvirna višina sredstev, ki so na razpolago</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_Toc239072458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17</w:t>
            </w:r>
            <w:r w:rsidRPr="001F7C6A">
              <w:rPr>
                <w:rFonts w:ascii="Arial" w:hAnsi="Arial" w:cs="Arial"/>
                <w:noProof/>
                <w:webHidden/>
              </w:rPr>
              <w:fldChar w:fldCharType="end"/>
            </w:r>
          </w:hyperlink>
        </w:p>
        <w:p w14:paraId="04203070" w14:textId="2745CA27"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59" w:history="1">
            <w:r w:rsidRPr="001F7C6A">
              <w:rPr>
                <w:rStyle w:val="Hiperpovezava"/>
                <w:rFonts w:ascii="Arial" w:hAnsi="Arial" w:cs="Arial"/>
                <w:noProof/>
              </w:rPr>
              <w:t>7. Razmerje med sredstvi na postavkah namenskih sredstev EU za kohezijsko   politiko in na postavkah slovenske udeležbe za sofinanciranje kohezijske politike</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_Toc239072459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19</w:t>
            </w:r>
            <w:r w:rsidRPr="001F7C6A">
              <w:rPr>
                <w:rFonts w:ascii="Arial" w:hAnsi="Arial" w:cs="Arial"/>
                <w:noProof/>
                <w:webHidden/>
              </w:rPr>
              <w:fldChar w:fldCharType="end"/>
            </w:r>
          </w:hyperlink>
        </w:p>
        <w:p w14:paraId="61EEEE2F" w14:textId="46238593"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60" w:history="1">
            <w:r w:rsidRPr="001F7C6A">
              <w:rPr>
                <w:rStyle w:val="Hiperpovezava"/>
                <w:rFonts w:ascii="Arial" w:hAnsi="Arial" w:cs="Arial"/>
                <w:noProof/>
              </w:rPr>
              <w:t>8. Obdobje, v katerem morajo biti porabljena dodeljena sredstva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_Toc239072460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19</w:t>
            </w:r>
            <w:r w:rsidRPr="001F7C6A">
              <w:rPr>
                <w:rFonts w:ascii="Arial" w:hAnsi="Arial" w:cs="Arial"/>
                <w:noProof/>
                <w:webHidden/>
              </w:rPr>
              <w:fldChar w:fldCharType="end"/>
            </w:r>
          </w:hyperlink>
        </w:p>
        <w:p w14:paraId="26347571" w14:textId="2B6CF87D"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61" w:history="1">
            <w:r w:rsidRPr="001F7C6A">
              <w:rPr>
                <w:rStyle w:val="Hiperpovezava"/>
                <w:rFonts w:ascii="Arial" w:hAnsi="Arial" w:cs="Arial"/>
                <w:noProof/>
              </w:rPr>
              <w:t>9. Upravičeni stroški, intenzivnost pomoči in način financiranja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_Toc239072461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19</w:t>
            </w:r>
            <w:r w:rsidRPr="001F7C6A">
              <w:rPr>
                <w:rFonts w:ascii="Arial" w:hAnsi="Arial" w:cs="Arial"/>
                <w:noProof/>
                <w:webHidden/>
              </w:rPr>
              <w:fldChar w:fldCharType="end"/>
            </w:r>
          </w:hyperlink>
        </w:p>
        <w:p w14:paraId="458A26E6" w14:textId="3709DC4E"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62" w:history="1">
            <w:r w:rsidRPr="001F7C6A">
              <w:rPr>
                <w:rStyle w:val="Hiperpovezava"/>
                <w:rFonts w:ascii="Arial" w:hAnsi="Arial" w:cs="Arial"/>
                <w:noProof/>
              </w:rPr>
              <w:t>9.1 Splošno o stroških</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_Toc239072462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19</w:t>
            </w:r>
            <w:r w:rsidRPr="001F7C6A">
              <w:rPr>
                <w:rFonts w:ascii="Arial" w:hAnsi="Arial" w:cs="Arial"/>
                <w:noProof/>
                <w:webHidden/>
              </w:rPr>
              <w:fldChar w:fldCharType="end"/>
            </w:r>
          </w:hyperlink>
        </w:p>
        <w:p w14:paraId="60031DE5" w14:textId="3913B47D"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63" w:history="1">
            <w:r w:rsidRPr="001F7C6A">
              <w:rPr>
                <w:rStyle w:val="Hiperpovezava"/>
                <w:rFonts w:ascii="Arial" w:hAnsi="Arial" w:cs="Arial"/>
                <w:noProof/>
              </w:rPr>
              <w:t>9.2 Upravičeni stroški</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_Toc239072463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20</w:t>
            </w:r>
            <w:r w:rsidRPr="001F7C6A">
              <w:rPr>
                <w:rFonts w:ascii="Arial" w:hAnsi="Arial" w:cs="Arial"/>
                <w:noProof/>
                <w:webHidden/>
              </w:rPr>
              <w:fldChar w:fldCharType="end"/>
            </w:r>
          </w:hyperlink>
        </w:p>
        <w:p w14:paraId="729EB9F2" w14:textId="4A5B0857"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64" w:history="1">
            <w:r w:rsidRPr="001F7C6A">
              <w:rPr>
                <w:rStyle w:val="Hiperpovezava"/>
                <w:rFonts w:ascii="Arial" w:hAnsi="Arial" w:cs="Arial"/>
                <w:noProof/>
              </w:rPr>
              <w:t>9.3 Način financiranja upravičenih stroškov</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_Toc239072464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28</w:t>
            </w:r>
            <w:r w:rsidRPr="001F7C6A">
              <w:rPr>
                <w:rFonts w:ascii="Arial" w:hAnsi="Arial" w:cs="Arial"/>
                <w:noProof/>
                <w:webHidden/>
              </w:rPr>
              <w:fldChar w:fldCharType="end"/>
            </w:r>
          </w:hyperlink>
        </w:p>
        <w:p w14:paraId="4E507E5C" w14:textId="5AE05757"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65" w:history="1">
            <w:r w:rsidRPr="001F7C6A">
              <w:rPr>
                <w:rStyle w:val="Hiperpovezava"/>
                <w:rFonts w:ascii="Arial" w:hAnsi="Arial" w:cs="Arial"/>
                <w:noProof/>
              </w:rPr>
              <w:t>10. Intenzivnost pomoči</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_Toc239072465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29</w:t>
            </w:r>
            <w:r w:rsidRPr="001F7C6A">
              <w:rPr>
                <w:rFonts w:ascii="Arial" w:hAnsi="Arial" w:cs="Arial"/>
                <w:noProof/>
                <w:webHidden/>
              </w:rPr>
              <w:fldChar w:fldCharType="end"/>
            </w:r>
          </w:hyperlink>
        </w:p>
        <w:p w14:paraId="010C7C99" w14:textId="32DAFBF1"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66" w:history="1">
            <w:r w:rsidRPr="001F7C6A">
              <w:rPr>
                <w:rStyle w:val="Hiperpovezava"/>
                <w:rFonts w:ascii="Arial" w:hAnsi="Arial" w:cs="Arial"/>
                <w:noProof/>
              </w:rPr>
              <w:t>11. Roki in način prijave na javni razpis</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_Toc239072466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30</w:t>
            </w:r>
            <w:r w:rsidRPr="001F7C6A">
              <w:rPr>
                <w:rFonts w:ascii="Arial" w:hAnsi="Arial" w:cs="Arial"/>
                <w:noProof/>
                <w:webHidden/>
              </w:rPr>
              <w:fldChar w:fldCharType="end"/>
            </w:r>
          </w:hyperlink>
        </w:p>
        <w:p w14:paraId="57149FA5" w14:textId="1FCA909F"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67" w:history="1">
            <w:r w:rsidRPr="001F7C6A">
              <w:rPr>
                <w:rStyle w:val="Hiperpovezava"/>
                <w:rFonts w:ascii="Arial" w:hAnsi="Arial" w:cs="Arial"/>
                <w:noProof/>
              </w:rPr>
              <w:t>12. Odpiranje vlog ter postopek in način izbora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_Toc239072467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31</w:t>
            </w:r>
            <w:r w:rsidRPr="001F7C6A">
              <w:rPr>
                <w:rFonts w:ascii="Arial" w:hAnsi="Arial" w:cs="Arial"/>
                <w:noProof/>
                <w:webHidden/>
              </w:rPr>
              <w:fldChar w:fldCharType="end"/>
            </w:r>
          </w:hyperlink>
        </w:p>
        <w:p w14:paraId="4D3D6145" w14:textId="58D3AD65"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68" w:history="1">
            <w:r w:rsidRPr="001F7C6A">
              <w:rPr>
                <w:rStyle w:val="Hiperpovezava"/>
                <w:rFonts w:ascii="Arial" w:hAnsi="Arial" w:cs="Arial"/>
                <w:noProof/>
              </w:rPr>
              <w:t>12.1 Odpiranje vlog</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_Toc239072468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31</w:t>
            </w:r>
            <w:r w:rsidRPr="001F7C6A">
              <w:rPr>
                <w:rFonts w:ascii="Arial" w:hAnsi="Arial" w:cs="Arial"/>
                <w:noProof/>
                <w:webHidden/>
              </w:rPr>
              <w:fldChar w:fldCharType="end"/>
            </w:r>
          </w:hyperlink>
        </w:p>
        <w:p w14:paraId="46C981B0" w14:textId="36CFEF5A"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69" w:history="1">
            <w:r w:rsidRPr="001F7C6A">
              <w:rPr>
                <w:rStyle w:val="Hiperpovezava"/>
                <w:rFonts w:ascii="Arial" w:hAnsi="Arial" w:cs="Arial"/>
                <w:noProof/>
              </w:rPr>
              <w:t>12.2 Popolnost vlog in dopolnjevanje</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_Toc239072469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31</w:t>
            </w:r>
            <w:r w:rsidRPr="001F7C6A">
              <w:rPr>
                <w:rFonts w:ascii="Arial" w:hAnsi="Arial" w:cs="Arial"/>
                <w:noProof/>
                <w:webHidden/>
              </w:rPr>
              <w:fldChar w:fldCharType="end"/>
            </w:r>
          </w:hyperlink>
        </w:p>
        <w:p w14:paraId="3B810CD0" w14:textId="372FA0D8"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70" w:history="1">
            <w:r w:rsidRPr="001F7C6A">
              <w:rPr>
                <w:rStyle w:val="Hiperpovezava"/>
                <w:rFonts w:ascii="Arial" w:hAnsi="Arial" w:cs="Arial"/>
                <w:noProof/>
              </w:rPr>
              <w:t>13. Postopek ocenjevanja in način izbora operacij ter merila za ocenjevanje vlog</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_Toc239072470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33</w:t>
            </w:r>
            <w:r w:rsidRPr="001F7C6A">
              <w:rPr>
                <w:rFonts w:ascii="Arial" w:hAnsi="Arial" w:cs="Arial"/>
                <w:noProof/>
                <w:webHidden/>
              </w:rPr>
              <w:fldChar w:fldCharType="end"/>
            </w:r>
          </w:hyperlink>
        </w:p>
        <w:p w14:paraId="60D5532A" w14:textId="0BD6BD58"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71" w:history="1">
            <w:r w:rsidRPr="001F7C6A">
              <w:rPr>
                <w:rStyle w:val="Hiperpovezava"/>
                <w:rFonts w:ascii="Arial" w:hAnsi="Arial" w:cs="Arial"/>
                <w:noProof/>
              </w:rPr>
              <w:t>13.1 Postopek ocenjevanja in način izbora operacij</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_Toc239072471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33</w:t>
            </w:r>
            <w:r w:rsidRPr="001F7C6A">
              <w:rPr>
                <w:rFonts w:ascii="Arial" w:hAnsi="Arial" w:cs="Arial"/>
                <w:noProof/>
                <w:webHidden/>
              </w:rPr>
              <w:fldChar w:fldCharType="end"/>
            </w:r>
          </w:hyperlink>
        </w:p>
        <w:p w14:paraId="72E456A9" w14:textId="23A57FBA"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72" w:history="1">
            <w:r w:rsidRPr="001F7C6A">
              <w:rPr>
                <w:rStyle w:val="Hiperpovezava"/>
                <w:rFonts w:ascii="Arial" w:hAnsi="Arial" w:cs="Arial"/>
                <w:noProof/>
              </w:rPr>
              <w:t>13.2 Merila za ocenjevanje vlog</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_Toc239072472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34</w:t>
            </w:r>
            <w:r w:rsidRPr="001F7C6A">
              <w:rPr>
                <w:rFonts w:ascii="Arial" w:hAnsi="Arial" w:cs="Arial"/>
                <w:noProof/>
                <w:webHidden/>
              </w:rPr>
              <w:fldChar w:fldCharType="end"/>
            </w:r>
          </w:hyperlink>
        </w:p>
        <w:p w14:paraId="3CDD7A85" w14:textId="6C712F19"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73" w:history="1">
            <w:r w:rsidRPr="001F7C6A">
              <w:rPr>
                <w:rStyle w:val="Hiperpovezava"/>
                <w:rFonts w:ascii="Arial" w:hAnsi="Arial" w:cs="Arial"/>
                <w:noProof/>
              </w:rPr>
              <w:t>14. Obveščanje prijaviteljev o izidu javnega razpisa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_Toc239072473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38</w:t>
            </w:r>
            <w:r w:rsidRPr="001F7C6A">
              <w:rPr>
                <w:rFonts w:ascii="Arial" w:hAnsi="Arial" w:cs="Arial"/>
                <w:noProof/>
                <w:webHidden/>
              </w:rPr>
              <w:fldChar w:fldCharType="end"/>
            </w:r>
          </w:hyperlink>
        </w:p>
        <w:p w14:paraId="17B2142A" w14:textId="2DC27E30"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74" w:history="1">
            <w:r w:rsidRPr="001F7C6A">
              <w:rPr>
                <w:rStyle w:val="Hiperpovezava"/>
                <w:rFonts w:ascii="Arial" w:hAnsi="Arial" w:cs="Arial"/>
                <w:noProof/>
              </w:rPr>
              <w:t>15. Zahteve glede zagotavljanja prepoznavnosti, preglednosti in komuniciranja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_Toc239072474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38</w:t>
            </w:r>
            <w:r w:rsidRPr="001F7C6A">
              <w:rPr>
                <w:rFonts w:ascii="Arial" w:hAnsi="Arial" w:cs="Arial"/>
                <w:noProof/>
                <w:webHidden/>
              </w:rPr>
              <w:fldChar w:fldCharType="end"/>
            </w:r>
          </w:hyperlink>
        </w:p>
        <w:p w14:paraId="25BC4C8D" w14:textId="6FA2DAA5"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75" w:history="1">
            <w:r w:rsidRPr="001F7C6A">
              <w:rPr>
                <w:rStyle w:val="Hiperpovezava"/>
                <w:rFonts w:ascii="Arial" w:hAnsi="Arial" w:cs="Arial"/>
                <w:noProof/>
              </w:rPr>
              <w:t>16. Zahteve glede hranjenja dokumentacije in spremljanja ter evidentiranja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_Toc239072475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39</w:t>
            </w:r>
            <w:r w:rsidRPr="001F7C6A">
              <w:rPr>
                <w:rFonts w:ascii="Arial" w:hAnsi="Arial" w:cs="Arial"/>
                <w:noProof/>
                <w:webHidden/>
              </w:rPr>
              <w:fldChar w:fldCharType="end"/>
            </w:r>
          </w:hyperlink>
        </w:p>
        <w:p w14:paraId="43D18707" w14:textId="19A23439"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76" w:history="1">
            <w:r w:rsidRPr="001F7C6A">
              <w:rPr>
                <w:rStyle w:val="Hiperpovezava"/>
                <w:rFonts w:ascii="Arial" w:hAnsi="Arial" w:cs="Arial"/>
                <w:noProof/>
              </w:rPr>
              <w:t>17. Zahteve glede dostopnosti dokumentacije nadzornim organom</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_Toc239072476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39</w:t>
            </w:r>
            <w:r w:rsidRPr="001F7C6A">
              <w:rPr>
                <w:rFonts w:ascii="Arial" w:hAnsi="Arial" w:cs="Arial"/>
                <w:noProof/>
                <w:webHidden/>
              </w:rPr>
              <w:fldChar w:fldCharType="end"/>
            </w:r>
          </w:hyperlink>
        </w:p>
        <w:p w14:paraId="5835EE29" w14:textId="46ACCC03"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77" w:history="1">
            <w:r w:rsidRPr="001F7C6A">
              <w:rPr>
                <w:rStyle w:val="Hiperpovezava"/>
                <w:rFonts w:ascii="Arial" w:hAnsi="Arial" w:cs="Arial"/>
                <w:noProof/>
              </w:rPr>
              <w:t>18. Načelo »ne škoduj bistveno« (DNSH) v smislu 17. člena Uredbe (EU) 2020/852 in spodbujanje trajnostnega razvoja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_Toc239072477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39</w:t>
            </w:r>
            <w:r w:rsidRPr="001F7C6A">
              <w:rPr>
                <w:rFonts w:ascii="Arial" w:hAnsi="Arial" w:cs="Arial"/>
                <w:noProof/>
                <w:webHidden/>
              </w:rPr>
              <w:fldChar w:fldCharType="end"/>
            </w:r>
          </w:hyperlink>
        </w:p>
        <w:p w14:paraId="27FE73D6" w14:textId="2D027F38"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78" w:history="1">
            <w:r w:rsidRPr="001F7C6A">
              <w:rPr>
                <w:rStyle w:val="Hiperpovezava"/>
                <w:rFonts w:ascii="Arial" w:hAnsi="Arial" w:cs="Arial"/>
                <w:noProof/>
              </w:rPr>
              <w:t>19. Zagotavljanje skladnosti s horizontalnimi načeli (skladnost z načeli spoštovanja temeljnih pravic, spodbujanja enakih možnosti moških in žensk, preprečevanja diskriminacije in trajnostnega razvoja)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_Toc239072478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40</w:t>
            </w:r>
            <w:r w:rsidRPr="001F7C6A">
              <w:rPr>
                <w:rFonts w:ascii="Arial" w:hAnsi="Arial" w:cs="Arial"/>
                <w:noProof/>
                <w:webHidden/>
              </w:rPr>
              <w:fldChar w:fldCharType="end"/>
            </w:r>
          </w:hyperlink>
        </w:p>
        <w:p w14:paraId="67AEA385" w14:textId="082E1FF5"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79" w:history="1">
            <w:r w:rsidRPr="001F7C6A">
              <w:rPr>
                <w:rStyle w:val="Hiperpovezava"/>
                <w:rFonts w:ascii="Arial" w:hAnsi="Arial" w:cs="Arial"/>
                <w:noProof/>
              </w:rPr>
              <w:t>20. Varovanje osebnih podatkov in poslovna skrivnost</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_Toc239072479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40</w:t>
            </w:r>
            <w:r w:rsidRPr="001F7C6A">
              <w:rPr>
                <w:rFonts w:ascii="Arial" w:hAnsi="Arial" w:cs="Arial"/>
                <w:noProof/>
                <w:webHidden/>
              </w:rPr>
              <w:fldChar w:fldCharType="end"/>
            </w:r>
          </w:hyperlink>
        </w:p>
        <w:p w14:paraId="31C409CC" w14:textId="6CBCCFC8"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80" w:history="1">
            <w:r w:rsidRPr="001F7C6A">
              <w:rPr>
                <w:rStyle w:val="Hiperpovezava"/>
                <w:rFonts w:ascii="Arial" w:hAnsi="Arial" w:cs="Arial"/>
                <w:noProof/>
              </w:rPr>
              <w:t>21. Zahteve glede spremljanja in vrednotenja doseganja mejnikov, rezultatov in kazalnikov operacije</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_Toc239072480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42</w:t>
            </w:r>
            <w:r w:rsidRPr="001F7C6A">
              <w:rPr>
                <w:rFonts w:ascii="Arial" w:hAnsi="Arial" w:cs="Arial"/>
                <w:noProof/>
                <w:webHidden/>
              </w:rPr>
              <w:fldChar w:fldCharType="end"/>
            </w:r>
          </w:hyperlink>
        </w:p>
        <w:p w14:paraId="48B8A0D7" w14:textId="10E4E616"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81" w:history="1">
            <w:r w:rsidRPr="001F7C6A">
              <w:rPr>
                <w:rStyle w:val="Hiperpovezava"/>
                <w:rFonts w:ascii="Arial" w:hAnsi="Arial" w:cs="Arial"/>
                <w:noProof/>
              </w:rPr>
              <w:t>22. Omejitve glede sprememb operacije v skladu s 65. členom Uredbe (EU) 2021/1060 /EU</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_Toc239072481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42</w:t>
            </w:r>
            <w:r w:rsidRPr="001F7C6A">
              <w:rPr>
                <w:rFonts w:ascii="Arial" w:hAnsi="Arial" w:cs="Arial"/>
                <w:noProof/>
                <w:webHidden/>
              </w:rPr>
              <w:fldChar w:fldCharType="end"/>
            </w:r>
          </w:hyperlink>
        </w:p>
        <w:p w14:paraId="6DFF27C0" w14:textId="2B6EA4D8"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82" w:history="1">
            <w:r w:rsidRPr="001F7C6A">
              <w:rPr>
                <w:rStyle w:val="Hiperpovezava"/>
                <w:rFonts w:ascii="Arial" w:hAnsi="Arial" w:cs="Arial"/>
                <w:noProof/>
              </w:rPr>
              <w:t>23. Posledice, če se ugotovi, da je v postopku potrjevanja operacij ali izvrševanja operacij prišlo do resnih napak, nepravilnosti, goljufije ali kršitve obveznosti</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_Toc239072482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43</w:t>
            </w:r>
            <w:r w:rsidRPr="001F7C6A">
              <w:rPr>
                <w:rFonts w:ascii="Arial" w:hAnsi="Arial" w:cs="Arial"/>
                <w:noProof/>
                <w:webHidden/>
              </w:rPr>
              <w:fldChar w:fldCharType="end"/>
            </w:r>
          </w:hyperlink>
        </w:p>
        <w:p w14:paraId="70A4F42C" w14:textId="54AC312C"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83" w:history="1">
            <w:r w:rsidRPr="001F7C6A">
              <w:rPr>
                <w:rStyle w:val="Hiperpovezava"/>
                <w:rFonts w:ascii="Arial" w:hAnsi="Arial" w:cs="Arial"/>
                <w:noProof/>
              </w:rPr>
              <w:t>24. Posledice, če se ugotovi, da aktivnosti na operaciji niso bile skladne s pravom Unije in pravom Republike Slovenije</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_Toc239072483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43</w:t>
            </w:r>
            <w:r w:rsidRPr="001F7C6A">
              <w:rPr>
                <w:rFonts w:ascii="Arial" w:hAnsi="Arial" w:cs="Arial"/>
                <w:noProof/>
                <w:webHidden/>
              </w:rPr>
              <w:fldChar w:fldCharType="end"/>
            </w:r>
          </w:hyperlink>
        </w:p>
        <w:p w14:paraId="03382CE8" w14:textId="01F6ED13"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84" w:history="1">
            <w:r w:rsidRPr="001F7C6A">
              <w:rPr>
                <w:rStyle w:val="Hiperpovezava"/>
                <w:rFonts w:ascii="Arial" w:hAnsi="Arial" w:cs="Arial"/>
                <w:noProof/>
              </w:rPr>
              <w:t>25. Posledice, če se ugotovi dvojno financiranje posamezne operacije ali, da je višina financiranja operacije presegla maksimalno dovoljeno stopnjo oz. znesek pomoči</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_Toc239072484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43</w:t>
            </w:r>
            <w:r w:rsidRPr="001F7C6A">
              <w:rPr>
                <w:rFonts w:ascii="Arial" w:hAnsi="Arial" w:cs="Arial"/>
                <w:noProof/>
                <w:webHidden/>
              </w:rPr>
              <w:fldChar w:fldCharType="end"/>
            </w:r>
          </w:hyperlink>
        </w:p>
        <w:p w14:paraId="1D1F6992" w14:textId="67CA1E46"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85" w:history="1">
            <w:r w:rsidRPr="001F7C6A">
              <w:rPr>
                <w:rStyle w:val="Hiperpovezava"/>
                <w:rFonts w:ascii="Arial" w:hAnsi="Arial" w:cs="Arial"/>
                <w:noProof/>
              </w:rPr>
              <w:t>26. Razpisna dokumentacija in dodatne informacije</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_Toc239072485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43</w:t>
            </w:r>
            <w:r w:rsidRPr="001F7C6A">
              <w:rPr>
                <w:rFonts w:ascii="Arial" w:hAnsi="Arial" w:cs="Arial"/>
                <w:noProof/>
                <w:webHidden/>
              </w:rPr>
              <w:fldChar w:fldCharType="end"/>
            </w:r>
          </w:hyperlink>
        </w:p>
        <w:p w14:paraId="5921BCBD" w14:textId="062D19E0"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86" w:history="1">
            <w:r w:rsidRPr="001F7C6A">
              <w:rPr>
                <w:rStyle w:val="Hiperpovezava"/>
                <w:rFonts w:ascii="Arial" w:hAnsi="Arial" w:cs="Arial"/>
                <w:noProof/>
              </w:rPr>
              <w:t>27. Navodila za izpolnjevanje</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_Toc239072486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44</w:t>
            </w:r>
            <w:r w:rsidRPr="001F7C6A">
              <w:rPr>
                <w:rFonts w:ascii="Arial" w:hAnsi="Arial" w:cs="Arial"/>
                <w:noProof/>
                <w:webHidden/>
              </w:rPr>
              <w:fldChar w:fldCharType="end"/>
            </w:r>
          </w:hyperlink>
        </w:p>
        <w:p w14:paraId="7E528010" w14:textId="228AAD8C"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87" w:history="1">
            <w:r w:rsidRPr="001F7C6A">
              <w:rPr>
                <w:rStyle w:val="Hiperpovezava"/>
                <w:rFonts w:ascii="Arial" w:hAnsi="Arial" w:cs="Arial"/>
                <w:noProof/>
              </w:rPr>
              <w:t>27.1 Seznam prijavnih obrazcev in prilog</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_Toc239072487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45</w:t>
            </w:r>
            <w:r w:rsidRPr="001F7C6A">
              <w:rPr>
                <w:rFonts w:ascii="Arial" w:hAnsi="Arial" w:cs="Arial"/>
                <w:noProof/>
                <w:webHidden/>
              </w:rPr>
              <w:fldChar w:fldCharType="end"/>
            </w:r>
          </w:hyperlink>
        </w:p>
        <w:p w14:paraId="3E07EB1C" w14:textId="09A24178" w:rsidR="001F7C6A" w:rsidRPr="001F7C6A" w:rsidRDefault="001F7C6A">
          <w:pPr>
            <w:pStyle w:val="Kazalovsebine1"/>
            <w:tabs>
              <w:tab w:val="right" w:leader="dot" w:pos="9060"/>
            </w:tabs>
            <w:rPr>
              <w:rFonts w:ascii="Arial" w:eastAsiaTheme="minorEastAsia" w:hAnsi="Arial" w:cs="Arial"/>
              <w:noProof/>
              <w:kern w:val="2"/>
              <w:lang w:val="sl-SI"/>
              <w14:ligatures w14:val="standardContextual"/>
            </w:rPr>
          </w:pPr>
          <w:hyperlink w:anchor="_Toc239072488" w:history="1">
            <w:r w:rsidRPr="001F7C6A">
              <w:rPr>
                <w:rStyle w:val="Hiperpovezava"/>
                <w:rFonts w:ascii="Arial" w:hAnsi="Arial" w:cs="Arial"/>
                <w:noProof/>
              </w:rPr>
              <w:t>DEFINICIJE OZ. POJASNITEV POJMOV</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_Toc239072488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47</w:t>
            </w:r>
            <w:r w:rsidRPr="001F7C6A">
              <w:rPr>
                <w:rFonts w:ascii="Arial" w:hAnsi="Arial" w:cs="Arial"/>
                <w:noProof/>
                <w:webHidden/>
              </w:rPr>
              <w:fldChar w:fldCharType="end"/>
            </w:r>
          </w:hyperlink>
        </w:p>
        <w:p w14:paraId="50D37068" w14:textId="5E294DD8"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89" w:history="1">
            <w:r w:rsidRPr="001F7C6A">
              <w:rPr>
                <w:rStyle w:val="Hiperpovezava"/>
                <w:rFonts w:ascii="Arial" w:hAnsi="Arial" w:cs="Arial"/>
                <w:noProof/>
              </w:rPr>
              <w:t>1. REGIONALNA DESTINACIJSKA ORGANIZACIJA (RDO)</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_Toc239072489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47</w:t>
            </w:r>
            <w:r w:rsidRPr="001F7C6A">
              <w:rPr>
                <w:rFonts w:ascii="Arial" w:hAnsi="Arial" w:cs="Arial"/>
                <w:noProof/>
                <w:webHidden/>
              </w:rPr>
              <w:fldChar w:fldCharType="end"/>
            </w:r>
          </w:hyperlink>
        </w:p>
        <w:p w14:paraId="5A8C1A73" w14:textId="145544BF"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90" w:history="1">
            <w:r w:rsidRPr="001F7C6A">
              <w:rPr>
                <w:rStyle w:val="Hiperpovezava"/>
                <w:rFonts w:ascii="Arial" w:hAnsi="Arial" w:cs="Arial"/>
                <w:noProof/>
              </w:rPr>
              <w:t>2. VODILNA DESTINACIJSKA ORGANIZACIJA  (VD)</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_Toc239072490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47</w:t>
            </w:r>
            <w:r w:rsidRPr="001F7C6A">
              <w:rPr>
                <w:rFonts w:ascii="Arial" w:hAnsi="Arial" w:cs="Arial"/>
                <w:noProof/>
                <w:webHidden/>
              </w:rPr>
              <w:fldChar w:fldCharType="end"/>
            </w:r>
          </w:hyperlink>
        </w:p>
        <w:p w14:paraId="4BDF915B" w14:textId="44F87620"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91" w:history="1">
            <w:r w:rsidRPr="001F7C6A">
              <w:rPr>
                <w:rStyle w:val="Hiperpovezava"/>
                <w:rFonts w:ascii="Arial" w:hAnsi="Arial" w:cs="Arial"/>
                <w:noProof/>
              </w:rPr>
              <w:t>3. PERSPEKTINA DESTINACIJSKA ORGANIZACIJA (PD)</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_Toc239072491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48</w:t>
            </w:r>
            <w:r w:rsidRPr="001F7C6A">
              <w:rPr>
                <w:rFonts w:ascii="Arial" w:hAnsi="Arial" w:cs="Arial"/>
                <w:noProof/>
                <w:webHidden/>
              </w:rPr>
              <w:fldChar w:fldCharType="end"/>
            </w:r>
          </w:hyperlink>
        </w:p>
        <w:p w14:paraId="5AD83942" w14:textId="2EA8845F"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92" w:history="1">
            <w:r w:rsidRPr="001F7C6A">
              <w:rPr>
                <w:rStyle w:val="Hiperpovezava"/>
                <w:rFonts w:ascii="Arial" w:hAnsi="Arial" w:cs="Arial"/>
                <w:noProof/>
              </w:rPr>
              <w:t>4. Program dela RDO</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_Toc239072492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49</w:t>
            </w:r>
            <w:r w:rsidRPr="001F7C6A">
              <w:rPr>
                <w:rFonts w:ascii="Arial" w:hAnsi="Arial" w:cs="Arial"/>
                <w:noProof/>
                <w:webHidden/>
              </w:rPr>
              <w:fldChar w:fldCharType="end"/>
            </w:r>
          </w:hyperlink>
        </w:p>
        <w:p w14:paraId="341973B7" w14:textId="7D4A1AC8"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93" w:history="1">
            <w:r w:rsidRPr="001F7C6A">
              <w:rPr>
                <w:rStyle w:val="Hiperpovezava"/>
                <w:rFonts w:ascii="Arial" w:hAnsi="Arial" w:cs="Arial"/>
                <w:noProof/>
              </w:rPr>
              <w:t>5. Program dela PD</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_Toc239072493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49</w:t>
            </w:r>
            <w:r w:rsidRPr="001F7C6A">
              <w:rPr>
                <w:rFonts w:ascii="Arial" w:hAnsi="Arial" w:cs="Arial"/>
                <w:noProof/>
                <w:webHidden/>
              </w:rPr>
              <w:fldChar w:fldCharType="end"/>
            </w:r>
          </w:hyperlink>
        </w:p>
        <w:p w14:paraId="4F790C0C" w14:textId="5641FCED"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94" w:history="1">
            <w:r w:rsidRPr="001F7C6A">
              <w:rPr>
                <w:rStyle w:val="Hiperpovezava"/>
                <w:rFonts w:ascii="Arial" w:hAnsi="Arial" w:cs="Arial"/>
                <w:noProof/>
              </w:rPr>
              <w:t>6. Višina sofinanciranja posameznega RDO</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_Toc239072494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50</w:t>
            </w:r>
            <w:r w:rsidRPr="001F7C6A">
              <w:rPr>
                <w:rFonts w:ascii="Arial" w:hAnsi="Arial" w:cs="Arial"/>
                <w:noProof/>
                <w:webHidden/>
              </w:rPr>
              <w:fldChar w:fldCharType="end"/>
            </w:r>
          </w:hyperlink>
        </w:p>
        <w:p w14:paraId="71CFF6A8" w14:textId="1DFB52E8"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95" w:history="1">
            <w:r w:rsidRPr="001F7C6A">
              <w:rPr>
                <w:rStyle w:val="Hiperpovezava"/>
                <w:rFonts w:ascii="Arial" w:hAnsi="Arial" w:cs="Arial"/>
                <w:noProof/>
              </w:rPr>
              <w:t>7. Načelo DNSH</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_Toc239072495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52</w:t>
            </w:r>
            <w:r w:rsidRPr="001F7C6A">
              <w:rPr>
                <w:rFonts w:ascii="Arial" w:hAnsi="Arial" w:cs="Arial"/>
                <w:noProof/>
                <w:webHidden/>
              </w:rPr>
              <w:fldChar w:fldCharType="end"/>
            </w:r>
          </w:hyperlink>
        </w:p>
        <w:p w14:paraId="5236841D" w14:textId="4BF51561" w:rsidR="001F7C6A" w:rsidRPr="001F7C6A" w:rsidRDefault="001F7C6A">
          <w:pPr>
            <w:pStyle w:val="Kazalovsebine2"/>
            <w:tabs>
              <w:tab w:val="right" w:leader="dot" w:pos="9060"/>
            </w:tabs>
            <w:rPr>
              <w:rFonts w:ascii="Arial" w:eastAsiaTheme="minorEastAsia" w:hAnsi="Arial" w:cs="Arial"/>
              <w:noProof/>
              <w:kern w:val="2"/>
              <w:lang w:val="sl-SI"/>
              <w14:ligatures w14:val="standardContextual"/>
            </w:rPr>
          </w:pPr>
          <w:hyperlink w:anchor="_Toc239072496" w:history="1">
            <w:r w:rsidRPr="001F7C6A">
              <w:rPr>
                <w:rStyle w:val="Hiperpovezava"/>
                <w:rFonts w:ascii="Arial" w:hAnsi="Arial" w:cs="Arial"/>
                <w:noProof/>
              </w:rPr>
              <w:t>8. Zelena shema slovenskega turizma</w:t>
            </w:r>
            <w:r w:rsidRPr="001F7C6A">
              <w:rPr>
                <w:rFonts w:ascii="Arial" w:hAnsi="Arial" w:cs="Arial"/>
                <w:noProof/>
                <w:webHidden/>
              </w:rPr>
              <w:tab/>
            </w:r>
            <w:r w:rsidRPr="001F7C6A">
              <w:rPr>
                <w:rFonts w:ascii="Arial" w:hAnsi="Arial" w:cs="Arial"/>
                <w:noProof/>
                <w:webHidden/>
              </w:rPr>
              <w:fldChar w:fldCharType="begin"/>
            </w:r>
            <w:r w:rsidRPr="001F7C6A">
              <w:rPr>
                <w:rFonts w:ascii="Arial" w:hAnsi="Arial" w:cs="Arial"/>
                <w:noProof/>
                <w:webHidden/>
              </w:rPr>
              <w:instrText xml:space="preserve"> PAGEREF _Toc239072496 \h </w:instrText>
            </w:r>
            <w:r w:rsidRPr="001F7C6A">
              <w:rPr>
                <w:rFonts w:ascii="Arial" w:hAnsi="Arial" w:cs="Arial"/>
                <w:noProof/>
                <w:webHidden/>
              </w:rPr>
            </w:r>
            <w:r w:rsidRPr="001F7C6A">
              <w:rPr>
                <w:rFonts w:ascii="Arial" w:hAnsi="Arial" w:cs="Arial"/>
                <w:noProof/>
                <w:webHidden/>
              </w:rPr>
              <w:fldChar w:fldCharType="separate"/>
            </w:r>
            <w:r w:rsidRPr="001F7C6A">
              <w:rPr>
                <w:rFonts w:ascii="Arial" w:hAnsi="Arial" w:cs="Arial"/>
                <w:noProof/>
                <w:webHidden/>
              </w:rPr>
              <w:t>52</w:t>
            </w:r>
            <w:r w:rsidRPr="001F7C6A">
              <w:rPr>
                <w:rFonts w:ascii="Arial" w:hAnsi="Arial" w:cs="Arial"/>
                <w:noProof/>
                <w:webHidden/>
              </w:rPr>
              <w:fldChar w:fldCharType="end"/>
            </w:r>
          </w:hyperlink>
        </w:p>
        <w:p w14:paraId="700879D8" w14:textId="10773AC2" w:rsidR="0016168B" w:rsidRPr="001F7C6A" w:rsidRDefault="0016168B">
          <w:pPr>
            <w:rPr>
              <w:rFonts w:ascii="Arial" w:hAnsi="Arial" w:cs="Arial"/>
            </w:rPr>
          </w:pPr>
          <w:r w:rsidRPr="001F7C6A">
            <w:rPr>
              <w:rFonts w:ascii="Arial" w:hAnsi="Arial" w:cs="Arial"/>
              <w:b/>
              <w:bCs/>
            </w:rPr>
            <w:fldChar w:fldCharType="end"/>
          </w:r>
        </w:p>
      </w:sdtContent>
    </w:sdt>
    <w:p w14:paraId="3E73CD78"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7B9E3E8B"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00D2656B"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289645C"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BDBD087" w14:textId="77777777" w:rsidR="000755BA" w:rsidRDefault="00EF1395" w:rsidP="004C770D">
      <w:pPr>
        <w:pStyle w:val="Naslov1"/>
      </w:pPr>
      <w:r>
        <w:br w:type="page"/>
      </w:r>
      <w:bookmarkStart w:id="1" w:name="_Toc239072446"/>
      <w:r>
        <w:lastRenderedPageBreak/>
        <w:t>UVOD</w:t>
      </w:r>
      <w:bookmarkEnd w:id="1"/>
    </w:p>
    <w:p w14:paraId="0ADB8561" w14:textId="77777777" w:rsidR="000755BA" w:rsidRDefault="000755BA">
      <w:pPr>
        <w:pBdr>
          <w:top w:val="nil"/>
          <w:left w:val="nil"/>
          <w:bottom w:val="nil"/>
          <w:right w:val="nil"/>
          <w:between w:val="nil"/>
        </w:pBdr>
        <w:spacing w:line="276" w:lineRule="auto"/>
        <w:rPr>
          <w:rFonts w:ascii="Arial" w:eastAsia="Arial" w:hAnsi="Arial" w:cs="Arial"/>
          <w:color w:val="000000"/>
          <w:sz w:val="22"/>
          <w:szCs w:val="22"/>
        </w:rPr>
      </w:pPr>
    </w:p>
    <w:p w14:paraId="22988A28"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Javni razpis za izbor operacij delno financira Evropska unija, in sicer iz Evropskega sklada za regionalni razvoj (ESRR). Javni razpis za izbor operacij se izvaja v okviru »Programa za izvajanje Evropske kohezijske politike v obdobju 2021–2027«: cilja politik: »CP 1: Konkurenčnejša in pametnejša Evropa s spodbujanjem inovativne in pametne gospodarske preobrazbe ter regionalne povezljivosti na področju IKT«; prednostne naloge: »Prednostna naloga 1: Inovacijska družba znanja«, specifičnega cilja: »Specifični cilj RSO1.3. Krepitev trajnostne rasti in konkurenčnosti MSP ter ustvarjanje delovnih mest v MSP, med drugim s produktivnimi naložbami (ESRR)«.</w:t>
      </w:r>
    </w:p>
    <w:p w14:paraId="50F8ED4B" w14:textId="77777777" w:rsidR="000755BA" w:rsidRDefault="000755BA">
      <w:pPr>
        <w:pBdr>
          <w:top w:val="nil"/>
          <w:left w:val="nil"/>
          <w:bottom w:val="nil"/>
          <w:right w:val="nil"/>
          <w:between w:val="nil"/>
        </w:pBdr>
        <w:spacing w:line="276" w:lineRule="auto"/>
        <w:jc w:val="both"/>
        <w:rPr>
          <w:rFonts w:ascii="Arial" w:eastAsia="Arial" w:hAnsi="Arial" w:cs="Arial"/>
          <w:color w:val="000000"/>
          <w:highlight w:val="yellow"/>
        </w:rPr>
      </w:pPr>
    </w:p>
    <w:p w14:paraId="78B446BF"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highlight w:val="yellow"/>
        </w:rPr>
      </w:pPr>
      <w:r>
        <w:rPr>
          <w:rFonts w:ascii="Arial" w:eastAsia="Arial" w:hAnsi="Arial" w:cs="Arial"/>
          <w:color w:val="000000"/>
        </w:rPr>
        <w:t xml:space="preserve">Cilj specifičnega cilja je povečati konkurenčnost gospodarstva z ustvarjanjem izdelkov in storitev z visoko dodano vrednostjo ter okrepiti družbeno odgovornost podjetij, ki bo omogočala hitrejši prehod v podnebno nevtralno družbo. Z namenom krepitve rasti in konkurenčnost MSP, bodo vlaganja in ukrepi med drugim usmerjeni tudi v pametno upravljanje turističnih destinacij slovenskega turizma ter vključevanje in spodbujanje potencialov kulture, kulturne in naravne dediščine za podjetništvo in turizem. Ukrep predvideva podporo aktivnostim regionalnih in perspektivnih turističnih organizacij, vključno s strateškim načrtovanjem, upravljanjem, razvojem in trženjem turistične ponudbe teh destinacij. </w:t>
      </w:r>
    </w:p>
    <w:p w14:paraId="370B1682" w14:textId="795AB288" w:rsidR="000755BA" w:rsidRDefault="00EF1395">
      <w:pPr>
        <w:pBdr>
          <w:top w:val="nil"/>
          <w:left w:val="nil"/>
          <w:bottom w:val="nil"/>
          <w:right w:val="nil"/>
          <w:between w:val="nil"/>
        </w:pBdr>
        <w:spacing w:after="160" w:line="276" w:lineRule="auto"/>
        <w:jc w:val="both"/>
        <w:rPr>
          <w:rFonts w:ascii="Arial" w:eastAsia="Arial" w:hAnsi="Arial" w:cs="Arial"/>
          <w:color w:val="000000"/>
        </w:rPr>
      </w:pPr>
      <w:bookmarkStart w:id="2" w:name="_viru669jh3hi" w:colFirst="0" w:colLast="0"/>
      <w:bookmarkEnd w:id="2"/>
      <w:r>
        <w:rPr>
          <w:rFonts w:ascii="Arial" w:eastAsia="Arial" w:hAnsi="Arial" w:cs="Arial"/>
          <w:color w:val="000000"/>
        </w:rPr>
        <w:t xml:space="preserve">V minulem strateškem in programskem obdobju je bilo na podlagi ukrepov Ministrstva za gospodarstvo, </w:t>
      </w:r>
      <w:r w:rsidR="009E0D71">
        <w:rPr>
          <w:rFonts w:ascii="Arial" w:eastAsia="Arial" w:hAnsi="Arial" w:cs="Arial"/>
          <w:color w:val="000000"/>
        </w:rPr>
        <w:t>delo</w:t>
      </w:r>
      <w:r>
        <w:rPr>
          <w:rFonts w:ascii="Arial" w:eastAsia="Arial" w:hAnsi="Arial" w:cs="Arial"/>
          <w:color w:val="000000"/>
        </w:rPr>
        <w:t xml:space="preserve"> in šport ter Slovenske turistične organizacije vzpostavljenih 36 vodilnih destinacij slovenskega turizma, s čimer so bili narejeni prvi koraki k povezovanju destinacij slovenskega turizma z namenom doseganja višje konkurenčnosti in dodane vrednosti. Kompetentne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so v turistično razvitih evropskih deželah eden izmed ključnih elementov uspešnosti in konkurenčnosti celovite ponudbe turističnih destinacij, pa tudi uspešnosti in konkurenčnosti zasebnih in javnih ponudnikov znotraj turističnega območja. Turistične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so najpomembnejši deležniki turističnega ekosistema, saj opravljajo vodstveno, razvojno, povezovalno, trženjsko in komercialno vlogo v destinaciji. So povezovalec podjetniškega, javnega in nevladnega sektorja, pospeševalec sodelovanja med najrazličnejšimi področji, nosilec tržnih aktivnosti destinacije in razvijalec </w:t>
      </w:r>
      <w:proofErr w:type="spellStart"/>
      <w:r>
        <w:rPr>
          <w:rFonts w:ascii="Arial" w:eastAsia="Arial" w:hAnsi="Arial" w:cs="Arial"/>
          <w:color w:val="000000"/>
        </w:rPr>
        <w:t>destinacijskih</w:t>
      </w:r>
      <w:proofErr w:type="spellEnd"/>
      <w:r>
        <w:rPr>
          <w:rFonts w:ascii="Arial" w:eastAsia="Arial" w:hAnsi="Arial" w:cs="Arial"/>
          <w:color w:val="000000"/>
        </w:rPr>
        <w:t xml:space="preserve"> znamk, upravljalec infrastrukture in turističnih točk, pospeševalec razvoja produktov in dodane vrednosti, nosilec zelenih strategij v destinaciji ipd. </w:t>
      </w:r>
    </w:p>
    <w:p w14:paraId="3F6B3C4A"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S tem javnim razpisom se nadgrajuje vzpostavljen sistem upravljanja vodilnih destinacij, in sicer s spodbujanjem povezovanja v širša zaokrožena območja, ki bodo imela vzpostavljene jasno opredeljene organizacijske strukture, in izvajale funkcije </w:t>
      </w:r>
      <w:proofErr w:type="spellStart"/>
      <w:r>
        <w:rPr>
          <w:rFonts w:ascii="Arial" w:eastAsia="Arial" w:hAnsi="Arial" w:cs="Arial"/>
          <w:color w:val="000000"/>
        </w:rPr>
        <w:t>destinacijske</w:t>
      </w:r>
      <w:proofErr w:type="spellEnd"/>
      <w:r>
        <w:rPr>
          <w:rFonts w:ascii="Arial" w:eastAsia="Arial" w:hAnsi="Arial" w:cs="Arial"/>
          <w:color w:val="000000"/>
        </w:rPr>
        <w:t xml:space="preserve"> management organizacije. </w:t>
      </w:r>
    </w:p>
    <w:p w14:paraId="0FF4AC2A" w14:textId="77777777" w:rsidR="000755BA" w:rsidRDefault="000755BA">
      <w:pPr>
        <w:pBdr>
          <w:top w:val="nil"/>
          <w:left w:val="nil"/>
          <w:bottom w:val="nil"/>
          <w:right w:val="nil"/>
          <w:between w:val="nil"/>
        </w:pBdr>
        <w:spacing w:after="200" w:line="276" w:lineRule="auto"/>
        <w:rPr>
          <w:rFonts w:ascii="Arial" w:eastAsia="Arial" w:hAnsi="Arial" w:cs="Arial"/>
          <w:color w:val="000000"/>
          <w:sz w:val="22"/>
          <w:szCs w:val="22"/>
        </w:rPr>
      </w:pPr>
    </w:p>
    <w:p w14:paraId="387D9376" w14:textId="77777777" w:rsidR="000755BA" w:rsidRDefault="00EF1395">
      <w:pPr>
        <w:keepNext/>
        <w:numPr>
          <w:ilvl w:val="0"/>
          <w:numId w:val="7"/>
        </w:numPr>
        <w:pBdr>
          <w:top w:val="nil"/>
          <w:left w:val="nil"/>
          <w:bottom w:val="nil"/>
          <w:right w:val="nil"/>
          <w:between w:val="nil"/>
        </w:pBdr>
        <w:spacing w:before="240" w:line="276" w:lineRule="auto"/>
        <w:rPr>
          <w:rFonts w:ascii="Arial" w:eastAsia="Arial" w:hAnsi="Arial" w:cs="Arial"/>
          <w:smallCaps/>
          <w:color w:val="000000"/>
          <w:sz w:val="24"/>
          <w:szCs w:val="24"/>
        </w:rPr>
      </w:pPr>
      <w:bookmarkStart w:id="3" w:name="_wsga0vbi7npc" w:colFirst="0" w:colLast="0"/>
      <w:bookmarkEnd w:id="3"/>
      <w:r>
        <w:br w:type="page"/>
      </w:r>
    </w:p>
    <w:p w14:paraId="448EE54B" w14:textId="77777777" w:rsidR="000755BA" w:rsidRDefault="000755BA" w:rsidP="0004051E">
      <w:pPr>
        <w:keepNext/>
        <w:pBdr>
          <w:top w:val="nil"/>
          <w:left w:val="nil"/>
          <w:bottom w:val="nil"/>
          <w:right w:val="nil"/>
          <w:between w:val="nil"/>
        </w:pBdr>
        <w:spacing w:before="120" w:line="276" w:lineRule="auto"/>
        <w:ind w:left="360"/>
        <w:rPr>
          <w:rFonts w:ascii="Arial" w:eastAsia="Arial" w:hAnsi="Arial" w:cs="Arial"/>
          <w:color w:val="000000"/>
          <w:sz w:val="24"/>
          <w:szCs w:val="24"/>
        </w:rPr>
      </w:pPr>
    </w:p>
    <w:p w14:paraId="38FF3667"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bookmarkStart w:id="4" w:name="_kp50hx5l3m1w" w:colFirst="0" w:colLast="0"/>
      <w:bookmarkEnd w:id="4"/>
      <w:r>
        <w:rPr>
          <w:rFonts w:ascii="Arial" w:eastAsia="Arial" w:hAnsi="Arial" w:cs="Arial"/>
          <w:b/>
          <w:bCs/>
          <w:color w:val="000000"/>
        </w:rPr>
        <w:t xml:space="preserve">Republika Slovenija, </w:t>
      </w:r>
    </w:p>
    <w:p w14:paraId="31D6E430" w14:textId="63E47DF0"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 xml:space="preserve">Ministrstvo za gospodarstvo, </w:t>
      </w:r>
      <w:r w:rsidR="009E0D71">
        <w:rPr>
          <w:rFonts w:ascii="Arial" w:eastAsia="Arial" w:hAnsi="Arial" w:cs="Arial"/>
          <w:b/>
          <w:bCs/>
          <w:color w:val="000000"/>
        </w:rPr>
        <w:t>delo</w:t>
      </w:r>
      <w:r>
        <w:rPr>
          <w:rFonts w:ascii="Arial" w:eastAsia="Arial" w:hAnsi="Arial" w:cs="Arial"/>
          <w:b/>
          <w:bCs/>
          <w:color w:val="000000"/>
        </w:rPr>
        <w:t xml:space="preserve"> in šport, Kotnikova ulica 5, Ljubljana</w:t>
      </w:r>
    </w:p>
    <w:p w14:paraId="1BFCC5F4" w14:textId="77777777" w:rsidR="000755BA" w:rsidRDefault="000755BA">
      <w:pPr>
        <w:pBdr>
          <w:top w:val="nil"/>
          <w:left w:val="nil"/>
          <w:bottom w:val="nil"/>
          <w:right w:val="nil"/>
          <w:between w:val="nil"/>
        </w:pBdr>
        <w:spacing w:line="276" w:lineRule="auto"/>
        <w:jc w:val="center"/>
        <w:rPr>
          <w:rFonts w:ascii="Arial" w:eastAsia="Arial" w:hAnsi="Arial" w:cs="Arial"/>
          <w:color w:val="000000"/>
        </w:rPr>
      </w:pPr>
    </w:p>
    <w:p w14:paraId="4B42E42D"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bookmarkStart w:id="5" w:name="_pgpcqb8kc680" w:colFirst="0" w:colLast="0"/>
      <w:bookmarkEnd w:id="5"/>
      <w:r>
        <w:rPr>
          <w:rFonts w:ascii="Arial" w:eastAsia="Arial" w:hAnsi="Arial" w:cs="Arial"/>
          <w:b/>
          <w:bCs/>
          <w:color w:val="000000"/>
        </w:rPr>
        <w:t>objavlja</w:t>
      </w:r>
    </w:p>
    <w:p w14:paraId="60387793" w14:textId="77777777" w:rsidR="000755BA" w:rsidRDefault="000755BA">
      <w:pPr>
        <w:pBdr>
          <w:top w:val="nil"/>
          <w:left w:val="nil"/>
          <w:bottom w:val="nil"/>
          <w:right w:val="nil"/>
          <w:between w:val="nil"/>
        </w:pBdr>
        <w:spacing w:line="276" w:lineRule="auto"/>
        <w:jc w:val="center"/>
        <w:rPr>
          <w:rFonts w:ascii="Arial" w:eastAsia="Arial" w:hAnsi="Arial" w:cs="Arial"/>
          <w:color w:val="000000"/>
        </w:rPr>
      </w:pPr>
    </w:p>
    <w:p w14:paraId="71502B73"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Javni razpis za trajnostni razvoj in upravljanje turističnih destinacij</w:t>
      </w:r>
    </w:p>
    <w:p w14:paraId="2B9FCDF2" w14:textId="77777777" w:rsidR="000755BA" w:rsidRDefault="000755BA">
      <w:pPr>
        <w:keepNext/>
        <w:pBdr>
          <w:top w:val="nil"/>
          <w:left w:val="nil"/>
          <w:bottom w:val="nil"/>
          <w:right w:val="nil"/>
          <w:between w:val="nil"/>
        </w:pBdr>
        <w:spacing w:before="120" w:line="276" w:lineRule="auto"/>
        <w:rPr>
          <w:rFonts w:ascii="Arial" w:eastAsia="Arial" w:hAnsi="Arial" w:cs="Arial"/>
          <w:color w:val="000000"/>
        </w:rPr>
      </w:pPr>
    </w:p>
    <w:p w14:paraId="2CAC776F"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b/>
          <w:bCs/>
          <w:color w:val="000000"/>
        </w:rPr>
        <w:t>Na podlagi določb:</w:t>
      </w:r>
    </w:p>
    <w:p w14:paraId="6F6EB1D7"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Uredbe (EU) 2021/1058 Evropskega parlamenta in Sveta z dne 24. junija 2021 o Evropskem skladu za regionalni razvoj in Kohezijskem skladu (UL L št. 231 z dne 30. 6. 2021, str. 60), zadnjič spremenjene z Uredbo (EU) 2025/1914 Evropskega parlamenta in Sveta z dne 18. septembra 2025 o spremembi uredb (EU) 2021/1058 in (EU) 2021/1056 glede posebnih ukrepov za obravnavanje strateških izzivov v okviru vmesnega pregleda (UL L št. 2025/1914 z dne 19. 9. 2025);</w:t>
      </w:r>
    </w:p>
    <w:p w14:paraId="04A9811E"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 xml:space="preserve">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z Delegirano uredbo Komisije (EU) 2025/2190 z dne 22. septembra 2025 o spremembi Priloge I k Uredbi (EU) 2021/1060 Evropskega parlamenta in Sveta glede nomenklature za razsežnosti in kode za vrste ukrepov za ESRR, ESS+, Kohezijski sklad in SPP (UL L št. 2025/2190 z dne 24. 10. 2025), (v nadaljevanju: Uredba 2021/1060/EU); </w:t>
      </w:r>
    </w:p>
    <w:p w14:paraId="75CB00AF"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bookmarkStart w:id="6" w:name="_v4n2t6nb8ekg" w:colFirst="0" w:colLast="0"/>
      <w:bookmarkEnd w:id="6"/>
      <w:r>
        <w:rPr>
          <w:rFonts w:ascii="Arial" w:eastAsia="Arial" w:hAnsi="Arial" w:cs="Arial"/>
          <w:color w:val="000000"/>
        </w:rPr>
        <w:t xml:space="preserve">Uredbe (EU, </w:t>
      </w:r>
      <w:proofErr w:type="spellStart"/>
      <w:r>
        <w:rPr>
          <w:rFonts w:ascii="Arial" w:eastAsia="Arial" w:hAnsi="Arial" w:cs="Arial"/>
          <w:color w:val="000000"/>
        </w:rPr>
        <w:t>Euratom</w:t>
      </w:r>
      <w:proofErr w:type="spellEnd"/>
      <w:r>
        <w:rPr>
          <w:rFonts w:ascii="Arial" w:eastAsia="Arial" w:hAnsi="Arial" w:cs="Arial"/>
          <w:color w:val="000000"/>
        </w:rPr>
        <w:t>) 2020/2092 Evropskega parlamenta in Sveta z dne 16. decembra 2020 o splošnem režimu pogojenosti za zaščito proračuna Unije (Uradni list RS, št. 433I z dne 22. 12. 2020, str. 1), zadnjič popravljene s Popravkom (UL L št. 2023/90149 z dne 5. 12. 2023);</w:t>
      </w:r>
    </w:p>
    <w:p w14:paraId="07E640E6" w14:textId="416FB2BE"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 xml:space="preserve">Uredbe Sveta (EU, </w:t>
      </w:r>
      <w:proofErr w:type="spellStart"/>
      <w:r>
        <w:rPr>
          <w:rFonts w:ascii="Arial" w:eastAsia="Arial" w:hAnsi="Arial" w:cs="Arial"/>
          <w:color w:val="000000"/>
        </w:rPr>
        <w:t>Euratom</w:t>
      </w:r>
      <w:proofErr w:type="spellEnd"/>
      <w:r>
        <w:rPr>
          <w:rFonts w:ascii="Arial" w:eastAsia="Arial" w:hAnsi="Arial" w:cs="Arial"/>
          <w:color w:val="000000"/>
        </w:rPr>
        <w:t xml:space="preserve">) 2020/2093 z dne 17. decembra 2020 o določitvi večletnega finančnega okvira za obdobje 2021–2027 (UL L št. 433I z dne 22. 12. 2020, str. 11), zadnjič spremenjene z Uredbo Sveta (EU, </w:t>
      </w:r>
      <w:proofErr w:type="spellStart"/>
      <w:r>
        <w:rPr>
          <w:rFonts w:ascii="Arial" w:eastAsia="Arial" w:hAnsi="Arial" w:cs="Arial"/>
          <w:color w:val="000000"/>
        </w:rPr>
        <w:t>Euratom</w:t>
      </w:r>
      <w:proofErr w:type="spellEnd"/>
      <w:r>
        <w:rPr>
          <w:rFonts w:ascii="Arial" w:eastAsia="Arial" w:hAnsi="Arial" w:cs="Arial"/>
          <w:color w:val="000000"/>
        </w:rPr>
        <w:t xml:space="preserve">) </w:t>
      </w:r>
      <w:r w:rsidR="00DB189F" w:rsidRPr="00DB189F">
        <w:rPr>
          <w:rFonts w:ascii="Arial" w:eastAsia="Arial" w:hAnsi="Arial" w:cs="Arial"/>
          <w:color w:val="000000"/>
        </w:rPr>
        <w:t xml:space="preserve">2026/469 z dne 23. aprila 2026 o spremembi Uredbe (EU, </w:t>
      </w:r>
      <w:proofErr w:type="spellStart"/>
      <w:r w:rsidR="00DB189F" w:rsidRPr="00DB189F">
        <w:rPr>
          <w:rFonts w:ascii="Arial" w:eastAsia="Arial" w:hAnsi="Arial" w:cs="Arial"/>
          <w:color w:val="000000"/>
        </w:rPr>
        <w:t>Euratom</w:t>
      </w:r>
      <w:proofErr w:type="spellEnd"/>
      <w:r w:rsidR="00DB189F" w:rsidRPr="00DB189F">
        <w:rPr>
          <w:rFonts w:ascii="Arial" w:eastAsia="Arial" w:hAnsi="Arial" w:cs="Arial"/>
          <w:color w:val="000000"/>
        </w:rPr>
        <w:t>) 2020/2093 o določitvi večletnega finančnega okvira za obdobje 2021–2027</w:t>
      </w:r>
      <w:r>
        <w:rPr>
          <w:rFonts w:ascii="Arial" w:eastAsia="Arial" w:hAnsi="Arial" w:cs="Arial"/>
          <w:color w:val="000000"/>
        </w:rPr>
        <w:t xml:space="preserve"> (UL L št. </w:t>
      </w:r>
      <w:r w:rsidR="00DB189F" w:rsidRPr="00DB189F">
        <w:rPr>
          <w:rFonts w:ascii="Arial" w:eastAsia="Arial" w:hAnsi="Arial" w:cs="Arial"/>
          <w:color w:val="000000"/>
        </w:rPr>
        <w:t>2026/469 z dne 23. 4. 2026</w:t>
      </w:r>
      <w:r>
        <w:rPr>
          <w:rFonts w:ascii="Arial" w:eastAsia="Arial" w:hAnsi="Arial" w:cs="Arial"/>
          <w:color w:val="000000"/>
        </w:rPr>
        <w:t>);</w:t>
      </w:r>
    </w:p>
    <w:p w14:paraId="27546CD5"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 xml:space="preserve">Uredbe (EU) 2020/852 Evropskega parlamenta in Sveta z dne 18. junija 2020 o vzpostavitvi okvira za spodbujanje trajnostnih naložb ter spremembi Uredbe (EU) 2019/2088 (UL L št. 198/13 z dne 22. 6. 2020, str. 13), zadnjič spremenjene z Delegirano uredbo Komisije (EU) 2023/2486 z dne 27. junija 2023 o dopolnitvi Uredbe (EU) 2020/852 Evropskega parlamenta in Sveta z določitvijo tehničnih meril za pregled za določitev pogojev, pod katerimi se šteje, da gospodarska dejavnost bistveno prispeva k trajnostni rabi ter varstvu vodnih in morskih virov, prehodu na krožno gospodarstvo, preprečevanju in nadzorovanju onesnaževanja ali varstvu in obnovi biotske raznovrstnosti in ekosistemov, in za ugotavljanje, ali ta gospodarska dejavnost ne škoduje bistveno kateremu od drugih </w:t>
      </w:r>
      <w:proofErr w:type="spellStart"/>
      <w:r>
        <w:rPr>
          <w:rFonts w:ascii="Arial" w:eastAsia="Arial" w:hAnsi="Arial" w:cs="Arial"/>
          <w:color w:val="000000"/>
        </w:rPr>
        <w:t>okoljskih</w:t>
      </w:r>
      <w:proofErr w:type="spellEnd"/>
      <w:r>
        <w:rPr>
          <w:rFonts w:ascii="Arial" w:eastAsia="Arial" w:hAnsi="Arial" w:cs="Arial"/>
          <w:color w:val="000000"/>
        </w:rPr>
        <w:t xml:space="preserve"> ciljev, ter o spremembi Delegirane uredbe Komisije (EU) 2021/2178 glede posebnih javnih razkritij za te gospodarske dejavnosti (UL L št. 2023/2486 z dne 21. 11. 2023), (v nadaljevanju: Uredba (EU) 2020/852);</w:t>
      </w:r>
    </w:p>
    <w:p w14:paraId="6CDFE079" w14:textId="77777777" w:rsidR="000755BA" w:rsidRDefault="00EF1395">
      <w:pPr>
        <w:numPr>
          <w:ilvl w:val="0"/>
          <w:numId w:val="29"/>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Uredbe (EU) 2016/679 Evropskega parlamenta in Sveta z dne 27. aprila 2016 o varstvu posameznikov pri obdelavi osebnih podatkov in o prostem pretoku takih podatkov ter o razveljavitvi Direktive 95/46/ES (Splošna uredba o varstvu podatkov) (UL L št. 119 z dne 4. 5. 2016, str. 1) zadnjič popravljene s Popravkom (UL L št. 127 z dne 23. 5. 2018);</w:t>
      </w:r>
    </w:p>
    <w:p w14:paraId="63B36B87" w14:textId="2FD9480B"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lastRenderedPageBreak/>
        <w:t>Uredbe o izvajanju uredb (EU) in (</w:t>
      </w:r>
      <w:proofErr w:type="spellStart"/>
      <w:r>
        <w:rPr>
          <w:rFonts w:ascii="Arial" w:eastAsia="Arial" w:hAnsi="Arial" w:cs="Arial"/>
          <w:color w:val="000000"/>
        </w:rPr>
        <w:t>Euratom</w:t>
      </w:r>
      <w:proofErr w:type="spellEnd"/>
      <w:r>
        <w:rPr>
          <w:rFonts w:ascii="Arial" w:eastAsia="Arial" w:hAnsi="Arial" w:cs="Arial"/>
          <w:color w:val="000000"/>
        </w:rPr>
        <w:t>) na področju izvajanja evropske kohezijske politike v obdobju 2021–2027 za cilj naložbe za rast in delovna mesta (Uradni list RS, št. 21/23,13/25</w:t>
      </w:r>
      <w:r w:rsidR="008F1037">
        <w:rPr>
          <w:rFonts w:ascii="Arial" w:eastAsia="Arial" w:hAnsi="Arial" w:cs="Arial"/>
          <w:color w:val="000000"/>
        </w:rPr>
        <w:t>,</w:t>
      </w:r>
      <w:r>
        <w:rPr>
          <w:rFonts w:ascii="Arial" w:eastAsia="Arial" w:hAnsi="Arial" w:cs="Arial"/>
          <w:color w:val="000000"/>
        </w:rPr>
        <w:t xml:space="preserve"> 16/26</w:t>
      </w:r>
      <w:r w:rsidR="008F1037">
        <w:rPr>
          <w:rFonts w:ascii="Arial" w:eastAsia="Arial" w:hAnsi="Arial" w:cs="Arial"/>
          <w:color w:val="000000"/>
        </w:rPr>
        <w:t xml:space="preserve"> in 1273/26</w:t>
      </w:r>
      <w:r>
        <w:rPr>
          <w:rFonts w:ascii="Arial" w:eastAsia="Arial" w:hAnsi="Arial" w:cs="Arial"/>
          <w:color w:val="000000"/>
        </w:rPr>
        <w:t xml:space="preserve">); </w:t>
      </w:r>
    </w:p>
    <w:p w14:paraId="753117B2"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 xml:space="preserve">Zakona o javnih financah (Uradni list RS, št. 11/11 – uradno prečiščeno besedilo, 14/13 – </w:t>
      </w:r>
      <w:proofErr w:type="spellStart"/>
      <w:r>
        <w:rPr>
          <w:rFonts w:ascii="Arial" w:eastAsia="Arial" w:hAnsi="Arial" w:cs="Arial"/>
          <w:color w:val="000000"/>
        </w:rPr>
        <w:t>popr</w:t>
      </w:r>
      <w:proofErr w:type="spellEnd"/>
      <w:r>
        <w:rPr>
          <w:rFonts w:ascii="Arial" w:eastAsia="Arial" w:hAnsi="Arial" w:cs="Arial"/>
          <w:color w:val="000000"/>
        </w:rPr>
        <w:t xml:space="preserve">., 101/13, 55/15 – </w:t>
      </w:r>
      <w:proofErr w:type="spellStart"/>
      <w:r>
        <w:rPr>
          <w:rFonts w:ascii="Arial" w:eastAsia="Arial" w:hAnsi="Arial" w:cs="Arial"/>
          <w:color w:val="000000"/>
        </w:rPr>
        <w:t>ZFisP</w:t>
      </w:r>
      <w:proofErr w:type="spellEnd"/>
      <w:r>
        <w:rPr>
          <w:rFonts w:ascii="Arial" w:eastAsia="Arial" w:hAnsi="Arial" w:cs="Arial"/>
          <w:color w:val="000000"/>
        </w:rPr>
        <w:t xml:space="preserve">, 96/15 – ZIPRS1617, 13/18, 195/20 – </w:t>
      </w:r>
      <w:proofErr w:type="spellStart"/>
      <w:r>
        <w:rPr>
          <w:rFonts w:ascii="Arial" w:eastAsia="Arial" w:hAnsi="Arial" w:cs="Arial"/>
          <w:color w:val="000000"/>
        </w:rPr>
        <w:t>odl</w:t>
      </w:r>
      <w:proofErr w:type="spellEnd"/>
      <w:r>
        <w:rPr>
          <w:rFonts w:ascii="Arial" w:eastAsia="Arial" w:hAnsi="Arial" w:cs="Arial"/>
          <w:color w:val="000000"/>
        </w:rPr>
        <w:t>. US in 18/23 – ZDU-1O in 76/23, 24/25 - ZFisP-1, 39/25, 85/25 – ZPJS in 112/25);</w:t>
      </w:r>
    </w:p>
    <w:p w14:paraId="7766F8F4"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Uredbe o postopku, merilih in načinih dodeljevanja sredstev za spodbujanje razvojnih programov in prednostnih nalog (Uradni list RS, št. 56/11 in 13/26);</w:t>
      </w:r>
    </w:p>
    <w:p w14:paraId="44699B0E"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Zakona o izvrševanju proračunov Republike Slovenije za leti 2026 in 2027 (Uradni list RS, št. 95/25 in 112/25 – ZJF-K), oziroma vsakokratno veljavnega zakona o izvrševanju proračunov Republike Slovenije;</w:t>
      </w:r>
    </w:p>
    <w:p w14:paraId="226E5003"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Pravilnika o postopkih za izvrševanje proračuna Republike Slovenije (Uradni list RS, št. 50/07, 61/08, 99/09 – ZIPRS1011, 3/13, 81/16, 11/22, 96/22, 105/22 – ZZNŠPP, 149/22, 106/23, 88/24, 79/25 in 95/25),</w:t>
      </w:r>
    </w:p>
    <w:p w14:paraId="7D005A74"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Proračuna Republike Slovenije za leto 2026 (Uradni list RS, št. 104/24 in 95/25), oziroma vsakokratno veljavnega proračuna Republike Slovenije;</w:t>
      </w:r>
    </w:p>
    <w:p w14:paraId="119B0C67"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Zakona o varstvu osebnih podatkov (ZVOP-2) (Uradni list RS, št. 163/22, 40/25 – ZInfV-1 in 10/26 – ZP-1L);</w:t>
      </w:r>
    </w:p>
    <w:p w14:paraId="0437936E"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 xml:space="preserve">Zakona o integriteti in preprečevanju korupcije (Uradni list RS, št. 69/11 – uradno prečiščeno besedilo, 158/20, 3/22 - </w:t>
      </w:r>
      <w:proofErr w:type="spellStart"/>
      <w:r>
        <w:rPr>
          <w:rFonts w:ascii="Arial" w:eastAsia="Arial" w:hAnsi="Arial" w:cs="Arial"/>
          <w:color w:val="000000"/>
        </w:rPr>
        <w:t>ZDeb</w:t>
      </w:r>
      <w:proofErr w:type="spellEnd"/>
      <w:r>
        <w:rPr>
          <w:rFonts w:ascii="Arial" w:eastAsia="Arial" w:hAnsi="Arial" w:cs="Arial"/>
          <w:color w:val="000000"/>
        </w:rPr>
        <w:t xml:space="preserve"> in 16/23 – </w:t>
      </w:r>
      <w:proofErr w:type="spellStart"/>
      <w:r>
        <w:rPr>
          <w:rFonts w:ascii="Arial" w:eastAsia="Arial" w:hAnsi="Arial" w:cs="Arial"/>
          <w:color w:val="000000"/>
        </w:rPr>
        <w:t>ZZPri</w:t>
      </w:r>
      <w:proofErr w:type="spellEnd"/>
      <w:r>
        <w:rPr>
          <w:rFonts w:ascii="Arial" w:eastAsia="Arial" w:hAnsi="Arial" w:cs="Arial"/>
          <w:color w:val="000000"/>
        </w:rPr>
        <w:t>);</w:t>
      </w:r>
    </w:p>
    <w:p w14:paraId="631F856D"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Partnerskega sporazuma med Slovenijo in Evropsko komisijo za obdobje 2021-2027, št. CCI2021SI16FFPA001 z dne 12. 9. 2022;</w:t>
      </w:r>
    </w:p>
    <w:p w14:paraId="4B4E95B7"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Programa evropske kohezijske politike v obdobju 2021– 2027 v Sloveniji, december 2022, z vsemi spremembami;</w:t>
      </w:r>
    </w:p>
    <w:p w14:paraId="20D275A2"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Listine Evropske unije o temeljnih pravicah (UL C št. 202 z dne 7. 6. 2016, str. 389);</w:t>
      </w:r>
    </w:p>
    <w:p w14:paraId="44F78DC2"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Konvencije Združenih narodov o pravicah invalidov (Zakon o ratifikaciji Konvencije o pravicah invalidov in Izbirnega protokola h Konvenciji o pravicah invalidov, Uradni list RS – Mednarodne pogodbe, št. 10/08);</w:t>
      </w:r>
    </w:p>
    <w:p w14:paraId="6806375F"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 xml:space="preserve">Zakona o preprečevanju pranja denarja in financiranja terorizma (Uradni list RS, št. </w:t>
      </w:r>
      <w:hyperlink r:id="rId8">
        <w:r>
          <w:rPr>
            <w:rFonts w:ascii="Arial" w:eastAsia="Arial" w:hAnsi="Arial" w:cs="Arial"/>
            <w:color w:val="000000"/>
          </w:rPr>
          <w:t>48/22</w:t>
        </w:r>
      </w:hyperlink>
      <w:r>
        <w:rPr>
          <w:rFonts w:ascii="Arial" w:eastAsia="Arial" w:hAnsi="Arial" w:cs="Arial"/>
          <w:color w:val="000000"/>
        </w:rPr>
        <w:t xml:space="preserve">, </w:t>
      </w:r>
      <w:hyperlink r:id="rId9">
        <w:r>
          <w:rPr>
            <w:rFonts w:ascii="Arial" w:eastAsia="Arial" w:hAnsi="Arial" w:cs="Arial"/>
            <w:color w:val="000000"/>
          </w:rPr>
          <w:t>145/22</w:t>
        </w:r>
      </w:hyperlink>
      <w:r>
        <w:rPr>
          <w:rFonts w:ascii="Arial" w:eastAsia="Arial" w:hAnsi="Arial" w:cs="Arial"/>
          <w:color w:val="000000"/>
        </w:rPr>
        <w:t>, 17/25 in 56/25);</w:t>
      </w:r>
    </w:p>
    <w:p w14:paraId="518726EE"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Uredbe o enotni metodologiji za pripravo in obravnavo investicijske dokumentacije na področju javnih financ (Uradni list RS, št. 60/06, 54/10 in 27/16);</w:t>
      </w:r>
    </w:p>
    <w:p w14:paraId="48ED561F"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Zakona o spodbujanju razvoja turizma (Uradni list RS, št. 13/18 in 100/25);</w:t>
      </w:r>
    </w:p>
    <w:p w14:paraId="540DBF0C"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bookmarkStart w:id="7" w:name="_mq7a1jl43qp7" w:colFirst="0" w:colLast="0"/>
      <w:bookmarkEnd w:id="7"/>
      <w:r>
        <w:rPr>
          <w:rFonts w:ascii="Arial" w:eastAsia="Arial" w:hAnsi="Arial" w:cs="Arial"/>
          <w:color w:val="000000"/>
        </w:rPr>
        <w:t>Uredbe o razvojnih spodbudah za turizem (Uradni list RS, št. 208/21);</w:t>
      </w:r>
    </w:p>
    <w:p w14:paraId="2E671CC2" w14:textId="0FF727FB" w:rsidR="000755BA" w:rsidRPr="00A47031"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 xml:space="preserve">Strategije slovenskega turizma 2022 – 2028, dostopne na </w:t>
      </w:r>
      <w:hyperlink r:id="rId10" w:history="1">
        <w:r w:rsidR="00A47031" w:rsidRPr="00A47031">
          <w:rPr>
            <w:rStyle w:val="Hiperpovezava"/>
            <w:rFonts w:ascii="Arial" w:hAnsi="Arial" w:cs="Arial"/>
          </w:rPr>
          <w:t>Strategija-slovenskega-turizma-2022-2028-dokument.pdf</w:t>
        </w:r>
      </w:hyperlink>
      <w:r w:rsidRPr="00A47031">
        <w:rPr>
          <w:rFonts w:ascii="Arial" w:eastAsia="Arial" w:hAnsi="Arial" w:cs="Arial"/>
          <w:color w:val="000000"/>
        </w:rPr>
        <w:t>;</w:t>
      </w:r>
    </w:p>
    <w:p w14:paraId="44C6F972" w14:textId="4DFE2063" w:rsidR="000755BA" w:rsidRPr="00A47031"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bookmarkStart w:id="8" w:name="_1us36ufgb7eg" w:colFirst="0" w:colLast="0"/>
      <w:bookmarkEnd w:id="8"/>
      <w:r>
        <w:rPr>
          <w:rFonts w:ascii="Arial" w:eastAsia="Arial" w:hAnsi="Arial" w:cs="Arial"/>
          <w:color w:val="000000"/>
        </w:rPr>
        <w:t xml:space="preserve">Strategije trajnostne rasti slovenskega turizma 2017 – 2021, dostopne na </w:t>
      </w:r>
      <w:hyperlink r:id="rId11" w:history="1">
        <w:r w:rsidR="00A47031" w:rsidRPr="00A47031">
          <w:rPr>
            <w:rStyle w:val="Hiperpovezava"/>
            <w:rFonts w:ascii="Arial" w:hAnsi="Arial" w:cs="Arial"/>
          </w:rPr>
          <w:t>Strategija-trajnostne-rasti-slovenskega-turizma-2017-2021.pdf</w:t>
        </w:r>
      </w:hyperlink>
      <w:r w:rsidRPr="00A47031">
        <w:rPr>
          <w:rFonts w:ascii="Arial" w:eastAsia="Arial" w:hAnsi="Arial" w:cs="Arial"/>
          <w:color w:val="000000"/>
        </w:rPr>
        <w:t>;</w:t>
      </w:r>
    </w:p>
    <w:p w14:paraId="205C6262" w14:textId="77777777"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 xml:space="preserve">Slovenske strategije trajnostne pametne specializacije - S5, dostopne na </w:t>
      </w:r>
      <w:hyperlink r:id="rId12">
        <w:r>
          <w:rPr>
            <w:rFonts w:ascii="Arial" w:eastAsia="Arial" w:hAnsi="Arial" w:cs="Arial"/>
            <w:color w:val="0000FF"/>
            <w:u w:val="single"/>
          </w:rPr>
          <w:t>https://evropskasredstva.si/app/uploads/2024/02/Strategija-S5_verzija_1_1.pdf</w:t>
        </w:r>
      </w:hyperlink>
      <w:r>
        <w:rPr>
          <w:rFonts w:ascii="Arial" w:eastAsia="Arial" w:hAnsi="Arial" w:cs="Arial"/>
          <w:color w:val="000000"/>
        </w:rPr>
        <w:t xml:space="preserve">; </w:t>
      </w:r>
    </w:p>
    <w:p w14:paraId="13370685" w14:textId="3EB9A18C" w:rsidR="000755BA" w:rsidRDefault="00EF1395">
      <w:pPr>
        <w:numPr>
          <w:ilvl w:val="0"/>
          <w:numId w:val="29"/>
        </w:num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 xml:space="preserve">Programa ukrepov Ministrstva za gospodarstvo, </w:t>
      </w:r>
      <w:r w:rsidR="009E0D71">
        <w:rPr>
          <w:rFonts w:ascii="Arial" w:eastAsia="Arial" w:hAnsi="Arial" w:cs="Arial"/>
          <w:color w:val="000000"/>
        </w:rPr>
        <w:t>delo</w:t>
      </w:r>
      <w:r>
        <w:rPr>
          <w:rFonts w:ascii="Arial" w:eastAsia="Arial" w:hAnsi="Arial" w:cs="Arial"/>
          <w:color w:val="000000"/>
        </w:rPr>
        <w:t xml:space="preserve"> in šport za spodbujanje podjetništva in konkurenčnosti v obdobju 2024 – 2030 z vsemi spremembami;</w:t>
      </w:r>
    </w:p>
    <w:p w14:paraId="77E72FA1" w14:textId="77777777" w:rsidR="001B2875" w:rsidRDefault="001B2875" w:rsidP="001B2875">
      <w:pPr>
        <w:pStyle w:val="Telobesedila"/>
        <w:numPr>
          <w:ilvl w:val="0"/>
          <w:numId w:val="29"/>
        </w:numPr>
        <w:tabs>
          <w:tab w:val="left" w:pos="360"/>
        </w:tabs>
        <w:spacing w:after="0" w:line="276" w:lineRule="auto"/>
        <w:jc w:val="both"/>
        <w:rPr>
          <w:rFonts w:ascii="Arial" w:hAnsi="Arial" w:cs="Arial"/>
          <w:bCs/>
          <w:sz w:val="20"/>
          <w:szCs w:val="20"/>
        </w:rPr>
      </w:pPr>
      <w:bookmarkStart w:id="9" w:name="_1l0tlhbdfu3c" w:colFirst="0" w:colLast="0"/>
      <w:bookmarkStart w:id="10" w:name="_Toc239072447"/>
      <w:bookmarkEnd w:id="9"/>
      <w:r w:rsidRPr="001D60EE">
        <w:rPr>
          <w:rFonts w:ascii="Arial" w:hAnsi="Arial" w:cs="Arial"/>
          <w:bCs/>
          <w:sz w:val="20"/>
          <w:szCs w:val="20"/>
        </w:rPr>
        <w:t xml:space="preserve">Odločitev o </w:t>
      </w:r>
      <w:r w:rsidRPr="00A643DF">
        <w:rPr>
          <w:rFonts w:ascii="Arial" w:hAnsi="Arial" w:cs="Arial"/>
          <w:bCs/>
          <w:sz w:val="20"/>
          <w:szCs w:val="20"/>
        </w:rPr>
        <w:t>podpori Ministrstv</w:t>
      </w:r>
      <w:r>
        <w:rPr>
          <w:rFonts w:ascii="Arial" w:hAnsi="Arial" w:cs="Arial"/>
          <w:bCs/>
          <w:sz w:val="20"/>
          <w:szCs w:val="20"/>
        </w:rPr>
        <w:t>a</w:t>
      </w:r>
      <w:r w:rsidRPr="00A643DF">
        <w:rPr>
          <w:rFonts w:ascii="Arial" w:hAnsi="Arial" w:cs="Arial"/>
          <w:bCs/>
          <w:sz w:val="20"/>
          <w:szCs w:val="20"/>
        </w:rPr>
        <w:t xml:space="preserve"> za lokalno samoupravo, kohezijo in regionalni razvoj</w:t>
      </w:r>
      <w:r>
        <w:rPr>
          <w:rFonts w:ascii="Arial" w:hAnsi="Arial" w:cs="Arial"/>
          <w:bCs/>
          <w:sz w:val="20"/>
          <w:szCs w:val="20"/>
        </w:rPr>
        <w:t xml:space="preserve"> </w:t>
      </w:r>
      <w:r w:rsidRPr="001D60EE">
        <w:rPr>
          <w:rFonts w:ascii="Arial" w:hAnsi="Arial" w:cs="Arial"/>
          <w:bCs/>
          <w:sz w:val="20"/>
          <w:szCs w:val="20"/>
        </w:rPr>
        <w:t xml:space="preserve">v vlogi organa upravljanja za strukturna sklada in kohezijski sklad št. </w:t>
      </w:r>
      <w:r w:rsidRPr="001F4BA0">
        <w:rPr>
          <w:rFonts w:ascii="Arial" w:hAnsi="Arial" w:cs="Arial"/>
          <w:bCs/>
          <w:sz w:val="20"/>
          <w:szCs w:val="20"/>
        </w:rPr>
        <w:t xml:space="preserve">V00416-1/1 </w:t>
      </w:r>
      <w:r w:rsidRPr="001D60EE">
        <w:rPr>
          <w:rFonts w:ascii="Arial" w:hAnsi="Arial" w:cs="Arial"/>
          <w:bCs/>
          <w:sz w:val="20"/>
          <w:szCs w:val="20"/>
        </w:rPr>
        <w:t xml:space="preserve"> za »Javni razpis </w:t>
      </w:r>
      <w:r w:rsidRPr="00286690">
        <w:rPr>
          <w:rFonts w:ascii="Arial" w:hAnsi="Arial" w:cs="Arial"/>
          <w:bCs/>
          <w:sz w:val="20"/>
          <w:szCs w:val="20"/>
        </w:rPr>
        <w:t>za trajnostni razvoj in upravljanje turističnih destinacij</w:t>
      </w:r>
      <w:r w:rsidRPr="001D60EE">
        <w:rPr>
          <w:rFonts w:ascii="Arial" w:hAnsi="Arial" w:cs="Arial"/>
          <w:bCs/>
          <w:sz w:val="20"/>
          <w:szCs w:val="20"/>
        </w:rPr>
        <w:t xml:space="preserve">« </w:t>
      </w:r>
      <w:r>
        <w:rPr>
          <w:rFonts w:ascii="Arial" w:hAnsi="Arial" w:cs="Arial"/>
          <w:bCs/>
          <w:sz w:val="20"/>
          <w:szCs w:val="20"/>
        </w:rPr>
        <w:t xml:space="preserve">(v nadaljevanju: javni razpis) </w:t>
      </w:r>
      <w:r w:rsidRPr="001D60EE">
        <w:rPr>
          <w:rFonts w:ascii="Arial" w:hAnsi="Arial" w:cs="Arial"/>
          <w:bCs/>
          <w:sz w:val="20"/>
          <w:szCs w:val="20"/>
        </w:rPr>
        <w:t>z dne</w:t>
      </w:r>
      <w:r>
        <w:rPr>
          <w:rFonts w:ascii="Arial" w:hAnsi="Arial" w:cs="Arial"/>
          <w:bCs/>
          <w:sz w:val="20"/>
          <w:szCs w:val="20"/>
        </w:rPr>
        <w:t xml:space="preserve"> 7. 10</w:t>
      </w:r>
      <w:r w:rsidRPr="001D60EE">
        <w:rPr>
          <w:rFonts w:ascii="Arial" w:hAnsi="Arial" w:cs="Arial"/>
          <w:bCs/>
          <w:sz w:val="20"/>
          <w:szCs w:val="20"/>
        </w:rPr>
        <w:t>.</w:t>
      </w:r>
      <w:r>
        <w:rPr>
          <w:rFonts w:ascii="Arial" w:hAnsi="Arial" w:cs="Arial"/>
          <w:bCs/>
          <w:sz w:val="20"/>
          <w:szCs w:val="20"/>
        </w:rPr>
        <w:t xml:space="preserve"> 2026.</w:t>
      </w:r>
    </w:p>
    <w:p w14:paraId="016D23CE" w14:textId="650FD0FD" w:rsidR="000755BA" w:rsidRPr="004C770D" w:rsidRDefault="004C770D" w:rsidP="004C770D">
      <w:pPr>
        <w:pStyle w:val="Naslov1"/>
      </w:pPr>
      <w:r w:rsidRPr="004C770D">
        <w:lastRenderedPageBreak/>
        <w:t xml:space="preserve">I. </w:t>
      </w:r>
      <w:r>
        <w:tab/>
      </w:r>
      <w:r w:rsidR="00EF1395" w:rsidRPr="004C770D">
        <w:t>VSEBINA RAZPISA</w:t>
      </w:r>
      <w:bookmarkEnd w:id="10"/>
    </w:p>
    <w:p w14:paraId="5303468A" w14:textId="04EE1F41" w:rsidR="000755BA" w:rsidRDefault="004C770D" w:rsidP="004C770D">
      <w:pPr>
        <w:pStyle w:val="Naslov2"/>
        <w:ind w:left="142"/>
      </w:pPr>
      <w:bookmarkStart w:id="11" w:name="_Toc239072448"/>
      <w:r>
        <w:t xml:space="preserve">1. </w:t>
      </w:r>
      <w:r>
        <w:tab/>
      </w:r>
      <w:r w:rsidR="00EF1395">
        <w:t>Ime oziroma naziv in sedež posredniškega organa, ki dodeljuje sredstva</w:t>
      </w:r>
      <w:bookmarkEnd w:id="11"/>
    </w:p>
    <w:p w14:paraId="3FB5F885" w14:textId="77777777" w:rsidR="000755BA" w:rsidRDefault="000755BA">
      <w:pPr>
        <w:pBdr>
          <w:top w:val="nil"/>
          <w:left w:val="nil"/>
          <w:bottom w:val="nil"/>
          <w:right w:val="nil"/>
          <w:between w:val="nil"/>
        </w:pBdr>
        <w:spacing w:line="276" w:lineRule="auto"/>
        <w:ind w:left="567"/>
        <w:jc w:val="both"/>
        <w:rPr>
          <w:rFonts w:ascii="Arial" w:eastAsia="Arial" w:hAnsi="Arial" w:cs="Arial"/>
          <w:color w:val="000000"/>
        </w:rPr>
      </w:pPr>
    </w:p>
    <w:p w14:paraId="7D5881A0" w14:textId="5B6176A2"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Republika Slovenija, Ministrstvo za gospodarstvo, </w:t>
      </w:r>
      <w:r w:rsidR="00A47031">
        <w:rPr>
          <w:rFonts w:ascii="Arial" w:eastAsia="Arial" w:hAnsi="Arial" w:cs="Arial"/>
          <w:color w:val="000000"/>
        </w:rPr>
        <w:t>delo</w:t>
      </w:r>
      <w:r>
        <w:rPr>
          <w:rFonts w:ascii="Arial" w:eastAsia="Arial" w:hAnsi="Arial" w:cs="Arial"/>
          <w:color w:val="000000"/>
        </w:rPr>
        <w:t xml:space="preserve"> in šport, Kotnikova ulica 5, 1000 Ljubljana (v nadaljevanju: ministrstvo). Ministrstvo nastopa pri izvedbi tega javnega razpisa v vlogi posredniškega telesa.</w:t>
      </w:r>
    </w:p>
    <w:p w14:paraId="4771D78D" w14:textId="6CBF732D" w:rsidR="000755BA" w:rsidRDefault="004C770D" w:rsidP="004C770D">
      <w:pPr>
        <w:pStyle w:val="Naslov2"/>
        <w:ind w:left="142"/>
      </w:pPr>
      <w:bookmarkStart w:id="12" w:name="_Toc239072449"/>
      <w:r>
        <w:t>2.</w:t>
      </w:r>
      <w:r>
        <w:tab/>
      </w:r>
      <w:r w:rsidR="00EF1395">
        <w:t>Uvrstitev javnega razpisa v programe Evropske kohezijske politike v obdobju 2021 – 2027 v Sloveniji</w:t>
      </w:r>
      <w:bookmarkEnd w:id="12"/>
      <w:r w:rsidR="00EF1395">
        <w:t xml:space="preserve">  </w:t>
      </w:r>
    </w:p>
    <w:p w14:paraId="756722F2" w14:textId="77777777" w:rsidR="000755BA" w:rsidRDefault="000755BA">
      <w:pPr>
        <w:pBdr>
          <w:top w:val="nil"/>
          <w:left w:val="nil"/>
          <w:bottom w:val="nil"/>
          <w:right w:val="nil"/>
          <w:between w:val="nil"/>
        </w:pBdr>
        <w:spacing w:line="276" w:lineRule="auto"/>
        <w:ind w:left="567"/>
        <w:jc w:val="both"/>
        <w:rPr>
          <w:rFonts w:ascii="Arial" w:eastAsia="Arial" w:hAnsi="Arial" w:cs="Arial"/>
          <w:color w:val="000000"/>
          <w:sz w:val="22"/>
          <w:szCs w:val="22"/>
        </w:rPr>
      </w:pPr>
    </w:p>
    <w:p w14:paraId="10B49F3E"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bookmarkStart w:id="13" w:name="_2kw966fufwmi" w:colFirst="0" w:colLast="0"/>
      <w:bookmarkEnd w:id="13"/>
      <w:r>
        <w:rPr>
          <w:rFonts w:ascii="Arial" w:eastAsia="Arial" w:hAnsi="Arial" w:cs="Arial"/>
          <w:color w:val="000000"/>
        </w:rPr>
        <w:t>Javni razpis delno financira Evropska unija, in sicer iz Evropskega sklada za regionalni razvoj (ESRR). Javni razpis se izvaja v okviru »Programa za izvajanje Evropske kohezijske politike v obdobju 2021–2027«: cilja politik: »CP 1: Konkurenčnejša in pametnejša Evropa s spodbujanjem inovativne in pametne gospodarske preobrazbe ter regionalne povezljivosti na področju IKT«; prednostne naloge: »Prednostna naloga 1: Inovacijska družba znanja«, specifičnega cilja: »Specifični cilj RSO1.3. Krepitev trajnostne rasti in konkurenčnosti MSP ter ustvarjanje delovnih mest v MSP, med drugim s produktivnimi naložbami (ESRR)«.</w:t>
      </w:r>
    </w:p>
    <w:p w14:paraId="7C4DD4C7"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0E8CC87"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C3275DE" w14:textId="314809EE" w:rsidR="000755BA" w:rsidRPr="004C770D" w:rsidRDefault="004C770D" w:rsidP="004C770D">
      <w:pPr>
        <w:pStyle w:val="Naslov2"/>
        <w:ind w:left="284"/>
      </w:pPr>
      <w:bookmarkStart w:id="14" w:name="_Toc239072450"/>
      <w:r>
        <w:t>3.</w:t>
      </w:r>
      <w:r>
        <w:tab/>
      </w:r>
      <w:r w:rsidR="00EF1395">
        <w:t>Namen, cilj in predmet javnega razpisa ter regija izvajanja</w:t>
      </w:r>
      <w:bookmarkEnd w:id="14"/>
      <w:r w:rsidR="00EF1395">
        <w:t xml:space="preserve"> </w:t>
      </w:r>
    </w:p>
    <w:p w14:paraId="36E0CCE5" w14:textId="77777777" w:rsidR="000755BA" w:rsidRDefault="00EF1395" w:rsidP="004C770D">
      <w:pPr>
        <w:pStyle w:val="Naslov2"/>
        <w:ind w:left="284"/>
      </w:pPr>
      <w:bookmarkStart w:id="15" w:name="_Toc239072451"/>
      <w:r>
        <w:t>3.1 Namen in cilj javnega razpisa</w:t>
      </w:r>
      <w:bookmarkEnd w:id="15"/>
    </w:p>
    <w:p w14:paraId="692141C9" w14:textId="77777777" w:rsidR="000755BA" w:rsidRDefault="000755BA">
      <w:pPr>
        <w:pBdr>
          <w:top w:val="nil"/>
          <w:left w:val="nil"/>
          <w:bottom w:val="nil"/>
          <w:right w:val="nil"/>
          <w:between w:val="nil"/>
        </w:pBdr>
        <w:spacing w:line="276" w:lineRule="auto"/>
        <w:ind w:left="1146"/>
        <w:jc w:val="both"/>
        <w:rPr>
          <w:rFonts w:ascii="Arial" w:eastAsia="Arial" w:hAnsi="Arial" w:cs="Arial"/>
          <w:color w:val="000000"/>
        </w:rPr>
      </w:pPr>
    </w:p>
    <w:p w14:paraId="3BE598A2"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bookmarkStart w:id="16" w:name="_7g7shz6fch9c" w:colFirst="0" w:colLast="0"/>
      <w:bookmarkEnd w:id="16"/>
      <w:r>
        <w:rPr>
          <w:rFonts w:ascii="Arial" w:eastAsia="Arial" w:hAnsi="Arial" w:cs="Arial"/>
          <w:color w:val="000000"/>
        </w:rPr>
        <w:t xml:space="preserve">Namen javnega razpisa je spodbujanje razvoja turističnih produktov in krepitev poslovnega okolja v destinacijah, kar bo omogočilo hitrejši nadaljnji razvoj turizma in dvig kakovosti življenja prebivalcev na območju. Cilj je vzpostaviti kompetentne regijske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izboljšati koordinacijo, kakovost turistične ponudbe in prepoznavnost destinacij ter povečati dodano vrednost za lokalno skupnost in turistični sektor kot celoto.</w:t>
      </w:r>
    </w:p>
    <w:p w14:paraId="721D45CE"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Z namenom vzpostavljanja kompetentnih regijskih </w:t>
      </w:r>
      <w:proofErr w:type="spellStart"/>
      <w:r>
        <w:rPr>
          <w:rFonts w:ascii="Arial" w:eastAsia="Arial" w:hAnsi="Arial" w:cs="Arial"/>
          <w:color w:val="000000"/>
        </w:rPr>
        <w:t>destinacijskih</w:t>
      </w:r>
      <w:proofErr w:type="spellEnd"/>
      <w:r>
        <w:rPr>
          <w:rFonts w:ascii="Arial" w:eastAsia="Arial" w:hAnsi="Arial" w:cs="Arial"/>
          <w:color w:val="000000"/>
        </w:rPr>
        <w:t xml:space="preserve"> management organizacij se javni razpis osredotoča na izvajanje vseh funkcij </w:t>
      </w:r>
      <w:proofErr w:type="spellStart"/>
      <w:r>
        <w:rPr>
          <w:rFonts w:ascii="Arial" w:eastAsia="Arial" w:hAnsi="Arial" w:cs="Arial"/>
          <w:color w:val="000000"/>
        </w:rPr>
        <w:t>destinacijskih</w:t>
      </w:r>
      <w:proofErr w:type="spellEnd"/>
      <w:r>
        <w:rPr>
          <w:rFonts w:ascii="Arial" w:eastAsia="Arial" w:hAnsi="Arial" w:cs="Arial"/>
          <w:color w:val="000000"/>
        </w:rPr>
        <w:t xml:space="preserve"> organizacij, vključno z upravljanjem na </w:t>
      </w:r>
      <w:proofErr w:type="spellStart"/>
      <w:r>
        <w:rPr>
          <w:rFonts w:ascii="Arial" w:eastAsia="Arial" w:hAnsi="Arial" w:cs="Arial"/>
          <w:color w:val="000000"/>
        </w:rPr>
        <w:t>destinacijski</w:t>
      </w:r>
      <w:proofErr w:type="spellEnd"/>
      <w:r>
        <w:rPr>
          <w:rFonts w:ascii="Arial" w:eastAsia="Arial" w:hAnsi="Arial" w:cs="Arial"/>
          <w:color w:val="000000"/>
        </w:rPr>
        <w:t xml:space="preserve"> ravni, strateškim načrtovanjem, razvojem turističnih produktov na ravni destinacij, ti pa zajemajo tudi valorizacijo kulturne in naravne dediščine. Javni razpis vzpodbuja tudi organiziranost turizma na ravni perspektivnih destinacij.</w:t>
      </w:r>
    </w:p>
    <w:p w14:paraId="680BF090"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Cilji javnega razpisa so:</w:t>
      </w:r>
    </w:p>
    <w:p w14:paraId="2D18A08D" w14:textId="77777777" w:rsidR="000755BA" w:rsidRDefault="00EF1395">
      <w:pPr>
        <w:numPr>
          <w:ilvl w:val="0"/>
          <w:numId w:val="24"/>
        </w:numPr>
        <w:pBdr>
          <w:top w:val="nil"/>
          <w:left w:val="nil"/>
          <w:bottom w:val="nil"/>
          <w:right w:val="nil"/>
          <w:between w:val="nil"/>
        </w:pBdr>
        <w:spacing w:line="276" w:lineRule="auto"/>
        <w:jc w:val="both"/>
      </w:pPr>
      <w:r>
        <w:rPr>
          <w:rFonts w:ascii="Arial" w:eastAsia="Arial" w:hAnsi="Arial" w:cs="Arial"/>
          <w:color w:val="000000"/>
        </w:rPr>
        <w:t>vzpostavitev upravljanja turizma na regijski ravni ter na ravni perspektivnih destinacij slovenskega turizma,</w:t>
      </w:r>
    </w:p>
    <w:p w14:paraId="24D40BB4" w14:textId="77777777" w:rsidR="000755BA" w:rsidRDefault="00EF1395">
      <w:pPr>
        <w:numPr>
          <w:ilvl w:val="0"/>
          <w:numId w:val="24"/>
        </w:numPr>
        <w:pBdr>
          <w:top w:val="nil"/>
          <w:left w:val="nil"/>
          <w:bottom w:val="nil"/>
          <w:right w:val="nil"/>
          <w:between w:val="nil"/>
        </w:pBdr>
        <w:spacing w:line="276" w:lineRule="auto"/>
        <w:jc w:val="both"/>
      </w:pPr>
      <w:r>
        <w:rPr>
          <w:rFonts w:ascii="Arial" w:eastAsia="Arial" w:hAnsi="Arial" w:cs="Arial"/>
          <w:color w:val="000000"/>
        </w:rPr>
        <w:t xml:space="preserve">izboljšanje učinkovitosti upravljanja turizma, </w:t>
      </w:r>
    </w:p>
    <w:p w14:paraId="75D1C0FE" w14:textId="77777777" w:rsidR="000755BA" w:rsidRDefault="00EF1395">
      <w:pPr>
        <w:numPr>
          <w:ilvl w:val="0"/>
          <w:numId w:val="24"/>
        </w:numPr>
        <w:pBdr>
          <w:top w:val="nil"/>
          <w:left w:val="nil"/>
          <w:bottom w:val="nil"/>
          <w:right w:val="nil"/>
          <w:between w:val="nil"/>
        </w:pBdr>
        <w:spacing w:line="276" w:lineRule="auto"/>
        <w:jc w:val="both"/>
      </w:pPr>
      <w:r>
        <w:rPr>
          <w:rFonts w:ascii="Arial" w:eastAsia="Arial" w:hAnsi="Arial" w:cs="Arial"/>
          <w:color w:val="000000"/>
        </w:rPr>
        <w:t>dvig kakovosti turistične ponudbe slovenskega turizma,</w:t>
      </w:r>
    </w:p>
    <w:p w14:paraId="0AE5D0DB" w14:textId="77777777" w:rsidR="000755BA" w:rsidRDefault="00EF1395">
      <w:pPr>
        <w:numPr>
          <w:ilvl w:val="0"/>
          <w:numId w:val="24"/>
        </w:numPr>
        <w:pBdr>
          <w:top w:val="nil"/>
          <w:left w:val="nil"/>
          <w:bottom w:val="nil"/>
          <w:right w:val="nil"/>
          <w:between w:val="nil"/>
        </w:pBdr>
        <w:spacing w:line="276" w:lineRule="auto"/>
        <w:jc w:val="both"/>
      </w:pPr>
      <w:r>
        <w:rPr>
          <w:rFonts w:ascii="Arial" w:eastAsia="Arial" w:hAnsi="Arial" w:cs="Arial"/>
          <w:color w:val="000000"/>
        </w:rPr>
        <w:t>razvoj novih turističnih produktov na regijski ravni,</w:t>
      </w:r>
    </w:p>
    <w:p w14:paraId="2D8A0959" w14:textId="77777777" w:rsidR="000755BA" w:rsidRDefault="00EF1395">
      <w:pPr>
        <w:numPr>
          <w:ilvl w:val="0"/>
          <w:numId w:val="24"/>
        </w:numPr>
        <w:pBdr>
          <w:top w:val="nil"/>
          <w:left w:val="nil"/>
          <w:bottom w:val="nil"/>
          <w:right w:val="nil"/>
          <w:between w:val="nil"/>
        </w:pBdr>
        <w:spacing w:line="276" w:lineRule="auto"/>
        <w:jc w:val="both"/>
      </w:pPr>
      <w:r>
        <w:rPr>
          <w:rFonts w:ascii="Arial" w:eastAsia="Arial" w:hAnsi="Arial" w:cs="Arial"/>
          <w:color w:val="000000"/>
        </w:rPr>
        <w:t>izboljšanje učinkovitosti usmerjanja turističnih tokov,</w:t>
      </w:r>
    </w:p>
    <w:p w14:paraId="2395601E" w14:textId="77777777" w:rsidR="000755BA" w:rsidRDefault="00EF1395">
      <w:pPr>
        <w:numPr>
          <w:ilvl w:val="0"/>
          <w:numId w:val="24"/>
        </w:numPr>
        <w:pBdr>
          <w:top w:val="nil"/>
          <w:left w:val="nil"/>
          <w:bottom w:val="nil"/>
          <w:right w:val="nil"/>
          <w:between w:val="nil"/>
        </w:pBdr>
        <w:spacing w:line="276" w:lineRule="auto"/>
        <w:jc w:val="both"/>
      </w:pPr>
      <w:r>
        <w:rPr>
          <w:rFonts w:ascii="Arial" w:eastAsia="Arial" w:hAnsi="Arial" w:cs="Arial"/>
          <w:color w:val="000000"/>
        </w:rPr>
        <w:t xml:space="preserve">vzpostavitev in nadgradnja močnejših </w:t>
      </w:r>
      <w:proofErr w:type="spellStart"/>
      <w:r>
        <w:rPr>
          <w:rFonts w:ascii="Arial" w:eastAsia="Arial" w:hAnsi="Arial" w:cs="Arial"/>
          <w:color w:val="000000"/>
        </w:rPr>
        <w:t>destinacijskih</w:t>
      </w:r>
      <w:proofErr w:type="spellEnd"/>
      <w:r>
        <w:rPr>
          <w:rFonts w:ascii="Arial" w:eastAsia="Arial" w:hAnsi="Arial" w:cs="Arial"/>
          <w:color w:val="000000"/>
        </w:rPr>
        <w:t xml:space="preserve"> znamk,</w:t>
      </w:r>
    </w:p>
    <w:p w14:paraId="34952EFF" w14:textId="77777777" w:rsidR="000755BA" w:rsidRDefault="00EF1395">
      <w:pPr>
        <w:numPr>
          <w:ilvl w:val="0"/>
          <w:numId w:val="24"/>
        </w:numPr>
        <w:pBdr>
          <w:top w:val="nil"/>
          <w:left w:val="nil"/>
          <w:bottom w:val="nil"/>
          <w:right w:val="nil"/>
          <w:between w:val="nil"/>
        </w:pBdr>
        <w:spacing w:line="276" w:lineRule="auto"/>
        <w:jc w:val="both"/>
      </w:pPr>
      <w:r>
        <w:rPr>
          <w:rFonts w:ascii="Arial" w:eastAsia="Arial" w:hAnsi="Arial" w:cs="Arial"/>
          <w:color w:val="000000"/>
        </w:rPr>
        <w:t>izboljšanje kompetenc zaposlenih na področju gostinstva in turizma,</w:t>
      </w:r>
    </w:p>
    <w:p w14:paraId="5A38CD25" w14:textId="77777777" w:rsidR="000755BA" w:rsidRDefault="00EF1395">
      <w:pPr>
        <w:numPr>
          <w:ilvl w:val="0"/>
          <w:numId w:val="24"/>
        </w:numPr>
        <w:pBdr>
          <w:top w:val="nil"/>
          <w:left w:val="nil"/>
          <w:bottom w:val="nil"/>
          <w:right w:val="nil"/>
          <w:between w:val="nil"/>
        </w:pBdr>
        <w:spacing w:line="276" w:lineRule="auto"/>
        <w:jc w:val="both"/>
      </w:pPr>
      <w:r>
        <w:rPr>
          <w:rFonts w:ascii="Arial" w:eastAsia="Arial" w:hAnsi="Arial" w:cs="Arial"/>
          <w:color w:val="000000"/>
        </w:rPr>
        <w:t>nadaljnja krepitev zadovoljstva turistov,</w:t>
      </w:r>
    </w:p>
    <w:p w14:paraId="5022DC7B" w14:textId="77777777" w:rsidR="000755BA" w:rsidRDefault="00EF1395">
      <w:pPr>
        <w:numPr>
          <w:ilvl w:val="0"/>
          <w:numId w:val="24"/>
        </w:numPr>
        <w:pBdr>
          <w:top w:val="nil"/>
          <w:left w:val="nil"/>
          <w:bottom w:val="nil"/>
          <w:right w:val="nil"/>
          <w:between w:val="nil"/>
        </w:pBdr>
        <w:spacing w:line="276" w:lineRule="auto"/>
        <w:jc w:val="both"/>
      </w:pPr>
      <w:r>
        <w:rPr>
          <w:rFonts w:ascii="Arial" w:eastAsia="Arial" w:hAnsi="Arial" w:cs="Arial"/>
          <w:color w:val="000000"/>
        </w:rPr>
        <w:t xml:space="preserve">dvig konkurenčnosti slovenskega turizma tako na nacionalni kot regionalni in </w:t>
      </w:r>
      <w:proofErr w:type="spellStart"/>
      <w:r>
        <w:rPr>
          <w:rFonts w:ascii="Arial" w:eastAsia="Arial" w:hAnsi="Arial" w:cs="Arial"/>
          <w:color w:val="000000"/>
        </w:rPr>
        <w:t>destinacijski</w:t>
      </w:r>
      <w:proofErr w:type="spellEnd"/>
      <w:r>
        <w:rPr>
          <w:rFonts w:ascii="Arial" w:eastAsia="Arial" w:hAnsi="Arial" w:cs="Arial"/>
          <w:color w:val="000000"/>
        </w:rPr>
        <w:t xml:space="preserve"> ravni.</w:t>
      </w:r>
    </w:p>
    <w:p w14:paraId="06450565" w14:textId="77777777" w:rsidR="0004051E" w:rsidRDefault="0004051E">
      <w:pPr>
        <w:pBdr>
          <w:top w:val="nil"/>
          <w:left w:val="nil"/>
          <w:bottom w:val="nil"/>
          <w:right w:val="nil"/>
          <w:between w:val="nil"/>
        </w:pBdr>
        <w:spacing w:after="200" w:line="276" w:lineRule="auto"/>
        <w:jc w:val="both"/>
        <w:rPr>
          <w:rFonts w:ascii="Arial" w:eastAsia="Arial" w:hAnsi="Arial" w:cs="Arial"/>
          <w:color w:val="000000"/>
        </w:rPr>
      </w:pPr>
    </w:p>
    <w:p w14:paraId="647144EE" w14:textId="195C556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lastRenderedPageBreak/>
        <w:t>Cilj javnega razpisa bo dosežen z naslednjimi rezultati: izboljšana kakovost in trajnost turistične ponudbe destinacij, bogatejša doživetja obiskovalcev in večja prepoznavnost destinacij, razvoj infrastrukture in storitev, ki so dostopne širši javnosti, kar bo posredno vplivalo na povečanje prihodov turistov, števila prenočitev in prilivov iz naslova izvoza potovanj.</w:t>
      </w:r>
    </w:p>
    <w:p w14:paraId="686E4E07"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Ciljna skupina storitev </w:t>
      </w:r>
      <w:proofErr w:type="spellStart"/>
      <w:r>
        <w:rPr>
          <w:rFonts w:ascii="Arial" w:eastAsia="Arial" w:hAnsi="Arial" w:cs="Arial"/>
          <w:color w:val="000000"/>
        </w:rPr>
        <w:t>destinacijskih</w:t>
      </w:r>
      <w:proofErr w:type="spellEnd"/>
      <w:r>
        <w:rPr>
          <w:rFonts w:ascii="Arial" w:eastAsia="Arial" w:hAnsi="Arial" w:cs="Arial"/>
          <w:color w:val="000000"/>
        </w:rPr>
        <w:t xml:space="preserve"> organizacij je širša javnost na območju destinacije, vključno s prebivalci, lokalnimi deležniki in drugimi zainteresiranimi za turizem in razvoj lokalnih produktov. S spodbujanjem razvoja turističnih produktov se vzpostavlja kakovostnejše in privlačnejše </w:t>
      </w:r>
      <w:proofErr w:type="spellStart"/>
      <w:r>
        <w:rPr>
          <w:rFonts w:ascii="Arial" w:eastAsia="Arial" w:hAnsi="Arial" w:cs="Arial"/>
          <w:color w:val="000000"/>
        </w:rPr>
        <w:t>destinacijsko</w:t>
      </w:r>
      <w:proofErr w:type="spellEnd"/>
      <w:r>
        <w:rPr>
          <w:rFonts w:ascii="Arial" w:eastAsia="Arial" w:hAnsi="Arial" w:cs="Arial"/>
          <w:color w:val="000000"/>
        </w:rPr>
        <w:t xml:space="preserve"> okolje, ki bo posredno omogočilo boljše pogoje za nadaljnji razvoj turističnih ponudnikov.</w:t>
      </w:r>
    </w:p>
    <w:p w14:paraId="22268EA0"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C3A57E8" w14:textId="77777777" w:rsidR="000755BA" w:rsidRDefault="00EF1395" w:rsidP="004C770D">
      <w:pPr>
        <w:pStyle w:val="Naslov2"/>
        <w:ind w:left="284"/>
      </w:pPr>
      <w:bookmarkStart w:id="17" w:name="_n41muyked8pd" w:colFirst="0" w:colLast="0"/>
      <w:bookmarkStart w:id="18" w:name="_Toc239072452"/>
      <w:bookmarkEnd w:id="17"/>
      <w:r>
        <w:t>3.2 Predmet javnega razpisa</w:t>
      </w:r>
      <w:bookmarkEnd w:id="18"/>
    </w:p>
    <w:p w14:paraId="254B3992" w14:textId="77777777" w:rsidR="000755BA" w:rsidRDefault="000755BA">
      <w:pPr>
        <w:pBdr>
          <w:top w:val="nil"/>
          <w:left w:val="nil"/>
          <w:bottom w:val="nil"/>
          <w:right w:val="nil"/>
          <w:between w:val="nil"/>
        </w:pBdr>
        <w:spacing w:line="276" w:lineRule="auto"/>
        <w:ind w:left="1146"/>
        <w:jc w:val="both"/>
        <w:rPr>
          <w:rFonts w:ascii="Arial" w:eastAsia="Arial" w:hAnsi="Arial" w:cs="Arial"/>
          <w:color w:val="000000"/>
        </w:rPr>
      </w:pPr>
    </w:p>
    <w:p w14:paraId="51EC6B28"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b/>
          <w:bCs/>
          <w:color w:val="000000"/>
        </w:rPr>
        <w:t>Predmet javnega razpisa se deli na dva sklopa:</w:t>
      </w:r>
    </w:p>
    <w:p w14:paraId="75D7C48E"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b/>
          <w:bCs/>
          <w:color w:val="000000"/>
          <w:u w:val="single"/>
        </w:rPr>
        <w:t>SKLOP 1</w:t>
      </w:r>
      <w:r>
        <w:rPr>
          <w:rFonts w:ascii="Arial" w:eastAsia="Arial" w:hAnsi="Arial" w:cs="Arial"/>
          <w:b/>
          <w:bCs/>
          <w:color w:val="000000"/>
        </w:rPr>
        <w:t xml:space="preserve"> je sofinanciranje aktivnosti REGIJSKIH DESTINACIJSKIH ORGANIZACIJ </w:t>
      </w:r>
    </w:p>
    <w:p w14:paraId="719C726B" w14:textId="092ABDB6" w:rsidR="000755BA" w:rsidRDefault="00EF1395">
      <w:pPr>
        <w:pBdr>
          <w:top w:val="nil"/>
          <w:left w:val="nil"/>
          <w:bottom w:val="nil"/>
          <w:right w:val="nil"/>
          <w:between w:val="nil"/>
        </w:pBdr>
        <w:spacing w:line="276" w:lineRule="auto"/>
        <w:jc w:val="both"/>
        <w:rPr>
          <w:rFonts w:ascii="Arial" w:eastAsia="Arial" w:hAnsi="Arial" w:cs="Arial"/>
          <w:color w:val="000000"/>
        </w:rPr>
      </w:pPr>
      <w:bookmarkStart w:id="19" w:name="_db7s27rpm3mi" w:colFirst="0" w:colLast="0"/>
      <w:bookmarkEnd w:id="19"/>
      <w:r>
        <w:rPr>
          <w:rFonts w:ascii="Arial" w:eastAsia="Arial" w:hAnsi="Arial" w:cs="Arial"/>
          <w:b/>
          <w:bCs/>
          <w:color w:val="000000"/>
        </w:rPr>
        <w:t xml:space="preserve">Regijska </w:t>
      </w:r>
      <w:proofErr w:type="spellStart"/>
      <w:r>
        <w:rPr>
          <w:rFonts w:ascii="Arial" w:eastAsia="Arial" w:hAnsi="Arial" w:cs="Arial"/>
          <w:b/>
          <w:bCs/>
          <w:color w:val="000000"/>
        </w:rPr>
        <w:t>destinacijska</w:t>
      </w:r>
      <w:proofErr w:type="spellEnd"/>
      <w:r>
        <w:rPr>
          <w:rFonts w:ascii="Arial" w:eastAsia="Arial" w:hAnsi="Arial" w:cs="Arial"/>
          <w:b/>
          <w:bCs/>
          <w:color w:val="000000"/>
        </w:rPr>
        <w:t xml:space="preserve"> organizacija (v nadaljevanju: RDO)</w:t>
      </w:r>
      <w:r>
        <w:rPr>
          <w:rFonts w:ascii="Arial" w:eastAsia="Arial" w:hAnsi="Arial" w:cs="Arial"/>
          <w:b/>
          <w:bCs/>
          <w:color w:val="000000"/>
          <w:vertAlign w:val="superscript"/>
        </w:rPr>
        <w:footnoteReference w:id="1"/>
      </w:r>
      <w:r>
        <w:rPr>
          <w:rFonts w:ascii="Arial" w:eastAsia="Arial" w:hAnsi="Arial" w:cs="Arial"/>
          <w:b/>
          <w:bCs/>
          <w:color w:val="000000"/>
        </w:rPr>
        <w:t xml:space="preserve"> </w:t>
      </w:r>
      <w:r>
        <w:rPr>
          <w:rFonts w:ascii="Arial" w:eastAsia="Arial" w:hAnsi="Arial" w:cs="Arial"/>
          <w:color w:val="000000"/>
        </w:rPr>
        <w:t>deluje na</w:t>
      </w:r>
      <w:r>
        <w:rPr>
          <w:rFonts w:ascii="Arial" w:eastAsia="Arial" w:hAnsi="Arial" w:cs="Arial"/>
          <w:b/>
          <w:bCs/>
          <w:color w:val="000000"/>
        </w:rPr>
        <w:t xml:space="preserve"> </w:t>
      </w:r>
      <w:r>
        <w:rPr>
          <w:rFonts w:ascii="Arial" w:eastAsia="Arial" w:hAnsi="Arial" w:cs="Arial"/>
          <w:color w:val="000000"/>
        </w:rPr>
        <w:t>zaokroženem geografskem območju, ki zajema območje vsaj štirih samoupravnih lokalnih skupnosti (občin), ki so imele v letu 202</w:t>
      </w:r>
      <w:r w:rsidR="00344AAE">
        <w:rPr>
          <w:rFonts w:ascii="Arial" w:eastAsia="Arial" w:hAnsi="Arial" w:cs="Arial"/>
          <w:color w:val="000000"/>
        </w:rPr>
        <w:t>5</w:t>
      </w:r>
      <w:r>
        <w:rPr>
          <w:rFonts w:ascii="Arial" w:eastAsia="Arial" w:hAnsi="Arial" w:cs="Arial"/>
          <w:color w:val="000000"/>
        </w:rPr>
        <w:t xml:space="preserve"> skupaj ustvarjenih vsaj 500.000</w:t>
      </w:r>
      <w:r>
        <w:rPr>
          <w:rFonts w:ascii="Arial" w:eastAsia="Arial" w:hAnsi="Arial" w:cs="Arial"/>
          <w:color w:val="000000"/>
          <w:vertAlign w:val="superscript"/>
        </w:rPr>
        <w:footnoteReference w:id="2"/>
      </w:r>
      <w:r>
        <w:rPr>
          <w:rFonts w:ascii="Arial" w:eastAsia="Arial" w:hAnsi="Arial" w:cs="Arial"/>
          <w:color w:val="000000"/>
        </w:rPr>
        <w:t xml:space="preserve"> prenočitev turistov na ravni RDO (po podatkih Statističnega urada Republike Slovenije, v nadaljevanju: SURS) in je identificirana v Analizi implementacije Strategije razvoja turizma 2022 – 2028, ukrepa Nadgradnja modela vodilnih destinacij. Poleg tega ima RDO mednarodno/globalno prepoznane naravne in/ali kulturne znamenitosti in/ali turistične atrakcije, je dostopna, ima bogato, razvito in povezano turistično ponudbo in oblikovano izjemno podobo na trgu. RDO opravlja funkcije </w:t>
      </w:r>
      <w:proofErr w:type="spellStart"/>
      <w:r>
        <w:rPr>
          <w:rFonts w:ascii="Arial" w:eastAsia="Arial" w:hAnsi="Arial" w:cs="Arial"/>
          <w:color w:val="000000"/>
        </w:rPr>
        <w:t>destinacijskega</w:t>
      </w:r>
      <w:proofErr w:type="spellEnd"/>
      <w:r>
        <w:rPr>
          <w:rFonts w:ascii="Arial" w:eastAsia="Arial" w:hAnsi="Arial" w:cs="Arial"/>
          <w:color w:val="000000"/>
        </w:rPr>
        <w:t xml:space="preserve"> managementa na ravni RDO, ki zajema: strateško vodenje, učinkovito upravljanje, razvoj turistične ponudbe, globalno trženje in učinkovito izvedbo drugih aktivnosti na ravni RDO. </w:t>
      </w:r>
    </w:p>
    <w:p w14:paraId="066FEBF6"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EBC00DB"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u w:val="single"/>
        </w:rPr>
        <w:t>SKLOP 2</w:t>
      </w:r>
      <w:r>
        <w:rPr>
          <w:rFonts w:ascii="Arial" w:eastAsia="Arial" w:hAnsi="Arial" w:cs="Arial"/>
          <w:b/>
          <w:bCs/>
          <w:color w:val="000000"/>
        </w:rPr>
        <w:t xml:space="preserve"> je sofinanciranje aktivnosti PERSPEKTIVNIH DESTINACIJSKIH ORGANIZACIJ </w:t>
      </w:r>
    </w:p>
    <w:p w14:paraId="5D7985C8"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EECC8D9" w14:textId="33D6C09D"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 xml:space="preserve">Perspektivna </w:t>
      </w:r>
      <w:proofErr w:type="spellStart"/>
      <w:r>
        <w:rPr>
          <w:rFonts w:ascii="Arial" w:eastAsia="Arial" w:hAnsi="Arial" w:cs="Arial"/>
          <w:b/>
          <w:bCs/>
          <w:color w:val="000000"/>
        </w:rPr>
        <w:t>destinacijska</w:t>
      </w:r>
      <w:proofErr w:type="spellEnd"/>
      <w:r>
        <w:rPr>
          <w:rFonts w:ascii="Arial" w:eastAsia="Arial" w:hAnsi="Arial" w:cs="Arial"/>
          <w:b/>
          <w:bCs/>
          <w:color w:val="000000"/>
        </w:rPr>
        <w:t xml:space="preserve"> organizacija (v nadaljevanju: PD)</w:t>
      </w:r>
      <w:r>
        <w:rPr>
          <w:rFonts w:ascii="Arial" w:eastAsia="Arial" w:hAnsi="Arial" w:cs="Arial"/>
          <w:b/>
          <w:bCs/>
          <w:color w:val="000000"/>
          <w:vertAlign w:val="superscript"/>
        </w:rPr>
        <w:footnoteReference w:id="3"/>
      </w:r>
      <w:r>
        <w:rPr>
          <w:rFonts w:ascii="Arial" w:eastAsia="Arial" w:hAnsi="Arial" w:cs="Arial"/>
          <w:b/>
          <w:bCs/>
          <w:color w:val="000000"/>
        </w:rPr>
        <w:t xml:space="preserve"> deluje na </w:t>
      </w:r>
      <w:r>
        <w:rPr>
          <w:rFonts w:ascii="Arial" w:eastAsia="Arial" w:hAnsi="Arial" w:cs="Arial"/>
          <w:color w:val="000000"/>
        </w:rPr>
        <w:t>zaokroženem geografskem območju treh ali več samoupravnih lokalnih skupnosti (občin), ki so imele v letu 202</w:t>
      </w:r>
      <w:r w:rsidR="00344AAE">
        <w:rPr>
          <w:rFonts w:ascii="Arial" w:eastAsia="Arial" w:hAnsi="Arial" w:cs="Arial"/>
          <w:color w:val="000000"/>
        </w:rPr>
        <w:t>5</w:t>
      </w:r>
      <w:r>
        <w:rPr>
          <w:rFonts w:ascii="Arial" w:eastAsia="Arial" w:hAnsi="Arial" w:cs="Arial"/>
          <w:color w:val="000000"/>
        </w:rPr>
        <w:t xml:space="preserve"> skupaj ustvarjenih vsaj 6.000 prenočitev (po podatkih SURS), v Strategiji trajnostne rasti slovenskega turizma 2017 – 2021 ni opredeljena kot vodilna destinacija (v celoti ali delno), je kot perspektivna destinacija identificirana v Analizi implementacije Strategije razvoja turizma 2022 – 2028, ukrepa Nadgradnja modela vodilnih destinacij in ima vsaj en vzpostavljen integralni turistični produkt, ki pokriva območje PD in temelji na kulturni ali naravni dediščini ali atrakciji/doživetju, ki je je značilno za to PD.</w:t>
      </w:r>
      <w:r>
        <w:rPr>
          <w:rFonts w:ascii="Arial" w:eastAsia="Arial" w:hAnsi="Arial" w:cs="Arial"/>
          <w:b/>
          <w:bCs/>
          <w:color w:val="000000"/>
        </w:rPr>
        <w:t xml:space="preserve"> </w:t>
      </w:r>
    </w:p>
    <w:p w14:paraId="14F8F3BD" w14:textId="77777777" w:rsidR="000755BA" w:rsidRDefault="00EF1395" w:rsidP="00EF6514">
      <w:pPr>
        <w:pStyle w:val="Naslov2"/>
        <w:ind w:left="284"/>
      </w:pPr>
      <w:bookmarkStart w:id="20" w:name="_Toc239072453"/>
      <w:r>
        <w:lastRenderedPageBreak/>
        <w:t>3.3 Regija izvajanja</w:t>
      </w:r>
      <w:bookmarkEnd w:id="20"/>
    </w:p>
    <w:p w14:paraId="2DAB5767" w14:textId="77777777" w:rsidR="000755BA" w:rsidRDefault="000755BA">
      <w:pPr>
        <w:pBdr>
          <w:top w:val="nil"/>
          <w:left w:val="nil"/>
          <w:bottom w:val="nil"/>
          <w:right w:val="nil"/>
          <w:between w:val="nil"/>
        </w:pBdr>
        <w:spacing w:line="276" w:lineRule="auto"/>
        <w:ind w:left="1080"/>
        <w:jc w:val="both"/>
        <w:rPr>
          <w:rFonts w:ascii="Arial" w:eastAsia="Arial" w:hAnsi="Arial" w:cs="Arial"/>
          <w:color w:val="000000"/>
        </w:rPr>
      </w:pPr>
    </w:p>
    <w:p w14:paraId="2144D7AC"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Operacije se bodo izvajale v obeh kohezijskih regijah v Sloveniji: </w:t>
      </w:r>
    </w:p>
    <w:p w14:paraId="69129F5F"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w:t>
      </w:r>
      <w:r>
        <w:rPr>
          <w:rFonts w:ascii="Arial" w:eastAsia="Arial" w:hAnsi="Arial" w:cs="Arial"/>
          <w:color w:val="000000"/>
        </w:rPr>
        <w:tab/>
        <w:t xml:space="preserve">kohezijska regija Vzhodna Slovenija in </w:t>
      </w:r>
    </w:p>
    <w:p w14:paraId="0A790111"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w:t>
      </w:r>
      <w:r>
        <w:rPr>
          <w:rFonts w:ascii="Arial" w:eastAsia="Arial" w:hAnsi="Arial" w:cs="Arial"/>
          <w:color w:val="000000"/>
        </w:rPr>
        <w:tab/>
        <w:t>kohezijska regija Zahodna Slovenija.</w:t>
      </w:r>
    </w:p>
    <w:p w14:paraId="5F2A9ED3"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11BE098" w14:textId="5EB4DAE3"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Prijavitelji bodo upravičeni do sredstev tiste </w:t>
      </w:r>
      <w:r w:rsidR="00EB3765">
        <w:rPr>
          <w:rFonts w:ascii="Arial" w:eastAsia="Arial" w:hAnsi="Arial" w:cs="Arial"/>
          <w:color w:val="000000"/>
        </w:rPr>
        <w:t>kohezijske regije</w:t>
      </w:r>
      <w:r>
        <w:rPr>
          <w:rFonts w:ascii="Arial" w:eastAsia="Arial" w:hAnsi="Arial" w:cs="Arial"/>
          <w:color w:val="000000"/>
        </w:rPr>
        <w:t xml:space="preserve">, kjer bodo imeli na dan oddaje vloge na ta javni razpis sedež. Sedež mora biti vpisan v Poslovni register Slovenije / Sodni register. </w:t>
      </w:r>
      <w:r w:rsidR="00EB3765" w:rsidRPr="00DA70D1">
        <w:rPr>
          <w:rFonts w:ascii="Arial" w:hAnsi="Arial" w:cs="Arial"/>
        </w:rPr>
        <w:t xml:space="preserve">V primeru, da območje delovanje RDO ali PD prostorsko pokriva območje obeh kohezijskih regij, se uvršča v tisto kohezijsko regijo, kjer se je v letu 2025 ustvarilo več prenočitev turistov po podatkih SURS. </w:t>
      </w:r>
      <w:r>
        <w:rPr>
          <w:rFonts w:ascii="Arial" w:eastAsia="Arial" w:hAnsi="Arial" w:cs="Arial"/>
          <w:color w:val="000000"/>
        </w:rPr>
        <w:t xml:space="preserve">Za vsakega prijavitelja mora biti v vlogi na javni razpis nedvoumno opredeljeno, v kateri od kohezijskih regij se bodo izvajale aktivnosti. Sprememba kohezijske regije po oddaji vloge ni dovoljena in predstavlja upravičen razlog za odpoved pogodbe o dodelitvi sredstev. </w:t>
      </w:r>
    </w:p>
    <w:p w14:paraId="2583D5D3"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8AA7002" w14:textId="7EBA2EEE" w:rsidR="000755BA" w:rsidRPr="00EF6514"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Razdelitev slovenskih občin na kohezijsko regijo Vzhodna oz. kohezijsko regijo Zahodna Slovenija je razvidna na spletni strani: </w:t>
      </w:r>
      <w:hyperlink r:id="rId13">
        <w:r>
          <w:rPr>
            <w:rFonts w:ascii="Arial" w:eastAsia="Arial" w:hAnsi="Arial" w:cs="Arial"/>
            <w:color w:val="0000FF"/>
            <w:u w:val="single"/>
          </w:rPr>
          <w:t>https://www.gov.si/teme/kohezijski-regiji-v-sloveniji/</w:t>
        </w:r>
      </w:hyperlink>
      <w:r>
        <w:rPr>
          <w:rFonts w:ascii="Arial" w:eastAsia="Arial" w:hAnsi="Arial" w:cs="Arial"/>
          <w:color w:val="000000"/>
        </w:rPr>
        <w:t xml:space="preserve">. </w:t>
      </w:r>
    </w:p>
    <w:p w14:paraId="1D97D751" w14:textId="77777777" w:rsidR="000755BA" w:rsidRDefault="00EF1395" w:rsidP="00EF6514">
      <w:pPr>
        <w:pStyle w:val="Naslov2"/>
        <w:ind w:left="284"/>
      </w:pPr>
      <w:bookmarkStart w:id="21" w:name="_Toc239072454"/>
      <w:r>
        <w:t>3.4 Kazalniki javnega razpisa</w:t>
      </w:r>
      <w:bookmarkEnd w:id="21"/>
    </w:p>
    <w:p w14:paraId="652C090D" w14:textId="77777777" w:rsidR="000755BA" w:rsidRDefault="00EF1395">
      <w:pPr>
        <w:pBdr>
          <w:top w:val="nil"/>
          <w:left w:val="nil"/>
          <w:bottom w:val="nil"/>
          <w:right w:val="nil"/>
          <w:between w:val="nil"/>
        </w:pBdr>
        <w:spacing w:before="240" w:line="276" w:lineRule="auto"/>
        <w:jc w:val="both"/>
        <w:rPr>
          <w:rFonts w:ascii="Arial" w:eastAsia="Arial" w:hAnsi="Arial" w:cs="Arial"/>
          <w:color w:val="000000"/>
        </w:rPr>
      </w:pPr>
      <w:r>
        <w:rPr>
          <w:rFonts w:ascii="Arial" w:eastAsia="Arial" w:hAnsi="Arial" w:cs="Arial"/>
          <w:color w:val="000000"/>
        </w:rPr>
        <w:t xml:space="preserve">Na nivoju javnega razpisa se bosta spremljala kazalnika učinka RSO1.3. – Projekti turističnih destinacij v manj razvitih regijah in RSO1.3. – Projekti turističnih destinacij v bolj razvitih regijah. </w:t>
      </w:r>
    </w:p>
    <w:p w14:paraId="656434A0" w14:textId="77777777" w:rsidR="000755BA" w:rsidRDefault="000755BA">
      <w:pPr>
        <w:pBdr>
          <w:top w:val="nil"/>
          <w:left w:val="nil"/>
          <w:bottom w:val="nil"/>
          <w:right w:val="nil"/>
          <w:between w:val="nil"/>
        </w:pBdr>
        <w:spacing w:line="276" w:lineRule="auto"/>
        <w:jc w:val="both"/>
        <w:rPr>
          <w:rFonts w:ascii="Arial" w:eastAsia="Arial" w:hAnsi="Arial" w:cs="Arial"/>
          <w:color w:val="0000FF"/>
          <w:u w:val="single"/>
        </w:rPr>
      </w:pPr>
    </w:p>
    <w:p w14:paraId="5043D676" w14:textId="77777777" w:rsidR="000755BA" w:rsidRDefault="00EF1395">
      <w:pPr>
        <w:pBdr>
          <w:top w:val="nil"/>
          <w:left w:val="nil"/>
          <w:bottom w:val="nil"/>
          <w:right w:val="nil"/>
          <w:between w:val="nil"/>
        </w:pBdr>
        <w:spacing w:line="276" w:lineRule="auto"/>
        <w:jc w:val="both"/>
        <w:rPr>
          <w:rFonts w:ascii="Arial" w:eastAsia="Arial" w:hAnsi="Arial" w:cs="Arial"/>
          <w:color w:val="000000"/>
          <w:u w:val="single"/>
        </w:rPr>
      </w:pPr>
      <w:r>
        <w:rPr>
          <w:rFonts w:ascii="Arial" w:eastAsia="Arial" w:hAnsi="Arial" w:cs="Arial"/>
          <w:color w:val="000000"/>
          <w:u w:val="single"/>
        </w:rPr>
        <w:t>Kazalnika učinka:</w:t>
      </w:r>
    </w:p>
    <w:p w14:paraId="55873BC4" w14:textId="77777777" w:rsidR="000755BA" w:rsidRDefault="00EF1395">
      <w:pPr>
        <w:numPr>
          <w:ilvl w:val="4"/>
          <w:numId w:val="29"/>
        </w:numPr>
        <w:pBdr>
          <w:top w:val="nil"/>
          <w:left w:val="nil"/>
          <w:bottom w:val="nil"/>
          <w:right w:val="nil"/>
          <w:between w:val="nil"/>
        </w:pBdr>
        <w:spacing w:line="276" w:lineRule="auto"/>
        <w:ind w:left="426"/>
        <w:jc w:val="both"/>
        <w:rPr>
          <w:color w:val="0000FF"/>
          <w:u w:val="single"/>
        </w:rPr>
      </w:pPr>
      <w:r>
        <w:rPr>
          <w:rFonts w:ascii="Arial" w:eastAsia="Arial" w:hAnsi="Arial" w:cs="Arial"/>
          <w:color w:val="000000"/>
        </w:rPr>
        <w:t xml:space="preserve">RSO1.3. – Projekti turističnih destinacij v manj razvitih regijah -  cilj 12 podprtih projektov, od tega 6 projektov RDO in 6 projektov PD ter </w:t>
      </w:r>
    </w:p>
    <w:p w14:paraId="400CB24F" w14:textId="77777777" w:rsidR="000755BA" w:rsidRDefault="00EF1395">
      <w:pPr>
        <w:numPr>
          <w:ilvl w:val="4"/>
          <w:numId w:val="29"/>
        </w:numPr>
        <w:pBdr>
          <w:top w:val="nil"/>
          <w:left w:val="nil"/>
          <w:bottom w:val="nil"/>
          <w:right w:val="nil"/>
          <w:between w:val="nil"/>
        </w:pBdr>
        <w:spacing w:line="276" w:lineRule="auto"/>
        <w:ind w:left="426"/>
        <w:jc w:val="both"/>
        <w:rPr>
          <w:color w:val="0000FF"/>
          <w:u w:val="single"/>
        </w:rPr>
      </w:pPr>
      <w:r>
        <w:rPr>
          <w:rFonts w:ascii="Arial" w:eastAsia="Arial" w:hAnsi="Arial" w:cs="Arial"/>
          <w:color w:val="000000"/>
        </w:rPr>
        <w:t>RSO1.3. – Projekti turističnih destinacij v bolj razvitih regijah – cilj 7 podprtih projektov, od tega 5 projektov RDO in 2 projekta PD.</w:t>
      </w:r>
    </w:p>
    <w:p w14:paraId="42214DF3" w14:textId="77777777" w:rsidR="000755BA" w:rsidRDefault="000755BA">
      <w:pPr>
        <w:pBdr>
          <w:top w:val="nil"/>
          <w:left w:val="nil"/>
          <w:bottom w:val="nil"/>
          <w:right w:val="nil"/>
          <w:between w:val="nil"/>
        </w:pBdr>
        <w:spacing w:line="276" w:lineRule="auto"/>
        <w:ind w:left="66"/>
        <w:jc w:val="both"/>
        <w:rPr>
          <w:rFonts w:ascii="Arial" w:eastAsia="Arial" w:hAnsi="Arial" w:cs="Arial"/>
          <w:color w:val="000000"/>
        </w:rPr>
      </w:pPr>
    </w:p>
    <w:p w14:paraId="1D392E3C" w14:textId="78320072" w:rsidR="000755BA" w:rsidRDefault="00EF1395" w:rsidP="004C770D">
      <w:pPr>
        <w:pBdr>
          <w:top w:val="nil"/>
          <w:left w:val="nil"/>
          <w:bottom w:val="nil"/>
          <w:right w:val="nil"/>
          <w:between w:val="nil"/>
        </w:pBdr>
        <w:spacing w:line="276" w:lineRule="auto"/>
        <w:ind w:left="66"/>
        <w:jc w:val="both"/>
        <w:rPr>
          <w:rFonts w:ascii="Arial" w:eastAsia="Arial" w:hAnsi="Arial" w:cs="Arial"/>
          <w:color w:val="0000FF"/>
          <w:u w:val="single"/>
        </w:rPr>
      </w:pPr>
      <w:r>
        <w:rPr>
          <w:rFonts w:ascii="Arial" w:eastAsia="Arial" w:hAnsi="Arial" w:cs="Arial"/>
          <w:color w:val="000000"/>
        </w:rPr>
        <w:t xml:space="preserve">Na nivoju posamezne operacije, ki se nanaša na RDO je obvezen specifični kazalnik vzpostavljena jasno opredeljena organizacijska struktura, ki bo izvajala funkcije </w:t>
      </w:r>
      <w:proofErr w:type="spellStart"/>
      <w:r>
        <w:rPr>
          <w:rFonts w:ascii="Arial" w:eastAsia="Arial" w:hAnsi="Arial" w:cs="Arial"/>
          <w:color w:val="000000"/>
        </w:rPr>
        <w:t>destinacijskega</w:t>
      </w:r>
      <w:proofErr w:type="spellEnd"/>
      <w:r>
        <w:rPr>
          <w:rFonts w:ascii="Arial" w:eastAsia="Arial" w:hAnsi="Arial" w:cs="Arial"/>
          <w:color w:val="000000"/>
        </w:rPr>
        <w:t xml:space="preserve"> managementa. Na nivoju posamezne operacije, ki se nanaša na PD, je obvezen specifični kazalnik vključitev PD v bližnjo RDO</w:t>
      </w:r>
      <w:bookmarkStart w:id="22" w:name="_brg7v3248i63" w:colFirst="0" w:colLast="0"/>
      <w:bookmarkEnd w:id="22"/>
    </w:p>
    <w:p w14:paraId="35AF695F" w14:textId="5B587E2D" w:rsidR="000755BA" w:rsidRDefault="004C770D" w:rsidP="004C770D">
      <w:pPr>
        <w:pStyle w:val="Naslov2"/>
        <w:ind w:left="142"/>
      </w:pPr>
      <w:bookmarkStart w:id="23" w:name="_Toc239072455"/>
      <w:r>
        <w:t xml:space="preserve">4. </w:t>
      </w:r>
      <w:r w:rsidR="00EF1395">
        <w:t>Upravičenci</w:t>
      </w:r>
      <w:bookmarkEnd w:id="23"/>
    </w:p>
    <w:p w14:paraId="256A367B" w14:textId="77777777" w:rsidR="000755BA" w:rsidRDefault="000755BA">
      <w:pPr>
        <w:pBdr>
          <w:top w:val="nil"/>
          <w:left w:val="nil"/>
          <w:bottom w:val="nil"/>
          <w:right w:val="nil"/>
          <w:between w:val="nil"/>
        </w:pBdr>
        <w:spacing w:line="276" w:lineRule="auto"/>
        <w:ind w:left="567"/>
        <w:jc w:val="both"/>
        <w:rPr>
          <w:rFonts w:ascii="Arial" w:eastAsia="Arial" w:hAnsi="Arial" w:cs="Arial"/>
          <w:color w:val="000000"/>
          <w:sz w:val="22"/>
          <w:szCs w:val="22"/>
        </w:rPr>
      </w:pPr>
    </w:p>
    <w:p w14:paraId="76B8E5C5"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Na razpis za ta namen se lahko prijavijo organizacije, ki na območju enega opredeljenega RDO (Sklop 1) ali PD (Sklop 2) izvajajo funkcije nosilca upravljanja, razvoja in promocije turizma, imajo to opredeljeno v svojih ustanovitvenih aktih in imajo za izvajanje teh funkcij 75 % soglasje vseh občin na območju opredeljene regijske oz. perspektivne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w:t>
      </w:r>
    </w:p>
    <w:p w14:paraId="2E53B5A5"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Upravičenec, ki vlaga v:</w:t>
      </w:r>
    </w:p>
    <w:p w14:paraId="5C6C572D" w14:textId="77777777" w:rsidR="000755BA" w:rsidRDefault="00EF1395">
      <w:pPr>
        <w:numPr>
          <w:ilvl w:val="0"/>
          <w:numId w:val="38"/>
        </w:numPr>
        <w:pBdr>
          <w:top w:val="nil"/>
          <w:left w:val="nil"/>
          <w:bottom w:val="nil"/>
          <w:right w:val="nil"/>
          <w:between w:val="nil"/>
        </w:pBdr>
        <w:spacing w:after="200" w:line="276" w:lineRule="auto"/>
        <w:ind w:left="567" w:hanging="283"/>
        <w:jc w:val="both"/>
        <w:rPr>
          <w:color w:val="000000"/>
        </w:rPr>
      </w:pPr>
      <w:r>
        <w:rPr>
          <w:rFonts w:ascii="Arial" w:eastAsia="Arial" w:hAnsi="Arial" w:cs="Arial"/>
          <w:b/>
          <w:bCs/>
          <w:color w:val="000000"/>
        </w:rPr>
        <w:t xml:space="preserve">Sklop 1 javnega razpisa (RDO) </w:t>
      </w:r>
      <w:r>
        <w:rPr>
          <w:rFonts w:ascii="Arial" w:eastAsia="Arial" w:hAnsi="Arial" w:cs="Arial"/>
          <w:color w:val="000000"/>
        </w:rPr>
        <w:t xml:space="preserve">ima obliko javnega zavoda, javnega gospodarskega zavoda ali regionalne razvojne agencije. </w:t>
      </w:r>
    </w:p>
    <w:p w14:paraId="43594A31" w14:textId="77777777" w:rsidR="000755BA" w:rsidRDefault="00EF1395">
      <w:pPr>
        <w:numPr>
          <w:ilvl w:val="0"/>
          <w:numId w:val="38"/>
        </w:numPr>
        <w:pBdr>
          <w:top w:val="nil"/>
          <w:left w:val="nil"/>
          <w:bottom w:val="nil"/>
          <w:right w:val="nil"/>
          <w:between w:val="nil"/>
        </w:pBdr>
        <w:spacing w:after="200" w:line="276" w:lineRule="auto"/>
        <w:ind w:left="567" w:hanging="283"/>
        <w:jc w:val="both"/>
        <w:rPr>
          <w:color w:val="000000"/>
        </w:rPr>
      </w:pPr>
      <w:r>
        <w:rPr>
          <w:rFonts w:ascii="Arial" w:eastAsia="Arial" w:hAnsi="Arial" w:cs="Arial"/>
          <w:b/>
          <w:bCs/>
          <w:color w:val="000000"/>
        </w:rPr>
        <w:t xml:space="preserve">Sklop 2 (PD) javnega razpisa </w:t>
      </w:r>
      <w:r>
        <w:rPr>
          <w:rFonts w:ascii="Arial" w:eastAsia="Arial" w:hAnsi="Arial" w:cs="Arial"/>
          <w:color w:val="000000"/>
        </w:rPr>
        <w:t>ima</w:t>
      </w:r>
      <w:r>
        <w:rPr>
          <w:rFonts w:ascii="Arial" w:eastAsia="Arial" w:hAnsi="Arial" w:cs="Arial"/>
          <w:b/>
          <w:bCs/>
          <w:color w:val="000000"/>
        </w:rPr>
        <w:t xml:space="preserve"> </w:t>
      </w:r>
      <w:r>
        <w:rPr>
          <w:rFonts w:ascii="Arial" w:eastAsia="Arial" w:hAnsi="Arial" w:cs="Arial"/>
          <w:color w:val="000000"/>
        </w:rPr>
        <w:t xml:space="preserve">obliko javnega zavoda, javnega gospodarskega zavoda, lokalne turistične organizacije, regionalne razvojne agencije in druge neprofitne organizacije, ki deluje na področju turizma. </w:t>
      </w:r>
    </w:p>
    <w:p w14:paraId="53800268"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b/>
          <w:bCs/>
          <w:color w:val="000000"/>
        </w:rPr>
        <w:lastRenderedPageBreak/>
        <w:t>Na območju ene RDO oz. PD bo sofinanciranje lahko odobreno zgolj eni organizaciji, pri čemer mora le-ta v primeru vlaganj v:</w:t>
      </w:r>
    </w:p>
    <w:p w14:paraId="70E929FE" w14:textId="73D81660" w:rsidR="000755BA" w:rsidRDefault="00EF1395">
      <w:pPr>
        <w:numPr>
          <w:ilvl w:val="0"/>
          <w:numId w:val="38"/>
        </w:numPr>
        <w:pBdr>
          <w:top w:val="nil"/>
          <w:left w:val="nil"/>
          <w:bottom w:val="nil"/>
          <w:right w:val="nil"/>
          <w:between w:val="nil"/>
        </w:pBdr>
        <w:tabs>
          <w:tab w:val="left" w:pos="360"/>
        </w:tabs>
        <w:spacing w:line="276" w:lineRule="auto"/>
        <w:ind w:left="567" w:hanging="283"/>
        <w:jc w:val="both"/>
        <w:rPr>
          <w:color w:val="000000"/>
        </w:rPr>
      </w:pPr>
      <w:r>
        <w:rPr>
          <w:rFonts w:ascii="Arial" w:eastAsia="Arial" w:hAnsi="Arial" w:cs="Arial"/>
          <w:b/>
          <w:bCs/>
          <w:color w:val="000000"/>
        </w:rPr>
        <w:t xml:space="preserve">   </w:t>
      </w:r>
      <w:r w:rsidR="00161C2C">
        <w:rPr>
          <w:rFonts w:ascii="Arial" w:eastAsia="Arial" w:hAnsi="Arial" w:cs="Arial"/>
          <w:b/>
          <w:bCs/>
          <w:color w:val="000000"/>
        </w:rPr>
        <w:t xml:space="preserve"> </w:t>
      </w:r>
      <w:r>
        <w:rPr>
          <w:rFonts w:ascii="Arial" w:eastAsia="Arial" w:hAnsi="Arial" w:cs="Arial"/>
          <w:b/>
          <w:bCs/>
          <w:color w:val="000000"/>
        </w:rPr>
        <w:t xml:space="preserve">Sklop 1 (RDO): </w:t>
      </w:r>
      <w:r>
        <w:rPr>
          <w:rFonts w:ascii="Arial" w:eastAsia="Arial" w:hAnsi="Arial" w:cs="Arial"/>
          <w:color w:val="000000"/>
        </w:rPr>
        <w:t>predstavljati samostojen pravni subjekt, ustanovljen z namenom izvajanja funkcij RDO, ki mora imeti vsaj tri zaposlene</w:t>
      </w:r>
      <w:r>
        <w:rPr>
          <w:rFonts w:ascii="Arial" w:eastAsia="Arial" w:hAnsi="Arial" w:cs="Arial"/>
          <w:color w:val="000000"/>
          <w:vertAlign w:val="superscript"/>
        </w:rPr>
        <w:footnoteReference w:id="4"/>
      </w:r>
      <w:r>
        <w:rPr>
          <w:rFonts w:ascii="Arial" w:eastAsia="Arial" w:hAnsi="Arial" w:cs="Arial"/>
          <w:b/>
          <w:bCs/>
          <w:color w:val="000000"/>
        </w:rPr>
        <w:t xml:space="preserve"> </w:t>
      </w:r>
      <w:r>
        <w:rPr>
          <w:rFonts w:ascii="Arial" w:eastAsia="Arial" w:hAnsi="Arial" w:cs="Arial"/>
          <w:color w:val="000000"/>
        </w:rPr>
        <w:t>ali že obstoječi pravni subjekt, ki je že vsaj tri leta pred prijavo na javni razpis izvajal aktivnosti povezovanja in nosilca razvoja turizma na določenem območju znotraj RDO (na območju vodilne destinacije, ki postaja del RDO). V tem primeru mora imeti za izvajanje funkcij RDO ustanovljen samostojen oddelek/sektor znotraj organizacije prijavitelja, na katerem morata biti zaposleni vsaj dve osebi</w:t>
      </w:r>
      <w:r>
        <w:rPr>
          <w:rFonts w:ascii="Arial" w:eastAsia="Arial" w:hAnsi="Arial" w:cs="Arial"/>
          <w:color w:val="000000"/>
          <w:vertAlign w:val="superscript"/>
        </w:rPr>
        <w:footnoteReference w:id="5"/>
      </w:r>
      <w:r>
        <w:rPr>
          <w:rFonts w:ascii="Arial" w:eastAsia="Arial" w:hAnsi="Arial" w:cs="Arial"/>
          <w:color w:val="000000"/>
        </w:rPr>
        <w:t>, ki opravljata/bosta opravljali zgolj naloge, vezane na aktivnosti RDO).</w:t>
      </w:r>
    </w:p>
    <w:p w14:paraId="3BFCE9CA" w14:textId="77777777" w:rsidR="000755BA" w:rsidRDefault="000755BA">
      <w:pPr>
        <w:pBdr>
          <w:top w:val="nil"/>
          <w:left w:val="nil"/>
          <w:bottom w:val="nil"/>
          <w:right w:val="nil"/>
          <w:between w:val="nil"/>
        </w:pBdr>
        <w:tabs>
          <w:tab w:val="left" w:pos="360"/>
        </w:tabs>
        <w:spacing w:line="276" w:lineRule="auto"/>
        <w:ind w:left="567"/>
        <w:jc w:val="both"/>
        <w:rPr>
          <w:rFonts w:ascii="Arial" w:eastAsia="Arial" w:hAnsi="Arial" w:cs="Arial"/>
          <w:color w:val="000000"/>
        </w:rPr>
      </w:pPr>
    </w:p>
    <w:p w14:paraId="70A1AF3D" w14:textId="77777777" w:rsidR="000755BA" w:rsidRDefault="00EF1395">
      <w:pPr>
        <w:pBdr>
          <w:top w:val="nil"/>
          <w:left w:val="nil"/>
          <w:bottom w:val="nil"/>
          <w:right w:val="nil"/>
          <w:between w:val="nil"/>
        </w:pBdr>
        <w:tabs>
          <w:tab w:val="left" w:pos="360"/>
        </w:tabs>
        <w:spacing w:line="276" w:lineRule="auto"/>
        <w:ind w:left="567"/>
        <w:jc w:val="both"/>
        <w:rPr>
          <w:rFonts w:ascii="Arial" w:eastAsia="Arial" w:hAnsi="Arial" w:cs="Arial"/>
          <w:color w:val="000000"/>
        </w:rPr>
      </w:pPr>
      <w:r>
        <w:rPr>
          <w:rFonts w:ascii="Arial" w:eastAsia="Arial" w:hAnsi="Arial" w:cs="Arial"/>
          <w:b/>
          <w:bCs/>
          <w:color w:val="000000"/>
        </w:rPr>
        <w:t>Prijavitelj bo moral zaposlitve ohranjati do zaključka obdobja spremljanja operacije (5 (pet) let po zaključku operacije)</w:t>
      </w:r>
      <w:r>
        <w:rPr>
          <w:rFonts w:ascii="Arial" w:eastAsia="Arial" w:hAnsi="Arial" w:cs="Arial"/>
          <w:b/>
          <w:bCs/>
          <w:color w:val="000000"/>
          <w:vertAlign w:val="superscript"/>
        </w:rPr>
        <w:footnoteReference w:id="6"/>
      </w:r>
      <w:r>
        <w:rPr>
          <w:rFonts w:ascii="Arial" w:eastAsia="Arial" w:hAnsi="Arial" w:cs="Arial"/>
          <w:b/>
          <w:bCs/>
          <w:color w:val="000000"/>
        </w:rPr>
        <w:t xml:space="preserve"> </w:t>
      </w:r>
      <w:r>
        <w:rPr>
          <w:rFonts w:ascii="Arial" w:eastAsia="Arial" w:hAnsi="Arial" w:cs="Arial"/>
          <w:color w:val="000000"/>
        </w:rPr>
        <w:t>Njegovo neizpolnjevanje lahko vodi do odpovedi pogodbe o dodelitvi sredstev in vračilo že prejetih sredstev, skupaj s pripadajočimi zamudnimi obrestmi.</w:t>
      </w:r>
    </w:p>
    <w:p w14:paraId="05CCB498" w14:textId="77777777" w:rsidR="000755BA" w:rsidRDefault="000755BA">
      <w:pPr>
        <w:pBdr>
          <w:top w:val="nil"/>
          <w:left w:val="nil"/>
          <w:bottom w:val="nil"/>
          <w:right w:val="nil"/>
          <w:between w:val="nil"/>
        </w:pBdr>
        <w:tabs>
          <w:tab w:val="left" w:pos="360"/>
        </w:tabs>
        <w:spacing w:line="276" w:lineRule="auto"/>
        <w:ind w:left="567"/>
        <w:jc w:val="both"/>
        <w:rPr>
          <w:rFonts w:ascii="Arial" w:eastAsia="Arial" w:hAnsi="Arial" w:cs="Arial"/>
          <w:color w:val="000000"/>
        </w:rPr>
      </w:pPr>
    </w:p>
    <w:p w14:paraId="4299B4B2" w14:textId="4814D66E" w:rsidR="000755BA" w:rsidRPr="008F1114" w:rsidRDefault="00EF1395" w:rsidP="008F1114">
      <w:pPr>
        <w:numPr>
          <w:ilvl w:val="0"/>
          <w:numId w:val="38"/>
        </w:numPr>
        <w:pBdr>
          <w:top w:val="nil"/>
          <w:left w:val="nil"/>
          <w:bottom w:val="nil"/>
          <w:right w:val="nil"/>
          <w:between w:val="nil"/>
        </w:pBdr>
        <w:spacing w:line="276" w:lineRule="auto"/>
        <w:ind w:left="426" w:hanging="283"/>
        <w:jc w:val="both"/>
        <w:rPr>
          <w:color w:val="000000"/>
        </w:rPr>
      </w:pPr>
      <w:r>
        <w:rPr>
          <w:rFonts w:ascii="Arial" w:eastAsia="Arial" w:hAnsi="Arial" w:cs="Arial"/>
          <w:b/>
          <w:bCs/>
          <w:color w:val="000000"/>
        </w:rPr>
        <w:t>Sklop 2 (PD): funkcije lahko opravlja katerakoli že obstoječa organizacija</w:t>
      </w:r>
      <w:r>
        <w:rPr>
          <w:rFonts w:ascii="Arial" w:eastAsia="Arial" w:hAnsi="Arial" w:cs="Arial"/>
          <w:color w:val="000000"/>
        </w:rPr>
        <w:t xml:space="preserve">, ki izpolnjuje pogoje iz javnega razpisa in ima vsaj enega zaposlenega. </w:t>
      </w:r>
    </w:p>
    <w:p w14:paraId="1DB5EC61" w14:textId="211E2EDC" w:rsidR="000755BA" w:rsidRDefault="004C770D" w:rsidP="008F1114">
      <w:pPr>
        <w:pStyle w:val="Naslov2"/>
        <w:ind w:left="142"/>
      </w:pPr>
      <w:bookmarkStart w:id="24" w:name="_Toc239072456"/>
      <w:r>
        <w:t xml:space="preserve">5. </w:t>
      </w:r>
      <w:r w:rsidR="00EF1395">
        <w:t>Preverjanje in dokazovanje pogojev za kandidiranje</w:t>
      </w:r>
      <w:bookmarkEnd w:id="24"/>
    </w:p>
    <w:p w14:paraId="673A054D" w14:textId="77777777" w:rsidR="000755BA" w:rsidRDefault="000755BA">
      <w:pPr>
        <w:pBdr>
          <w:top w:val="nil"/>
          <w:left w:val="nil"/>
          <w:bottom w:val="nil"/>
          <w:right w:val="nil"/>
          <w:between w:val="nil"/>
        </w:pBdr>
        <w:spacing w:line="276" w:lineRule="auto"/>
        <w:ind w:left="567"/>
        <w:jc w:val="both"/>
        <w:rPr>
          <w:rFonts w:ascii="Arial" w:eastAsia="Arial" w:hAnsi="Arial" w:cs="Arial"/>
          <w:color w:val="000000"/>
          <w:sz w:val="22"/>
          <w:szCs w:val="22"/>
        </w:rPr>
      </w:pPr>
    </w:p>
    <w:p w14:paraId="37EA406D"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Vloga prijavitelja mora izpolnjevati vse zahteve in pogoje javnega razpisa. Ministrstvo bo pogoje preverjalo na podlagi navedb v vlogi in prilogah ter podatkov v javno dostopnih evidencah. Izpolnjevanje pogojev mora izhajati iz vsebine celotne vloge. </w:t>
      </w:r>
    </w:p>
    <w:p w14:paraId="30B66D31"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187B13D"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Glede izpolnjevanja razpisnih pogojev prijavitelj podpiše izjavo (Obrazec št. 2), s katero pod kazensko in materialno pravno odgovornostjo potrdi izpolnjevanje in sprejemanje razpisnih pogojev za kandidiranje na tem javnem razpisu (izjava je del razpisne dokumentacije). V primeru, da ministrstvo ugotovi, da prijavitelj v vlogi navaja napačne podatke, ali da je podpisal lažno izjavo v obrazcu, se vloga zavrne. </w:t>
      </w:r>
    </w:p>
    <w:p w14:paraId="2DA75318"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72B82B5"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 primeru dvoma glede izpolnjevanja pogojev lahko ministrstvo zahteva dodatna pojasnila in/ali dokazila s strani prijavitelja. V kolikor dokazila ne bodo predložena v roku, ki ga določi ministrstvo, se šteje, da pogoj ni izpolnjen. </w:t>
      </w:r>
    </w:p>
    <w:p w14:paraId="2B421C11"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23B8880"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V primeru, da se neizpolnjevanje pogojev ugotovi po izdaji sklepa o izboru operacije, se pogodba o dodelitvi sredstev ne bo podpisala, sklep o izboru pa se odpravi.</w:t>
      </w:r>
    </w:p>
    <w:p w14:paraId="60F0658C"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1749DE8"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bookmarkStart w:id="25" w:name="_vnpobo1aicqf" w:colFirst="0" w:colLast="0"/>
      <w:bookmarkEnd w:id="25"/>
      <w:r>
        <w:rPr>
          <w:rFonts w:ascii="Arial" w:eastAsia="Arial" w:hAnsi="Arial" w:cs="Arial"/>
          <w:color w:val="000000"/>
        </w:rPr>
        <w:t xml:space="preserve">V primeru, da se neizpolnjevanje pogojev ugotovi po podpisu pogodbe o dodelitvi sredstev, lahko ministrstvo odstopi od pogodbe o dodelitvi sredstev, pri čemer bo upravičenec dolžan vrniti že prejeta sredstva skupaj z zakonskimi zamudnimi obrestmi od dneva nakazila sredstev na njegov transakcijski račun do dneva vračila sredstev, skladno s pozivom ministrstva. </w:t>
      </w:r>
    </w:p>
    <w:p w14:paraId="71DA6BED"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5B9ED21" w14:textId="6790A07A" w:rsidR="000755BA" w:rsidRPr="004C770D" w:rsidRDefault="00EF1395" w:rsidP="004C770D">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lastRenderedPageBreak/>
        <w:t>Za izvedbo postopka obravnave vlog je imenovana strokovna komisija za izvedbo javnega razpisa, ki jo je s sklepom imenoval minister (v nadaljevanju: strokovna komisija). Za vse pravočasne, pravilno označene in formalno popolne vloge strokovna komisija najprej preveri, ali vloga izpolnjuje vse pogoje razpisa. Če ugotovi, da vloga ne izpolnjuje vseh pogojev javnega razpisa, nadaljnjega ocenjevanja po merilih strokovna komisija ne izvede, vloga prijavitelja pa se zaradi neizpolnjevanja pogojev zavrne.</w:t>
      </w:r>
    </w:p>
    <w:p w14:paraId="68CAE31A" w14:textId="77777777" w:rsidR="000755BA" w:rsidRDefault="00EF1395" w:rsidP="004C770D">
      <w:pPr>
        <w:pStyle w:val="Naslov2"/>
        <w:ind w:firstLine="284"/>
      </w:pPr>
      <w:bookmarkStart w:id="26" w:name="_Toc239072457"/>
      <w:r>
        <w:t>5.1 Pogoji javnega razpisa</w:t>
      </w:r>
      <w:bookmarkEnd w:id="26"/>
    </w:p>
    <w:p w14:paraId="4A774DA9"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DEB37D7"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bookmarkStart w:id="27" w:name="_f9h7yych5xcl" w:colFirst="0" w:colLast="0"/>
      <w:bookmarkEnd w:id="27"/>
      <w:r>
        <w:rPr>
          <w:rFonts w:ascii="Arial" w:eastAsia="Arial" w:hAnsi="Arial" w:cs="Arial"/>
          <w:color w:val="000000"/>
        </w:rPr>
        <w:t>Izpolnjevanje pogojev prijavitelj dokazuje, kot izhaja iz spodnje preglednice.</w:t>
      </w:r>
    </w:p>
    <w:tbl>
      <w:tblPr>
        <w:tblStyle w:val="a"/>
        <w:tblW w:w="1005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8"/>
        <w:gridCol w:w="4380"/>
        <w:gridCol w:w="4961"/>
      </w:tblGrid>
      <w:tr w:rsidR="000755BA" w14:paraId="04D65D66" w14:textId="77777777">
        <w:trPr>
          <w:trHeight w:val="527"/>
        </w:trPr>
        <w:tc>
          <w:tcPr>
            <w:tcW w:w="718" w:type="dxa"/>
            <w:shd w:val="clear" w:color="auto" w:fill="F2F2F2"/>
          </w:tcPr>
          <w:p w14:paraId="23CA1F14" w14:textId="77777777" w:rsidR="000755BA" w:rsidRDefault="000755BA">
            <w:pPr>
              <w:pBdr>
                <w:top w:val="nil"/>
                <w:left w:val="nil"/>
                <w:bottom w:val="nil"/>
                <w:right w:val="nil"/>
                <w:between w:val="nil"/>
              </w:pBdr>
              <w:spacing w:after="200" w:line="276" w:lineRule="auto"/>
              <w:ind w:left="426" w:hanging="426"/>
              <w:rPr>
                <w:rFonts w:ascii="Arial" w:eastAsia="Arial" w:hAnsi="Arial" w:cs="Arial"/>
                <w:color w:val="000000"/>
              </w:rPr>
            </w:pPr>
          </w:p>
        </w:tc>
        <w:tc>
          <w:tcPr>
            <w:tcW w:w="4380" w:type="dxa"/>
            <w:shd w:val="clear" w:color="auto" w:fill="F2F2F2"/>
            <w:vAlign w:val="center"/>
          </w:tcPr>
          <w:p w14:paraId="1C17124B" w14:textId="77777777" w:rsidR="000755BA" w:rsidRDefault="00EF1395">
            <w:pPr>
              <w:pBdr>
                <w:top w:val="nil"/>
                <w:left w:val="nil"/>
                <w:bottom w:val="nil"/>
                <w:right w:val="nil"/>
                <w:between w:val="nil"/>
              </w:pBdr>
              <w:spacing w:after="200" w:line="276" w:lineRule="auto"/>
              <w:ind w:left="426" w:right="720" w:hanging="426"/>
              <w:rPr>
                <w:rFonts w:ascii="Arial" w:eastAsia="Arial" w:hAnsi="Arial" w:cs="Arial"/>
                <w:color w:val="000000"/>
              </w:rPr>
            </w:pPr>
            <w:r>
              <w:rPr>
                <w:rFonts w:ascii="Arial" w:eastAsia="Arial" w:hAnsi="Arial" w:cs="Arial"/>
                <w:b/>
                <w:bCs/>
                <w:color w:val="000000"/>
              </w:rPr>
              <w:t>POGOJI</w:t>
            </w:r>
          </w:p>
        </w:tc>
        <w:tc>
          <w:tcPr>
            <w:tcW w:w="4961" w:type="dxa"/>
            <w:shd w:val="clear" w:color="auto" w:fill="F2F2F2"/>
            <w:vAlign w:val="center"/>
          </w:tcPr>
          <w:p w14:paraId="3C257A6C" w14:textId="77777777" w:rsidR="000755BA" w:rsidRDefault="00EF1395">
            <w:pPr>
              <w:pBdr>
                <w:top w:val="nil"/>
                <w:left w:val="nil"/>
                <w:bottom w:val="nil"/>
                <w:right w:val="nil"/>
                <w:between w:val="nil"/>
              </w:pBdr>
              <w:spacing w:after="200" w:line="276" w:lineRule="auto"/>
              <w:ind w:left="426" w:right="720" w:hanging="426"/>
              <w:rPr>
                <w:rFonts w:ascii="Arial" w:eastAsia="Arial" w:hAnsi="Arial" w:cs="Arial"/>
                <w:color w:val="000000"/>
              </w:rPr>
            </w:pPr>
            <w:r>
              <w:rPr>
                <w:rFonts w:ascii="Arial" w:eastAsia="Arial" w:hAnsi="Arial" w:cs="Arial"/>
                <w:b/>
                <w:bCs/>
                <w:color w:val="000000"/>
              </w:rPr>
              <w:t>DOKAZILO IN NAČIN PREVERJANJA</w:t>
            </w:r>
          </w:p>
        </w:tc>
      </w:tr>
      <w:tr w:rsidR="000755BA" w14:paraId="535362A6" w14:textId="77777777">
        <w:tc>
          <w:tcPr>
            <w:tcW w:w="718" w:type="dxa"/>
            <w:shd w:val="clear" w:color="auto" w:fill="D9D9D9"/>
          </w:tcPr>
          <w:p w14:paraId="2EC9D591" w14:textId="77777777" w:rsidR="000755BA" w:rsidRDefault="000755BA">
            <w:pPr>
              <w:pBdr>
                <w:top w:val="nil"/>
                <w:left w:val="nil"/>
                <w:bottom w:val="nil"/>
                <w:right w:val="nil"/>
                <w:between w:val="nil"/>
              </w:pBdr>
              <w:spacing w:after="200" w:line="276" w:lineRule="auto"/>
              <w:ind w:left="426" w:hanging="426"/>
              <w:rPr>
                <w:rFonts w:ascii="Arial" w:eastAsia="Arial" w:hAnsi="Arial" w:cs="Arial"/>
                <w:color w:val="000000"/>
              </w:rPr>
            </w:pPr>
          </w:p>
        </w:tc>
        <w:tc>
          <w:tcPr>
            <w:tcW w:w="4380" w:type="dxa"/>
            <w:shd w:val="clear" w:color="auto" w:fill="D9D9D9"/>
          </w:tcPr>
          <w:p w14:paraId="1012E868" w14:textId="77777777" w:rsidR="000755BA" w:rsidRDefault="00EF1395">
            <w:pPr>
              <w:pBdr>
                <w:top w:val="nil"/>
                <w:left w:val="nil"/>
                <w:bottom w:val="nil"/>
                <w:right w:val="nil"/>
                <w:between w:val="nil"/>
              </w:pBdr>
              <w:spacing w:after="200" w:line="276" w:lineRule="auto"/>
              <w:ind w:left="-83"/>
              <w:rPr>
                <w:rFonts w:ascii="Arial" w:eastAsia="Arial" w:hAnsi="Arial" w:cs="Arial"/>
                <w:color w:val="000000"/>
              </w:rPr>
            </w:pPr>
            <w:r>
              <w:rPr>
                <w:rFonts w:ascii="Arial" w:eastAsia="Arial" w:hAnsi="Arial" w:cs="Arial"/>
                <w:b/>
                <w:bCs/>
                <w:color w:val="000000"/>
              </w:rPr>
              <w:t>SPLOŠNI POGOJI ZA PRIJAVITELJE</w:t>
            </w:r>
          </w:p>
        </w:tc>
        <w:tc>
          <w:tcPr>
            <w:tcW w:w="4961" w:type="dxa"/>
            <w:shd w:val="clear" w:color="auto" w:fill="D9D9D9"/>
          </w:tcPr>
          <w:p w14:paraId="406A9142" w14:textId="77777777" w:rsidR="000755BA" w:rsidRDefault="000755BA">
            <w:pPr>
              <w:pBdr>
                <w:top w:val="nil"/>
                <w:left w:val="nil"/>
                <w:bottom w:val="nil"/>
                <w:right w:val="nil"/>
                <w:between w:val="nil"/>
              </w:pBdr>
              <w:spacing w:after="200" w:line="276" w:lineRule="auto"/>
              <w:ind w:left="426" w:hanging="426"/>
              <w:rPr>
                <w:rFonts w:ascii="Arial" w:eastAsia="Arial" w:hAnsi="Arial" w:cs="Arial"/>
                <w:color w:val="000000"/>
              </w:rPr>
            </w:pPr>
          </w:p>
        </w:tc>
      </w:tr>
      <w:tr w:rsidR="000755BA" w14:paraId="388175D2" w14:textId="77777777">
        <w:trPr>
          <w:trHeight w:val="1146"/>
        </w:trPr>
        <w:tc>
          <w:tcPr>
            <w:tcW w:w="718" w:type="dxa"/>
            <w:shd w:val="clear" w:color="auto" w:fill="F2F2F2"/>
          </w:tcPr>
          <w:p w14:paraId="40FC53B2"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1</w:t>
            </w:r>
          </w:p>
        </w:tc>
        <w:tc>
          <w:tcPr>
            <w:tcW w:w="4380" w:type="dxa"/>
          </w:tcPr>
          <w:p w14:paraId="2B23A1E4" w14:textId="77777777" w:rsidR="000755BA" w:rsidRDefault="00EF1395">
            <w:pPr>
              <w:pBdr>
                <w:top w:val="nil"/>
                <w:left w:val="nil"/>
                <w:bottom w:val="nil"/>
                <w:right w:val="nil"/>
                <w:between w:val="nil"/>
              </w:pBdr>
              <w:tabs>
                <w:tab w:val="left" w:pos="360"/>
              </w:tabs>
              <w:spacing w:after="200" w:line="276" w:lineRule="auto"/>
              <w:jc w:val="both"/>
              <w:rPr>
                <w:rFonts w:ascii="Arial" w:eastAsia="Arial" w:hAnsi="Arial" w:cs="Arial"/>
                <w:color w:val="000000"/>
              </w:rPr>
            </w:pPr>
            <w:r>
              <w:rPr>
                <w:rFonts w:ascii="Arial" w:eastAsia="Arial" w:hAnsi="Arial" w:cs="Arial"/>
                <w:color w:val="000000"/>
              </w:rPr>
              <w:t>Prijavitelj mora izpolnjevati pogoje za upravičenca, ki so določeni v točki 5 javnega razpisa.</w:t>
            </w:r>
          </w:p>
          <w:p w14:paraId="11067395" w14:textId="77777777" w:rsidR="000755BA" w:rsidRDefault="000755BA">
            <w:pPr>
              <w:pBdr>
                <w:top w:val="nil"/>
                <w:left w:val="nil"/>
                <w:bottom w:val="nil"/>
                <w:right w:val="nil"/>
                <w:between w:val="nil"/>
              </w:pBdr>
              <w:spacing w:after="200" w:line="276" w:lineRule="auto"/>
              <w:rPr>
                <w:rFonts w:ascii="Arial" w:eastAsia="Arial" w:hAnsi="Arial" w:cs="Arial"/>
                <w:color w:val="000000"/>
              </w:rPr>
            </w:pPr>
          </w:p>
        </w:tc>
        <w:tc>
          <w:tcPr>
            <w:tcW w:w="4961" w:type="dxa"/>
          </w:tcPr>
          <w:p w14:paraId="3F8CE71B" w14:textId="77777777" w:rsidR="000755BA" w:rsidRDefault="00EF1395">
            <w:pPr>
              <w:pBdr>
                <w:top w:val="nil"/>
                <w:left w:val="nil"/>
                <w:bottom w:val="nil"/>
                <w:right w:val="nil"/>
                <w:between w:val="nil"/>
              </w:pBdr>
              <w:spacing w:after="200" w:line="276" w:lineRule="auto"/>
              <w:ind w:left="34"/>
              <w:rPr>
                <w:rFonts w:ascii="Arial" w:eastAsia="Arial" w:hAnsi="Arial" w:cs="Arial"/>
                <w:color w:val="000000"/>
              </w:rPr>
            </w:pPr>
            <w:r>
              <w:rPr>
                <w:rFonts w:ascii="Arial" w:eastAsia="Arial" w:hAnsi="Arial" w:cs="Arial"/>
                <w:color w:val="000000"/>
              </w:rPr>
              <w:t>Baza AJPES in vloga</w:t>
            </w:r>
          </w:p>
          <w:p w14:paraId="1B8AD7B2" w14:textId="77777777" w:rsidR="000755BA" w:rsidRDefault="00EF1395">
            <w:pPr>
              <w:pBdr>
                <w:top w:val="nil"/>
                <w:left w:val="nil"/>
                <w:bottom w:val="nil"/>
                <w:right w:val="nil"/>
                <w:between w:val="nil"/>
              </w:pBdr>
              <w:spacing w:after="200" w:line="276" w:lineRule="auto"/>
              <w:ind w:left="34"/>
              <w:jc w:val="both"/>
              <w:rPr>
                <w:rFonts w:ascii="Arial" w:eastAsia="Arial" w:hAnsi="Arial" w:cs="Arial"/>
                <w:color w:val="000000"/>
              </w:rPr>
            </w:pPr>
            <w:r>
              <w:rPr>
                <w:rFonts w:ascii="Arial" w:eastAsia="Arial" w:hAnsi="Arial" w:cs="Arial"/>
                <w:color w:val="000000"/>
              </w:rPr>
              <w:t xml:space="preserve">V kolikor podatki v AJPESU ne bodo dosegljivi oz. bodo nepopolni ali neustrezni, jih bo moral prijavitelj predložiti sam. </w:t>
            </w:r>
          </w:p>
        </w:tc>
      </w:tr>
      <w:tr w:rsidR="000755BA" w14:paraId="05C4D6FB" w14:textId="77777777">
        <w:tc>
          <w:tcPr>
            <w:tcW w:w="718" w:type="dxa"/>
            <w:shd w:val="clear" w:color="auto" w:fill="F2F2F2"/>
          </w:tcPr>
          <w:p w14:paraId="5991CEEE"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2</w:t>
            </w:r>
          </w:p>
        </w:tc>
        <w:tc>
          <w:tcPr>
            <w:tcW w:w="4380" w:type="dxa"/>
          </w:tcPr>
          <w:p w14:paraId="49BC71E7"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Prijavitelj opravlja dejavnost v Republiki Sloveniji (dejavnost mora biti neposredno povezana s predmetom javnega razpisa).</w:t>
            </w:r>
          </w:p>
          <w:p w14:paraId="5D6A84E8"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5A7997E3" w14:textId="77777777" w:rsidR="000755BA" w:rsidRDefault="00EF1395">
            <w:pPr>
              <w:pBdr>
                <w:top w:val="nil"/>
                <w:left w:val="nil"/>
                <w:bottom w:val="nil"/>
                <w:right w:val="nil"/>
                <w:between w:val="nil"/>
              </w:pBdr>
              <w:spacing w:after="200" w:line="276" w:lineRule="auto"/>
              <w:ind w:left="2" w:hanging="2"/>
              <w:jc w:val="both"/>
              <w:rPr>
                <w:rFonts w:ascii="Arial" w:eastAsia="Arial" w:hAnsi="Arial" w:cs="Arial"/>
                <w:color w:val="000000"/>
              </w:rPr>
            </w:pPr>
            <w:r>
              <w:rPr>
                <w:rFonts w:ascii="Arial" w:eastAsia="Arial" w:hAnsi="Arial" w:cs="Arial"/>
                <w:color w:val="000000"/>
              </w:rPr>
              <w:t>Izpis iz akta o ustanovitvi in izpisek iz sodnega registra.</w:t>
            </w:r>
          </w:p>
        </w:tc>
      </w:tr>
      <w:tr w:rsidR="000755BA" w14:paraId="57886F16" w14:textId="77777777">
        <w:tc>
          <w:tcPr>
            <w:tcW w:w="718" w:type="dxa"/>
            <w:shd w:val="clear" w:color="auto" w:fill="F2F2F2"/>
          </w:tcPr>
          <w:p w14:paraId="6B7803CB"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3</w:t>
            </w:r>
          </w:p>
        </w:tc>
        <w:tc>
          <w:tcPr>
            <w:tcW w:w="4380" w:type="dxa"/>
          </w:tcPr>
          <w:p w14:paraId="76366DD1"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bookmarkStart w:id="28" w:name="_wm12opq8pux9" w:colFirst="0" w:colLast="0"/>
            <w:bookmarkEnd w:id="28"/>
            <w:r>
              <w:rPr>
                <w:rFonts w:ascii="Arial" w:eastAsia="Arial" w:hAnsi="Arial" w:cs="Arial"/>
                <w:color w:val="000000"/>
              </w:rPr>
              <w:t>Prijavitelj na dan oddaje vloge nima neporavnanih zapadlih finančnih obveznosti iz naslova obveznih dajatev in drugih denarnih nedavčnih obveznosti v skladu z zakonom, ki ureja finančno upravo, ki jih pobira davčni organ (v višini 50 evrov ali več na dan oddaje vloge); šteje se, da prijavitelj ne izpolnjuje obveznosti tudi, če na dan oddaje vloge ni imel predloženih vseh obračunov davčnih odtegljajev za dohodke iz delovnega razmerja za obdobje zadnjega leta do dne oddaje vloge.</w:t>
            </w:r>
          </w:p>
          <w:p w14:paraId="211FDA7F"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5E0DFF72" w14:textId="77777777" w:rsidR="000755BA" w:rsidRDefault="00EF1395">
            <w:pPr>
              <w:pBdr>
                <w:top w:val="nil"/>
                <w:left w:val="nil"/>
                <w:bottom w:val="nil"/>
                <w:right w:val="nil"/>
                <w:between w:val="nil"/>
              </w:pBdr>
              <w:spacing w:after="200" w:line="276" w:lineRule="auto"/>
              <w:ind w:left="34"/>
              <w:jc w:val="both"/>
              <w:rPr>
                <w:rFonts w:ascii="Arial" w:eastAsia="Arial" w:hAnsi="Arial" w:cs="Arial"/>
                <w:color w:val="000000"/>
              </w:rPr>
            </w:pPr>
            <w:r>
              <w:rPr>
                <w:rFonts w:ascii="Arial" w:eastAsia="Arial" w:hAnsi="Arial" w:cs="Arial"/>
                <w:color w:val="000000"/>
              </w:rPr>
              <w:t>Obrazec št. 2  –  Izjava prijavitelja o izpolnjevanju in sprejemanju razpisnih pogojev</w:t>
            </w:r>
          </w:p>
          <w:p w14:paraId="5A0D92ED" w14:textId="77777777" w:rsidR="000755BA" w:rsidRDefault="00EF1395">
            <w:pPr>
              <w:pBdr>
                <w:top w:val="nil"/>
                <w:left w:val="nil"/>
                <w:bottom w:val="nil"/>
                <w:right w:val="nil"/>
                <w:between w:val="nil"/>
              </w:pBdr>
              <w:spacing w:after="200" w:line="276" w:lineRule="auto"/>
              <w:ind w:left="34"/>
              <w:jc w:val="both"/>
              <w:rPr>
                <w:rFonts w:ascii="Arial" w:eastAsia="Arial" w:hAnsi="Arial" w:cs="Arial"/>
                <w:color w:val="000000"/>
              </w:rPr>
            </w:pPr>
            <w:r>
              <w:rPr>
                <w:rFonts w:ascii="Arial" w:eastAsia="Arial" w:hAnsi="Arial" w:cs="Arial"/>
                <w:color w:val="000000"/>
              </w:rPr>
              <w:t>Obrazec št. 3  –  Pooblastilo prijavitelja za pridobitev podatkov od Finančne uprave Republike Slovenije</w:t>
            </w:r>
          </w:p>
          <w:p w14:paraId="55CA781F" w14:textId="77777777" w:rsidR="000755BA" w:rsidRDefault="00EF1395">
            <w:pPr>
              <w:pBdr>
                <w:top w:val="nil"/>
                <w:left w:val="nil"/>
                <w:bottom w:val="nil"/>
                <w:right w:val="nil"/>
                <w:between w:val="nil"/>
              </w:pBdr>
              <w:spacing w:after="200" w:line="276" w:lineRule="auto"/>
              <w:ind w:left="34"/>
              <w:jc w:val="both"/>
              <w:rPr>
                <w:rFonts w:ascii="Arial" w:eastAsia="Arial" w:hAnsi="Arial" w:cs="Arial"/>
                <w:color w:val="000000"/>
              </w:rPr>
            </w:pPr>
            <w:r>
              <w:rPr>
                <w:rFonts w:ascii="Arial" w:eastAsia="Arial" w:hAnsi="Arial" w:cs="Arial"/>
                <w:color w:val="000000"/>
              </w:rPr>
              <w:t>Preverljivo pri Finančni upravi Republike Slovenije (FURS)</w:t>
            </w:r>
          </w:p>
          <w:p w14:paraId="536F17ED" w14:textId="77777777" w:rsidR="000755BA" w:rsidRDefault="00EF1395">
            <w:pPr>
              <w:pBdr>
                <w:top w:val="nil"/>
                <w:left w:val="nil"/>
                <w:bottom w:val="nil"/>
                <w:right w:val="nil"/>
                <w:between w:val="nil"/>
              </w:pBdr>
              <w:spacing w:after="200" w:line="276" w:lineRule="auto"/>
              <w:ind w:left="34"/>
              <w:jc w:val="both"/>
              <w:rPr>
                <w:rFonts w:ascii="Arial" w:eastAsia="Arial" w:hAnsi="Arial" w:cs="Arial"/>
                <w:color w:val="000000"/>
              </w:rPr>
            </w:pPr>
            <w:r>
              <w:rPr>
                <w:rFonts w:ascii="Arial" w:eastAsia="Arial" w:hAnsi="Arial" w:cs="Arial"/>
                <w:color w:val="000000"/>
              </w:rPr>
              <w:t>V primeru negativnega odgovora FURS se pridobi dodatno pojasnilo prijavitelja in FURS.</w:t>
            </w:r>
          </w:p>
          <w:p w14:paraId="67F5B0B1"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Prijavitelj poda ministrstvu pooblastilo, s katerim dovoljuje ministrstvu pridobitev zahtevanih podatkov, med katere spadajo tudi podatki iz davčnega registra, ki se smatrajo kot davčna tajnost.</w:t>
            </w:r>
          </w:p>
        </w:tc>
      </w:tr>
      <w:tr w:rsidR="000755BA" w14:paraId="5C6E1B8D" w14:textId="77777777">
        <w:tc>
          <w:tcPr>
            <w:tcW w:w="718" w:type="dxa"/>
            <w:shd w:val="clear" w:color="auto" w:fill="F2F2F2"/>
          </w:tcPr>
          <w:p w14:paraId="281A7157"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bookmarkStart w:id="29" w:name="_nkatdc2hgtp0" w:colFirst="0" w:colLast="0"/>
            <w:bookmarkEnd w:id="29"/>
            <w:r>
              <w:rPr>
                <w:rFonts w:ascii="Arial" w:eastAsia="Arial" w:hAnsi="Arial" w:cs="Arial"/>
                <w:color w:val="000000"/>
              </w:rPr>
              <w:t>4</w:t>
            </w:r>
          </w:p>
        </w:tc>
        <w:tc>
          <w:tcPr>
            <w:tcW w:w="4380" w:type="dxa"/>
          </w:tcPr>
          <w:p w14:paraId="197AE1FC"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Prijavitelj na dan oddaje vloge nima neporavnanih zapadlih finančnih obveznosti do ministrstva in izvajalskih institucij ministrstva (Slovenski podjetniški sklad, Javna agencija Republike Slovenije za spodbujanje investicij, podjetništva in internacionalizacije, Slovenski regionalno razvojni sklad, Javna agencija za znanstvenoraziskovalno in inovacijsko dejavnost Republike Slovenije) (v višini 50 evrov ali več na dan oddaje vloge), pri čemer neporavnane obveznosti izhajajo iz naslova </w:t>
            </w:r>
            <w:r>
              <w:rPr>
                <w:rFonts w:ascii="Arial" w:eastAsia="Arial" w:hAnsi="Arial" w:cs="Arial"/>
                <w:color w:val="000000"/>
              </w:rPr>
              <w:lastRenderedPageBreak/>
              <w:t>pogodb o sofinanciranju oziroma o dodelitvi  javnih sredstev in so bile kot neporavnane in zapadle spoznane v pravnomočni odločbi pristojnega sodišča.</w:t>
            </w:r>
          </w:p>
          <w:p w14:paraId="1A3C500C"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16D7AB7D" w14:textId="77777777" w:rsidR="000755BA" w:rsidRDefault="00EF1395">
            <w:pPr>
              <w:pBdr>
                <w:top w:val="nil"/>
                <w:left w:val="nil"/>
                <w:bottom w:val="nil"/>
                <w:right w:val="nil"/>
                <w:between w:val="nil"/>
              </w:pBdr>
              <w:spacing w:after="200" w:line="276" w:lineRule="auto"/>
              <w:ind w:left="34"/>
              <w:jc w:val="both"/>
              <w:rPr>
                <w:rFonts w:ascii="Arial" w:eastAsia="Arial" w:hAnsi="Arial" w:cs="Arial"/>
                <w:color w:val="000000"/>
              </w:rPr>
            </w:pPr>
            <w:r>
              <w:rPr>
                <w:rFonts w:ascii="Arial" w:eastAsia="Arial" w:hAnsi="Arial" w:cs="Arial"/>
                <w:color w:val="000000"/>
              </w:rPr>
              <w:lastRenderedPageBreak/>
              <w:t>Obrazec št. 2  –  Izjava prijavitelja o izpolnjevanju in sprejemanju razpisnih pogojev</w:t>
            </w:r>
          </w:p>
          <w:p w14:paraId="6ADA86B1"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Preverljivo v evidencah ministrstva in izvajalskih organov.</w:t>
            </w:r>
          </w:p>
        </w:tc>
      </w:tr>
      <w:tr w:rsidR="000755BA" w14:paraId="47128B39" w14:textId="77777777">
        <w:tc>
          <w:tcPr>
            <w:tcW w:w="718" w:type="dxa"/>
            <w:shd w:val="clear" w:color="auto" w:fill="F2F2F2"/>
          </w:tcPr>
          <w:p w14:paraId="0723D5C1"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5</w:t>
            </w:r>
          </w:p>
        </w:tc>
        <w:tc>
          <w:tcPr>
            <w:tcW w:w="4380" w:type="dxa"/>
          </w:tcPr>
          <w:p w14:paraId="04CC0550" w14:textId="5DF3A012" w:rsidR="000755BA" w:rsidRDefault="00EF1395">
            <w:pPr>
              <w:pBdr>
                <w:top w:val="nil"/>
                <w:left w:val="nil"/>
                <w:bottom w:val="nil"/>
                <w:right w:val="nil"/>
                <w:between w:val="nil"/>
              </w:pBdr>
              <w:spacing w:line="276" w:lineRule="auto"/>
              <w:jc w:val="both"/>
              <w:rPr>
                <w:rFonts w:ascii="Arial" w:eastAsia="Arial" w:hAnsi="Arial" w:cs="Arial"/>
                <w:color w:val="000000"/>
              </w:rPr>
            </w:pPr>
            <w:bookmarkStart w:id="30" w:name="_6lgdjv3a1ol9" w:colFirst="0" w:colLast="0"/>
            <w:bookmarkEnd w:id="30"/>
            <w:r>
              <w:rPr>
                <w:rFonts w:ascii="Arial" w:eastAsia="Arial" w:hAnsi="Arial" w:cs="Arial"/>
                <w:color w:val="000000"/>
              </w:rPr>
              <w:t>Prijavitelj ni v postopku prisilne poravnave, stečajnem postopku, postopku likvidacije ali prisilnega prenehanja, z njegovimi posli iz drugih razlogov ne upravlja sodišče, ni opustil poslovne dejavnosti in na dan oddaje vloge ni bil v stanju insolventnosti, v skladu z določbami Zakona o finančnem poslovanju, postopkih zaradi insolventnosti in prisilnem prenehanju (Uradni list RS, št. </w:t>
            </w:r>
            <w:hyperlink r:id="rId14">
              <w:r>
                <w:rPr>
                  <w:rFonts w:ascii="Arial" w:eastAsia="Arial" w:hAnsi="Arial" w:cs="Arial"/>
                  <w:color w:val="000000"/>
                </w:rPr>
                <w:t>176/21</w:t>
              </w:r>
            </w:hyperlink>
            <w:r>
              <w:rPr>
                <w:rFonts w:ascii="Arial" w:eastAsia="Arial" w:hAnsi="Arial" w:cs="Arial"/>
                <w:color w:val="000000"/>
              </w:rPr>
              <w:t> – uradno prečiščeno besedilo, </w:t>
            </w:r>
            <w:hyperlink r:id="rId15">
              <w:r>
                <w:rPr>
                  <w:rFonts w:ascii="Arial" w:eastAsia="Arial" w:hAnsi="Arial" w:cs="Arial"/>
                  <w:color w:val="000000"/>
                </w:rPr>
                <w:t xml:space="preserve">178/21 – </w:t>
              </w:r>
              <w:proofErr w:type="spellStart"/>
              <w:r>
                <w:rPr>
                  <w:rFonts w:ascii="Arial" w:eastAsia="Arial" w:hAnsi="Arial" w:cs="Arial"/>
                  <w:color w:val="000000"/>
                </w:rPr>
                <w:t>popr</w:t>
              </w:r>
              <w:proofErr w:type="spellEnd"/>
              <w:r>
                <w:rPr>
                  <w:rFonts w:ascii="Arial" w:eastAsia="Arial" w:hAnsi="Arial" w:cs="Arial"/>
                  <w:color w:val="000000"/>
                </w:rPr>
                <w:t>.</w:t>
              </w:r>
            </w:hyperlink>
            <w:r>
              <w:rPr>
                <w:rFonts w:ascii="Arial" w:eastAsia="Arial" w:hAnsi="Arial" w:cs="Arial"/>
                <w:color w:val="000000"/>
              </w:rPr>
              <w:t>, </w:t>
            </w:r>
            <w:hyperlink r:id="rId16">
              <w:r>
                <w:rPr>
                  <w:rFonts w:ascii="Arial" w:eastAsia="Arial" w:hAnsi="Arial" w:cs="Arial"/>
                  <w:color w:val="000000"/>
                </w:rPr>
                <w:t>196/21</w:t>
              </w:r>
            </w:hyperlink>
            <w:r>
              <w:rPr>
                <w:rFonts w:ascii="Arial" w:eastAsia="Arial" w:hAnsi="Arial" w:cs="Arial"/>
                <w:color w:val="000000"/>
              </w:rPr>
              <w:t xml:space="preserve"> – </w:t>
            </w:r>
            <w:proofErr w:type="spellStart"/>
            <w:r>
              <w:rPr>
                <w:rFonts w:ascii="Arial" w:eastAsia="Arial" w:hAnsi="Arial" w:cs="Arial"/>
                <w:color w:val="000000"/>
              </w:rPr>
              <w:t>odl</w:t>
            </w:r>
            <w:proofErr w:type="spellEnd"/>
            <w:r>
              <w:rPr>
                <w:rFonts w:ascii="Arial" w:eastAsia="Arial" w:hAnsi="Arial" w:cs="Arial"/>
                <w:color w:val="000000"/>
              </w:rPr>
              <w:t>. US, </w:t>
            </w:r>
            <w:hyperlink r:id="rId17">
              <w:r>
                <w:rPr>
                  <w:rFonts w:ascii="Arial" w:eastAsia="Arial" w:hAnsi="Arial" w:cs="Arial"/>
                  <w:color w:val="000000"/>
                </w:rPr>
                <w:t>157/22</w:t>
              </w:r>
            </w:hyperlink>
            <w:r>
              <w:rPr>
                <w:rFonts w:ascii="Arial" w:eastAsia="Arial" w:hAnsi="Arial" w:cs="Arial"/>
                <w:color w:val="000000"/>
              </w:rPr>
              <w:t xml:space="preserve"> – </w:t>
            </w:r>
            <w:proofErr w:type="spellStart"/>
            <w:r>
              <w:rPr>
                <w:rFonts w:ascii="Arial" w:eastAsia="Arial" w:hAnsi="Arial" w:cs="Arial"/>
                <w:color w:val="000000"/>
              </w:rPr>
              <w:t>odl</w:t>
            </w:r>
            <w:proofErr w:type="spellEnd"/>
            <w:r>
              <w:rPr>
                <w:rFonts w:ascii="Arial" w:eastAsia="Arial" w:hAnsi="Arial" w:cs="Arial"/>
                <w:color w:val="000000"/>
              </w:rPr>
              <w:t>. US, </w:t>
            </w:r>
            <w:hyperlink r:id="rId18">
              <w:r>
                <w:rPr>
                  <w:rFonts w:ascii="Arial" w:eastAsia="Arial" w:hAnsi="Arial" w:cs="Arial"/>
                  <w:color w:val="000000"/>
                </w:rPr>
                <w:t>35/23</w:t>
              </w:r>
            </w:hyperlink>
            <w:r>
              <w:rPr>
                <w:rFonts w:ascii="Arial" w:eastAsia="Arial" w:hAnsi="Arial" w:cs="Arial"/>
                <w:color w:val="000000"/>
              </w:rPr>
              <w:t xml:space="preserve"> – </w:t>
            </w:r>
            <w:proofErr w:type="spellStart"/>
            <w:r>
              <w:rPr>
                <w:rFonts w:ascii="Arial" w:eastAsia="Arial" w:hAnsi="Arial" w:cs="Arial"/>
                <w:color w:val="000000"/>
              </w:rPr>
              <w:t>odl</w:t>
            </w:r>
            <w:proofErr w:type="spellEnd"/>
            <w:r>
              <w:rPr>
                <w:rFonts w:ascii="Arial" w:eastAsia="Arial" w:hAnsi="Arial" w:cs="Arial"/>
                <w:color w:val="000000"/>
              </w:rPr>
              <w:t>. US, </w:t>
            </w:r>
            <w:hyperlink r:id="rId19">
              <w:r>
                <w:rPr>
                  <w:rFonts w:ascii="Arial" w:eastAsia="Arial" w:hAnsi="Arial" w:cs="Arial"/>
                  <w:color w:val="000000"/>
                </w:rPr>
                <w:t>57/23</w:t>
              </w:r>
            </w:hyperlink>
            <w:r>
              <w:rPr>
                <w:rFonts w:ascii="Arial" w:eastAsia="Arial" w:hAnsi="Arial" w:cs="Arial"/>
                <w:color w:val="000000"/>
              </w:rPr>
              <w:t xml:space="preserve"> – </w:t>
            </w:r>
            <w:proofErr w:type="spellStart"/>
            <w:r>
              <w:rPr>
                <w:rFonts w:ascii="Arial" w:eastAsia="Arial" w:hAnsi="Arial" w:cs="Arial"/>
                <w:color w:val="000000"/>
              </w:rPr>
              <w:t>odl</w:t>
            </w:r>
            <w:proofErr w:type="spellEnd"/>
            <w:r>
              <w:rPr>
                <w:rFonts w:ascii="Arial" w:eastAsia="Arial" w:hAnsi="Arial" w:cs="Arial"/>
                <w:color w:val="000000"/>
              </w:rPr>
              <w:t>. US, </w:t>
            </w:r>
            <w:hyperlink r:id="rId20">
              <w:r>
                <w:rPr>
                  <w:rFonts w:ascii="Arial" w:eastAsia="Arial" w:hAnsi="Arial" w:cs="Arial"/>
                  <w:color w:val="000000"/>
                </w:rPr>
                <w:t>102/23</w:t>
              </w:r>
            </w:hyperlink>
            <w:r>
              <w:rPr>
                <w:rFonts w:ascii="Arial" w:eastAsia="Arial" w:hAnsi="Arial" w:cs="Arial"/>
                <w:color w:val="000000"/>
              </w:rPr>
              <w:t xml:space="preserve">, 25/25 – </w:t>
            </w:r>
            <w:proofErr w:type="spellStart"/>
            <w:r>
              <w:rPr>
                <w:rFonts w:ascii="Arial" w:eastAsia="Arial" w:hAnsi="Arial" w:cs="Arial"/>
                <w:color w:val="000000"/>
              </w:rPr>
              <w:t>odl</w:t>
            </w:r>
            <w:proofErr w:type="spellEnd"/>
            <w:r>
              <w:rPr>
                <w:rFonts w:ascii="Arial" w:eastAsia="Arial" w:hAnsi="Arial" w:cs="Arial"/>
                <w:color w:val="000000"/>
              </w:rPr>
              <w:t xml:space="preserve">. US, 40/25 in 100/25 – ZS-1) in ni v postopku likvidacije po Zakonu o gospodarskih družbah (Uradni list RS, št. 65/09 – uradno prečiščeno besedilo, 33/11, 91/11, 32/12, 57/12, 44/13 – </w:t>
            </w:r>
            <w:proofErr w:type="spellStart"/>
            <w:r>
              <w:rPr>
                <w:rFonts w:ascii="Arial" w:eastAsia="Arial" w:hAnsi="Arial" w:cs="Arial"/>
                <w:color w:val="000000"/>
              </w:rPr>
              <w:t>odl</w:t>
            </w:r>
            <w:proofErr w:type="spellEnd"/>
            <w:r>
              <w:rPr>
                <w:rFonts w:ascii="Arial" w:eastAsia="Arial" w:hAnsi="Arial" w:cs="Arial"/>
                <w:color w:val="000000"/>
              </w:rPr>
              <w:t xml:space="preserve">. US, 82/13, 55/15, 15/17, 22/19 – </w:t>
            </w:r>
            <w:proofErr w:type="spellStart"/>
            <w:r>
              <w:rPr>
                <w:rFonts w:ascii="Arial" w:eastAsia="Arial" w:hAnsi="Arial" w:cs="Arial"/>
                <w:color w:val="000000"/>
              </w:rPr>
              <w:t>ZPosS</w:t>
            </w:r>
            <w:proofErr w:type="spellEnd"/>
            <w:r>
              <w:rPr>
                <w:rFonts w:ascii="Arial" w:eastAsia="Arial" w:hAnsi="Arial" w:cs="Arial"/>
                <w:color w:val="000000"/>
              </w:rPr>
              <w:t xml:space="preserve">, 158/20 – </w:t>
            </w:r>
            <w:proofErr w:type="spellStart"/>
            <w:r>
              <w:rPr>
                <w:rFonts w:ascii="Arial" w:eastAsia="Arial" w:hAnsi="Arial" w:cs="Arial"/>
                <w:color w:val="000000"/>
              </w:rPr>
              <w:t>ZIntPK</w:t>
            </w:r>
            <w:proofErr w:type="spellEnd"/>
            <w:r>
              <w:rPr>
                <w:rFonts w:ascii="Arial" w:eastAsia="Arial" w:hAnsi="Arial" w:cs="Arial"/>
                <w:color w:val="000000"/>
              </w:rPr>
              <w:t>-C, 18/21, 18/23 – ZDU-1O, 75/23, 102/24, 77/25</w:t>
            </w:r>
            <w:r w:rsidR="007E39FC">
              <w:rPr>
                <w:rFonts w:ascii="Arial" w:eastAsia="Arial" w:hAnsi="Arial" w:cs="Arial"/>
                <w:color w:val="000000"/>
              </w:rPr>
              <w:t>,</w:t>
            </w:r>
            <w:r>
              <w:rPr>
                <w:rFonts w:ascii="Arial" w:eastAsia="Arial" w:hAnsi="Arial" w:cs="Arial"/>
                <w:color w:val="000000"/>
              </w:rPr>
              <w:t xml:space="preserve"> 10/26 - </w:t>
            </w:r>
            <w:proofErr w:type="spellStart"/>
            <w:r>
              <w:rPr>
                <w:rFonts w:ascii="Arial" w:eastAsia="Arial" w:hAnsi="Arial" w:cs="Arial"/>
                <w:color w:val="000000"/>
              </w:rPr>
              <w:t>ZdZEETD</w:t>
            </w:r>
            <w:proofErr w:type="spellEnd"/>
            <w:r w:rsidR="007E39FC">
              <w:t xml:space="preserve"> </w:t>
            </w:r>
            <w:r w:rsidR="007E39FC" w:rsidRPr="007E39FC">
              <w:rPr>
                <w:rFonts w:ascii="Arial" w:eastAsia="Arial" w:hAnsi="Arial" w:cs="Arial"/>
                <w:color w:val="000000"/>
              </w:rPr>
              <w:t>in 1270/26</w:t>
            </w:r>
            <w:r>
              <w:rPr>
                <w:rFonts w:ascii="Arial" w:eastAsia="Arial" w:hAnsi="Arial" w:cs="Arial"/>
                <w:color w:val="000000"/>
              </w:rPr>
              <w:t xml:space="preserve">). </w:t>
            </w:r>
            <w:r>
              <w:rPr>
                <w:rFonts w:ascii="Arial" w:eastAsia="Arial" w:hAnsi="Arial" w:cs="Arial"/>
                <w:color w:val="000000"/>
              </w:rPr>
              <w:br/>
            </w:r>
          </w:p>
          <w:p w14:paraId="21F48A6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3D6D8D8B" w14:textId="77777777" w:rsidR="000755BA" w:rsidRDefault="00EF1395">
            <w:pPr>
              <w:pBdr>
                <w:top w:val="nil"/>
                <w:left w:val="nil"/>
                <w:bottom w:val="nil"/>
                <w:right w:val="nil"/>
                <w:between w:val="nil"/>
              </w:pBdr>
              <w:spacing w:after="200" w:line="276" w:lineRule="auto"/>
              <w:ind w:left="34"/>
              <w:jc w:val="both"/>
              <w:rPr>
                <w:rFonts w:ascii="Arial" w:eastAsia="Arial" w:hAnsi="Arial" w:cs="Arial"/>
                <w:color w:val="000000"/>
              </w:rPr>
            </w:pPr>
            <w:r>
              <w:rPr>
                <w:rFonts w:ascii="Arial" w:eastAsia="Arial" w:hAnsi="Arial" w:cs="Arial"/>
                <w:color w:val="000000"/>
              </w:rPr>
              <w:t>Obrazec št. 2  –  Izjava prijavitelja o izpolnjevanju in sprejemanju razpisnih pogojev</w:t>
            </w:r>
          </w:p>
          <w:p w14:paraId="2EDBF353" w14:textId="77777777" w:rsidR="000755BA" w:rsidRDefault="00EF1395">
            <w:pPr>
              <w:pBdr>
                <w:top w:val="nil"/>
                <w:left w:val="nil"/>
                <w:bottom w:val="nil"/>
                <w:right w:val="nil"/>
                <w:between w:val="nil"/>
              </w:pBdr>
              <w:spacing w:after="200" w:line="276" w:lineRule="auto"/>
              <w:ind w:left="34"/>
              <w:rPr>
                <w:rFonts w:ascii="Arial" w:eastAsia="Arial" w:hAnsi="Arial" w:cs="Arial"/>
                <w:color w:val="000000"/>
              </w:rPr>
            </w:pPr>
            <w:r>
              <w:rPr>
                <w:rFonts w:ascii="Arial" w:eastAsia="Arial" w:hAnsi="Arial" w:cs="Arial"/>
                <w:color w:val="000000"/>
              </w:rPr>
              <w:t>Preverljivo v bazi AJPES (</w:t>
            </w:r>
            <w:proofErr w:type="spellStart"/>
            <w:r>
              <w:rPr>
                <w:rFonts w:ascii="Arial" w:eastAsia="Arial" w:hAnsi="Arial" w:cs="Arial"/>
                <w:color w:val="000000"/>
              </w:rPr>
              <w:t>eINSOLV</w:t>
            </w:r>
            <w:proofErr w:type="spellEnd"/>
            <w:r>
              <w:rPr>
                <w:rFonts w:ascii="Arial" w:eastAsia="Arial" w:hAnsi="Arial" w:cs="Arial"/>
                <w:color w:val="000000"/>
              </w:rPr>
              <w:t>)</w:t>
            </w:r>
          </w:p>
        </w:tc>
      </w:tr>
      <w:tr w:rsidR="000755BA" w14:paraId="6929C528" w14:textId="77777777">
        <w:tc>
          <w:tcPr>
            <w:tcW w:w="718" w:type="dxa"/>
            <w:shd w:val="clear" w:color="auto" w:fill="F2F2F2"/>
          </w:tcPr>
          <w:p w14:paraId="2D73DBE8"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6</w:t>
            </w:r>
          </w:p>
        </w:tc>
        <w:tc>
          <w:tcPr>
            <w:tcW w:w="4380" w:type="dxa"/>
          </w:tcPr>
          <w:p w14:paraId="7A7B1CF7" w14:textId="77777777" w:rsidR="00DA229C" w:rsidRDefault="00EF1395">
            <w:pPr>
              <w:pBdr>
                <w:top w:val="nil"/>
                <w:left w:val="nil"/>
                <w:bottom w:val="nil"/>
                <w:right w:val="nil"/>
                <w:between w:val="nil"/>
              </w:pBdr>
              <w:spacing w:line="276" w:lineRule="auto"/>
              <w:jc w:val="both"/>
              <w:rPr>
                <w:rFonts w:ascii="Arial" w:eastAsia="Arial" w:hAnsi="Arial" w:cs="Arial"/>
                <w:color w:val="000000"/>
              </w:rPr>
            </w:pPr>
            <w:bookmarkStart w:id="31" w:name="_ana4nie1z1b" w:colFirst="0" w:colLast="0"/>
            <w:bookmarkEnd w:id="31"/>
            <w:r>
              <w:rPr>
                <w:rFonts w:ascii="Arial" w:eastAsia="Arial" w:hAnsi="Arial" w:cs="Arial"/>
                <w:color w:val="000000"/>
              </w:rPr>
              <w:t xml:space="preserve">Za prijavitelja ni podana prepoved poslovanja v razmerju do ministrstva v obsegu, kot izhaja iz 35. člena Zakona o integriteti in preprečevanju korupcije (Uradni list RS, št. 69/11 – uradno prečiščeno besedilo in 158/20, 3/22 – </w:t>
            </w:r>
            <w:proofErr w:type="spellStart"/>
            <w:r>
              <w:rPr>
                <w:rFonts w:ascii="Arial" w:eastAsia="Arial" w:hAnsi="Arial" w:cs="Arial"/>
                <w:color w:val="000000"/>
              </w:rPr>
              <w:t>ZDeb</w:t>
            </w:r>
            <w:proofErr w:type="spellEnd"/>
            <w:r>
              <w:rPr>
                <w:rFonts w:ascii="Arial" w:eastAsia="Arial" w:hAnsi="Arial" w:cs="Arial"/>
                <w:color w:val="000000"/>
              </w:rPr>
              <w:t xml:space="preserve"> in 16/23 – </w:t>
            </w:r>
            <w:proofErr w:type="spellStart"/>
            <w:r>
              <w:rPr>
                <w:rFonts w:ascii="Arial" w:eastAsia="Arial" w:hAnsi="Arial" w:cs="Arial"/>
                <w:color w:val="000000"/>
              </w:rPr>
              <w:t>ZZPri</w:t>
            </w:r>
            <w:proofErr w:type="spellEnd"/>
            <w:r>
              <w:rPr>
                <w:rFonts w:ascii="Arial" w:eastAsia="Arial" w:hAnsi="Arial" w:cs="Arial"/>
                <w:color w:val="000000"/>
              </w:rPr>
              <w:t>).</w:t>
            </w:r>
          </w:p>
          <w:p w14:paraId="263660F3" w14:textId="0273EBB8" w:rsidR="000755BA" w:rsidRDefault="00EF1395" w:rsidP="00DA229C">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 </w:t>
            </w:r>
            <w:r>
              <w:rPr>
                <w:rFonts w:ascii="Arial" w:eastAsia="Arial" w:hAnsi="Arial" w:cs="Arial"/>
                <w:color w:val="000000"/>
              </w:rPr>
              <w:br/>
            </w:r>
          </w:p>
        </w:tc>
        <w:tc>
          <w:tcPr>
            <w:tcW w:w="4961" w:type="dxa"/>
          </w:tcPr>
          <w:p w14:paraId="0F3218A8" w14:textId="77777777" w:rsidR="000755BA" w:rsidRDefault="00EF1395">
            <w:pPr>
              <w:pBdr>
                <w:top w:val="nil"/>
                <w:left w:val="nil"/>
                <w:bottom w:val="nil"/>
                <w:right w:val="nil"/>
                <w:between w:val="nil"/>
              </w:pBdr>
              <w:spacing w:after="200" w:line="276" w:lineRule="auto"/>
              <w:ind w:left="34"/>
              <w:jc w:val="both"/>
              <w:rPr>
                <w:rFonts w:ascii="Arial" w:eastAsia="Arial" w:hAnsi="Arial" w:cs="Arial"/>
                <w:color w:val="000000"/>
              </w:rPr>
            </w:pPr>
            <w:r>
              <w:rPr>
                <w:rFonts w:ascii="Arial" w:eastAsia="Arial" w:hAnsi="Arial" w:cs="Arial"/>
                <w:color w:val="000000"/>
              </w:rPr>
              <w:t>Obrazec št. 2  –  Izjava prijavitelja o izpolnjevanju in sprejemanju razpisnih pogojev</w:t>
            </w:r>
          </w:p>
          <w:p w14:paraId="0FE8985C" w14:textId="77777777" w:rsidR="000755BA" w:rsidRDefault="00EF1395">
            <w:pPr>
              <w:pBdr>
                <w:top w:val="nil"/>
                <w:left w:val="nil"/>
                <w:bottom w:val="nil"/>
                <w:right w:val="nil"/>
                <w:between w:val="nil"/>
              </w:pBdr>
              <w:spacing w:after="200" w:line="276" w:lineRule="auto"/>
              <w:ind w:left="34"/>
              <w:rPr>
                <w:rFonts w:ascii="Arial" w:eastAsia="Arial" w:hAnsi="Arial" w:cs="Arial"/>
                <w:color w:val="000000"/>
              </w:rPr>
            </w:pPr>
            <w:r>
              <w:rPr>
                <w:rFonts w:ascii="Arial" w:eastAsia="Arial" w:hAnsi="Arial" w:cs="Arial"/>
                <w:color w:val="000000"/>
              </w:rPr>
              <w:t xml:space="preserve">Preverljivo na spletni strani </w:t>
            </w:r>
            <w:hyperlink r:id="rId21">
              <w:r>
                <w:rPr>
                  <w:rFonts w:ascii="Arial" w:eastAsia="Arial" w:hAnsi="Arial" w:cs="Arial"/>
                  <w:color w:val="0000FF"/>
                  <w:u w:val="single"/>
                </w:rPr>
                <w:t>http://erar.si/omejitve</w:t>
              </w:r>
            </w:hyperlink>
          </w:p>
        </w:tc>
      </w:tr>
      <w:tr w:rsidR="000755BA" w14:paraId="164684EF" w14:textId="77777777">
        <w:tc>
          <w:tcPr>
            <w:tcW w:w="718" w:type="dxa"/>
            <w:shd w:val="clear" w:color="auto" w:fill="F2F2F2"/>
          </w:tcPr>
          <w:p w14:paraId="027D712B"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7</w:t>
            </w:r>
          </w:p>
        </w:tc>
        <w:tc>
          <w:tcPr>
            <w:tcW w:w="4380" w:type="dxa"/>
          </w:tcPr>
          <w:p w14:paraId="216B25BC"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bookmarkStart w:id="32" w:name="_8owq79fjnpo1" w:colFirst="0" w:colLast="0"/>
            <w:bookmarkEnd w:id="32"/>
            <w:r>
              <w:rPr>
                <w:rFonts w:ascii="Arial" w:eastAsia="Arial" w:hAnsi="Arial" w:cs="Arial"/>
                <w:color w:val="000000"/>
              </w:rPr>
              <w:t>Prijavitelj ni v postopku vračanja neupravičeno prejete državne pomoči, na osnovi odločbe Evropske komisije, ki je prejeto državno pomoč razglasila za nezakonito in nezdružljivo s skupnim trgom Skupnosti.</w:t>
            </w:r>
          </w:p>
        </w:tc>
        <w:tc>
          <w:tcPr>
            <w:tcW w:w="4961" w:type="dxa"/>
          </w:tcPr>
          <w:p w14:paraId="26937019" w14:textId="77777777" w:rsidR="000755BA" w:rsidRDefault="00EF1395">
            <w:pPr>
              <w:pBdr>
                <w:top w:val="nil"/>
                <w:left w:val="nil"/>
                <w:bottom w:val="nil"/>
                <w:right w:val="nil"/>
                <w:between w:val="nil"/>
              </w:pBdr>
              <w:spacing w:after="200" w:line="276" w:lineRule="auto"/>
              <w:ind w:left="57"/>
              <w:jc w:val="both"/>
              <w:rPr>
                <w:rFonts w:ascii="Arial" w:eastAsia="Arial" w:hAnsi="Arial" w:cs="Arial"/>
                <w:color w:val="000000"/>
              </w:rPr>
            </w:pPr>
            <w:r>
              <w:rPr>
                <w:rFonts w:ascii="Arial" w:eastAsia="Arial" w:hAnsi="Arial" w:cs="Arial"/>
                <w:color w:val="000000"/>
              </w:rPr>
              <w:t>Obrazec št. 2  –  Izjava prijavitelja o izpolnjevanju in sprejemanju razpisnih pogojev</w:t>
            </w:r>
          </w:p>
          <w:p w14:paraId="01402E8D" w14:textId="77777777" w:rsidR="000755BA" w:rsidRDefault="00EF1395">
            <w:pPr>
              <w:pBdr>
                <w:top w:val="nil"/>
                <w:left w:val="nil"/>
                <w:bottom w:val="nil"/>
                <w:right w:val="nil"/>
                <w:between w:val="nil"/>
              </w:pBdr>
              <w:spacing w:after="200" w:line="276" w:lineRule="auto"/>
              <w:ind w:left="34"/>
              <w:rPr>
                <w:rFonts w:ascii="Arial" w:eastAsia="Arial" w:hAnsi="Arial" w:cs="Arial"/>
                <w:color w:val="000000"/>
              </w:rPr>
            </w:pPr>
            <w:bookmarkStart w:id="33" w:name="_fvcnh5ebzwpf" w:colFirst="0" w:colLast="0"/>
            <w:bookmarkEnd w:id="33"/>
            <w:r>
              <w:rPr>
                <w:rFonts w:ascii="Arial" w:eastAsia="Arial" w:hAnsi="Arial" w:cs="Arial"/>
                <w:color w:val="000000"/>
              </w:rPr>
              <w:t xml:space="preserve">Preverljivo na spletni strani: </w:t>
            </w:r>
            <w:hyperlink r:id="rId22">
              <w:r>
                <w:rPr>
                  <w:rFonts w:ascii="Arial" w:eastAsia="Arial" w:hAnsi="Arial" w:cs="Arial"/>
                  <w:color w:val="0000FF"/>
                  <w:u w:val="single"/>
                </w:rPr>
                <w:t>https://ec.europa.eu/competition-policy/state-aid/procedures/recovery-unlawful-aid_en</w:t>
              </w:r>
            </w:hyperlink>
            <w:r>
              <w:rPr>
                <w:rFonts w:ascii="Arial" w:eastAsia="Arial" w:hAnsi="Arial" w:cs="Arial"/>
                <w:color w:val="000000"/>
              </w:rPr>
              <w:t xml:space="preserve"> </w:t>
            </w:r>
          </w:p>
        </w:tc>
      </w:tr>
      <w:tr w:rsidR="000755BA" w14:paraId="07BD8FEC" w14:textId="77777777">
        <w:tc>
          <w:tcPr>
            <w:tcW w:w="718" w:type="dxa"/>
            <w:shd w:val="clear" w:color="auto" w:fill="F2F2F2"/>
          </w:tcPr>
          <w:p w14:paraId="2A6670A9"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8</w:t>
            </w:r>
          </w:p>
        </w:tc>
        <w:tc>
          <w:tcPr>
            <w:tcW w:w="4380" w:type="dxa"/>
          </w:tcPr>
          <w:p w14:paraId="36FCCC57"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bookmarkStart w:id="34" w:name="_al4nw4qwm2i" w:colFirst="0" w:colLast="0"/>
            <w:bookmarkEnd w:id="34"/>
            <w:r>
              <w:rPr>
                <w:rFonts w:ascii="Arial" w:eastAsia="Arial" w:hAnsi="Arial" w:cs="Arial"/>
                <w:color w:val="000000"/>
              </w:rPr>
              <w:t xml:space="preserve">Prijavitelj za iste že povrnjene upravičene stroške in aktivnosti, ki so predmet sofinanciranja v tem razpisu, ni in ne bo pridobil sredstev iz drugih javnih virov (sredstev evropskega, državnega ali lokalnega proračuna - prepoved dvojnega sofinanciranja). </w:t>
            </w:r>
          </w:p>
          <w:p w14:paraId="1B37E5A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4A7146AD" w14:textId="77777777" w:rsidR="000755BA" w:rsidRDefault="00EF1395">
            <w:pPr>
              <w:pBdr>
                <w:top w:val="nil"/>
                <w:left w:val="nil"/>
                <w:bottom w:val="nil"/>
                <w:right w:val="nil"/>
                <w:between w:val="nil"/>
              </w:pBdr>
              <w:spacing w:after="200" w:line="276" w:lineRule="auto"/>
              <w:ind w:left="4"/>
              <w:jc w:val="both"/>
              <w:rPr>
                <w:rFonts w:ascii="Arial" w:eastAsia="Arial" w:hAnsi="Arial" w:cs="Arial"/>
                <w:color w:val="000000"/>
              </w:rPr>
            </w:pPr>
            <w:r>
              <w:rPr>
                <w:rFonts w:ascii="Arial" w:eastAsia="Arial" w:hAnsi="Arial" w:cs="Arial"/>
                <w:color w:val="000000"/>
              </w:rPr>
              <w:t xml:space="preserve">Obrazec št. 2  –  Izjava prijavitelja o izpolnjevanju in sprejemanju razpisnih pogojev </w:t>
            </w:r>
          </w:p>
          <w:p w14:paraId="76B137FB" w14:textId="77777777" w:rsidR="000755BA" w:rsidRDefault="00EF1395">
            <w:pPr>
              <w:pBdr>
                <w:top w:val="nil"/>
                <w:left w:val="nil"/>
                <w:bottom w:val="nil"/>
                <w:right w:val="nil"/>
                <w:between w:val="nil"/>
              </w:pBdr>
              <w:spacing w:after="200" w:line="276" w:lineRule="auto"/>
              <w:ind w:left="4"/>
              <w:jc w:val="both"/>
              <w:rPr>
                <w:rFonts w:ascii="Arial" w:eastAsia="Arial" w:hAnsi="Arial" w:cs="Arial"/>
                <w:color w:val="000000"/>
              </w:rPr>
            </w:pPr>
            <w:r>
              <w:rPr>
                <w:rFonts w:ascii="Arial" w:eastAsia="Arial" w:hAnsi="Arial" w:cs="Arial"/>
                <w:color w:val="000000"/>
              </w:rPr>
              <w:t>Preverljivo v dostopnih evidencah, tj. preverjanje prejetih državnih pomoči v evidencah MF ter ERAR</w:t>
            </w:r>
          </w:p>
        </w:tc>
      </w:tr>
      <w:tr w:rsidR="000755BA" w14:paraId="59E71C3B" w14:textId="77777777">
        <w:tc>
          <w:tcPr>
            <w:tcW w:w="718" w:type="dxa"/>
            <w:shd w:val="clear" w:color="auto" w:fill="D9D9D9"/>
          </w:tcPr>
          <w:p w14:paraId="0E470E67" w14:textId="77777777" w:rsidR="000755BA" w:rsidRDefault="000755BA">
            <w:pPr>
              <w:pBdr>
                <w:top w:val="nil"/>
                <w:left w:val="nil"/>
                <w:bottom w:val="nil"/>
                <w:right w:val="nil"/>
                <w:between w:val="nil"/>
              </w:pBdr>
              <w:spacing w:after="200" w:line="276" w:lineRule="auto"/>
              <w:ind w:left="426" w:hanging="426"/>
              <w:rPr>
                <w:rFonts w:ascii="Arial" w:eastAsia="Arial" w:hAnsi="Arial" w:cs="Arial"/>
                <w:color w:val="000000"/>
              </w:rPr>
            </w:pPr>
          </w:p>
        </w:tc>
        <w:tc>
          <w:tcPr>
            <w:tcW w:w="4380" w:type="dxa"/>
            <w:shd w:val="clear" w:color="auto" w:fill="D9D9D9"/>
          </w:tcPr>
          <w:p w14:paraId="57004BB3"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b/>
                <w:bCs/>
                <w:color w:val="000000"/>
              </w:rPr>
              <w:t>POSEBNI POGOJI ZA PRIJAVITELJE</w:t>
            </w:r>
          </w:p>
        </w:tc>
        <w:tc>
          <w:tcPr>
            <w:tcW w:w="4961" w:type="dxa"/>
            <w:shd w:val="clear" w:color="auto" w:fill="D9D9D9"/>
          </w:tcPr>
          <w:p w14:paraId="4164FA67" w14:textId="77777777" w:rsidR="000755BA" w:rsidRDefault="000755BA">
            <w:pPr>
              <w:pBdr>
                <w:top w:val="nil"/>
                <w:left w:val="nil"/>
                <w:bottom w:val="nil"/>
                <w:right w:val="nil"/>
                <w:between w:val="nil"/>
              </w:pBdr>
              <w:spacing w:after="200" w:line="276" w:lineRule="auto"/>
              <w:ind w:left="426" w:hanging="426"/>
              <w:rPr>
                <w:rFonts w:ascii="Arial" w:eastAsia="Arial" w:hAnsi="Arial" w:cs="Arial"/>
                <w:color w:val="000000"/>
              </w:rPr>
            </w:pPr>
          </w:p>
        </w:tc>
      </w:tr>
      <w:tr w:rsidR="000755BA" w14:paraId="46620EE4" w14:textId="77777777">
        <w:tc>
          <w:tcPr>
            <w:tcW w:w="718" w:type="dxa"/>
            <w:shd w:val="clear" w:color="auto" w:fill="F2F2F2"/>
          </w:tcPr>
          <w:p w14:paraId="1232E2F8"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lastRenderedPageBreak/>
              <w:t>1</w:t>
            </w:r>
          </w:p>
        </w:tc>
        <w:tc>
          <w:tcPr>
            <w:tcW w:w="4380" w:type="dxa"/>
          </w:tcPr>
          <w:p w14:paraId="453A0E46" w14:textId="77777777" w:rsidR="000755BA" w:rsidRDefault="00EF1395">
            <w:p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 xml:space="preserve">Prijavitelj mora imeti pisno izraženo podporo 75 % občin na območju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za izvajanje funkcij regionalne oz. perspektivne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vsaj za obdobje do konca leta 2028. </w:t>
            </w:r>
          </w:p>
          <w:p w14:paraId="5F426686" w14:textId="77777777" w:rsidR="000755BA" w:rsidRDefault="000755BA">
            <w:pPr>
              <w:pBdr>
                <w:top w:val="nil"/>
                <w:left w:val="nil"/>
                <w:bottom w:val="nil"/>
                <w:right w:val="nil"/>
                <w:between w:val="nil"/>
              </w:pBdr>
              <w:tabs>
                <w:tab w:val="left" w:pos="360"/>
              </w:tabs>
              <w:spacing w:line="276" w:lineRule="auto"/>
              <w:jc w:val="both"/>
              <w:rPr>
                <w:rFonts w:ascii="Arial" w:eastAsia="Arial" w:hAnsi="Arial" w:cs="Arial"/>
                <w:color w:val="000000"/>
              </w:rPr>
            </w:pPr>
          </w:p>
        </w:tc>
        <w:tc>
          <w:tcPr>
            <w:tcW w:w="4961" w:type="dxa"/>
          </w:tcPr>
          <w:p w14:paraId="11640D61"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 xml:space="preserve">Obrazec št. 7 - Soglasje občine </w:t>
            </w:r>
          </w:p>
        </w:tc>
      </w:tr>
      <w:tr w:rsidR="000755BA" w14:paraId="7618A3FC" w14:textId="77777777">
        <w:tc>
          <w:tcPr>
            <w:tcW w:w="718" w:type="dxa"/>
            <w:shd w:val="clear" w:color="auto" w:fill="F2F2F2"/>
          </w:tcPr>
          <w:p w14:paraId="3AE213B3"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bookmarkStart w:id="35" w:name="_x5rh9rprup0a" w:colFirst="0" w:colLast="0"/>
            <w:bookmarkEnd w:id="35"/>
            <w:r>
              <w:rPr>
                <w:rFonts w:ascii="Arial" w:eastAsia="Arial" w:hAnsi="Arial" w:cs="Arial"/>
                <w:color w:val="000000"/>
              </w:rPr>
              <w:t>2</w:t>
            </w:r>
          </w:p>
        </w:tc>
        <w:tc>
          <w:tcPr>
            <w:tcW w:w="4380" w:type="dxa"/>
          </w:tcPr>
          <w:p w14:paraId="0E1A8FD3" w14:textId="77777777" w:rsidR="000755BA" w:rsidRDefault="00EF1395">
            <w:p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 xml:space="preserve">Prijavitelj mora imeti podpisano </w:t>
            </w:r>
            <w:proofErr w:type="spellStart"/>
            <w:r>
              <w:rPr>
                <w:rFonts w:ascii="Arial" w:eastAsia="Arial" w:hAnsi="Arial" w:cs="Arial"/>
                <w:color w:val="000000"/>
              </w:rPr>
              <w:t>konzorcijsko</w:t>
            </w:r>
            <w:proofErr w:type="spellEnd"/>
            <w:r>
              <w:rPr>
                <w:rFonts w:ascii="Arial" w:eastAsia="Arial" w:hAnsi="Arial" w:cs="Arial"/>
                <w:color w:val="000000"/>
              </w:rPr>
              <w:t xml:space="preserve"> pogodbo vseh predstavnikov vodilnih destinacij (VD)</w:t>
            </w:r>
            <w:r>
              <w:rPr>
                <w:rFonts w:ascii="Arial" w:eastAsia="Arial" w:hAnsi="Arial" w:cs="Arial"/>
                <w:color w:val="000000"/>
                <w:vertAlign w:val="superscript"/>
              </w:rPr>
              <w:footnoteReference w:id="7"/>
            </w:r>
            <w:r>
              <w:rPr>
                <w:rFonts w:ascii="Arial" w:eastAsia="Arial" w:hAnsi="Arial" w:cs="Arial"/>
                <w:color w:val="000000"/>
              </w:rPr>
              <w:t xml:space="preserve"> oz. nosilcev razvoja turizma na območju RDO oz. PD, v kateri so določeni  programski, organizacijski in finančni elementi dogovora za vzpostavitev in delovanje RDO oz. PD v skladu s cilji tega javnega razpisa.</w:t>
            </w:r>
            <w:r>
              <w:rPr>
                <w:rFonts w:ascii="Arial" w:eastAsia="Arial" w:hAnsi="Arial" w:cs="Arial"/>
                <w:color w:val="000000"/>
              </w:rPr>
              <w:br/>
            </w:r>
          </w:p>
          <w:p w14:paraId="2C0C444E" w14:textId="77777777" w:rsidR="000755BA" w:rsidRDefault="000755BA">
            <w:pPr>
              <w:pBdr>
                <w:top w:val="nil"/>
                <w:left w:val="nil"/>
                <w:bottom w:val="nil"/>
                <w:right w:val="nil"/>
                <w:between w:val="nil"/>
              </w:pBdr>
              <w:tabs>
                <w:tab w:val="left" w:pos="360"/>
              </w:tabs>
              <w:spacing w:line="276" w:lineRule="auto"/>
              <w:jc w:val="both"/>
              <w:rPr>
                <w:rFonts w:ascii="Arial" w:eastAsia="Arial" w:hAnsi="Arial" w:cs="Arial"/>
                <w:color w:val="000000"/>
              </w:rPr>
            </w:pPr>
          </w:p>
        </w:tc>
        <w:tc>
          <w:tcPr>
            <w:tcW w:w="4961" w:type="dxa"/>
          </w:tcPr>
          <w:p w14:paraId="6DA53615"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proofErr w:type="spellStart"/>
            <w:r>
              <w:rPr>
                <w:rFonts w:ascii="Arial" w:eastAsia="Arial" w:hAnsi="Arial" w:cs="Arial"/>
                <w:color w:val="000000"/>
              </w:rPr>
              <w:t>Konzorcijska</w:t>
            </w:r>
            <w:proofErr w:type="spellEnd"/>
            <w:r>
              <w:rPr>
                <w:rFonts w:ascii="Arial" w:eastAsia="Arial" w:hAnsi="Arial" w:cs="Arial"/>
                <w:color w:val="000000"/>
              </w:rPr>
              <w:t xml:space="preserve"> pogodba vseh predstavnikov VD oz. nosilcev razvoja turizma na območju RDO oz. PD - obvezna priloga vloge</w:t>
            </w:r>
          </w:p>
        </w:tc>
      </w:tr>
      <w:tr w:rsidR="000755BA" w14:paraId="70A898E6" w14:textId="77777777">
        <w:tc>
          <w:tcPr>
            <w:tcW w:w="718" w:type="dxa"/>
            <w:shd w:val="clear" w:color="auto" w:fill="F2F2F2"/>
          </w:tcPr>
          <w:p w14:paraId="2A57EB2A"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3</w:t>
            </w:r>
          </w:p>
        </w:tc>
        <w:tc>
          <w:tcPr>
            <w:tcW w:w="4380" w:type="dxa"/>
          </w:tcPr>
          <w:p w14:paraId="09E58466" w14:textId="77777777" w:rsidR="000755BA" w:rsidRDefault="00EF1395">
            <w:p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Prijavitelj, ki se prijavlja na Sklop 2 javnega razpisa, mora imeti podpisan sporazum o sodelovanju z bližnjo RDO, v katerem morajo biti določeni načini povezovanja in sodelovanja. Sporazum mora biti veljaven vsaj do konca leta 2028.</w:t>
            </w:r>
          </w:p>
          <w:p w14:paraId="4515043D" w14:textId="77777777" w:rsidR="000755BA" w:rsidRDefault="000755BA">
            <w:pPr>
              <w:pBdr>
                <w:top w:val="nil"/>
                <w:left w:val="nil"/>
                <w:bottom w:val="nil"/>
                <w:right w:val="nil"/>
                <w:between w:val="nil"/>
              </w:pBdr>
              <w:tabs>
                <w:tab w:val="left" w:pos="360"/>
              </w:tabs>
              <w:spacing w:line="276" w:lineRule="auto"/>
              <w:jc w:val="both"/>
              <w:rPr>
                <w:rFonts w:ascii="Arial" w:eastAsia="Arial" w:hAnsi="Arial" w:cs="Arial"/>
                <w:color w:val="000000"/>
              </w:rPr>
            </w:pPr>
          </w:p>
        </w:tc>
        <w:tc>
          <w:tcPr>
            <w:tcW w:w="4961" w:type="dxa"/>
          </w:tcPr>
          <w:p w14:paraId="52506111"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Sporazum o sodelovanju z bližnjo RDO - obvezna priloga vloge</w:t>
            </w:r>
          </w:p>
        </w:tc>
      </w:tr>
      <w:tr w:rsidR="000755BA" w14:paraId="2748D78B" w14:textId="77777777">
        <w:tc>
          <w:tcPr>
            <w:tcW w:w="718" w:type="dxa"/>
            <w:shd w:val="clear" w:color="auto" w:fill="F2F2F2"/>
          </w:tcPr>
          <w:p w14:paraId="0EFE9396"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4</w:t>
            </w:r>
          </w:p>
        </w:tc>
        <w:tc>
          <w:tcPr>
            <w:tcW w:w="4380" w:type="dxa"/>
          </w:tcPr>
          <w:p w14:paraId="5770A7D9" w14:textId="77777777" w:rsidR="000755BA" w:rsidRDefault="00EF1395">
            <w:p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Prijavitelj mora priložiti program dela</w:t>
            </w:r>
            <w:r>
              <w:rPr>
                <w:rFonts w:ascii="Arial" w:eastAsia="Arial" w:hAnsi="Arial" w:cs="Arial"/>
                <w:color w:val="000000"/>
                <w:vertAlign w:val="superscript"/>
              </w:rPr>
              <w:footnoteReference w:id="8"/>
            </w:r>
            <w:r>
              <w:rPr>
                <w:rFonts w:ascii="Arial" w:eastAsia="Arial" w:hAnsi="Arial" w:cs="Arial"/>
                <w:color w:val="000000"/>
              </w:rPr>
              <w:t xml:space="preserve">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za obdobje od leta kandidature na javni razpis do konca leta 2028, ki zajema: ključne cilje, ukrepe, aktivnosti, pričakovane rezultate, potrebne vire (kadrovske, finančne) in terminski načrt. </w:t>
            </w:r>
          </w:p>
          <w:p w14:paraId="17E41F2E" w14:textId="77777777" w:rsidR="000755BA" w:rsidRDefault="000755BA">
            <w:pPr>
              <w:pBdr>
                <w:top w:val="nil"/>
                <w:left w:val="nil"/>
                <w:bottom w:val="nil"/>
                <w:right w:val="nil"/>
                <w:between w:val="nil"/>
              </w:pBdr>
              <w:tabs>
                <w:tab w:val="left" w:pos="360"/>
              </w:tabs>
              <w:spacing w:line="276" w:lineRule="auto"/>
              <w:jc w:val="both"/>
              <w:rPr>
                <w:rFonts w:ascii="Arial" w:eastAsia="Arial" w:hAnsi="Arial" w:cs="Arial"/>
                <w:color w:val="000000"/>
              </w:rPr>
            </w:pPr>
          </w:p>
        </w:tc>
        <w:tc>
          <w:tcPr>
            <w:tcW w:w="4961" w:type="dxa"/>
          </w:tcPr>
          <w:p w14:paraId="258CD80B"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Program dela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 obvezna priloga vloge</w:t>
            </w:r>
          </w:p>
        </w:tc>
      </w:tr>
      <w:tr w:rsidR="000755BA" w14:paraId="3736C951" w14:textId="77777777">
        <w:tc>
          <w:tcPr>
            <w:tcW w:w="718" w:type="dxa"/>
            <w:shd w:val="clear" w:color="auto" w:fill="F2F2F2"/>
          </w:tcPr>
          <w:p w14:paraId="3081B628"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5</w:t>
            </w:r>
          </w:p>
        </w:tc>
        <w:tc>
          <w:tcPr>
            <w:tcW w:w="4380" w:type="dxa"/>
          </w:tcPr>
          <w:p w14:paraId="7B35DB05" w14:textId="77777777" w:rsidR="000755BA" w:rsidRDefault="00EF1395">
            <w:p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Na območju ene RDO oz. PD bo sofinanciranje lahko odobreno zgolj eni organizaciji. V kolikor bo na razpis prijavljenih več organizacij iz iste RDO oz. PD, ki bodo vsebovale soglasja istih občin (ene ali več), bodo vse take prijave izločene kot neustrezne in zavržene.</w:t>
            </w:r>
          </w:p>
          <w:p w14:paraId="5C203B63" w14:textId="77777777" w:rsidR="000755BA" w:rsidRDefault="000755BA">
            <w:pPr>
              <w:pBdr>
                <w:top w:val="nil"/>
                <w:left w:val="nil"/>
                <w:bottom w:val="nil"/>
                <w:right w:val="nil"/>
                <w:between w:val="nil"/>
              </w:pBdr>
              <w:tabs>
                <w:tab w:val="left" w:pos="360"/>
              </w:tabs>
              <w:spacing w:line="276" w:lineRule="auto"/>
              <w:jc w:val="both"/>
              <w:rPr>
                <w:rFonts w:ascii="Arial" w:eastAsia="Arial" w:hAnsi="Arial" w:cs="Arial"/>
                <w:color w:val="000000"/>
              </w:rPr>
            </w:pPr>
          </w:p>
        </w:tc>
        <w:tc>
          <w:tcPr>
            <w:tcW w:w="4961" w:type="dxa"/>
          </w:tcPr>
          <w:p w14:paraId="5B932672"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Preverljivo iz vloge</w:t>
            </w:r>
          </w:p>
        </w:tc>
      </w:tr>
      <w:tr w:rsidR="000755BA" w14:paraId="5985D9FD" w14:textId="77777777">
        <w:tc>
          <w:tcPr>
            <w:tcW w:w="718" w:type="dxa"/>
            <w:shd w:val="clear" w:color="auto" w:fill="F2F2F2"/>
          </w:tcPr>
          <w:p w14:paraId="4BD60377"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6</w:t>
            </w:r>
          </w:p>
        </w:tc>
        <w:tc>
          <w:tcPr>
            <w:tcW w:w="4380" w:type="dxa"/>
          </w:tcPr>
          <w:p w14:paraId="6C4FBA4E"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Prijavitelj mora imeti v svojih ustanovnih aktih navedeno izvajanje funkcij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za katero kandidira na javnem razpisu, ter za celotno območje, ki ga pokriva ta </w:t>
            </w:r>
            <w:proofErr w:type="spellStart"/>
            <w:r>
              <w:rPr>
                <w:rFonts w:ascii="Arial" w:eastAsia="Arial" w:hAnsi="Arial" w:cs="Arial"/>
                <w:color w:val="000000"/>
              </w:rPr>
              <w:t>destinacijska</w:t>
            </w:r>
            <w:proofErr w:type="spellEnd"/>
            <w:r>
              <w:rPr>
                <w:rFonts w:ascii="Arial" w:eastAsia="Arial" w:hAnsi="Arial" w:cs="Arial"/>
                <w:color w:val="000000"/>
              </w:rPr>
              <w:t xml:space="preserve"> organizacija.</w:t>
            </w:r>
          </w:p>
          <w:p w14:paraId="49AB2684"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45F16A3F"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Akt o ustanovitvi</w:t>
            </w:r>
          </w:p>
        </w:tc>
      </w:tr>
      <w:tr w:rsidR="000755BA" w14:paraId="162F9CCB" w14:textId="77777777">
        <w:trPr>
          <w:trHeight w:val="877"/>
        </w:trPr>
        <w:tc>
          <w:tcPr>
            <w:tcW w:w="718" w:type="dxa"/>
            <w:shd w:val="clear" w:color="auto" w:fill="F2F2F2"/>
          </w:tcPr>
          <w:p w14:paraId="7F089659"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lastRenderedPageBreak/>
              <w:t>7</w:t>
            </w:r>
          </w:p>
          <w:p w14:paraId="077CD390" w14:textId="77777777" w:rsidR="000755BA" w:rsidRDefault="000755BA">
            <w:pPr>
              <w:pBdr>
                <w:top w:val="nil"/>
                <w:left w:val="nil"/>
                <w:bottom w:val="nil"/>
                <w:right w:val="nil"/>
                <w:between w:val="nil"/>
              </w:pBdr>
              <w:spacing w:after="200" w:line="276" w:lineRule="auto"/>
              <w:ind w:left="426"/>
              <w:rPr>
                <w:rFonts w:ascii="Arial" w:eastAsia="Arial" w:hAnsi="Arial" w:cs="Arial"/>
                <w:color w:val="000000"/>
              </w:rPr>
            </w:pPr>
          </w:p>
        </w:tc>
        <w:tc>
          <w:tcPr>
            <w:tcW w:w="4380" w:type="dxa"/>
          </w:tcPr>
          <w:p w14:paraId="5ACCFF45" w14:textId="77777777" w:rsidR="000755BA" w:rsidRDefault="00EF1395">
            <w:pPr>
              <w:pBdr>
                <w:top w:val="nil"/>
                <w:left w:val="nil"/>
                <w:bottom w:val="nil"/>
                <w:right w:val="nil"/>
                <w:between w:val="nil"/>
              </w:pBdr>
              <w:tabs>
                <w:tab w:val="left" w:pos="360"/>
              </w:tabs>
              <w:spacing w:line="276" w:lineRule="auto"/>
              <w:jc w:val="both"/>
              <w:rPr>
                <w:rFonts w:ascii="Arial" w:eastAsia="Arial" w:hAnsi="Arial" w:cs="Arial"/>
                <w:color w:val="000000"/>
              </w:rPr>
            </w:pPr>
            <w:r>
              <w:rPr>
                <w:rFonts w:ascii="Arial" w:eastAsia="Arial" w:hAnsi="Arial" w:cs="Arial"/>
                <w:color w:val="000000"/>
              </w:rPr>
              <w:t>Prijavitelj mora biti najkasneje do zaključka operacije registriran za opravljanje dejavnosti SKD 2025 79.110 - Dejavnost potovalnih agencij, ter imeti pridobljeno ustrezno licenco za organiziranje in prodajo turističnih paketov. Dejavnosti organiziranja, promocije in trženja turističnih produktov se lahko izvajajo zgolj na ravni destinacije kot celote, pri čemer so infrastrukturni elementi, sofinancirani v okviru tega javnega razpisa, javnega značaja, brezplačno dostopni in niso predmet prodaje ali neposrednega trženja.</w:t>
            </w:r>
          </w:p>
          <w:p w14:paraId="0569F09B" w14:textId="77777777" w:rsidR="000755BA" w:rsidRDefault="000755BA">
            <w:pPr>
              <w:pBdr>
                <w:top w:val="nil"/>
                <w:left w:val="nil"/>
                <w:bottom w:val="nil"/>
                <w:right w:val="nil"/>
                <w:between w:val="nil"/>
              </w:pBdr>
              <w:tabs>
                <w:tab w:val="left" w:pos="360"/>
              </w:tabs>
              <w:spacing w:line="276" w:lineRule="auto"/>
              <w:jc w:val="both"/>
              <w:rPr>
                <w:rFonts w:ascii="Arial" w:eastAsia="Arial" w:hAnsi="Arial" w:cs="Arial"/>
                <w:color w:val="000000"/>
              </w:rPr>
            </w:pPr>
          </w:p>
        </w:tc>
        <w:tc>
          <w:tcPr>
            <w:tcW w:w="4961" w:type="dxa"/>
          </w:tcPr>
          <w:p w14:paraId="4C402B6C"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Obrazec št. 2  –  Izjava prijavitelja o izpolnjevanju in sprejemanju razpisnih pogojev</w:t>
            </w:r>
          </w:p>
          <w:p w14:paraId="54CEA227"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Baza AJPES.</w:t>
            </w:r>
          </w:p>
        </w:tc>
      </w:tr>
      <w:tr w:rsidR="000755BA" w14:paraId="58C29658" w14:textId="77777777">
        <w:tc>
          <w:tcPr>
            <w:tcW w:w="718" w:type="dxa"/>
            <w:shd w:val="clear" w:color="auto" w:fill="F2F2F2"/>
          </w:tcPr>
          <w:p w14:paraId="3B9EDD6E"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8</w:t>
            </w:r>
          </w:p>
        </w:tc>
        <w:tc>
          <w:tcPr>
            <w:tcW w:w="4380" w:type="dxa"/>
          </w:tcPr>
          <w:p w14:paraId="58A19BF4" w14:textId="77777777" w:rsidR="000755BA" w:rsidRDefault="00EF1395">
            <w:pPr>
              <w:pBdr>
                <w:top w:val="nil"/>
                <w:left w:val="nil"/>
                <w:bottom w:val="nil"/>
                <w:right w:val="nil"/>
                <w:between w:val="nil"/>
              </w:pBdr>
              <w:tabs>
                <w:tab w:val="left" w:pos="0"/>
                <w:tab w:val="left" w:pos="959"/>
                <w:tab w:val="left" w:pos="1918"/>
                <w:tab w:val="left" w:pos="2877"/>
                <w:tab w:val="left" w:pos="3836"/>
                <w:tab w:val="left" w:pos="4795"/>
                <w:tab w:val="left" w:pos="5754"/>
                <w:tab w:val="left" w:pos="6713"/>
                <w:tab w:val="left" w:pos="7672"/>
                <w:tab w:val="left" w:pos="8631"/>
                <w:tab w:val="left" w:pos="9590"/>
                <w:tab w:val="left" w:pos="284"/>
                <w:tab w:val="left" w:pos="567"/>
              </w:tabs>
              <w:spacing w:line="276" w:lineRule="auto"/>
              <w:jc w:val="both"/>
              <w:rPr>
                <w:rFonts w:ascii="Arial" w:eastAsia="Arial" w:hAnsi="Arial" w:cs="Arial"/>
                <w:color w:val="000000"/>
              </w:rPr>
            </w:pPr>
            <w:r>
              <w:rPr>
                <w:rFonts w:ascii="Arial" w:eastAsia="Arial" w:hAnsi="Arial" w:cs="Arial"/>
                <w:color w:val="000000"/>
              </w:rPr>
              <w:t xml:space="preserve">Prijavitelj mora imeti izdelano vsaj petletno strategijo razvoja turizma na območju svojega delovanja, ki mora vključevati obdobje vsaj do konca 2028 in je usklajena s smernicami nacionalne strategije turizma. V kolikor prijavitelj strategije še nima ali pa se ta izteče pred 2028, jo mora pripraviti tekom izvajanja operacije, ki je predmet sofinanciranja v okviru tega javnega razpisa.  </w:t>
            </w:r>
          </w:p>
          <w:p w14:paraId="4AE8B50F" w14:textId="77777777" w:rsidR="000755BA" w:rsidRDefault="000755BA">
            <w:pPr>
              <w:pBdr>
                <w:top w:val="nil"/>
                <w:left w:val="nil"/>
                <w:bottom w:val="nil"/>
                <w:right w:val="nil"/>
                <w:between w:val="nil"/>
              </w:pBdr>
              <w:tabs>
                <w:tab w:val="left" w:pos="0"/>
                <w:tab w:val="left" w:pos="959"/>
                <w:tab w:val="left" w:pos="1918"/>
                <w:tab w:val="left" w:pos="2877"/>
                <w:tab w:val="left" w:pos="3836"/>
                <w:tab w:val="left" w:pos="4795"/>
                <w:tab w:val="left" w:pos="5754"/>
                <w:tab w:val="left" w:pos="6713"/>
                <w:tab w:val="left" w:pos="7672"/>
                <w:tab w:val="left" w:pos="8631"/>
                <w:tab w:val="left" w:pos="9590"/>
                <w:tab w:val="left" w:pos="284"/>
                <w:tab w:val="left" w:pos="567"/>
              </w:tabs>
              <w:spacing w:line="276" w:lineRule="auto"/>
              <w:jc w:val="both"/>
              <w:rPr>
                <w:rFonts w:ascii="Arial" w:eastAsia="Arial" w:hAnsi="Arial" w:cs="Arial"/>
                <w:color w:val="000000"/>
              </w:rPr>
            </w:pPr>
          </w:p>
        </w:tc>
        <w:tc>
          <w:tcPr>
            <w:tcW w:w="4961" w:type="dxa"/>
          </w:tcPr>
          <w:p w14:paraId="5C76DCFC"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Strategija razvoja turizma na območju delovanja RDO oz. PD za obdobje petih let, v kolikor prijavitelj z njo razpolaga – priloga vloge </w:t>
            </w:r>
          </w:p>
          <w:p w14:paraId="570895E6"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oz.</w:t>
            </w:r>
          </w:p>
          <w:p w14:paraId="7F6B7709"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Obrazec št. 2  –  Izjava prijavitelja o izpolnjevanju in sprejemanju razpisnih pogojev, v kolikor prijavitelj s strategijo še ne razpolaga in jo bo pridobil tekom izvajanja operacije </w:t>
            </w:r>
          </w:p>
        </w:tc>
      </w:tr>
      <w:tr w:rsidR="000755BA" w14:paraId="13D3AD78" w14:textId="77777777">
        <w:tc>
          <w:tcPr>
            <w:tcW w:w="718" w:type="dxa"/>
            <w:shd w:val="clear" w:color="auto" w:fill="F2F2F2"/>
          </w:tcPr>
          <w:p w14:paraId="3C0E9465"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9</w:t>
            </w:r>
          </w:p>
        </w:tc>
        <w:tc>
          <w:tcPr>
            <w:tcW w:w="4380" w:type="dxa"/>
          </w:tcPr>
          <w:p w14:paraId="165FCC26"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Prijavitelj mora imeti :</w:t>
            </w:r>
          </w:p>
          <w:p w14:paraId="74277F08" w14:textId="77777777" w:rsidR="000755BA" w:rsidRDefault="00EF1395">
            <w:pPr>
              <w:numPr>
                <w:ilvl w:val="1"/>
                <w:numId w:val="37"/>
              </w:numPr>
              <w:pBdr>
                <w:top w:val="nil"/>
                <w:left w:val="nil"/>
                <w:bottom w:val="nil"/>
                <w:right w:val="nil"/>
                <w:between w:val="nil"/>
              </w:pBdr>
              <w:spacing w:line="276" w:lineRule="auto"/>
              <w:ind w:left="310"/>
              <w:jc w:val="both"/>
              <w:rPr>
                <w:color w:val="000000"/>
              </w:rPr>
            </w:pPr>
            <w:r>
              <w:rPr>
                <w:rFonts w:ascii="Arial" w:eastAsia="Arial" w:hAnsi="Arial" w:cs="Arial"/>
                <w:color w:val="000000"/>
              </w:rPr>
              <w:t>v primeru vlaganj v Sklop 1 (RDO): vsaj en vzpostavljen integralni turistični produkt, ki pokriva območje RDO in temelji na kulturni ali naravni dediščini ali atrakciji/doživetju, ki je značilno za ta RDO (</w:t>
            </w:r>
            <w:proofErr w:type="spellStart"/>
            <w:r>
              <w:rPr>
                <w:rFonts w:ascii="Arial" w:eastAsia="Arial" w:hAnsi="Arial" w:cs="Arial"/>
                <w:color w:val="000000"/>
              </w:rPr>
              <w:t>transregijsko</w:t>
            </w:r>
            <w:proofErr w:type="spellEnd"/>
            <w:r>
              <w:rPr>
                <w:rFonts w:ascii="Arial" w:eastAsia="Arial" w:hAnsi="Arial" w:cs="Arial"/>
                <w:color w:val="000000"/>
              </w:rPr>
              <w:t xml:space="preserve"> doživetje/produkt).</w:t>
            </w:r>
          </w:p>
          <w:p w14:paraId="2A413CB6" w14:textId="77777777" w:rsidR="000755BA" w:rsidRDefault="00EF1395">
            <w:pPr>
              <w:numPr>
                <w:ilvl w:val="1"/>
                <w:numId w:val="37"/>
              </w:numPr>
              <w:pBdr>
                <w:top w:val="nil"/>
                <w:left w:val="nil"/>
                <w:bottom w:val="nil"/>
                <w:right w:val="nil"/>
                <w:between w:val="nil"/>
              </w:pBdr>
              <w:spacing w:line="276" w:lineRule="auto"/>
              <w:ind w:left="310"/>
              <w:jc w:val="both"/>
              <w:rPr>
                <w:color w:val="000000"/>
              </w:rPr>
            </w:pPr>
            <w:r>
              <w:rPr>
                <w:rFonts w:ascii="Arial" w:eastAsia="Arial" w:hAnsi="Arial" w:cs="Arial"/>
                <w:color w:val="000000"/>
              </w:rPr>
              <w:t>v primeru vlaganj v Sklop 2 (PD): en vzpostavljen integralni turistični produkt, ki pokriva območje PD in temelji na kulturni ali naravni dediščini ali atrakciji/doživetju, ki je značilno za to PD.</w:t>
            </w:r>
          </w:p>
          <w:p w14:paraId="23C2CDB0" w14:textId="77777777" w:rsidR="000755BA" w:rsidRDefault="000755BA">
            <w:pPr>
              <w:pBdr>
                <w:top w:val="nil"/>
                <w:left w:val="nil"/>
                <w:bottom w:val="nil"/>
                <w:right w:val="nil"/>
                <w:between w:val="nil"/>
              </w:pBdr>
              <w:spacing w:line="276" w:lineRule="auto"/>
              <w:ind w:left="310"/>
              <w:jc w:val="both"/>
              <w:rPr>
                <w:rFonts w:ascii="Arial" w:eastAsia="Arial" w:hAnsi="Arial" w:cs="Arial"/>
                <w:color w:val="000000"/>
              </w:rPr>
            </w:pPr>
          </w:p>
        </w:tc>
        <w:tc>
          <w:tcPr>
            <w:tcW w:w="4961" w:type="dxa"/>
          </w:tcPr>
          <w:p w14:paraId="03599BED"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Preverljivo iz vloge</w:t>
            </w:r>
          </w:p>
          <w:p w14:paraId="1FBF9569"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Obrazec št. 4 – Predstavitev operacije</w:t>
            </w:r>
          </w:p>
        </w:tc>
      </w:tr>
      <w:tr w:rsidR="000755BA" w14:paraId="1ABC4FF5" w14:textId="77777777">
        <w:tc>
          <w:tcPr>
            <w:tcW w:w="718" w:type="dxa"/>
            <w:shd w:val="clear" w:color="auto" w:fill="F2F2F2"/>
          </w:tcPr>
          <w:p w14:paraId="3AB2A3A5"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10</w:t>
            </w:r>
          </w:p>
        </w:tc>
        <w:tc>
          <w:tcPr>
            <w:tcW w:w="4380" w:type="dxa"/>
          </w:tcPr>
          <w:p w14:paraId="723CBC9E"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Prijavitelj mora imeti:</w:t>
            </w:r>
          </w:p>
          <w:p w14:paraId="1F1CE4C6" w14:textId="77777777" w:rsidR="000755BA" w:rsidRDefault="00EF1395">
            <w:pPr>
              <w:numPr>
                <w:ilvl w:val="0"/>
                <w:numId w:val="6"/>
              </w:numPr>
              <w:pBdr>
                <w:top w:val="nil"/>
                <w:left w:val="nil"/>
                <w:bottom w:val="nil"/>
                <w:right w:val="nil"/>
                <w:between w:val="nil"/>
              </w:pBdr>
              <w:spacing w:line="276" w:lineRule="auto"/>
              <w:ind w:left="310"/>
              <w:jc w:val="both"/>
              <w:rPr>
                <w:color w:val="000000"/>
              </w:rPr>
            </w:pPr>
            <w:r>
              <w:rPr>
                <w:rFonts w:ascii="Arial" w:eastAsia="Arial" w:hAnsi="Arial" w:cs="Arial"/>
                <w:color w:val="000000"/>
              </w:rPr>
              <w:t xml:space="preserve">v primeru vlaganj v Sklop 1 (RDO): vsaj eno vzpostavljeno in uveljavljeno regionalno </w:t>
            </w:r>
            <w:proofErr w:type="spellStart"/>
            <w:r>
              <w:rPr>
                <w:rFonts w:ascii="Arial" w:eastAsia="Arial" w:hAnsi="Arial" w:cs="Arial"/>
                <w:color w:val="000000"/>
              </w:rPr>
              <w:t>destinacijsko</w:t>
            </w:r>
            <w:proofErr w:type="spellEnd"/>
            <w:r>
              <w:rPr>
                <w:rFonts w:ascii="Arial" w:eastAsia="Arial" w:hAnsi="Arial" w:cs="Arial"/>
                <w:color w:val="000000"/>
              </w:rPr>
              <w:t xml:space="preserve"> turistično znamko.</w:t>
            </w:r>
          </w:p>
          <w:p w14:paraId="32813EA5" w14:textId="77777777" w:rsidR="000755BA" w:rsidRDefault="00EF1395">
            <w:pPr>
              <w:numPr>
                <w:ilvl w:val="0"/>
                <w:numId w:val="6"/>
              </w:numPr>
              <w:pBdr>
                <w:top w:val="nil"/>
                <w:left w:val="nil"/>
                <w:bottom w:val="nil"/>
                <w:right w:val="nil"/>
                <w:between w:val="nil"/>
              </w:pBdr>
              <w:spacing w:line="276" w:lineRule="auto"/>
              <w:ind w:left="310"/>
              <w:jc w:val="both"/>
              <w:rPr>
                <w:color w:val="000000"/>
              </w:rPr>
            </w:pPr>
            <w:r>
              <w:rPr>
                <w:rFonts w:ascii="Arial" w:eastAsia="Arial" w:hAnsi="Arial" w:cs="Arial"/>
                <w:color w:val="000000"/>
              </w:rPr>
              <w:t xml:space="preserve">v primeru vlaganj v Sklop 2 (PD): vsaj eno vzpostavljeno in uveljavljeno </w:t>
            </w:r>
            <w:proofErr w:type="spellStart"/>
            <w:r>
              <w:rPr>
                <w:rFonts w:ascii="Arial" w:eastAsia="Arial" w:hAnsi="Arial" w:cs="Arial"/>
                <w:color w:val="000000"/>
              </w:rPr>
              <w:t>destinacijsko</w:t>
            </w:r>
            <w:proofErr w:type="spellEnd"/>
            <w:r>
              <w:rPr>
                <w:rFonts w:ascii="Arial" w:eastAsia="Arial" w:hAnsi="Arial" w:cs="Arial"/>
                <w:color w:val="000000"/>
              </w:rPr>
              <w:t xml:space="preserve"> turistično znamko oz. mora biti le-ta vzpostavljena vsaj do konca izvedbe operacije. </w:t>
            </w:r>
          </w:p>
          <w:p w14:paraId="234D1B0E" w14:textId="77777777" w:rsidR="000755BA" w:rsidRDefault="000755BA">
            <w:pPr>
              <w:pBdr>
                <w:top w:val="nil"/>
                <w:left w:val="nil"/>
                <w:bottom w:val="nil"/>
                <w:right w:val="nil"/>
                <w:between w:val="nil"/>
              </w:pBdr>
              <w:spacing w:line="276" w:lineRule="auto"/>
              <w:ind w:left="310"/>
              <w:jc w:val="both"/>
              <w:rPr>
                <w:rFonts w:ascii="Arial" w:eastAsia="Arial" w:hAnsi="Arial" w:cs="Arial"/>
                <w:color w:val="000000"/>
              </w:rPr>
            </w:pPr>
          </w:p>
        </w:tc>
        <w:tc>
          <w:tcPr>
            <w:tcW w:w="4961" w:type="dxa"/>
          </w:tcPr>
          <w:p w14:paraId="6013BD21" w14:textId="77777777" w:rsidR="000755BA" w:rsidRDefault="00EF1395">
            <w:pPr>
              <w:pBdr>
                <w:top w:val="nil"/>
                <w:left w:val="nil"/>
                <w:bottom w:val="nil"/>
                <w:right w:val="nil"/>
                <w:between w:val="nil"/>
              </w:pBdr>
              <w:spacing w:after="200" w:line="276" w:lineRule="auto"/>
              <w:ind w:left="64"/>
              <w:jc w:val="both"/>
              <w:rPr>
                <w:rFonts w:ascii="Arial" w:eastAsia="Arial" w:hAnsi="Arial" w:cs="Arial"/>
                <w:color w:val="000000"/>
              </w:rPr>
            </w:pPr>
            <w:r>
              <w:rPr>
                <w:rFonts w:ascii="Arial" w:eastAsia="Arial" w:hAnsi="Arial" w:cs="Arial"/>
                <w:color w:val="000000"/>
              </w:rPr>
              <w:t>Preverljivo iz vloge</w:t>
            </w:r>
          </w:p>
          <w:p w14:paraId="704B7B0B" w14:textId="77777777" w:rsidR="000755BA" w:rsidRDefault="00EF1395">
            <w:pPr>
              <w:pBdr>
                <w:top w:val="nil"/>
                <w:left w:val="nil"/>
                <w:bottom w:val="nil"/>
                <w:right w:val="nil"/>
                <w:between w:val="nil"/>
              </w:pBdr>
              <w:spacing w:after="200" w:line="276" w:lineRule="auto"/>
              <w:ind w:left="64"/>
              <w:jc w:val="both"/>
              <w:rPr>
                <w:rFonts w:ascii="Arial" w:eastAsia="Arial" w:hAnsi="Arial" w:cs="Arial"/>
                <w:color w:val="000000"/>
              </w:rPr>
            </w:pPr>
            <w:r>
              <w:rPr>
                <w:rFonts w:ascii="Arial" w:eastAsia="Arial" w:hAnsi="Arial" w:cs="Arial"/>
                <w:color w:val="000000"/>
              </w:rPr>
              <w:t>Obrazec št. 4 – Predstavitev operacije</w:t>
            </w:r>
          </w:p>
        </w:tc>
      </w:tr>
      <w:tr w:rsidR="000755BA" w14:paraId="55A98265" w14:textId="77777777">
        <w:tc>
          <w:tcPr>
            <w:tcW w:w="718" w:type="dxa"/>
            <w:shd w:val="clear" w:color="auto" w:fill="F2F2F2"/>
          </w:tcPr>
          <w:p w14:paraId="45542054"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11</w:t>
            </w:r>
          </w:p>
        </w:tc>
        <w:tc>
          <w:tcPr>
            <w:tcW w:w="4380" w:type="dxa"/>
          </w:tcPr>
          <w:p w14:paraId="47690471" w14:textId="639DD376"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Prijavitelj mora predložiti sporazume o sodelovanju z gospodarskimi družbami in podjetniki posamezniki, ki opravljajo turistično dejavnost, ki skupaj predstavljajo vsaj dve </w:t>
            </w:r>
            <w:r>
              <w:rPr>
                <w:rFonts w:ascii="Arial" w:eastAsia="Arial" w:hAnsi="Arial" w:cs="Arial"/>
                <w:color w:val="000000"/>
              </w:rPr>
              <w:lastRenderedPageBreak/>
              <w:t xml:space="preserve">tretjini razpoložljivih turističnih nastanitvenih zmogljivosti na področju delovanja regionalne oz. perspektivne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(vir: SURS, podatki o skupnem številu ležišč, 202</w:t>
            </w:r>
            <w:r w:rsidR="00344AAE">
              <w:rPr>
                <w:rFonts w:ascii="Arial" w:eastAsia="Arial" w:hAnsi="Arial" w:cs="Arial"/>
                <w:color w:val="000000"/>
              </w:rPr>
              <w:t>5</w:t>
            </w:r>
            <w:r>
              <w:rPr>
                <w:rFonts w:ascii="Arial" w:eastAsia="Arial" w:hAnsi="Arial" w:cs="Arial"/>
                <w:color w:val="000000"/>
                <w:vertAlign w:val="superscript"/>
              </w:rPr>
              <w:footnoteReference w:id="9"/>
            </w:r>
            <w:r>
              <w:rPr>
                <w:rFonts w:ascii="Arial" w:eastAsia="Arial" w:hAnsi="Arial" w:cs="Arial"/>
                <w:color w:val="000000"/>
              </w:rPr>
              <w:t>), ob upoštevanju, da sme posamezna gospodarska družba in podjetnik posameznik  izraziti podporo zgolj enemu prijavitelju. Prijavitelj lahko priloži tudi sporazume s kolektivnimi predstavniki turističnega gospodarstva, ki imajo preverljivo članstvo in v katerem ti predstavniki izkazujejo podporo prijavitelju za opravljanje funkcij RDO oz. PD. Kolektivni predstavniki s preverljivim članstvom so lahko območne obrtno-podjetniške zbornice, območne zbornice GZS, samostojne regionalne zbornice GZS ipd. Na tem sporazumu morajo biti predstavniki turističnega gospodarstva (podjetij) navedeni posamično. V kolikor predstavniki turističnega gospodarstva na takšnem sporazumu ne predstavljajo dveh tretjin razpoložljivih nastanitvenih kapacitet v regiji, prijavitelj za razliko priloži dodatne sporazume oz. sporazum.</w:t>
            </w:r>
          </w:p>
          <w:p w14:paraId="22DC394C"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758ECEB4" w14:textId="77777777" w:rsidR="000755BA" w:rsidRDefault="00EF1395">
            <w:pPr>
              <w:pBdr>
                <w:top w:val="nil"/>
                <w:left w:val="nil"/>
                <w:bottom w:val="nil"/>
                <w:right w:val="nil"/>
                <w:between w:val="nil"/>
              </w:pBdr>
              <w:spacing w:after="200" w:line="276" w:lineRule="auto"/>
              <w:ind w:left="64"/>
              <w:jc w:val="both"/>
              <w:rPr>
                <w:rFonts w:ascii="Arial" w:eastAsia="Arial" w:hAnsi="Arial" w:cs="Arial"/>
                <w:color w:val="000000"/>
              </w:rPr>
            </w:pPr>
            <w:r>
              <w:rPr>
                <w:rFonts w:ascii="Arial" w:eastAsia="Arial" w:hAnsi="Arial" w:cs="Arial"/>
                <w:color w:val="000000"/>
              </w:rPr>
              <w:lastRenderedPageBreak/>
              <w:t xml:space="preserve">Sporazumi o sodelovanju z gospodarskimi družbami in podjetniki posamezniki, ki opravljajo turistično dejavnost, ki skupaj predstavljajo dve tretjini razpoložljivih turističnih nastanitvenih zmogljivosti na </w:t>
            </w:r>
            <w:r>
              <w:rPr>
                <w:rFonts w:ascii="Arial" w:eastAsia="Arial" w:hAnsi="Arial" w:cs="Arial"/>
                <w:color w:val="000000"/>
              </w:rPr>
              <w:lastRenderedPageBreak/>
              <w:t>področju delovanja RDO in PD - obvezna priloga vloge</w:t>
            </w:r>
          </w:p>
          <w:p w14:paraId="029CD524" w14:textId="77777777" w:rsidR="000755BA" w:rsidRDefault="00EF1395">
            <w:pPr>
              <w:pBdr>
                <w:top w:val="nil"/>
                <w:left w:val="nil"/>
                <w:bottom w:val="nil"/>
                <w:right w:val="nil"/>
                <w:between w:val="nil"/>
              </w:pBdr>
              <w:spacing w:after="200" w:line="276" w:lineRule="auto"/>
              <w:ind w:left="64"/>
              <w:jc w:val="both"/>
              <w:rPr>
                <w:rFonts w:ascii="Arial" w:eastAsia="Arial" w:hAnsi="Arial" w:cs="Arial"/>
                <w:color w:val="000000"/>
              </w:rPr>
            </w:pPr>
            <w:r>
              <w:rPr>
                <w:rFonts w:ascii="Arial" w:eastAsia="Arial" w:hAnsi="Arial" w:cs="Arial"/>
                <w:color w:val="000000"/>
              </w:rPr>
              <w:t>Obrazec št. 1 – Prijavni obrazec</w:t>
            </w:r>
          </w:p>
        </w:tc>
      </w:tr>
      <w:tr w:rsidR="000755BA" w14:paraId="3CCE97EB" w14:textId="77777777">
        <w:tc>
          <w:tcPr>
            <w:tcW w:w="718" w:type="dxa"/>
            <w:shd w:val="clear" w:color="auto" w:fill="F2F2F2"/>
          </w:tcPr>
          <w:p w14:paraId="62FC3EFF"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lastRenderedPageBreak/>
              <w:t>12</w:t>
            </w:r>
          </w:p>
        </w:tc>
        <w:tc>
          <w:tcPr>
            <w:tcW w:w="4380" w:type="dxa"/>
          </w:tcPr>
          <w:p w14:paraId="0209B979" w14:textId="77777777" w:rsidR="000755BA" w:rsidRDefault="00EF1395">
            <w:pPr>
              <w:pBdr>
                <w:top w:val="nil"/>
                <w:left w:val="nil"/>
                <w:bottom w:val="nil"/>
                <w:right w:val="nil"/>
                <w:between w:val="nil"/>
              </w:pBdr>
              <w:tabs>
                <w:tab w:val="left" w:pos="0"/>
                <w:tab w:val="left" w:pos="959"/>
                <w:tab w:val="left" w:pos="1918"/>
                <w:tab w:val="left" w:pos="2877"/>
                <w:tab w:val="left" w:pos="3836"/>
                <w:tab w:val="left" w:pos="4795"/>
                <w:tab w:val="left" w:pos="5754"/>
                <w:tab w:val="left" w:pos="6713"/>
                <w:tab w:val="left" w:pos="7672"/>
                <w:tab w:val="left" w:pos="8631"/>
                <w:tab w:val="left" w:pos="9590"/>
                <w:tab w:val="left" w:pos="426"/>
                <w:tab w:val="left" w:pos="567"/>
              </w:tabs>
              <w:spacing w:line="276" w:lineRule="auto"/>
              <w:jc w:val="both"/>
              <w:rPr>
                <w:rFonts w:ascii="Arial" w:eastAsia="Arial" w:hAnsi="Arial" w:cs="Arial"/>
                <w:color w:val="000000"/>
              </w:rPr>
            </w:pPr>
            <w:r>
              <w:rPr>
                <w:rFonts w:ascii="Arial" w:eastAsia="Arial" w:hAnsi="Arial" w:cs="Arial"/>
                <w:color w:val="000000"/>
              </w:rPr>
              <w:t>Prijavitelj, ki kandidira na Sklop 1, mora imeti organizirane vsaj tri turistično informacijske službe za obiskovalce na območju delovanja, ki delujejo celo leto.</w:t>
            </w:r>
          </w:p>
          <w:p w14:paraId="4A1CFB99" w14:textId="77777777" w:rsidR="000755BA" w:rsidRDefault="000755BA">
            <w:pPr>
              <w:pBdr>
                <w:top w:val="nil"/>
                <w:left w:val="nil"/>
                <w:bottom w:val="nil"/>
                <w:right w:val="nil"/>
                <w:between w:val="nil"/>
              </w:pBdr>
              <w:tabs>
                <w:tab w:val="left" w:pos="0"/>
                <w:tab w:val="left" w:pos="959"/>
                <w:tab w:val="left" w:pos="1918"/>
                <w:tab w:val="left" w:pos="2877"/>
                <w:tab w:val="left" w:pos="3836"/>
                <w:tab w:val="left" w:pos="4795"/>
                <w:tab w:val="left" w:pos="5754"/>
                <w:tab w:val="left" w:pos="6713"/>
                <w:tab w:val="left" w:pos="7672"/>
                <w:tab w:val="left" w:pos="8631"/>
                <w:tab w:val="left" w:pos="9590"/>
                <w:tab w:val="left" w:pos="426"/>
                <w:tab w:val="left" w:pos="567"/>
              </w:tabs>
              <w:spacing w:line="276" w:lineRule="auto"/>
              <w:jc w:val="both"/>
              <w:rPr>
                <w:rFonts w:ascii="Arial" w:eastAsia="Arial" w:hAnsi="Arial" w:cs="Arial"/>
                <w:color w:val="000000"/>
              </w:rPr>
            </w:pPr>
          </w:p>
        </w:tc>
        <w:tc>
          <w:tcPr>
            <w:tcW w:w="4961" w:type="dxa"/>
          </w:tcPr>
          <w:p w14:paraId="54ECEF9B"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Preverljivo iz vloge</w:t>
            </w:r>
          </w:p>
          <w:p w14:paraId="20B0E1AE" w14:textId="77777777" w:rsidR="000755BA" w:rsidRDefault="00EF1395">
            <w:pPr>
              <w:pBdr>
                <w:top w:val="nil"/>
                <w:left w:val="nil"/>
                <w:bottom w:val="nil"/>
                <w:right w:val="nil"/>
                <w:between w:val="nil"/>
              </w:pBdr>
              <w:spacing w:after="200" w:line="276" w:lineRule="auto"/>
              <w:ind w:left="21" w:hanging="21"/>
              <w:rPr>
                <w:rFonts w:ascii="Arial" w:eastAsia="Arial" w:hAnsi="Arial" w:cs="Arial"/>
                <w:color w:val="000000"/>
              </w:rPr>
            </w:pPr>
            <w:r>
              <w:rPr>
                <w:rFonts w:ascii="Arial" w:eastAsia="Arial" w:hAnsi="Arial" w:cs="Arial"/>
                <w:color w:val="000000"/>
              </w:rPr>
              <w:t>Obrazec št. 4 – Predstavitev operacije</w:t>
            </w:r>
          </w:p>
        </w:tc>
      </w:tr>
      <w:tr w:rsidR="000755BA" w14:paraId="614F8E23" w14:textId="77777777">
        <w:tc>
          <w:tcPr>
            <w:tcW w:w="718" w:type="dxa"/>
            <w:shd w:val="clear" w:color="auto" w:fill="F2F2F2"/>
          </w:tcPr>
          <w:p w14:paraId="5CA6E5B1"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13</w:t>
            </w:r>
          </w:p>
        </w:tc>
        <w:tc>
          <w:tcPr>
            <w:tcW w:w="4380" w:type="dxa"/>
          </w:tcPr>
          <w:p w14:paraId="09C6908B" w14:textId="77777777" w:rsidR="000755BA" w:rsidRDefault="00EF1395">
            <w:pPr>
              <w:pBdr>
                <w:top w:val="nil"/>
                <w:left w:val="nil"/>
                <w:bottom w:val="nil"/>
                <w:right w:val="nil"/>
                <w:between w:val="nil"/>
              </w:pBdr>
              <w:tabs>
                <w:tab w:val="left" w:pos="0"/>
                <w:tab w:val="left" w:pos="959"/>
                <w:tab w:val="left" w:pos="1918"/>
                <w:tab w:val="left" w:pos="2877"/>
                <w:tab w:val="left" w:pos="3836"/>
                <w:tab w:val="left" w:pos="4795"/>
                <w:tab w:val="left" w:pos="5754"/>
                <w:tab w:val="left" w:pos="6713"/>
                <w:tab w:val="left" w:pos="7672"/>
                <w:tab w:val="left" w:pos="8631"/>
                <w:tab w:val="left" w:pos="9590"/>
                <w:tab w:val="left" w:pos="426"/>
                <w:tab w:val="left" w:pos="567"/>
              </w:tabs>
              <w:spacing w:line="276" w:lineRule="auto"/>
              <w:jc w:val="both"/>
              <w:rPr>
                <w:rFonts w:ascii="Arial" w:eastAsia="Arial" w:hAnsi="Arial" w:cs="Arial"/>
                <w:color w:val="000000"/>
              </w:rPr>
            </w:pPr>
            <w:r>
              <w:rPr>
                <w:rFonts w:ascii="Arial" w:eastAsia="Arial" w:hAnsi="Arial" w:cs="Arial"/>
                <w:color w:val="000000"/>
              </w:rPr>
              <w:t>Prijavitelj, ki kandidira na Sklop 2, mora imeti organizirano vsaj eno turistično informacijsko službo za obiskovalce na območju delovanja, ki deluje celo leto.</w:t>
            </w:r>
          </w:p>
          <w:p w14:paraId="21A3E4C9" w14:textId="77777777" w:rsidR="000755BA" w:rsidRDefault="000755BA">
            <w:pPr>
              <w:pBdr>
                <w:top w:val="nil"/>
                <w:left w:val="nil"/>
                <w:bottom w:val="nil"/>
                <w:right w:val="nil"/>
                <w:between w:val="nil"/>
              </w:pBdr>
              <w:tabs>
                <w:tab w:val="left" w:pos="0"/>
                <w:tab w:val="left" w:pos="959"/>
                <w:tab w:val="left" w:pos="1918"/>
                <w:tab w:val="left" w:pos="2877"/>
                <w:tab w:val="left" w:pos="3836"/>
                <w:tab w:val="left" w:pos="4795"/>
                <w:tab w:val="left" w:pos="5754"/>
                <w:tab w:val="left" w:pos="6713"/>
                <w:tab w:val="left" w:pos="7672"/>
                <w:tab w:val="left" w:pos="8631"/>
                <w:tab w:val="left" w:pos="9590"/>
                <w:tab w:val="left" w:pos="426"/>
                <w:tab w:val="left" w:pos="567"/>
              </w:tabs>
              <w:spacing w:line="276" w:lineRule="auto"/>
              <w:jc w:val="both"/>
              <w:rPr>
                <w:rFonts w:ascii="Arial" w:eastAsia="Arial" w:hAnsi="Arial" w:cs="Arial"/>
                <w:color w:val="000000"/>
              </w:rPr>
            </w:pPr>
          </w:p>
        </w:tc>
        <w:tc>
          <w:tcPr>
            <w:tcW w:w="4961" w:type="dxa"/>
          </w:tcPr>
          <w:p w14:paraId="278CC704"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Preverljivo iz vloge</w:t>
            </w:r>
          </w:p>
          <w:p w14:paraId="5EBBAFAE" w14:textId="77777777" w:rsidR="000755BA" w:rsidRDefault="00EF1395">
            <w:pPr>
              <w:pBdr>
                <w:top w:val="nil"/>
                <w:left w:val="nil"/>
                <w:bottom w:val="nil"/>
                <w:right w:val="nil"/>
                <w:between w:val="nil"/>
              </w:pBdr>
              <w:spacing w:after="200" w:line="276" w:lineRule="auto"/>
              <w:ind w:left="21" w:hanging="21"/>
              <w:rPr>
                <w:rFonts w:ascii="Arial" w:eastAsia="Arial" w:hAnsi="Arial" w:cs="Arial"/>
                <w:color w:val="000000"/>
              </w:rPr>
            </w:pPr>
            <w:r>
              <w:rPr>
                <w:rFonts w:ascii="Arial" w:eastAsia="Arial" w:hAnsi="Arial" w:cs="Arial"/>
                <w:color w:val="000000"/>
              </w:rPr>
              <w:t>Obrazec št. 4 – Predstavitev operacije</w:t>
            </w:r>
          </w:p>
        </w:tc>
      </w:tr>
      <w:tr w:rsidR="000755BA" w14:paraId="56EE2F86" w14:textId="77777777">
        <w:tc>
          <w:tcPr>
            <w:tcW w:w="718" w:type="dxa"/>
            <w:shd w:val="clear" w:color="auto" w:fill="F2F2F2"/>
          </w:tcPr>
          <w:p w14:paraId="440CAC15"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14</w:t>
            </w:r>
          </w:p>
        </w:tc>
        <w:tc>
          <w:tcPr>
            <w:tcW w:w="4380" w:type="dxa"/>
          </w:tcPr>
          <w:p w14:paraId="35327387" w14:textId="77777777" w:rsidR="000755BA" w:rsidRDefault="00EF1395">
            <w:pPr>
              <w:pBdr>
                <w:top w:val="nil"/>
                <w:left w:val="nil"/>
                <w:bottom w:val="nil"/>
                <w:right w:val="nil"/>
                <w:between w:val="nil"/>
              </w:pBdr>
              <w:tabs>
                <w:tab w:val="left" w:pos="0"/>
                <w:tab w:val="left" w:pos="959"/>
                <w:tab w:val="left" w:pos="1918"/>
                <w:tab w:val="left" w:pos="2877"/>
                <w:tab w:val="left" w:pos="3836"/>
                <w:tab w:val="left" w:pos="4795"/>
                <w:tab w:val="left" w:pos="5754"/>
                <w:tab w:val="left" w:pos="6713"/>
                <w:tab w:val="left" w:pos="7672"/>
                <w:tab w:val="left" w:pos="8631"/>
                <w:tab w:val="left" w:pos="9590"/>
                <w:tab w:val="left" w:pos="426"/>
                <w:tab w:val="left" w:pos="567"/>
              </w:tabs>
              <w:spacing w:line="276" w:lineRule="auto"/>
              <w:jc w:val="both"/>
              <w:rPr>
                <w:rFonts w:ascii="Arial" w:eastAsia="Arial" w:hAnsi="Arial" w:cs="Arial"/>
                <w:color w:val="000000"/>
              </w:rPr>
            </w:pPr>
            <w:r>
              <w:rPr>
                <w:rFonts w:ascii="Arial" w:eastAsia="Arial" w:hAnsi="Arial" w:cs="Arial"/>
                <w:color w:val="000000"/>
              </w:rPr>
              <w:t xml:space="preserve">Prijavitelj se zavezuje, da bo v promocijskih akcijah uporabljal znak in znamko »I </w:t>
            </w:r>
            <w:proofErr w:type="spellStart"/>
            <w:r>
              <w:rPr>
                <w:rFonts w:ascii="Arial" w:eastAsia="Arial" w:hAnsi="Arial" w:cs="Arial"/>
                <w:color w:val="000000"/>
              </w:rPr>
              <w:t>Feel</w:t>
            </w:r>
            <w:proofErr w:type="spellEnd"/>
            <w:r>
              <w:rPr>
                <w:rFonts w:ascii="Arial" w:eastAsia="Arial" w:hAnsi="Arial" w:cs="Arial"/>
                <w:color w:val="000000"/>
              </w:rPr>
              <w:t xml:space="preserve"> </w:t>
            </w:r>
            <w:proofErr w:type="spellStart"/>
            <w:r>
              <w:rPr>
                <w:rFonts w:ascii="Arial" w:eastAsia="Arial" w:hAnsi="Arial" w:cs="Arial"/>
                <w:color w:val="000000"/>
              </w:rPr>
              <w:t>Slovenia</w:t>
            </w:r>
            <w:proofErr w:type="spellEnd"/>
            <w:r>
              <w:rPr>
                <w:rFonts w:ascii="Arial" w:eastAsia="Arial" w:hAnsi="Arial" w:cs="Arial"/>
                <w:color w:val="000000"/>
              </w:rPr>
              <w:t xml:space="preserve">« ter pri oblikovanju grafične podobe sledil Priročniku celostne grafične podobe znamke Slovenije, ki je dostopen na: </w:t>
            </w:r>
            <w:hyperlink r:id="rId23">
              <w:r>
                <w:rPr>
                  <w:rFonts w:ascii="Arial" w:eastAsia="Arial" w:hAnsi="Arial" w:cs="Arial"/>
                  <w:color w:val="0000FF"/>
                  <w:u w:val="single"/>
                </w:rPr>
                <w:t>http://www.ukom.gov.si/si/promocija_slovenije/znamka_slovenije_i_feel_slovenia</w:t>
              </w:r>
            </w:hyperlink>
            <w:r>
              <w:rPr>
                <w:rFonts w:ascii="Arial" w:eastAsia="Arial" w:hAnsi="Arial" w:cs="Arial"/>
                <w:color w:val="000000"/>
              </w:rPr>
              <w:t>.</w:t>
            </w:r>
          </w:p>
          <w:p w14:paraId="6B86C9F9" w14:textId="77777777" w:rsidR="000755BA" w:rsidRDefault="000755BA">
            <w:pPr>
              <w:pBdr>
                <w:top w:val="nil"/>
                <w:left w:val="nil"/>
                <w:bottom w:val="nil"/>
                <w:right w:val="nil"/>
                <w:between w:val="nil"/>
              </w:pBdr>
              <w:tabs>
                <w:tab w:val="left" w:pos="0"/>
                <w:tab w:val="left" w:pos="959"/>
                <w:tab w:val="left" w:pos="1918"/>
                <w:tab w:val="left" w:pos="2877"/>
                <w:tab w:val="left" w:pos="3836"/>
                <w:tab w:val="left" w:pos="4795"/>
                <w:tab w:val="left" w:pos="5754"/>
                <w:tab w:val="left" w:pos="6713"/>
                <w:tab w:val="left" w:pos="7672"/>
                <w:tab w:val="left" w:pos="8631"/>
                <w:tab w:val="left" w:pos="9590"/>
                <w:tab w:val="left" w:pos="426"/>
                <w:tab w:val="left" w:pos="567"/>
              </w:tabs>
              <w:spacing w:line="276" w:lineRule="auto"/>
              <w:jc w:val="both"/>
              <w:rPr>
                <w:rFonts w:ascii="Arial" w:eastAsia="Arial" w:hAnsi="Arial" w:cs="Arial"/>
                <w:color w:val="000000"/>
              </w:rPr>
            </w:pPr>
          </w:p>
        </w:tc>
        <w:tc>
          <w:tcPr>
            <w:tcW w:w="4961" w:type="dxa"/>
          </w:tcPr>
          <w:p w14:paraId="2CFF3DAF"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Obrazec št. 2  –  Izjava prijavitelja o izpolnjevanju in sprejemanju razpisnih pogojev</w:t>
            </w:r>
          </w:p>
        </w:tc>
      </w:tr>
      <w:tr w:rsidR="000755BA" w14:paraId="634DF407" w14:textId="77777777">
        <w:tc>
          <w:tcPr>
            <w:tcW w:w="718" w:type="dxa"/>
            <w:shd w:val="clear" w:color="auto" w:fill="F2F2F2"/>
          </w:tcPr>
          <w:p w14:paraId="0AA2166D"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15</w:t>
            </w:r>
          </w:p>
        </w:tc>
        <w:tc>
          <w:tcPr>
            <w:tcW w:w="4380" w:type="dxa"/>
          </w:tcPr>
          <w:p w14:paraId="074318E9"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Območja, ki jih pokriva prijavitelj, morajo biti (skupaj ali posamično) vključena v Zeleno shemo slovenskega turizma (v roku enega leta po zaključku operacije), pri čemer morajo biti certificirane  vse občine oz. velike destinacije v </w:t>
            </w:r>
            <w:r>
              <w:rPr>
                <w:rFonts w:ascii="Arial" w:eastAsia="Arial" w:hAnsi="Arial" w:cs="Arial"/>
                <w:color w:val="000000"/>
              </w:rPr>
              <w:lastRenderedPageBreak/>
              <w:t xml:space="preserve">regiji, ki skupaj ustvarijo prvih 80 % prenočitev (občine se razvrsti po številu prenočitev, certificirane morajo biti vsaj tiste, ki ustvarijo prvih 80 % prenočitev). </w:t>
            </w:r>
          </w:p>
          <w:p w14:paraId="341F56CC"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315193C5"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lastRenderedPageBreak/>
              <w:t>Obrazec št. 2  –  Izjava prijavitelja o izpolnjevanju in sprejemanju razpisnih pogojev</w:t>
            </w:r>
          </w:p>
          <w:p w14:paraId="219EC73B"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Obrazec št. 4 – Predstavitev operacije</w:t>
            </w:r>
          </w:p>
        </w:tc>
      </w:tr>
      <w:tr w:rsidR="000755BA" w14:paraId="33752A2D" w14:textId="77777777">
        <w:tc>
          <w:tcPr>
            <w:tcW w:w="718" w:type="dxa"/>
            <w:shd w:val="clear" w:color="auto" w:fill="F2F2F2"/>
          </w:tcPr>
          <w:p w14:paraId="4097A954"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16</w:t>
            </w:r>
          </w:p>
        </w:tc>
        <w:tc>
          <w:tcPr>
            <w:tcW w:w="4380" w:type="dxa"/>
          </w:tcPr>
          <w:p w14:paraId="1547CDDD"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Prijavitelj se zavezuje, da se bodo v primeru uspešnega kandidiranja najmanj vodja prijavitelja in vsi zaposleni, katerih stroški dela so sofinancirani v okviru javnega razpisa, udeležili obveznega usposabljanja s področja </w:t>
            </w:r>
            <w:proofErr w:type="spellStart"/>
            <w:r>
              <w:rPr>
                <w:rFonts w:ascii="Arial" w:eastAsia="Arial" w:hAnsi="Arial" w:cs="Arial"/>
                <w:color w:val="000000"/>
              </w:rPr>
              <w:t>destinacijskega</w:t>
            </w:r>
            <w:proofErr w:type="spellEnd"/>
            <w:r>
              <w:rPr>
                <w:rFonts w:ascii="Arial" w:eastAsia="Arial" w:hAnsi="Arial" w:cs="Arial"/>
                <w:color w:val="000000"/>
              </w:rPr>
              <w:t xml:space="preserve"> managementa, ki ga bo organizirala Slovenska turistična organizacija.</w:t>
            </w:r>
          </w:p>
          <w:p w14:paraId="7EB162A9"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7622E341"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Obrazec št. 2  –  Izjava prijavitelja o izpolnjevanju in sprejemanju razpisnih pogojev</w:t>
            </w:r>
          </w:p>
        </w:tc>
      </w:tr>
      <w:tr w:rsidR="000755BA" w14:paraId="689D1125" w14:textId="77777777">
        <w:tc>
          <w:tcPr>
            <w:tcW w:w="718" w:type="dxa"/>
            <w:shd w:val="clear" w:color="auto" w:fill="F2F2F2"/>
          </w:tcPr>
          <w:p w14:paraId="30DFDA0A"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17</w:t>
            </w:r>
          </w:p>
        </w:tc>
        <w:tc>
          <w:tcPr>
            <w:tcW w:w="4380" w:type="dxa"/>
          </w:tcPr>
          <w:p w14:paraId="16BC755F"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Prijavitelj se zavezuje, da bo aktivnosti izvajal v skladu s Priročnikom za delo </w:t>
            </w:r>
            <w:proofErr w:type="spellStart"/>
            <w:r>
              <w:rPr>
                <w:rFonts w:ascii="Arial" w:eastAsia="Arial" w:hAnsi="Arial" w:cs="Arial"/>
                <w:color w:val="000000"/>
              </w:rPr>
              <w:t>destinacijskih</w:t>
            </w:r>
            <w:proofErr w:type="spellEnd"/>
            <w:r>
              <w:rPr>
                <w:rFonts w:ascii="Arial" w:eastAsia="Arial" w:hAnsi="Arial" w:cs="Arial"/>
                <w:color w:val="000000"/>
              </w:rPr>
              <w:t xml:space="preserve"> organizacij, dostopen na: </w:t>
            </w:r>
            <w:hyperlink r:id="rId24">
              <w:r>
                <w:rPr>
                  <w:rFonts w:ascii="Arial" w:eastAsia="Arial" w:hAnsi="Arial" w:cs="Arial"/>
                  <w:color w:val="0000FF"/>
                  <w:u w:val="single"/>
                </w:rPr>
                <w:t>https://www.slovenia.info/uploads/RR2025/STO_Prirocnik_destinacijske_organizacije.pdf</w:t>
              </w:r>
            </w:hyperlink>
            <w:r>
              <w:rPr>
                <w:rFonts w:ascii="Arial" w:eastAsia="Arial" w:hAnsi="Arial" w:cs="Arial"/>
                <w:color w:val="000000"/>
              </w:rPr>
              <w:t>).</w:t>
            </w:r>
          </w:p>
          <w:p w14:paraId="56EF78C7"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3BF95E22"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Obrazec št. 2  –  Izjava prijavitelja o izpolnjevanju in sprejemanju razpisnih pogojev</w:t>
            </w:r>
          </w:p>
        </w:tc>
      </w:tr>
      <w:tr w:rsidR="000755BA" w14:paraId="04E490F7" w14:textId="77777777">
        <w:tc>
          <w:tcPr>
            <w:tcW w:w="718" w:type="dxa"/>
            <w:shd w:val="clear" w:color="auto" w:fill="D9D9D9"/>
          </w:tcPr>
          <w:p w14:paraId="6CA7ADA0" w14:textId="77777777" w:rsidR="000755BA" w:rsidRDefault="000755BA">
            <w:pPr>
              <w:pBdr>
                <w:top w:val="nil"/>
                <w:left w:val="nil"/>
                <w:bottom w:val="nil"/>
                <w:right w:val="nil"/>
                <w:between w:val="nil"/>
              </w:pBdr>
              <w:spacing w:after="200" w:line="276" w:lineRule="auto"/>
              <w:ind w:left="426" w:hanging="426"/>
              <w:rPr>
                <w:rFonts w:ascii="Arial" w:eastAsia="Arial" w:hAnsi="Arial" w:cs="Arial"/>
                <w:color w:val="000000"/>
              </w:rPr>
            </w:pPr>
          </w:p>
        </w:tc>
        <w:tc>
          <w:tcPr>
            <w:tcW w:w="4380" w:type="dxa"/>
            <w:shd w:val="clear" w:color="auto" w:fill="D9D9D9"/>
          </w:tcPr>
          <w:p w14:paraId="77BCD69F"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b/>
                <w:bCs/>
                <w:color w:val="000000"/>
              </w:rPr>
              <w:t>POSEBNI POGOJI ZA OPERACIJO</w:t>
            </w:r>
          </w:p>
        </w:tc>
        <w:tc>
          <w:tcPr>
            <w:tcW w:w="4961" w:type="dxa"/>
            <w:shd w:val="clear" w:color="auto" w:fill="D9D9D9"/>
          </w:tcPr>
          <w:p w14:paraId="22828993" w14:textId="77777777" w:rsidR="000755BA" w:rsidRDefault="000755BA">
            <w:pPr>
              <w:pBdr>
                <w:top w:val="nil"/>
                <w:left w:val="nil"/>
                <w:bottom w:val="nil"/>
                <w:right w:val="nil"/>
                <w:between w:val="nil"/>
              </w:pBdr>
              <w:spacing w:after="200" w:line="276" w:lineRule="auto"/>
              <w:ind w:left="426" w:hanging="426"/>
              <w:rPr>
                <w:rFonts w:ascii="Arial" w:eastAsia="Arial" w:hAnsi="Arial" w:cs="Arial"/>
                <w:color w:val="000000"/>
              </w:rPr>
            </w:pPr>
          </w:p>
        </w:tc>
      </w:tr>
      <w:tr w:rsidR="000755BA" w14:paraId="39D12AFA" w14:textId="77777777">
        <w:tc>
          <w:tcPr>
            <w:tcW w:w="718" w:type="dxa"/>
            <w:shd w:val="clear" w:color="auto" w:fill="F2F2F2"/>
          </w:tcPr>
          <w:p w14:paraId="4F9A0EEC"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1</w:t>
            </w:r>
          </w:p>
        </w:tc>
        <w:tc>
          <w:tcPr>
            <w:tcW w:w="4380" w:type="dxa"/>
          </w:tcPr>
          <w:p w14:paraId="643B609A" w14:textId="77777777" w:rsidR="000755BA" w:rsidRDefault="00EF1395">
            <w:pPr>
              <w:pBdr>
                <w:top w:val="nil"/>
                <w:left w:val="nil"/>
                <w:bottom w:val="nil"/>
                <w:right w:val="nil"/>
                <w:between w:val="nil"/>
              </w:pBdr>
              <w:tabs>
                <w:tab w:val="left" w:pos="426"/>
              </w:tabs>
              <w:spacing w:after="200" w:line="276" w:lineRule="auto"/>
              <w:jc w:val="both"/>
              <w:rPr>
                <w:rFonts w:ascii="Arial" w:eastAsia="Arial" w:hAnsi="Arial" w:cs="Arial"/>
                <w:color w:val="000000"/>
              </w:rPr>
            </w:pPr>
            <w:r>
              <w:rPr>
                <w:rFonts w:ascii="Arial" w:eastAsia="Arial" w:hAnsi="Arial" w:cs="Arial"/>
                <w:color w:val="000000"/>
              </w:rPr>
              <w:t xml:space="preserve">Operacija je skladna z namenom, ciljem in s predmetom javnega razpisa ter s cilji »Programa za izvajanje evropske kohezijske politike v obdobju 2021-2027 v Sloveniji«. </w:t>
            </w:r>
          </w:p>
        </w:tc>
        <w:tc>
          <w:tcPr>
            <w:tcW w:w="4961" w:type="dxa"/>
          </w:tcPr>
          <w:p w14:paraId="54F5F139"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Preverljivo iz vloge</w:t>
            </w:r>
          </w:p>
          <w:p w14:paraId="7A340C84"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r>
      <w:tr w:rsidR="000755BA" w14:paraId="7F534542" w14:textId="77777777">
        <w:tc>
          <w:tcPr>
            <w:tcW w:w="718" w:type="dxa"/>
            <w:shd w:val="clear" w:color="auto" w:fill="F2F2F2"/>
          </w:tcPr>
          <w:p w14:paraId="286A7896"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2</w:t>
            </w:r>
          </w:p>
        </w:tc>
        <w:tc>
          <w:tcPr>
            <w:tcW w:w="4380" w:type="dxa"/>
          </w:tcPr>
          <w:p w14:paraId="17A0DC13" w14:textId="77777777" w:rsidR="000755BA" w:rsidRDefault="00EF1395">
            <w:pPr>
              <w:pBdr>
                <w:top w:val="nil"/>
                <w:left w:val="nil"/>
                <w:bottom w:val="nil"/>
                <w:right w:val="nil"/>
                <w:between w:val="nil"/>
              </w:pBdr>
              <w:jc w:val="both"/>
              <w:rPr>
                <w:rFonts w:ascii="Arial" w:eastAsia="Arial" w:hAnsi="Arial" w:cs="Arial"/>
                <w:color w:val="000000"/>
              </w:rPr>
            </w:pPr>
            <w:r>
              <w:rPr>
                <w:rFonts w:ascii="Arial" w:eastAsia="Arial" w:hAnsi="Arial" w:cs="Arial"/>
                <w:color w:val="000000"/>
              </w:rPr>
              <w:t>Operacija je uvrščena v eno od prednostnih področij Strategije pametne specializacije »S5«.</w:t>
            </w:r>
          </w:p>
          <w:p w14:paraId="1127869E" w14:textId="77777777" w:rsidR="000755BA" w:rsidRDefault="000755BA">
            <w:pPr>
              <w:pBdr>
                <w:top w:val="nil"/>
                <w:left w:val="nil"/>
                <w:bottom w:val="nil"/>
                <w:right w:val="nil"/>
                <w:between w:val="nil"/>
              </w:pBdr>
              <w:jc w:val="both"/>
              <w:rPr>
                <w:rFonts w:ascii="Arial" w:eastAsia="Arial" w:hAnsi="Arial" w:cs="Arial"/>
                <w:color w:val="000000"/>
              </w:rPr>
            </w:pPr>
          </w:p>
        </w:tc>
        <w:tc>
          <w:tcPr>
            <w:tcW w:w="4961" w:type="dxa"/>
          </w:tcPr>
          <w:p w14:paraId="34641A57"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Obrazec št.4 – Predstavitev operacije</w:t>
            </w:r>
          </w:p>
        </w:tc>
      </w:tr>
      <w:tr w:rsidR="000755BA" w14:paraId="76D50AD8" w14:textId="77777777">
        <w:tc>
          <w:tcPr>
            <w:tcW w:w="718" w:type="dxa"/>
            <w:shd w:val="clear" w:color="auto" w:fill="F2F2F2"/>
          </w:tcPr>
          <w:p w14:paraId="3894E405"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3</w:t>
            </w:r>
          </w:p>
        </w:tc>
        <w:tc>
          <w:tcPr>
            <w:tcW w:w="4380" w:type="dxa"/>
          </w:tcPr>
          <w:p w14:paraId="42FC7526"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Iz predložene finančne konstrukcije v okviru prijavljene operacije izhaja, da so v celoti zagotovljena sredstva za zaprtje finančne konstrukcije. Pri tem se poleg lastnih sredstev upoštevajo tudi pričakovana sredstva iz naslova tega javnega razpisa ter premostitvena sredstva za del pričakovanih sredstev iz naslova tega javnega razpisa do povrnitve stroškov.</w:t>
            </w:r>
          </w:p>
        </w:tc>
        <w:tc>
          <w:tcPr>
            <w:tcW w:w="4961" w:type="dxa"/>
          </w:tcPr>
          <w:p w14:paraId="6A270AC5"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Obrazec št. 5 – Terminski in finančni načrt operacije</w:t>
            </w:r>
          </w:p>
        </w:tc>
      </w:tr>
      <w:tr w:rsidR="000755BA" w14:paraId="4C9B907F" w14:textId="77777777">
        <w:tc>
          <w:tcPr>
            <w:tcW w:w="718" w:type="dxa"/>
            <w:shd w:val="clear" w:color="auto" w:fill="F2F2F2"/>
          </w:tcPr>
          <w:p w14:paraId="660DF428"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4</w:t>
            </w:r>
          </w:p>
        </w:tc>
        <w:tc>
          <w:tcPr>
            <w:tcW w:w="4380" w:type="dxa"/>
          </w:tcPr>
          <w:p w14:paraId="405C8DC1"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Operacija se lahko prične izvajati z datumom oddaje vloge na javni razpis.</w:t>
            </w:r>
          </w:p>
        </w:tc>
        <w:tc>
          <w:tcPr>
            <w:tcW w:w="4961" w:type="dxa"/>
          </w:tcPr>
          <w:p w14:paraId="39B6FC2E"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 xml:space="preserve">Obrazec št. 1 – Prijavni obrazec </w:t>
            </w:r>
          </w:p>
          <w:p w14:paraId="3BF54D19"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Obrazec št. 5 – Terminski in finančni načrt operacije</w:t>
            </w:r>
          </w:p>
        </w:tc>
      </w:tr>
      <w:tr w:rsidR="000755BA" w14:paraId="435C6544" w14:textId="77777777">
        <w:tc>
          <w:tcPr>
            <w:tcW w:w="718" w:type="dxa"/>
            <w:shd w:val="clear" w:color="auto" w:fill="F2F2F2"/>
          </w:tcPr>
          <w:p w14:paraId="07033EDE"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5</w:t>
            </w:r>
          </w:p>
        </w:tc>
        <w:tc>
          <w:tcPr>
            <w:tcW w:w="4380" w:type="dxa"/>
          </w:tcPr>
          <w:p w14:paraId="228F7F40"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Operacija prispeva k doseganju ciljev iz Strategije razvoja slovenskega turizma 2022 - 2028.</w:t>
            </w:r>
          </w:p>
          <w:p w14:paraId="7611815B"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189C685D"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Obrazec št. 4 – Predstavitev operacije</w:t>
            </w:r>
          </w:p>
        </w:tc>
      </w:tr>
      <w:tr w:rsidR="000755BA" w14:paraId="63458D84" w14:textId="77777777">
        <w:tc>
          <w:tcPr>
            <w:tcW w:w="718" w:type="dxa"/>
            <w:shd w:val="clear" w:color="auto" w:fill="F2F2F2"/>
          </w:tcPr>
          <w:p w14:paraId="4AA5C55C"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6</w:t>
            </w:r>
          </w:p>
        </w:tc>
        <w:tc>
          <w:tcPr>
            <w:tcW w:w="4380" w:type="dxa"/>
          </w:tcPr>
          <w:p w14:paraId="5491243A"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Operacija preko različnih aktivnosti zagotavlja skrbnost za razvoj in upravljanje vseh območij svojega delovanja.</w:t>
            </w:r>
          </w:p>
          <w:p w14:paraId="5F279BB0"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0D8C87E1"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Obrazec št. 2  –  Izjava prijavitelja o izpolnjevanju in sprejemanju razpisnih pogojev</w:t>
            </w:r>
          </w:p>
        </w:tc>
      </w:tr>
      <w:tr w:rsidR="000755BA" w14:paraId="0C1811D4" w14:textId="77777777">
        <w:tc>
          <w:tcPr>
            <w:tcW w:w="718" w:type="dxa"/>
            <w:shd w:val="clear" w:color="auto" w:fill="F2F2F2"/>
          </w:tcPr>
          <w:p w14:paraId="7E52E56E"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lastRenderedPageBreak/>
              <w:t>7</w:t>
            </w:r>
          </w:p>
        </w:tc>
        <w:tc>
          <w:tcPr>
            <w:tcW w:w="4380" w:type="dxa"/>
          </w:tcPr>
          <w:p w14:paraId="4D389D0E"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Prijavitelj se zavezuje, da bo v okviru operacije vsaj 5 % vrednosti upravičenih stroškov operacije namenil za krepitev kompetenc s področja gostinstva in turizma za zainteresirane deležnike na območju svojega delovanja.</w:t>
            </w:r>
          </w:p>
          <w:p w14:paraId="0FEDF1BD"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c>
        <w:tc>
          <w:tcPr>
            <w:tcW w:w="4961" w:type="dxa"/>
          </w:tcPr>
          <w:p w14:paraId="365F965C"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Obrazec št. 2  –  Izjava prijavitelja o izpolnjevanju in sprejemanju razpisnih pogojev</w:t>
            </w:r>
          </w:p>
        </w:tc>
      </w:tr>
      <w:tr w:rsidR="000755BA" w14:paraId="14143ECA" w14:textId="77777777">
        <w:trPr>
          <w:trHeight w:val="920"/>
        </w:trPr>
        <w:tc>
          <w:tcPr>
            <w:tcW w:w="718" w:type="dxa"/>
            <w:shd w:val="clear" w:color="auto" w:fill="F2F2F2"/>
          </w:tcPr>
          <w:p w14:paraId="1270B3A8"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8</w:t>
            </w:r>
          </w:p>
        </w:tc>
        <w:tc>
          <w:tcPr>
            <w:tcW w:w="4380" w:type="dxa"/>
          </w:tcPr>
          <w:p w14:paraId="08A8EC02"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Prijavitelj se zavezuje, da načrtovani skupni upravičeni stroški, ki so predmet sofinanciranja, ne bodo obsegali več kot:</w:t>
            </w:r>
          </w:p>
          <w:p w14:paraId="5372B023" w14:textId="77777777" w:rsidR="000755BA" w:rsidRDefault="00EF1395">
            <w:pPr>
              <w:numPr>
                <w:ilvl w:val="0"/>
                <w:numId w:val="28"/>
              </w:numPr>
              <w:pBdr>
                <w:top w:val="nil"/>
                <w:left w:val="nil"/>
                <w:bottom w:val="nil"/>
                <w:right w:val="nil"/>
                <w:between w:val="nil"/>
              </w:pBdr>
              <w:spacing w:line="276" w:lineRule="auto"/>
              <w:ind w:left="280"/>
              <w:jc w:val="both"/>
              <w:rPr>
                <w:color w:val="000000"/>
              </w:rPr>
            </w:pPr>
            <w:r>
              <w:rPr>
                <w:rFonts w:ascii="Arial" w:eastAsia="Arial" w:hAnsi="Arial" w:cs="Arial"/>
                <w:color w:val="000000"/>
                <w:u w:val="single"/>
              </w:rPr>
              <w:t>v RDO</w:t>
            </w:r>
            <w:r>
              <w:rPr>
                <w:rFonts w:ascii="Arial" w:eastAsia="Arial" w:hAnsi="Arial" w:cs="Arial"/>
                <w:color w:val="000000"/>
              </w:rPr>
              <w:t xml:space="preserve">: </w:t>
            </w:r>
          </w:p>
          <w:p w14:paraId="71DC1D62" w14:textId="77777777" w:rsidR="000755BA" w:rsidRDefault="00EF1395">
            <w:pPr>
              <w:numPr>
                <w:ilvl w:val="0"/>
                <w:numId w:val="17"/>
              </w:numPr>
              <w:pBdr>
                <w:top w:val="nil"/>
                <w:left w:val="nil"/>
                <w:bottom w:val="nil"/>
                <w:right w:val="nil"/>
                <w:between w:val="nil"/>
              </w:pBdr>
              <w:tabs>
                <w:tab w:val="left" w:pos="260"/>
              </w:tabs>
              <w:spacing w:line="276" w:lineRule="auto"/>
              <w:ind w:left="563"/>
              <w:jc w:val="both"/>
              <w:rPr>
                <w:color w:val="000000"/>
              </w:rPr>
            </w:pPr>
            <w:r>
              <w:rPr>
                <w:rFonts w:ascii="Arial" w:eastAsia="Arial" w:hAnsi="Arial" w:cs="Arial"/>
                <w:color w:val="000000"/>
              </w:rPr>
              <w:t>1.000.000, evrov za vrednost sofinanciranja 800.000 evrov,</w:t>
            </w:r>
          </w:p>
          <w:p w14:paraId="24601D4F" w14:textId="77777777" w:rsidR="000755BA" w:rsidRDefault="00EF1395">
            <w:pPr>
              <w:numPr>
                <w:ilvl w:val="0"/>
                <w:numId w:val="17"/>
              </w:numPr>
              <w:pBdr>
                <w:top w:val="nil"/>
                <w:left w:val="nil"/>
                <w:bottom w:val="nil"/>
                <w:right w:val="nil"/>
                <w:between w:val="nil"/>
              </w:pBdr>
              <w:spacing w:line="276" w:lineRule="auto"/>
              <w:ind w:left="563"/>
              <w:jc w:val="both"/>
              <w:rPr>
                <w:color w:val="000000"/>
              </w:rPr>
            </w:pPr>
            <w:r>
              <w:rPr>
                <w:rFonts w:ascii="Arial" w:eastAsia="Arial" w:hAnsi="Arial" w:cs="Arial"/>
                <w:color w:val="000000"/>
              </w:rPr>
              <w:t>1.250.000 evrov za vrednost sofinanciranja 1.000.000 evrov,</w:t>
            </w:r>
          </w:p>
          <w:p w14:paraId="165117F9" w14:textId="77777777" w:rsidR="000755BA" w:rsidRDefault="00EF1395">
            <w:pPr>
              <w:numPr>
                <w:ilvl w:val="0"/>
                <w:numId w:val="17"/>
              </w:numPr>
              <w:pBdr>
                <w:top w:val="nil"/>
                <w:left w:val="nil"/>
                <w:bottom w:val="nil"/>
                <w:right w:val="nil"/>
                <w:between w:val="nil"/>
              </w:pBdr>
              <w:spacing w:line="276" w:lineRule="auto"/>
              <w:ind w:left="563"/>
              <w:jc w:val="both"/>
              <w:rPr>
                <w:color w:val="000000"/>
              </w:rPr>
            </w:pPr>
            <w:r>
              <w:rPr>
                <w:rFonts w:ascii="Arial" w:eastAsia="Arial" w:hAnsi="Arial" w:cs="Arial"/>
                <w:color w:val="000000"/>
              </w:rPr>
              <w:t>1.562.500 evrov za vrednost sofinanciranja 1.250.000 evrov,</w:t>
            </w:r>
          </w:p>
          <w:p w14:paraId="40116EBE" w14:textId="77777777" w:rsidR="000755BA" w:rsidRDefault="00EF1395">
            <w:pPr>
              <w:numPr>
                <w:ilvl w:val="0"/>
                <w:numId w:val="17"/>
              </w:numPr>
              <w:pBdr>
                <w:top w:val="nil"/>
                <w:left w:val="nil"/>
                <w:bottom w:val="nil"/>
                <w:right w:val="nil"/>
                <w:between w:val="nil"/>
              </w:pBdr>
              <w:spacing w:line="276" w:lineRule="auto"/>
              <w:ind w:left="563"/>
              <w:jc w:val="both"/>
              <w:rPr>
                <w:color w:val="000000"/>
              </w:rPr>
            </w:pPr>
            <w:r>
              <w:rPr>
                <w:rFonts w:ascii="Arial" w:eastAsia="Arial" w:hAnsi="Arial" w:cs="Arial"/>
                <w:color w:val="000000"/>
              </w:rPr>
              <w:t>1.812.500 evrov za vrednost sofinanciranja 1.450.000 evrov,</w:t>
            </w:r>
          </w:p>
          <w:p w14:paraId="77D24D35" w14:textId="77777777" w:rsidR="000755BA" w:rsidRDefault="00EF1395">
            <w:pPr>
              <w:numPr>
                <w:ilvl w:val="0"/>
                <w:numId w:val="17"/>
              </w:numPr>
              <w:pBdr>
                <w:top w:val="nil"/>
                <w:left w:val="nil"/>
                <w:bottom w:val="nil"/>
                <w:right w:val="nil"/>
                <w:between w:val="nil"/>
              </w:pBdr>
              <w:spacing w:line="276" w:lineRule="auto"/>
              <w:ind w:left="563"/>
              <w:jc w:val="both"/>
              <w:rPr>
                <w:color w:val="000000"/>
              </w:rPr>
            </w:pPr>
            <w:r>
              <w:rPr>
                <w:rFonts w:ascii="Arial" w:eastAsia="Arial" w:hAnsi="Arial" w:cs="Arial"/>
                <w:color w:val="000000"/>
              </w:rPr>
              <w:t>2.062.500 evrov za vrednost sofinanciranja 1.650.000 evrov</w:t>
            </w:r>
          </w:p>
          <w:p w14:paraId="59E8D074" w14:textId="77777777" w:rsidR="000755BA" w:rsidRDefault="00EF1395">
            <w:pPr>
              <w:numPr>
                <w:ilvl w:val="0"/>
                <w:numId w:val="28"/>
              </w:numPr>
              <w:pBdr>
                <w:top w:val="nil"/>
                <w:left w:val="nil"/>
                <w:bottom w:val="nil"/>
                <w:right w:val="nil"/>
                <w:between w:val="nil"/>
              </w:pBdr>
              <w:spacing w:line="276" w:lineRule="auto"/>
              <w:ind w:left="280"/>
              <w:jc w:val="both"/>
              <w:rPr>
                <w:color w:val="000000"/>
              </w:rPr>
            </w:pPr>
            <w:r>
              <w:rPr>
                <w:rFonts w:ascii="Arial" w:eastAsia="Arial" w:hAnsi="Arial" w:cs="Arial"/>
                <w:color w:val="000000"/>
                <w:u w:val="single"/>
              </w:rPr>
              <w:t>v PD</w:t>
            </w:r>
            <w:r>
              <w:rPr>
                <w:rFonts w:ascii="Arial" w:eastAsia="Arial" w:hAnsi="Arial" w:cs="Arial"/>
                <w:color w:val="000000"/>
              </w:rPr>
              <w:t>:</w:t>
            </w:r>
          </w:p>
          <w:p w14:paraId="5391E90D" w14:textId="77777777" w:rsidR="000755BA" w:rsidRDefault="00EF1395">
            <w:pPr>
              <w:numPr>
                <w:ilvl w:val="0"/>
                <w:numId w:val="17"/>
              </w:numPr>
              <w:pBdr>
                <w:top w:val="nil"/>
                <w:left w:val="nil"/>
                <w:bottom w:val="nil"/>
                <w:right w:val="nil"/>
                <w:between w:val="nil"/>
              </w:pBdr>
              <w:spacing w:line="276" w:lineRule="auto"/>
              <w:ind w:left="563"/>
              <w:jc w:val="both"/>
              <w:rPr>
                <w:color w:val="000000"/>
              </w:rPr>
            </w:pPr>
            <w:r>
              <w:rPr>
                <w:rFonts w:ascii="Arial" w:eastAsia="Arial" w:hAnsi="Arial" w:cs="Arial"/>
                <w:color w:val="000000"/>
              </w:rPr>
              <w:t>125.000 evrov za vrednost sofinanciranja 100.000 evrov.</w:t>
            </w:r>
          </w:p>
          <w:p w14:paraId="1FA67BAE" w14:textId="77777777" w:rsidR="000755BA" w:rsidRDefault="000755BA">
            <w:pPr>
              <w:pBdr>
                <w:top w:val="nil"/>
                <w:left w:val="nil"/>
                <w:bottom w:val="nil"/>
                <w:right w:val="nil"/>
                <w:between w:val="nil"/>
              </w:pBdr>
              <w:spacing w:line="276" w:lineRule="auto"/>
              <w:ind w:left="563"/>
              <w:jc w:val="both"/>
              <w:rPr>
                <w:rFonts w:ascii="Arial" w:eastAsia="Arial" w:hAnsi="Arial" w:cs="Arial"/>
                <w:color w:val="000000"/>
              </w:rPr>
            </w:pPr>
          </w:p>
        </w:tc>
        <w:tc>
          <w:tcPr>
            <w:tcW w:w="4961" w:type="dxa"/>
          </w:tcPr>
          <w:p w14:paraId="50E38186"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 xml:space="preserve">Obrazec št. 1 – Prijavni obrazec </w:t>
            </w:r>
          </w:p>
          <w:p w14:paraId="42ECDE2D"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Obrazec št. 5 – Terminski in finančni načrt operacije</w:t>
            </w:r>
          </w:p>
        </w:tc>
      </w:tr>
      <w:tr w:rsidR="000755BA" w14:paraId="0996DEB3" w14:textId="77777777">
        <w:tc>
          <w:tcPr>
            <w:tcW w:w="718" w:type="dxa"/>
            <w:shd w:val="clear" w:color="auto" w:fill="F2F2F2"/>
          </w:tcPr>
          <w:p w14:paraId="67B98813" w14:textId="77777777" w:rsidR="000755BA" w:rsidRDefault="00EF1395">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9</w:t>
            </w:r>
          </w:p>
        </w:tc>
        <w:tc>
          <w:tcPr>
            <w:tcW w:w="4380" w:type="dxa"/>
          </w:tcPr>
          <w:p w14:paraId="53A61FB0" w14:textId="3A67B0A9" w:rsidR="000755BA" w:rsidRDefault="00EF1395">
            <w:pPr>
              <w:pBdr>
                <w:top w:val="nil"/>
                <w:left w:val="nil"/>
                <w:bottom w:val="nil"/>
                <w:right w:val="nil"/>
                <w:between w:val="nil"/>
              </w:pBdr>
              <w:spacing w:after="200" w:line="276" w:lineRule="auto"/>
              <w:jc w:val="both"/>
              <w:rPr>
                <w:rFonts w:ascii="Arial" w:eastAsia="Arial" w:hAnsi="Arial" w:cs="Arial"/>
                <w:color w:val="000000"/>
              </w:rPr>
            </w:pPr>
            <w:bookmarkStart w:id="36" w:name="_pggz63ik5cc2" w:colFirst="0" w:colLast="0"/>
            <w:bookmarkEnd w:id="36"/>
            <w:r>
              <w:rPr>
                <w:rFonts w:ascii="Arial" w:eastAsia="Arial" w:hAnsi="Arial" w:cs="Arial"/>
                <w:color w:val="000000"/>
              </w:rPr>
              <w:t xml:space="preserve">Prijavitelj se zavezuje, da minimalna načrtovana vrednost upravičenih stroškov operacije ne bo manjša od 30 % načrtovanih skupnih upravičenih stroškov, navedenih v </w:t>
            </w:r>
            <w:r w:rsidR="00E652C5">
              <w:rPr>
                <w:rFonts w:ascii="Arial" w:eastAsia="Arial" w:hAnsi="Arial" w:cs="Arial"/>
                <w:color w:val="000000"/>
              </w:rPr>
              <w:t xml:space="preserve">točki 8 točke 6.3 javnega razpisa in </w:t>
            </w:r>
            <w:r>
              <w:rPr>
                <w:rFonts w:ascii="Arial" w:eastAsia="Arial" w:hAnsi="Arial" w:cs="Arial"/>
                <w:color w:val="000000"/>
              </w:rPr>
              <w:t>1</w:t>
            </w:r>
            <w:r w:rsidR="00E652C5">
              <w:rPr>
                <w:rFonts w:ascii="Arial" w:eastAsia="Arial" w:hAnsi="Arial" w:cs="Arial"/>
                <w:color w:val="000000"/>
              </w:rPr>
              <w:t>1</w:t>
            </w:r>
            <w:r>
              <w:rPr>
                <w:rFonts w:ascii="Arial" w:eastAsia="Arial" w:hAnsi="Arial" w:cs="Arial"/>
                <w:color w:val="000000"/>
              </w:rPr>
              <w:t xml:space="preserve">. </w:t>
            </w:r>
            <w:r w:rsidR="00E652C5">
              <w:rPr>
                <w:rFonts w:ascii="Arial" w:eastAsia="Arial" w:hAnsi="Arial" w:cs="Arial"/>
                <w:color w:val="000000"/>
              </w:rPr>
              <w:t>t</w:t>
            </w:r>
            <w:r>
              <w:rPr>
                <w:rFonts w:ascii="Arial" w:eastAsia="Arial" w:hAnsi="Arial" w:cs="Arial"/>
                <w:color w:val="000000"/>
              </w:rPr>
              <w:t>očk</w:t>
            </w:r>
            <w:r w:rsidR="00E652C5">
              <w:rPr>
                <w:rFonts w:ascii="Arial" w:eastAsia="Arial" w:hAnsi="Arial" w:cs="Arial"/>
                <w:color w:val="000000"/>
              </w:rPr>
              <w:t xml:space="preserve">i </w:t>
            </w:r>
            <w:r>
              <w:rPr>
                <w:rFonts w:ascii="Arial" w:eastAsia="Arial" w:hAnsi="Arial" w:cs="Arial"/>
                <w:color w:val="000000"/>
              </w:rPr>
              <w:t>javnega razpisa.</w:t>
            </w:r>
          </w:p>
        </w:tc>
        <w:tc>
          <w:tcPr>
            <w:tcW w:w="4961" w:type="dxa"/>
          </w:tcPr>
          <w:p w14:paraId="271A7429" w14:textId="7777777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 xml:space="preserve">Obrazec št. 1 – Prijavni obrazec </w:t>
            </w:r>
          </w:p>
          <w:p w14:paraId="3CE71ED6" w14:textId="08B0A687" w:rsidR="000755BA" w:rsidRDefault="00EF1395">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Obrazec št. 5 – Terminski in finančni načrt operacije</w:t>
            </w:r>
          </w:p>
        </w:tc>
      </w:tr>
      <w:tr w:rsidR="00F2331B" w14:paraId="19875F26" w14:textId="77777777">
        <w:tc>
          <w:tcPr>
            <w:tcW w:w="718" w:type="dxa"/>
            <w:shd w:val="clear" w:color="auto" w:fill="F2F2F2"/>
          </w:tcPr>
          <w:p w14:paraId="29918B35" w14:textId="492CE445" w:rsidR="00F2331B" w:rsidRDefault="00F2331B">
            <w:pPr>
              <w:pBdr>
                <w:top w:val="nil"/>
                <w:left w:val="nil"/>
                <w:bottom w:val="nil"/>
                <w:right w:val="nil"/>
                <w:between w:val="nil"/>
              </w:pBdr>
              <w:spacing w:after="200" w:line="276" w:lineRule="auto"/>
              <w:ind w:left="426" w:hanging="426"/>
              <w:rPr>
                <w:rFonts w:ascii="Arial" w:eastAsia="Arial" w:hAnsi="Arial" w:cs="Arial"/>
                <w:color w:val="000000"/>
              </w:rPr>
            </w:pPr>
            <w:r>
              <w:rPr>
                <w:rFonts w:ascii="Arial" w:eastAsia="Arial" w:hAnsi="Arial" w:cs="Arial"/>
                <w:color w:val="000000"/>
              </w:rPr>
              <w:t>10</w:t>
            </w:r>
          </w:p>
        </w:tc>
        <w:tc>
          <w:tcPr>
            <w:tcW w:w="4380" w:type="dxa"/>
          </w:tcPr>
          <w:p w14:paraId="67295562" w14:textId="4DB96DCF" w:rsidR="00E6405D" w:rsidRPr="00E6405D" w:rsidRDefault="00E6405D" w:rsidP="00055D6B">
            <w:pPr>
              <w:overflowPunct w:val="0"/>
              <w:autoSpaceDE w:val="0"/>
              <w:autoSpaceDN w:val="0"/>
              <w:adjustRightInd w:val="0"/>
              <w:spacing w:line="276" w:lineRule="auto"/>
              <w:jc w:val="both"/>
              <w:textAlignment w:val="baseline"/>
              <w:rPr>
                <w:rFonts w:ascii="Arial" w:hAnsi="Arial" w:cs="Arial"/>
                <w:bCs/>
                <w:noProof/>
                <w:lang w:val="sl-SI"/>
              </w:rPr>
            </w:pPr>
            <w:r>
              <w:rPr>
                <w:rFonts w:ascii="Arial" w:hAnsi="Arial" w:cs="Arial"/>
                <w:bCs/>
                <w:noProof/>
                <w:lang w:val="sl-SI"/>
              </w:rPr>
              <w:t xml:space="preserve">Prijavitelj se zavezuje, da </w:t>
            </w:r>
            <w:r w:rsidR="00C249FC">
              <w:rPr>
                <w:rFonts w:ascii="Arial" w:hAnsi="Arial" w:cs="Arial"/>
                <w:bCs/>
                <w:noProof/>
                <w:lang w:val="sl-SI"/>
              </w:rPr>
              <w:t xml:space="preserve">bo </w:t>
            </w:r>
            <w:r>
              <w:rPr>
                <w:rFonts w:ascii="Arial" w:hAnsi="Arial" w:cs="Arial"/>
                <w:bCs/>
                <w:noProof/>
                <w:lang w:val="sl-SI"/>
              </w:rPr>
              <w:t>o</w:t>
            </w:r>
            <w:r w:rsidRPr="00E6405D">
              <w:rPr>
                <w:rFonts w:ascii="Arial" w:hAnsi="Arial" w:cs="Arial"/>
                <w:bCs/>
                <w:noProof/>
                <w:lang w:val="sl-SI"/>
              </w:rPr>
              <w:t>peracija skladna s horizontalnimi načeli iz 9. člena Uredbe (EU) 2021/1060, zlasti glede zagotavljanja enakosti spolov, preprečevanja diskriminacije, spoštovanja pravic in svoboščin iz Listine EU o temeljnih pravicah ter dostopnosti za invalide, kjer je to relevantno glede na naravo operacije.</w:t>
            </w:r>
          </w:p>
          <w:p w14:paraId="4F963B68" w14:textId="77777777" w:rsidR="00F2331B" w:rsidRDefault="00F2331B">
            <w:pPr>
              <w:pBdr>
                <w:top w:val="nil"/>
                <w:left w:val="nil"/>
                <w:bottom w:val="nil"/>
                <w:right w:val="nil"/>
                <w:between w:val="nil"/>
              </w:pBdr>
              <w:spacing w:after="200" w:line="276" w:lineRule="auto"/>
              <w:jc w:val="both"/>
              <w:rPr>
                <w:rFonts w:ascii="Arial" w:eastAsia="Arial" w:hAnsi="Arial" w:cs="Arial"/>
                <w:color w:val="000000"/>
              </w:rPr>
            </w:pPr>
          </w:p>
        </w:tc>
        <w:tc>
          <w:tcPr>
            <w:tcW w:w="4961" w:type="dxa"/>
          </w:tcPr>
          <w:p w14:paraId="163FAC38" w14:textId="77777777" w:rsidR="00F2331B" w:rsidRDefault="00F2331B">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 xml:space="preserve">Obrazec št. 2  –  Izjava prijavitelja o izpolnjevanju in sprejemanju razpisnih pogojev </w:t>
            </w:r>
          </w:p>
          <w:p w14:paraId="5171E5BD" w14:textId="24D1D1BA" w:rsidR="00E6405D" w:rsidRDefault="00E6405D">
            <w:pPr>
              <w:pBdr>
                <w:top w:val="nil"/>
                <w:left w:val="nil"/>
                <w:bottom w:val="nil"/>
                <w:right w:val="nil"/>
                <w:between w:val="nil"/>
              </w:pBdr>
              <w:spacing w:after="200" w:line="276" w:lineRule="auto"/>
              <w:rPr>
                <w:rFonts w:ascii="Arial" w:eastAsia="Arial" w:hAnsi="Arial" w:cs="Arial"/>
                <w:color w:val="000000"/>
              </w:rPr>
            </w:pPr>
            <w:r>
              <w:rPr>
                <w:rFonts w:ascii="Arial" w:eastAsia="Arial" w:hAnsi="Arial" w:cs="Arial"/>
                <w:color w:val="000000"/>
              </w:rPr>
              <w:t>Obrazec št. 4 – Predstavitev operacije</w:t>
            </w:r>
          </w:p>
        </w:tc>
      </w:tr>
    </w:tbl>
    <w:p w14:paraId="7BEA1C2A"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5F477EBA"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Ministrstvo bo za namen preverjanja izpolnjevanja pogojev poleg navedenih dokazil od prijavitelja lahko zahtevalo tudi dodatna pojasnila in/ali dokazila ter bo pogoje za kandidiranje preverjalo še na druge načine, v kolikor ti ne bodo nedvoumno preverljivi v javnih evidencah.</w:t>
      </w:r>
    </w:p>
    <w:p w14:paraId="54D58EFE"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64279EE" w14:textId="77777777" w:rsidR="004C770D" w:rsidRDefault="004C770D">
      <w:pPr>
        <w:pBdr>
          <w:top w:val="nil"/>
          <w:left w:val="nil"/>
          <w:bottom w:val="nil"/>
          <w:right w:val="nil"/>
          <w:between w:val="nil"/>
        </w:pBdr>
        <w:spacing w:line="276" w:lineRule="auto"/>
        <w:jc w:val="both"/>
        <w:rPr>
          <w:rFonts w:ascii="Arial" w:eastAsia="Arial" w:hAnsi="Arial" w:cs="Arial"/>
          <w:color w:val="000000"/>
        </w:rPr>
      </w:pPr>
      <w:bookmarkStart w:id="37" w:name="_3s4np2a7fqgr" w:colFirst="0" w:colLast="0"/>
      <w:bookmarkEnd w:id="37"/>
    </w:p>
    <w:p w14:paraId="46132493" w14:textId="760F2D12" w:rsidR="000755BA" w:rsidRDefault="004C770D" w:rsidP="004C770D">
      <w:pPr>
        <w:pStyle w:val="Naslov2"/>
        <w:ind w:firstLine="426"/>
      </w:pPr>
      <w:bookmarkStart w:id="38" w:name="_Toc239072458"/>
      <w:r>
        <w:t xml:space="preserve">6. </w:t>
      </w:r>
      <w:r w:rsidR="00EF1395">
        <w:t>Okvirna višina sredstev, ki so na razpolago</w:t>
      </w:r>
      <w:bookmarkEnd w:id="38"/>
    </w:p>
    <w:p w14:paraId="676EEAD3"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5338F2C" w14:textId="3A4D53BD" w:rsidR="000755BA" w:rsidRDefault="00B40163">
      <w:pPr>
        <w:pBdr>
          <w:top w:val="nil"/>
          <w:left w:val="nil"/>
          <w:bottom w:val="nil"/>
          <w:right w:val="nil"/>
          <w:between w:val="nil"/>
        </w:pBdr>
        <w:spacing w:line="276" w:lineRule="auto"/>
        <w:jc w:val="both"/>
        <w:rPr>
          <w:rFonts w:ascii="Arial" w:eastAsia="Arial" w:hAnsi="Arial" w:cs="Arial"/>
          <w:color w:val="000000"/>
        </w:rPr>
      </w:pPr>
      <w:r w:rsidRPr="00B40163">
        <w:rPr>
          <w:rFonts w:ascii="Arial" w:eastAsia="Arial" w:hAnsi="Arial" w:cs="Arial"/>
          <w:color w:val="000000"/>
        </w:rPr>
        <w:lastRenderedPageBreak/>
        <w:t xml:space="preserve">Okvirna višina sredstev javnega razpisa znaša </w:t>
      </w:r>
      <w:r w:rsidRPr="00055D6B">
        <w:rPr>
          <w:rFonts w:ascii="Arial" w:eastAsia="Arial" w:hAnsi="Arial" w:cs="Arial"/>
          <w:b/>
          <w:bCs/>
          <w:color w:val="000000"/>
        </w:rPr>
        <w:t>15.060.000 EUR</w:t>
      </w:r>
      <w:r w:rsidRPr="00B40163">
        <w:rPr>
          <w:rFonts w:ascii="Arial" w:eastAsia="Arial" w:hAnsi="Arial" w:cs="Arial"/>
          <w:color w:val="000000"/>
        </w:rPr>
        <w:t xml:space="preserve">. Sredstva se razdelijo po </w:t>
      </w:r>
      <w:r w:rsidR="00671709">
        <w:rPr>
          <w:rFonts w:ascii="Arial" w:eastAsia="Arial" w:hAnsi="Arial" w:cs="Arial"/>
          <w:color w:val="000000"/>
        </w:rPr>
        <w:t>kohezijskih regijah</w:t>
      </w:r>
      <w:r w:rsidRPr="00B40163">
        <w:rPr>
          <w:rFonts w:ascii="Arial" w:eastAsia="Arial" w:hAnsi="Arial" w:cs="Arial"/>
          <w:color w:val="000000"/>
        </w:rPr>
        <w:t xml:space="preserve">, in sicer je za </w:t>
      </w:r>
      <w:r w:rsidR="00671709">
        <w:rPr>
          <w:rFonts w:ascii="Arial" w:eastAsia="Arial" w:hAnsi="Arial" w:cs="Arial"/>
          <w:color w:val="000000"/>
        </w:rPr>
        <w:t>kohezijsko regijo</w:t>
      </w:r>
      <w:r w:rsidRPr="00B40163">
        <w:rPr>
          <w:rFonts w:ascii="Arial" w:eastAsia="Arial" w:hAnsi="Arial" w:cs="Arial"/>
          <w:color w:val="000000"/>
        </w:rPr>
        <w:t xml:space="preserve"> Vzhodna Slovenija namenjenih 7.860.000 EUR, za </w:t>
      </w:r>
      <w:r w:rsidR="00671709">
        <w:rPr>
          <w:rFonts w:ascii="Arial" w:eastAsia="Arial" w:hAnsi="Arial" w:cs="Arial"/>
          <w:color w:val="000000"/>
        </w:rPr>
        <w:t>kohezijsko regijo</w:t>
      </w:r>
      <w:r w:rsidRPr="00B40163">
        <w:rPr>
          <w:rFonts w:ascii="Arial" w:eastAsia="Arial" w:hAnsi="Arial" w:cs="Arial"/>
          <w:color w:val="000000"/>
        </w:rPr>
        <w:t xml:space="preserve"> Zahodna Slovenija pa 7.200.000 EUR</w:t>
      </w:r>
      <w:r w:rsidR="00EF1395">
        <w:rPr>
          <w:rFonts w:ascii="Arial" w:eastAsia="Arial" w:hAnsi="Arial" w:cs="Arial"/>
          <w:b/>
          <w:bCs/>
          <w:color w:val="000000"/>
        </w:rPr>
        <w:t xml:space="preserve">, </w:t>
      </w:r>
      <w:r w:rsidR="00EF1395">
        <w:rPr>
          <w:rFonts w:ascii="Arial" w:eastAsia="Arial" w:hAnsi="Arial" w:cs="Arial"/>
          <w:color w:val="000000"/>
        </w:rPr>
        <w:t xml:space="preserve">od tega </w:t>
      </w:r>
    </w:p>
    <w:p w14:paraId="460861C0" w14:textId="77777777" w:rsidR="000755BA" w:rsidRDefault="00EF1395">
      <w:pPr>
        <w:numPr>
          <w:ilvl w:val="0"/>
          <w:numId w:val="36"/>
        </w:numPr>
        <w:pBdr>
          <w:top w:val="nil"/>
          <w:left w:val="nil"/>
          <w:bottom w:val="nil"/>
          <w:right w:val="nil"/>
          <w:between w:val="nil"/>
        </w:pBdr>
        <w:spacing w:line="276" w:lineRule="auto"/>
        <w:ind w:left="709"/>
        <w:jc w:val="both"/>
        <w:rPr>
          <w:color w:val="000000"/>
        </w:rPr>
      </w:pPr>
      <w:r>
        <w:rPr>
          <w:rFonts w:ascii="Arial" w:eastAsia="Arial" w:hAnsi="Arial" w:cs="Arial"/>
          <w:color w:val="000000"/>
        </w:rPr>
        <w:t>za</w:t>
      </w:r>
      <w:r>
        <w:rPr>
          <w:rFonts w:ascii="Arial" w:eastAsia="Arial" w:hAnsi="Arial" w:cs="Arial"/>
          <w:b/>
          <w:bCs/>
          <w:color w:val="000000"/>
        </w:rPr>
        <w:t xml:space="preserve"> sklop 1: 14.260.000 EUR </w:t>
      </w:r>
      <w:r>
        <w:rPr>
          <w:rFonts w:ascii="Arial" w:eastAsia="Arial" w:hAnsi="Arial" w:cs="Arial"/>
          <w:color w:val="000000"/>
        </w:rPr>
        <w:t xml:space="preserve">in </w:t>
      </w:r>
    </w:p>
    <w:p w14:paraId="4A9AE9A0" w14:textId="77777777" w:rsidR="000755BA" w:rsidRDefault="00EF1395">
      <w:pPr>
        <w:numPr>
          <w:ilvl w:val="0"/>
          <w:numId w:val="36"/>
        </w:numPr>
        <w:pBdr>
          <w:top w:val="nil"/>
          <w:left w:val="nil"/>
          <w:bottom w:val="nil"/>
          <w:right w:val="nil"/>
          <w:between w:val="nil"/>
        </w:pBdr>
        <w:spacing w:line="276" w:lineRule="auto"/>
        <w:ind w:left="709"/>
        <w:jc w:val="both"/>
        <w:rPr>
          <w:color w:val="000000"/>
        </w:rPr>
      </w:pPr>
      <w:r>
        <w:rPr>
          <w:rFonts w:ascii="Arial" w:eastAsia="Arial" w:hAnsi="Arial" w:cs="Arial"/>
          <w:color w:val="000000"/>
        </w:rPr>
        <w:t>za</w:t>
      </w:r>
      <w:r>
        <w:rPr>
          <w:rFonts w:ascii="Arial" w:eastAsia="Arial" w:hAnsi="Arial" w:cs="Arial"/>
          <w:b/>
          <w:bCs/>
          <w:color w:val="000000"/>
        </w:rPr>
        <w:t xml:space="preserve"> sklop 2:      800.000 EUR</w:t>
      </w:r>
      <w:r>
        <w:rPr>
          <w:rFonts w:ascii="Arial" w:eastAsia="Arial" w:hAnsi="Arial" w:cs="Arial"/>
          <w:color w:val="000000"/>
        </w:rPr>
        <w:t xml:space="preserve">. </w:t>
      </w:r>
    </w:p>
    <w:p w14:paraId="34018807"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2082D6F" w14:textId="77777777" w:rsidR="002A65F3" w:rsidRDefault="002A65F3" w:rsidP="002A65F3">
      <w:pPr>
        <w:pStyle w:val="Odstavekseznama"/>
        <w:spacing w:after="0"/>
        <w:ind w:left="0"/>
        <w:contextualSpacing/>
        <w:jc w:val="both"/>
        <w:rPr>
          <w:rFonts w:ascii="Arial" w:hAnsi="Arial" w:cs="Arial"/>
          <w:sz w:val="20"/>
          <w:szCs w:val="20"/>
        </w:rPr>
      </w:pP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1276"/>
        <w:gridCol w:w="2835"/>
      </w:tblGrid>
      <w:tr w:rsidR="002A65F3" w:rsidRPr="002A4590" w14:paraId="0A1900B0" w14:textId="77777777" w:rsidTr="00E8177B">
        <w:tc>
          <w:tcPr>
            <w:tcW w:w="3794" w:type="dxa"/>
            <w:tcBorders>
              <w:top w:val="single" w:sz="4" w:space="0" w:color="000000"/>
              <w:left w:val="single" w:sz="4" w:space="0" w:color="000000"/>
              <w:bottom w:val="single" w:sz="4" w:space="0" w:color="000000"/>
              <w:right w:val="single" w:sz="4" w:space="0" w:color="000000"/>
            </w:tcBorders>
            <w:vAlign w:val="center"/>
            <w:hideMark/>
          </w:tcPr>
          <w:p w14:paraId="2EC3BBC4" w14:textId="77777777" w:rsidR="002A65F3" w:rsidRPr="002A4590" w:rsidRDefault="002A65F3" w:rsidP="00E8177B">
            <w:pPr>
              <w:rPr>
                <w:rFonts w:ascii="Arial" w:hAnsi="Arial" w:cs="Arial"/>
                <w:b/>
                <w:sz w:val="18"/>
                <w:szCs w:val="18"/>
              </w:rPr>
            </w:pPr>
            <w:r w:rsidRPr="002A4590">
              <w:rPr>
                <w:rFonts w:ascii="Arial" w:hAnsi="Arial" w:cs="Arial"/>
                <w:b/>
                <w:sz w:val="18"/>
                <w:szCs w:val="18"/>
              </w:rPr>
              <w:t>Proračunska postavka</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60709C6" w14:textId="77777777" w:rsidR="002A65F3" w:rsidRPr="002A4590" w:rsidRDefault="002A65F3" w:rsidP="00E8177B">
            <w:pPr>
              <w:rPr>
                <w:rFonts w:ascii="Arial" w:hAnsi="Arial" w:cs="Arial"/>
                <w:b/>
                <w:sz w:val="18"/>
                <w:szCs w:val="18"/>
              </w:rPr>
            </w:pPr>
            <w:r w:rsidRPr="002A4590">
              <w:rPr>
                <w:rFonts w:ascii="Arial" w:hAnsi="Arial" w:cs="Arial"/>
                <w:b/>
                <w:sz w:val="18"/>
                <w:szCs w:val="18"/>
              </w:rPr>
              <w:t>Programsko območje</w:t>
            </w:r>
          </w:p>
        </w:tc>
        <w:tc>
          <w:tcPr>
            <w:tcW w:w="2835" w:type="dxa"/>
            <w:tcBorders>
              <w:top w:val="single" w:sz="4" w:space="0" w:color="000000"/>
              <w:left w:val="single" w:sz="4" w:space="0" w:color="000000"/>
              <w:bottom w:val="single" w:sz="4" w:space="0" w:color="000000"/>
              <w:right w:val="single" w:sz="4" w:space="0" w:color="000000"/>
            </w:tcBorders>
            <w:vAlign w:val="center"/>
          </w:tcPr>
          <w:p w14:paraId="770EB3EA" w14:textId="77777777" w:rsidR="002A65F3" w:rsidRPr="002A4590" w:rsidRDefault="002A65F3" w:rsidP="00E8177B">
            <w:pPr>
              <w:rPr>
                <w:rFonts w:ascii="Arial" w:hAnsi="Arial" w:cs="Arial"/>
                <w:b/>
                <w:sz w:val="18"/>
                <w:szCs w:val="18"/>
              </w:rPr>
            </w:pPr>
            <w:r w:rsidRPr="002A4590">
              <w:rPr>
                <w:rFonts w:ascii="Arial" w:hAnsi="Arial" w:cs="Arial"/>
                <w:b/>
                <w:sz w:val="18"/>
                <w:szCs w:val="18"/>
              </w:rPr>
              <w:t>SKUPAJ</w:t>
            </w:r>
          </w:p>
        </w:tc>
      </w:tr>
      <w:tr w:rsidR="002A65F3" w:rsidRPr="002A4590" w14:paraId="0B52F320" w14:textId="77777777" w:rsidTr="00E8177B">
        <w:tc>
          <w:tcPr>
            <w:tcW w:w="3794" w:type="dxa"/>
            <w:tcBorders>
              <w:top w:val="single" w:sz="4" w:space="0" w:color="000000"/>
              <w:left w:val="single" w:sz="4" w:space="0" w:color="000000"/>
              <w:bottom w:val="single" w:sz="4" w:space="0" w:color="000000"/>
              <w:right w:val="single" w:sz="4" w:space="0" w:color="000000"/>
            </w:tcBorders>
            <w:vAlign w:val="center"/>
            <w:hideMark/>
          </w:tcPr>
          <w:p w14:paraId="7C3C09F8" w14:textId="77777777" w:rsidR="002A65F3" w:rsidRPr="002A4590" w:rsidRDefault="002A65F3" w:rsidP="00E8177B">
            <w:pPr>
              <w:rPr>
                <w:rFonts w:ascii="Arial" w:hAnsi="Arial" w:cs="Arial"/>
                <w:sz w:val="18"/>
                <w:szCs w:val="18"/>
                <w:highlight w:val="green"/>
              </w:rPr>
            </w:pPr>
            <w:r w:rsidRPr="002A4590">
              <w:rPr>
                <w:rFonts w:ascii="Arial" w:hAnsi="Arial" w:cs="Arial"/>
                <w:sz w:val="18"/>
                <w:szCs w:val="18"/>
              </w:rPr>
              <w:t>251286 - RSO1.3.</w:t>
            </w:r>
            <w:r>
              <w:rPr>
                <w:rFonts w:ascii="Arial" w:hAnsi="Arial" w:cs="Arial"/>
                <w:sz w:val="18"/>
                <w:szCs w:val="18"/>
              </w:rPr>
              <w:t xml:space="preserve"> </w:t>
            </w:r>
            <w:r w:rsidRPr="002A4590">
              <w:rPr>
                <w:rFonts w:ascii="Arial" w:hAnsi="Arial" w:cs="Arial"/>
                <w:sz w:val="18"/>
                <w:szCs w:val="18"/>
              </w:rPr>
              <w:t>- Krepitev trajnostne rasti in konkurenčnosti MSP ter ustvarjanje delovnih mest v MSP ESRR 21-27-V-EU</w:t>
            </w:r>
          </w:p>
        </w:tc>
        <w:tc>
          <w:tcPr>
            <w:tcW w:w="1276" w:type="dxa"/>
            <w:tcBorders>
              <w:top w:val="single" w:sz="4" w:space="0" w:color="000000"/>
              <w:left w:val="single" w:sz="4" w:space="0" w:color="000000"/>
              <w:bottom w:val="single" w:sz="4" w:space="0" w:color="000000"/>
              <w:right w:val="single" w:sz="4" w:space="0" w:color="000000"/>
            </w:tcBorders>
            <w:vAlign w:val="center"/>
          </w:tcPr>
          <w:p w14:paraId="26576B7A" w14:textId="77777777" w:rsidR="002A65F3" w:rsidRPr="002A4590" w:rsidRDefault="002A65F3" w:rsidP="00E8177B">
            <w:pPr>
              <w:rPr>
                <w:rFonts w:ascii="Arial" w:hAnsi="Arial" w:cs="Arial"/>
                <w:sz w:val="18"/>
                <w:szCs w:val="18"/>
              </w:rPr>
            </w:pPr>
            <w:r w:rsidRPr="002A4590">
              <w:rPr>
                <w:rFonts w:ascii="Arial" w:hAnsi="Arial" w:cs="Arial"/>
                <w:sz w:val="18"/>
                <w:szCs w:val="18"/>
              </w:rPr>
              <w:t xml:space="preserve">Vzhod </w:t>
            </w:r>
          </w:p>
        </w:tc>
        <w:tc>
          <w:tcPr>
            <w:tcW w:w="2835" w:type="dxa"/>
            <w:tcBorders>
              <w:top w:val="single" w:sz="4" w:space="0" w:color="000000"/>
              <w:left w:val="single" w:sz="4" w:space="0" w:color="000000"/>
              <w:bottom w:val="single" w:sz="4" w:space="0" w:color="000000"/>
              <w:right w:val="single" w:sz="4" w:space="0" w:color="000000"/>
            </w:tcBorders>
          </w:tcPr>
          <w:p w14:paraId="02C2EEE2" w14:textId="77777777" w:rsidR="002A65F3" w:rsidRPr="002A4590" w:rsidRDefault="002A65F3" w:rsidP="00E8177B">
            <w:pPr>
              <w:jc w:val="right"/>
              <w:rPr>
                <w:rFonts w:ascii="Arial" w:hAnsi="Arial" w:cs="Arial"/>
                <w:sz w:val="18"/>
                <w:szCs w:val="18"/>
                <w:highlight w:val="yellow"/>
              </w:rPr>
            </w:pPr>
            <w:r w:rsidRPr="002A4590">
              <w:rPr>
                <w:rFonts w:ascii="Arial" w:hAnsi="Arial" w:cs="Arial"/>
                <w:sz w:val="18"/>
                <w:szCs w:val="18"/>
              </w:rPr>
              <w:t>6.681.000</w:t>
            </w:r>
          </w:p>
        </w:tc>
      </w:tr>
      <w:tr w:rsidR="002A65F3" w:rsidRPr="002A4590" w14:paraId="02CC8E13" w14:textId="77777777" w:rsidTr="00E8177B">
        <w:trPr>
          <w:trHeight w:val="552"/>
        </w:trPr>
        <w:tc>
          <w:tcPr>
            <w:tcW w:w="3794" w:type="dxa"/>
            <w:tcBorders>
              <w:top w:val="single" w:sz="4" w:space="0" w:color="000000"/>
              <w:left w:val="single" w:sz="4" w:space="0" w:color="000000"/>
              <w:bottom w:val="single" w:sz="4" w:space="0" w:color="000000"/>
              <w:right w:val="single" w:sz="4" w:space="0" w:color="000000"/>
            </w:tcBorders>
            <w:vAlign w:val="center"/>
            <w:hideMark/>
          </w:tcPr>
          <w:p w14:paraId="0845CDC0" w14:textId="77777777" w:rsidR="002A65F3" w:rsidRPr="002A4590" w:rsidRDefault="002A65F3" w:rsidP="00E8177B">
            <w:pPr>
              <w:rPr>
                <w:rFonts w:ascii="Arial" w:hAnsi="Arial" w:cs="Arial"/>
                <w:sz w:val="18"/>
                <w:szCs w:val="18"/>
                <w:highlight w:val="green"/>
              </w:rPr>
            </w:pPr>
            <w:r w:rsidRPr="002A4590">
              <w:rPr>
                <w:rFonts w:ascii="Arial" w:hAnsi="Arial" w:cs="Arial"/>
                <w:sz w:val="18"/>
                <w:szCs w:val="18"/>
              </w:rPr>
              <w:t>251287 - RSO1.3.</w:t>
            </w:r>
            <w:r>
              <w:rPr>
                <w:rFonts w:ascii="Arial" w:hAnsi="Arial" w:cs="Arial"/>
                <w:sz w:val="18"/>
                <w:szCs w:val="18"/>
              </w:rPr>
              <w:t xml:space="preserve"> </w:t>
            </w:r>
            <w:r w:rsidRPr="002A4590">
              <w:rPr>
                <w:rFonts w:ascii="Arial" w:hAnsi="Arial" w:cs="Arial"/>
                <w:sz w:val="18"/>
                <w:szCs w:val="18"/>
              </w:rPr>
              <w:t>- Krepitev trajnostne rasti in konkurenčnosti MSP ter ustvarjanje delovnih mest v MSP ESRR 21-27-V-SLO</w:t>
            </w:r>
          </w:p>
        </w:tc>
        <w:tc>
          <w:tcPr>
            <w:tcW w:w="1276" w:type="dxa"/>
            <w:tcBorders>
              <w:top w:val="single" w:sz="4" w:space="0" w:color="000000"/>
              <w:left w:val="single" w:sz="4" w:space="0" w:color="000000"/>
              <w:bottom w:val="single" w:sz="4" w:space="0" w:color="000000"/>
              <w:right w:val="single" w:sz="4" w:space="0" w:color="000000"/>
            </w:tcBorders>
            <w:vAlign w:val="center"/>
          </w:tcPr>
          <w:p w14:paraId="78F2EEEB" w14:textId="77777777" w:rsidR="002A65F3" w:rsidRPr="002A4590" w:rsidRDefault="002A65F3" w:rsidP="00E8177B">
            <w:pPr>
              <w:rPr>
                <w:rFonts w:ascii="Arial" w:hAnsi="Arial" w:cs="Arial"/>
                <w:sz w:val="18"/>
                <w:szCs w:val="18"/>
              </w:rPr>
            </w:pPr>
            <w:r w:rsidRPr="002A4590">
              <w:rPr>
                <w:rFonts w:ascii="Arial" w:hAnsi="Arial" w:cs="Arial"/>
                <w:sz w:val="18"/>
                <w:szCs w:val="18"/>
              </w:rPr>
              <w:t>Vzhod</w:t>
            </w:r>
          </w:p>
        </w:tc>
        <w:tc>
          <w:tcPr>
            <w:tcW w:w="2835" w:type="dxa"/>
            <w:tcBorders>
              <w:top w:val="single" w:sz="4" w:space="0" w:color="000000"/>
              <w:left w:val="single" w:sz="4" w:space="0" w:color="000000"/>
              <w:bottom w:val="single" w:sz="4" w:space="0" w:color="000000"/>
              <w:right w:val="single" w:sz="4" w:space="0" w:color="000000"/>
            </w:tcBorders>
          </w:tcPr>
          <w:p w14:paraId="1AC49674" w14:textId="77777777" w:rsidR="002A65F3" w:rsidRPr="002A4590" w:rsidRDefault="002A65F3" w:rsidP="00E8177B">
            <w:pPr>
              <w:jc w:val="right"/>
              <w:rPr>
                <w:rFonts w:ascii="Arial" w:hAnsi="Arial" w:cs="Arial"/>
                <w:sz w:val="18"/>
                <w:szCs w:val="18"/>
                <w:highlight w:val="yellow"/>
              </w:rPr>
            </w:pPr>
            <w:r w:rsidRPr="002A4590">
              <w:rPr>
                <w:rFonts w:ascii="Arial" w:hAnsi="Arial" w:cs="Arial"/>
                <w:sz w:val="18"/>
                <w:szCs w:val="18"/>
              </w:rPr>
              <w:t>1.179.000</w:t>
            </w:r>
          </w:p>
        </w:tc>
      </w:tr>
      <w:tr w:rsidR="002A65F3" w:rsidRPr="002A4590" w14:paraId="64719BAE" w14:textId="77777777" w:rsidTr="00E8177B">
        <w:tc>
          <w:tcPr>
            <w:tcW w:w="3794" w:type="dxa"/>
            <w:tcBorders>
              <w:top w:val="single" w:sz="4" w:space="0" w:color="000000"/>
              <w:left w:val="single" w:sz="4" w:space="0" w:color="000000"/>
              <w:bottom w:val="single" w:sz="4" w:space="0" w:color="000000"/>
              <w:right w:val="nil"/>
            </w:tcBorders>
            <w:vAlign w:val="center"/>
            <w:hideMark/>
          </w:tcPr>
          <w:p w14:paraId="7C732FA3" w14:textId="77777777" w:rsidR="002A65F3" w:rsidRPr="002A4590" w:rsidRDefault="002A65F3" w:rsidP="00E8177B">
            <w:pPr>
              <w:rPr>
                <w:rFonts w:ascii="Arial" w:hAnsi="Arial" w:cs="Arial"/>
                <w:sz w:val="18"/>
                <w:szCs w:val="18"/>
              </w:rPr>
            </w:pPr>
            <w:r w:rsidRPr="002A4590">
              <w:rPr>
                <w:rFonts w:ascii="Arial" w:hAnsi="Arial" w:cs="Arial"/>
                <w:b/>
                <w:sz w:val="18"/>
                <w:szCs w:val="18"/>
              </w:rPr>
              <w:t>Skupaj</w:t>
            </w:r>
          </w:p>
        </w:tc>
        <w:tc>
          <w:tcPr>
            <w:tcW w:w="1276" w:type="dxa"/>
            <w:tcBorders>
              <w:top w:val="single" w:sz="4" w:space="0" w:color="000000"/>
              <w:left w:val="nil"/>
              <w:bottom w:val="single" w:sz="4" w:space="0" w:color="000000"/>
              <w:right w:val="single" w:sz="4" w:space="0" w:color="000000"/>
            </w:tcBorders>
            <w:vAlign w:val="center"/>
          </w:tcPr>
          <w:p w14:paraId="69F77E05" w14:textId="77777777" w:rsidR="002A65F3" w:rsidRPr="002A4590" w:rsidRDefault="002A65F3" w:rsidP="00E8177B">
            <w:pPr>
              <w:rPr>
                <w:rFonts w:ascii="Arial" w:hAnsi="Arial" w:cs="Arial"/>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56AA75AF" w14:textId="77777777" w:rsidR="002A65F3" w:rsidRPr="002A4590" w:rsidRDefault="002A65F3" w:rsidP="00E8177B">
            <w:pPr>
              <w:jc w:val="right"/>
              <w:rPr>
                <w:rFonts w:ascii="Arial" w:hAnsi="Arial" w:cs="Arial"/>
                <w:b/>
                <w:bCs/>
                <w:sz w:val="18"/>
                <w:szCs w:val="18"/>
                <w:highlight w:val="yellow"/>
              </w:rPr>
            </w:pPr>
            <w:r w:rsidRPr="002A4590">
              <w:rPr>
                <w:rFonts w:ascii="Arial" w:hAnsi="Arial" w:cs="Arial"/>
                <w:b/>
                <w:bCs/>
                <w:sz w:val="18"/>
                <w:szCs w:val="18"/>
              </w:rPr>
              <w:t>7.860.000</w:t>
            </w:r>
          </w:p>
        </w:tc>
      </w:tr>
    </w:tbl>
    <w:p w14:paraId="756E4BA2" w14:textId="77777777" w:rsidR="002A65F3" w:rsidRDefault="002A65F3" w:rsidP="002A65F3">
      <w:pPr>
        <w:pStyle w:val="Odstavekseznama"/>
        <w:spacing w:after="0"/>
        <w:ind w:left="0"/>
        <w:contextualSpacing/>
        <w:jc w:val="both"/>
        <w:rPr>
          <w:rFonts w:ascii="Arial" w:hAnsi="Arial" w:cs="Arial"/>
          <w:b/>
          <w:i/>
          <w:sz w:val="20"/>
          <w:szCs w:val="20"/>
        </w:rPr>
      </w:pP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1276"/>
        <w:gridCol w:w="2835"/>
      </w:tblGrid>
      <w:tr w:rsidR="002A65F3" w:rsidRPr="002A4590" w14:paraId="58D860D8" w14:textId="77777777" w:rsidTr="00E8177B">
        <w:tc>
          <w:tcPr>
            <w:tcW w:w="3794" w:type="dxa"/>
            <w:tcBorders>
              <w:top w:val="single" w:sz="4" w:space="0" w:color="000000"/>
              <w:left w:val="single" w:sz="4" w:space="0" w:color="000000"/>
              <w:bottom w:val="single" w:sz="4" w:space="0" w:color="000000"/>
              <w:right w:val="single" w:sz="4" w:space="0" w:color="000000"/>
            </w:tcBorders>
            <w:vAlign w:val="center"/>
            <w:hideMark/>
          </w:tcPr>
          <w:p w14:paraId="2358757F" w14:textId="77777777" w:rsidR="002A65F3" w:rsidRPr="002A4590" w:rsidRDefault="002A65F3" w:rsidP="00E8177B">
            <w:pPr>
              <w:rPr>
                <w:rFonts w:ascii="Arial" w:hAnsi="Arial" w:cs="Arial"/>
                <w:b/>
                <w:sz w:val="18"/>
                <w:szCs w:val="18"/>
                <w:highlight w:val="green"/>
              </w:rPr>
            </w:pPr>
            <w:r w:rsidRPr="002A4590">
              <w:rPr>
                <w:rFonts w:ascii="Arial" w:hAnsi="Arial" w:cs="Arial"/>
                <w:b/>
                <w:sz w:val="18"/>
                <w:szCs w:val="18"/>
              </w:rPr>
              <w:t>Proračunska postavka</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3A0557E" w14:textId="77777777" w:rsidR="002A65F3" w:rsidRPr="002A4590" w:rsidRDefault="002A65F3" w:rsidP="00E8177B">
            <w:pPr>
              <w:rPr>
                <w:rFonts w:ascii="Arial" w:hAnsi="Arial" w:cs="Arial"/>
                <w:b/>
                <w:sz w:val="18"/>
                <w:szCs w:val="18"/>
              </w:rPr>
            </w:pPr>
            <w:r w:rsidRPr="002A4590">
              <w:rPr>
                <w:rFonts w:ascii="Arial" w:hAnsi="Arial" w:cs="Arial"/>
                <w:b/>
                <w:sz w:val="18"/>
                <w:szCs w:val="18"/>
              </w:rPr>
              <w:t>Programsko območje</w:t>
            </w:r>
          </w:p>
        </w:tc>
        <w:tc>
          <w:tcPr>
            <w:tcW w:w="2835" w:type="dxa"/>
            <w:tcBorders>
              <w:top w:val="single" w:sz="4" w:space="0" w:color="000000"/>
              <w:left w:val="single" w:sz="4" w:space="0" w:color="000000"/>
              <w:bottom w:val="single" w:sz="4" w:space="0" w:color="000000"/>
              <w:right w:val="single" w:sz="4" w:space="0" w:color="000000"/>
            </w:tcBorders>
            <w:vAlign w:val="center"/>
          </w:tcPr>
          <w:p w14:paraId="08FC79C6" w14:textId="77777777" w:rsidR="002A65F3" w:rsidRPr="002A4590" w:rsidRDefault="002A65F3" w:rsidP="00E8177B">
            <w:pPr>
              <w:rPr>
                <w:rFonts w:ascii="Arial" w:hAnsi="Arial" w:cs="Arial"/>
                <w:b/>
                <w:sz w:val="18"/>
                <w:szCs w:val="18"/>
              </w:rPr>
            </w:pPr>
            <w:r w:rsidRPr="002A4590">
              <w:rPr>
                <w:rFonts w:ascii="Arial" w:hAnsi="Arial" w:cs="Arial"/>
                <w:b/>
                <w:sz w:val="18"/>
                <w:szCs w:val="18"/>
              </w:rPr>
              <w:t>SKUPAJ</w:t>
            </w:r>
          </w:p>
        </w:tc>
      </w:tr>
      <w:tr w:rsidR="002A65F3" w:rsidRPr="002A4590" w14:paraId="0032C480" w14:textId="77777777" w:rsidTr="00E8177B">
        <w:tc>
          <w:tcPr>
            <w:tcW w:w="3794" w:type="dxa"/>
            <w:tcBorders>
              <w:top w:val="single" w:sz="4" w:space="0" w:color="000000"/>
              <w:left w:val="single" w:sz="4" w:space="0" w:color="000000"/>
              <w:bottom w:val="single" w:sz="4" w:space="0" w:color="000000"/>
              <w:right w:val="single" w:sz="4" w:space="0" w:color="000000"/>
            </w:tcBorders>
            <w:vAlign w:val="center"/>
            <w:hideMark/>
          </w:tcPr>
          <w:p w14:paraId="000815FD" w14:textId="77777777" w:rsidR="002A65F3" w:rsidRPr="002A4590" w:rsidRDefault="002A65F3" w:rsidP="00E8177B">
            <w:pPr>
              <w:rPr>
                <w:rFonts w:ascii="Arial" w:hAnsi="Arial" w:cs="Arial"/>
                <w:sz w:val="18"/>
                <w:szCs w:val="18"/>
                <w:highlight w:val="green"/>
              </w:rPr>
            </w:pPr>
            <w:r w:rsidRPr="002A4590">
              <w:rPr>
                <w:rFonts w:ascii="Arial" w:hAnsi="Arial" w:cs="Arial"/>
                <w:sz w:val="18"/>
                <w:szCs w:val="18"/>
              </w:rPr>
              <w:t>251288 - RSO1.3.</w:t>
            </w:r>
            <w:r>
              <w:rPr>
                <w:rFonts w:ascii="Arial" w:hAnsi="Arial" w:cs="Arial"/>
                <w:sz w:val="18"/>
                <w:szCs w:val="18"/>
              </w:rPr>
              <w:t xml:space="preserve"> </w:t>
            </w:r>
            <w:r w:rsidRPr="002A4590">
              <w:rPr>
                <w:rFonts w:ascii="Arial" w:hAnsi="Arial" w:cs="Arial"/>
                <w:sz w:val="18"/>
                <w:szCs w:val="18"/>
              </w:rPr>
              <w:t>- Krepitev trajnostne rasti in konkurenčnosti MSP ter ustvarjanje delovnih mest v MSP ESRR 21-27-Z-EU</w:t>
            </w:r>
          </w:p>
        </w:tc>
        <w:tc>
          <w:tcPr>
            <w:tcW w:w="1276" w:type="dxa"/>
            <w:tcBorders>
              <w:top w:val="single" w:sz="4" w:space="0" w:color="000000"/>
              <w:left w:val="single" w:sz="4" w:space="0" w:color="000000"/>
              <w:bottom w:val="single" w:sz="4" w:space="0" w:color="000000"/>
              <w:right w:val="single" w:sz="4" w:space="0" w:color="000000"/>
            </w:tcBorders>
            <w:vAlign w:val="center"/>
          </w:tcPr>
          <w:p w14:paraId="51404461" w14:textId="77777777" w:rsidR="002A65F3" w:rsidRPr="002A4590" w:rsidRDefault="002A65F3" w:rsidP="00E8177B">
            <w:pPr>
              <w:rPr>
                <w:rFonts w:ascii="Arial" w:hAnsi="Arial" w:cs="Arial"/>
                <w:sz w:val="18"/>
                <w:szCs w:val="18"/>
              </w:rPr>
            </w:pPr>
            <w:r w:rsidRPr="002A4590">
              <w:rPr>
                <w:rFonts w:ascii="Arial" w:hAnsi="Arial" w:cs="Arial"/>
                <w:sz w:val="18"/>
                <w:szCs w:val="18"/>
              </w:rPr>
              <w:t>Zahod</w:t>
            </w:r>
          </w:p>
        </w:tc>
        <w:tc>
          <w:tcPr>
            <w:tcW w:w="2835" w:type="dxa"/>
            <w:tcBorders>
              <w:top w:val="single" w:sz="4" w:space="0" w:color="000000"/>
              <w:left w:val="single" w:sz="4" w:space="0" w:color="000000"/>
              <w:bottom w:val="single" w:sz="4" w:space="0" w:color="000000"/>
              <w:right w:val="single" w:sz="4" w:space="0" w:color="000000"/>
            </w:tcBorders>
          </w:tcPr>
          <w:p w14:paraId="298C234B" w14:textId="77777777" w:rsidR="002A65F3" w:rsidRPr="002A4590" w:rsidRDefault="002A65F3" w:rsidP="00E8177B">
            <w:pPr>
              <w:jc w:val="right"/>
              <w:rPr>
                <w:rFonts w:ascii="Arial" w:hAnsi="Arial" w:cs="Arial"/>
                <w:sz w:val="18"/>
                <w:szCs w:val="18"/>
                <w:highlight w:val="yellow"/>
              </w:rPr>
            </w:pPr>
            <w:r w:rsidRPr="002A4590">
              <w:rPr>
                <w:rFonts w:ascii="Arial" w:hAnsi="Arial" w:cs="Arial"/>
                <w:sz w:val="18"/>
                <w:szCs w:val="18"/>
              </w:rPr>
              <w:t>3.600.000</w:t>
            </w:r>
          </w:p>
        </w:tc>
      </w:tr>
      <w:tr w:rsidR="002A65F3" w:rsidRPr="002A4590" w14:paraId="4A35A099" w14:textId="77777777" w:rsidTr="00E8177B">
        <w:trPr>
          <w:trHeight w:val="494"/>
        </w:trPr>
        <w:tc>
          <w:tcPr>
            <w:tcW w:w="3794" w:type="dxa"/>
            <w:tcBorders>
              <w:top w:val="single" w:sz="4" w:space="0" w:color="000000"/>
              <w:left w:val="single" w:sz="4" w:space="0" w:color="000000"/>
              <w:bottom w:val="single" w:sz="4" w:space="0" w:color="000000"/>
              <w:right w:val="single" w:sz="4" w:space="0" w:color="000000"/>
            </w:tcBorders>
            <w:vAlign w:val="center"/>
            <w:hideMark/>
          </w:tcPr>
          <w:p w14:paraId="36A90438" w14:textId="77777777" w:rsidR="002A65F3" w:rsidRPr="002A4590" w:rsidRDefault="002A65F3" w:rsidP="00E8177B">
            <w:pPr>
              <w:rPr>
                <w:rFonts w:ascii="Arial" w:hAnsi="Arial" w:cs="Arial"/>
                <w:sz w:val="18"/>
                <w:szCs w:val="18"/>
                <w:highlight w:val="green"/>
              </w:rPr>
            </w:pPr>
            <w:r w:rsidRPr="002A4590">
              <w:rPr>
                <w:rFonts w:ascii="Arial" w:hAnsi="Arial" w:cs="Arial"/>
                <w:sz w:val="18"/>
                <w:szCs w:val="18"/>
              </w:rPr>
              <w:t>251289 - RSO1.3.</w:t>
            </w:r>
            <w:r>
              <w:rPr>
                <w:rFonts w:ascii="Arial" w:hAnsi="Arial" w:cs="Arial"/>
                <w:sz w:val="18"/>
                <w:szCs w:val="18"/>
              </w:rPr>
              <w:t xml:space="preserve"> </w:t>
            </w:r>
            <w:r w:rsidRPr="002A4590">
              <w:rPr>
                <w:rFonts w:ascii="Arial" w:hAnsi="Arial" w:cs="Arial"/>
                <w:sz w:val="18"/>
                <w:szCs w:val="18"/>
              </w:rPr>
              <w:t>- Krepitev trajnostne rasti in konkurenčnosti MSP ter ustvarjanje delovnih mest v MSP ESRR 21-27-Z-SLO</w:t>
            </w:r>
          </w:p>
        </w:tc>
        <w:tc>
          <w:tcPr>
            <w:tcW w:w="1276" w:type="dxa"/>
            <w:tcBorders>
              <w:top w:val="single" w:sz="4" w:space="0" w:color="000000"/>
              <w:left w:val="single" w:sz="4" w:space="0" w:color="000000"/>
              <w:bottom w:val="single" w:sz="4" w:space="0" w:color="000000"/>
              <w:right w:val="single" w:sz="4" w:space="0" w:color="000000"/>
            </w:tcBorders>
            <w:vAlign w:val="center"/>
          </w:tcPr>
          <w:p w14:paraId="0D13A826" w14:textId="77777777" w:rsidR="002A65F3" w:rsidRPr="002A4590" w:rsidRDefault="002A65F3" w:rsidP="00E8177B">
            <w:pPr>
              <w:rPr>
                <w:rFonts w:ascii="Arial" w:hAnsi="Arial" w:cs="Arial"/>
                <w:sz w:val="18"/>
                <w:szCs w:val="18"/>
              </w:rPr>
            </w:pPr>
            <w:r w:rsidRPr="002A4590">
              <w:rPr>
                <w:rFonts w:ascii="Arial" w:hAnsi="Arial" w:cs="Arial"/>
                <w:sz w:val="18"/>
                <w:szCs w:val="18"/>
              </w:rPr>
              <w:t>Zahod</w:t>
            </w:r>
          </w:p>
        </w:tc>
        <w:tc>
          <w:tcPr>
            <w:tcW w:w="2835" w:type="dxa"/>
            <w:tcBorders>
              <w:top w:val="single" w:sz="4" w:space="0" w:color="000000"/>
              <w:left w:val="single" w:sz="4" w:space="0" w:color="000000"/>
              <w:bottom w:val="single" w:sz="4" w:space="0" w:color="000000"/>
              <w:right w:val="single" w:sz="4" w:space="0" w:color="000000"/>
            </w:tcBorders>
          </w:tcPr>
          <w:p w14:paraId="46266676" w14:textId="77777777" w:rsidR="002A65F3" w:rsidRPr="002A4590" w:rsidRDefault="002A65F3" w:rsidP="00E8177B">
            <w:pPr>
              <w:jc w:val="right"/>
              <w:rPr>
                <w:rFonts w:ascii="Arial" w:hAnsi="Arial" w:cs="Arial"/>
                <w:sz w:val="18"/>
                <w:szCs w:val="18"/>
                <w:highlight w:val="yellow"/>
              </w:rPr>
            </w:pPr>
            <w:r w:rsidRPr="002A4590">
              <w:rPr>
                <w:rFonts w:ascii="Arial" w:hAnsi="Arial" w:cs="Arial"/>
                <w:sz w:val="18"/>
                <w:szCs w:val="18"/>
              </w:rPr>
              <w:t>3.600.000</w:t>
            </w:r>
          </w:p>
        </w:tc>
      </w:tr>
      <w:tr w:rsidR="002A65F3" w:rsidRPr="002A4590" w14:paraId="59C6382D" w14:textId="77777777" w:rsidTr="00E8177B">
        <w:tc>
          <w:tcPr>
            <w:tcW w:w="3794" w:type="dxa"/>
            <w:tcBorders>
              <w:top w:val="single" w:sz="4" w:space="0" w:color="000000"/>
              <w:left w:val="single" w:sz="4" w:space="0" w:color="000000"/>
              <w:bottom w:val="single" w:sz="4" w:space="0" w:color="000000"/>
              <w:right w:val="nil"/>
            </w:tcBorders>
            <w:vAlign w:val="center"/>
            <w:hideMark/>
          </w:tcPr>
          <w:p w14:paraId="065EDE5C" w14:textId="77777777" w:rsidR="002A65F3" w:rsidRPr="002A4590" w:rsidRDefault="002A65F3" w:rsidP="00E8177B">
            <w:pPr>
              <w:rPr>
                <w:rFonts w:ascii="Arial" w:hAnsi="Arial" w:cs="Arial"/>
                <w:sz w:val="18"/>
                <w:szCs w:val="18"/>
                <w:highlight w:val="green"/>
              </w:rPr>
            </w:pPr>
            <w:r w:rsidRPr="002A4590">
              <w:rPr>
                <w:rFonts w:ascii="Arial" w:hAnsi="Arial" w:cs="Arial"/>
                <w:b/>
                <w:sz w:val="18"/>
                <w:szCs w:val="18"/>
              </w:rPr>
              <w:t>Skupaj</w:t>
            </w:r>
          </w:p>
        </w:tc>
        <w:tc>
          <w:tcPr>
            <w:tcW w:w="1276" w:type="dxa"/>
            <w:tcBorders>
              <w:top w:val="single" w:sz="4" w:space="0" w:color="000000"/>
              <w:left w:val="nil"/>
              <w:bottom w:val="single" w:sz="4" w:space="0" w:color="000000"/>
              <w:right w:val="single" w:sz="4" w:space="0" w:color="000000"/>
            </w:tcBorders>
            <w:vAlign w:val="center"/>
          </w:tcPr>
          <w:p w14:paraId="00851B8F" w14:textId="77777777" w:rsidR="002A65F3" w:rsidRPr="002A4590" w:rsidRDefault="002A65F3" w:rsidP="00E8177B">
            <w:pPr>
              <w:rPr>
                <w:rFonts w:ascii="Arial" w:hAnsi="Arial" w:cs="Arial"/>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0D7EEFE7" w14:textId="77777777" w:rsidR="002A65F3" w:rsidRPr="002A4590" w:rsidRDefault="002A65F3" w:rsidP="00E8177B">
            <w:pPr>
              <w:jc w:val="right"/>
              <w:rPr>
                <w:rFonts w:ascii="Arial" w:hAnsi="Arial" w:cs="Arial"/>
                <w:b/>
                <w:bCs/>
                <w:sz w:val="18"/>
                <w:szCs w:val="18"/>
                <w:highlight w:val="yellow"/>
              </w:rPr>
            </w:pPr>
            <w:r w:rsidRPr="002A4590">
              <w:rPr>
                <w:rFonts w:ascii="Arial" w:hAnsi="Arial" w:cs="Arial"/>
                <w:b/>
                <w:bCs/>
                <w:sz w:val="18"/>
                <w:szCs w:val="18"/>
              </w:rPr>
              <w:t>7.200.000</w:t>
            </w:r>
          </w:p>
        </w:tc>
      </w:tr>
    </w:tbl>
    <w:p w14:paraId="2465F1BA" w14:textId="77777777" w:rsidR="002A65F3" w:rsidRDefault="002A65F3" w:rsidP="002A65F3">
      <w:pPr>
        <w:pStyle w:val="Odstavekseznama"/>
        <w:spacing w:after="0"/>
        <w:ind w:left="0"/>
        <w:contextualSpacing/>
        <w:jc w:val="both"/>
        <w:rPr>
          <w:rFonts w:ascii="Arial" w:hAnsi="Arial" w:cs="Arial"/>
          <w:b/>
          <w:i/>
          <w:sz w:val="20"/>
          <w:szCs w:val="20"/>
        </w:rPr>
      </w:pP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2410"/>
        <w:gridCol w:w="2835"/>
      </w:tblGrid>
      <w:tr w:rsidR="002A65F3" w:rsidRPr="002A4590" w14:paraId="3F6EACB8" w14:textId="77777777" w:rsidTr="00E8177B">
        <w:tc>
          <w:tcPr>
            <w:tcW w:w="2660" w:type="dxa"/>
            <w:tcBorders>
              <w:top w:val="single" w:sz="4" w:space="0" w:color="000000"/>
              <w:left w:val="single" w:sz="4" w:space="0" w:color="000000"/>
              <w:bottom w:val="single" w:sz="4" w:space="0" w:color="000000"/>
              <w:right w:val="nil"/>
            </w:tcBorders>
            <w:vAlign w:val="center"/>
            <w:hideMark/>
          </w:tcPr>
          <w:p w14:paraId="75F7206B" w14:textId="77777777" w:rsidR="002A65F3" w:rsidRPr="002A4590" w:rsidRDefault="002A65F3" w:rsidP="00E8177B">
            <w:pPr>
              <w:rPr>
                <w:rFonts w:ascii="Arial" w:hAnsi="Arial" w:cs="Arial"/>
                <w:sz w:val="18"/>
                <w:szCs w:val="18"/>
                <w:highlight w:val="green"/>
              </w:rPr>
            </w:pPr>
            <w:r w:rsidRPr="002A4590">
              <w:rPr>
                <w:rFonts w:ascii="Arial" w:hAnsi="Arial" w:cs="Arial"/>
                <w:b/>
                <w:sz w:val="18"/>
                <w:szCs w:val="18"/>
              </w:rPr>
              <w:t xml:space="preserve">Skupaj </w:t>
            </w:r>
            <w:r>
              <w:rPr>
                <w:rFonts w:ascii="Arial" w:hAnsi="Arial" w:cs="Arial"/>
                <w:b/>
                <w:sz w:val="18"/>
                <w:szCs w:val="18"/>
              </w:rPr>
              <w:t>V</w:t>
            </w:r>
            <w:r w:rsidRPr="002A4590">
              <w:rPr>
                <w:rFonts w:ascii="Arial" w:hAnsi="Arial" w:cs="Arial"/>
                <w:b/>
                <w:sz w:val="18"/>
                <w:szCs w:val="18"/>
              </w:rPr>
              <w:t xml:space="preserve">zhod in </w:t>
            </w:r>
            <w:r>
              <w:rPr>
                <w:rFonts w:ascii="Arial" w:hAnsi="Arial" w:cs="Arial"/>
                <w:b/>
                <w:sz w:val="18"/>
                <w:szCs w:val="18"/>
              </w:rPr>
              <w:t>Z</w:t>
            </w:r>
            <w:r w:rsidRPr="002A4590">
              <w:rPr>
                <w:rFonts w:ascii="Arial" w:hAnsi="Arial" w:cs="Arial"/>
                <w:b/>
                <w:sz w:val="18"/>
                <w:szCs w:val="18"/>
              </w:rPr>
              <w:t>ahod</w:t>
            </w:r>
          </w:p>
        </w:tc>
        <w:tc>
          <w:tcPr>
            <w:tcW w:w="2410" w:type="dxa"/>
            <w:tcBorders>
              <w:top w:val="single" w:sz="4" w:space="0" w:color="000000"/>
              <w:left w:val="nil"/>
              <w:bottom w:val="single" w:sz="4" w:space="0" w:color="000000"/>
              <w:right w:val="single" w:sz="4" w:space="0" w:color="000000"/>
            </w:tcBorders>
            <w:vAlign w:val="center"/>
          </w:tcPr>
          <w:p w14:paraId="24A39D63" w14:textId="77777777" w:rsidR="002A65F3" w:rsidRPr="002A4590" w:rsidRDefault="002A65F3" w:rsidP="00E8177B">
            <w:pPr>
              <w:rPr>
                <w:rFonts w:ascii="Arial" w:hAnsi="Arial" w:cs="Arial"/>
                <w:sz w:val="18"/>
                <w:szCs w:val="18"/>
              </w:rPr>
            </w:pPr>
          </w:p>
        </w:tc>
        <w:tc>
          <w:tcPr>
            <w:tcW w:w="2835" w:type="dxa"/>
            <w:tcBorders>
              <w:top w:val="single" w:sz="4" w:space="0" w:color="000000"/>
              <w:left w:val="single" w:sz="4" w:space="0" w:color="000000"/>
              <w:bottom w:val="single" w:sz="4" w:space="0" w:color="000000"/>
              <w:right w:val="single" w:sz="4" w:space="0" w:color="000000"/>
            </w:tcBorders>
          </w:tcPr>
          <w:p w14:paraId="33D9A3D3" w14:textId="77777777" w:rsidR="002A65F3" w:rsidRPr="002A4590" w:rsidRDefault="002A65F3" w:rsidP="00E8177B">
            <w:pPr>
              <w:jc w:val="right"/>
              <w:rPr>
                <w:rFonts w:ascii="Arial" w:hAnsi="Arial" w:cs="Arial"/>
                <w:b/>
                <w:bCs/>
                <w:sz w:val="18"/>
                <w:szCs w:val="18"/>
                <w:highlight w:val="yellow"/>
              </w:rPr>
            </w:pPr>
            <w:r w:rsidRPr="002A4590">
              <w:rPr>
                <w:rFonts w:ascii="Arial" w:hAnsi="Arial" w:cs="Arial"/>
                <w:b/>
                <w:bCs/>
                <w:sz w:val="18"/>
                <w:szCs w:val="18"/>
              </w:rPr>
              <w:t>15.060.000</w:t>
            </w:r>
          </w:p>
        </w:tc>
      </w:tr>
    </w:tbl>
    <w:p w14:paraId="13E4EB3C" w14:textId="77777777" w:rsidR="002A65F3" w:rsidRPr="00B12F95" w:rsidRDefault="002A65F3" w:rsidP="002A65F3">
      <w:pPr>
        <w:pStyle w:val="Odstavekseznama"/>
        <w:spacing w:after="0"/>
        <w:ind w:left="0"/>
        <w:contextualSpacing/>
        <w:jc w:val="both"/>
        <w:rPr>
          <w:rFonts w:ascii="Arial" w:hAnsi="Arial" w:cs="Arial"/>
          <w:b/>
          <w:i/>
          <w:sz w:val="20"/>
          <w:szCs w:val="20"/>
        </w:rPr>
      </w:pPr>
    </w:p>
    <w:p w14:paraId="6ED57400" w14:textId="77777777" w:rsidR="002A65F3" w:rsidRDefault="002A65F3">
      <w:pPr>
        <w:pBdr>
          <w:top w:val="nil"/>
          <w:left w:val="nil"/>
          <w:bottom w:val="nil"/>
          <w:right w:val="nil"/>
          <w:between w:val="nil"/>
        </w:pBdr>
        <w:spacing w:line="276" w:lineRule="auto"/>
        <w:jc w:val="both"/>
        <w:rPr>
          <w:rFonts w:ascii="Arial" w:eastAsia="Arial" w:hAnsi="Arial" w:cs="Arial"/>
          <w:color w:val="000000"/>
        </w:rPr>
      </w:pPr>
    </w:p>
    <w:p w14:paraId="08C9A329"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Del razpisanih sredstev lahko ostane nerazdeljen v primeru premajhnega števila in/ali prenizke višine zaprošene vrednosti sofinanciranja iz oddanih vlog ali premajhnega števila ali prenizke višine zaprošene vrednosti sofinanciranja tistih vlog, ki v okviru posameznega sklopa oz. v okviru ločene skupine kot navedeno v nadaljevanju, dosežejo minimalno število točk oz. prag, ki je predpogoj za odobritev sofinanciranja.</w:t>
      </w:r>
    </w:p>
    <w:p w14:paraId="3A85106C"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1DD3BF60"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highlight w:val="white"/>
        </w:rPr>
        <w:t>Nerazdeljena/neporabljena sredstva iz posameznega roka za oddajo vlog za posamezni sklop, upoštevaje razdelitev strokovne komisije v dve ločeni skupini,</w:t>
      </w:r>
      <w:r>
        <w:rPr>
          <w:rFonts w:ascii="Arial" w:eastAsia="Arial" w:hAnsi="Arial" w:cs="Arial"/>
          <w:color w:val="000000"/>
        </w:rPr>
        <w:t xml:space="preserve"> </w:t>
      </w:r>
      <w:r>
        <w:rPr>
          <w:rFonts w:ascii="Arial" w:eastAsia="Arial" w:hAnsi="Arial" w:cs="Arial"/>
          <w:color w:val="000000"/>
          <w:highlight w:val="white"/>
        </w:rPr>
        <w:t>bodo prijaviteljem lahko na voljo v okviru naslednjega roka za oddajo vlog. Višino sredstev, ki bodo na voljo za naslednji rok, bo ministrstvo objavilo na spletni strani, kjer je objavljen tudi javni razpis.</w:t>
      </w:r>
    </w:p>
    <w:p w14:paraId="5F618BEE"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C42234B"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Sredstva niso prenosljiva med kohezijskima regijama. Vsa sredstva so namenska sredstva EU in sicer namenska sredstva Evropskega sklada za regionalni razvoj.</w:t>
      </w:r>
    </w:p>
    <w:p w14:paraId="5050DB6C"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48FE9CA5"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Obdobje razpoložljivosti sredstev za javni razpis obsega proračunska leta 2026, 2027 in 2028, oziroma traja do porabe razpisanih sredstev.</w:t>
      </w:r>
    </w:p>
    <w:p w14:paraId="6ACC3AAF"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4A7021BE" w14:textId="43924BC8" w:rsidR="00096EB7" w:rsidRPr="00A47031" w:rsidRDefault="00096EB7" w:rsidP="00096EB7">
      <w:pPr>
        <w:spacing w:line="276" w:lineRule="auto"/>
        <w:jc w:val="both"/>
        <w:rPr>
          <w:rFonts w:ascii="Arial" w:hAnsi="Arial" w:cs="Arial"/>
          <w:lang w:val="sl-SI"/>
        </w:rPr>
      </w:pPr>
      <w:r w:rsidRPr="00461E56">
        <w:rPr>
          <w:rFonts w:ascii="Arial" w:hAnsi="Arial" w:cs="Arial"/>
        </w:rPr>
        <w:t xml:space="preserve">Sredstva za izvedbo </w:t>
      </w:r>
      <w:r>
        <w:rPr>
          <w:rFonts w:ascii="Arial" w:hAnsi="Arial" w:cs="Arial"/>
        </w:rPr>
        <w:t xml:space="preserve">javnega razpisa </w:t>
      </w:r>
      <w:r w:rsidRPr="00461E56">
        <w:rPr>
          <w:rFonts w:ascii="Arial" w:hAnsi="Arial" w:cs="Arial"/>
        </w:rPr>
        <w:t xml:space="preserve">so </w:t>
      </w:r>
      <w:r>
        <w:rPr>
          <w:rFonts w:ascii="Arial" w:hAnsi="Arial" w:cs="Arial"/>
        </w:rPr>
        <w:t>predvidena</w:t>
      </w:r>
      <w:r w:rsidR="00543312">
        <w:rPr>
          <w:rFonts w:ascii="Arial" w:hAnsi="Arial" w:cs="Arial"/>
        </w:rPr>
        <w:t xml:space="preserve"> na</w:t>
      </w:r>
      <w:r w:rsidRPr="00461E56">
        <w:rPr>
          <w:rFonts w:ascii="Arial" w:hAnsi="Arial" w:cs="Arial"/>
        </w:rPr>
        <w:t xml:space="preserve"> evidenčnem projektu </w:t>
      </w:r>
      <w:r w:rsidR="00543312" w:rsidRPr="00A47031">
        <w:rPr>
          <w:rFonts w:ascii="Arial" w:hAnsi="Arial" w:cs="Arial"/>
          <w:lang w:val="sl-SI"/>
        </w:rPr>
        <w:t>Ministrstv</w:t>
      </w:r>
      <w:r w:rsidR="00543312">
        <w:rPr>
          <w:rFonts w:ascii="Arial" w:hAnsi="Arial" w:cs="Arial"/>
          <w:lang w:val="sl-SI"/>
        </w:rPr>
        <w:t>a</w:t>
      </w:r>
      <w:r w:rsidR="00543312" w:rsidRPr="00A47031">
        <w:rPr>
          <w:rFonts w:ascii="Arial" w:hAnsi="Arial" w:cs="Arial"/>
          <w:lang w:val="sl-SI"/>
        </w:rPr>
        <w:t xml:space="preserve"> </w:t>
      </w:r>
      <w:r w:rsidR="00A47031" w:rsidRPr="00A47031">
        <w:rPr>
          <w:rFonts w:ascii="Arial" w:hAnsi="Arial" w:cs="Arial"/>
          <w:lang w:val="sl-SI"/>
        </w:rPr>
        <w:t>za lokalno samoupravo, kohezijo in regionalni razvoj</w:t>
      </w:r>
      <w:r w:rsidRPr="00461E56">
        <w:rPr>
          <w:rFonts w:ascii="Arial" w:hAnsi="Arial" w:cs="Arial"/>
        </w:rPr>
        <w:t xml:space="preserve"> št. 1630-23-0001 Rast in razvoj podjetij in digitalizacija storitev, in sicer  na naslednjih proračunskih postavkah:</w:t>
      </w:r>
    </w:p>
    <w:p w14:paraId="37F43620" w14:textId="06DCE52D"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ECD287E" w14:textId="77777777" w:rsidR="000755BA" w:rsidRDefault="00EF1395">
      <w:pPr>
        <w:numPr>
          <w:ilvl w:val="0"/>
          <w:numId w:val="36"/>
        </w:numPr>
        <w:pBdr>
          <w:top w:val="nil"/>
          <w:left w:val="nil"/>
          <w:bottom w:val="nil"/>
          <w:right w:val="nil"/>
          <w:between w:val="nil"/>
        </w:pBdr>
        <w:spacing w:line="276" w:lineRule="auto"/>
        <w:ind w:left="426"/>
        <w:jc w:val="both"/>
        <w:rPr>
          <w:color w:val="000000"/>
        </w:rPr>
      </w:pPr>
      <w:r>
        <w:rPr>
          <w:rFonts w:ascii="Arial" w:eastAsia="Arial" w:hAnsi="Arial" w:cs="Arial"/>
          <w:color w:val="000000"/>
        </w:rPr>
        <w:t>251286 - RSO1.3. - Krepitev trajnostne rasti in konkurenčnosti MSP ter ustvarjanje delovnih mest v MSP ESRR 21-27-V-EU,</w:t>
      </w:r>
    </w:p>
    <w:p w14:paraId="0F972C77" w14:textId="77777777" w:rsidR="000755BA" w:rsidRDefault="00EF1395">
      <w:pPr>
        <w:numPr>
          <w:ilvl w:val="0"/>
          <w:numId w:val="36"/>
        </w:numPr>
        <w:pBdr>
          <w:top w:val="nil"/>
          <w:left w:val="nil"/>
          <w:bottom w:val="nil"/>
          <w:right w:val="nil"/>
          <w:between w:val="nil"/>
        </w:pBdr>
        <w:spacing w:line="276" w:lineRule="auto"/>
        <w:ind w:left="426"/>
        <w:jc w:val="both"/>
        <w:rPr>
          <w:color w:val="000000"/>
        </w:rPr>
      </w:pPr>
      <w:r>
        <w:rPr>
          <w:rFonts w:ascii="Arial" w:eastAsia="Arial" w:hAnsi="Arial" w:cs="Arial"/>
          <w:color w:val="000000"/>
        </w:rPr>
        <w:lastRenderedPageBreak/>
        <w:t>251287 - RSO1.3. - Krepitev trajnostne rasti in konkurenčnosti MSP ter ustvarjanje delovnih mest v MSP ESRR 21-27-V-SLO,</w:t>
      </w:r>
    </w:p>
    <w:p w14:paraId="359177AB" w14:textId="77777777" w:rsidR="000755BA" w:rsidRDefault="00EF1395">
      <w:pPr>
        <w:numPr>
          <w:ilvl w:val="0"/>
          <w:numId w:val="36"/>
        </w:numPr>
        <w:pBdr>
          <w:top w:val="nil"/>
          <w:left w:val="nil"/>
          <w:bottom w:val="nil"/>
          <w:right w:val="nil"/>
          <w:between w:val="nil"/>
        </w:pBdr>
        <w:spacing w:line="276" w:lineRule="auto"/>
        <w:ind w:left="426"/>
        <w:jc w:val="both"/>
        <w:rPr>
          <w:color w:val="000000"/>
        </w:rPr>
      </w:pPr>
      <w:r>
        <w:rPr>
          <w:rFonts w:ascii="Arial" w:eastAsia="Arial" w:hAnsi="Arial" w:cs="Arial"/>
          <w:color w:val="000000"/>
        </w:rPr>
        <w:t>251288 - RSO1.3. - Krepitev trajnostne rasti in konkurenčnosti MSP ter ustvarjanje delovnih mest v MSP ESRR 21-27-Z-EU,</w:t>
      </w:r>
    </w:p>
    <w:p w14:paraId="28A8BBEE" w14:textId="77777777" w:rsidR="000755BA" w:rsidRDefault="00EF1395">
      <w:pPr>
        <w:numPr>
          <w:ilvl w:val="0"/>
          <w:numId w:val="36"/>
        </w:numPr>
        <w:pBdr>
          <w:top w:val="nil"/>
          <w:left w:val="nil"/>
          <w:bottom w:val="nil"/>
          <w:right w:val="nil"/>
          <w:between w:val="nil"/>
        </w:pBdr>
        <w:spacing w:line="276" w:lineRule="auto"/>
        <w:ind w:left="426"/>
        <w:jc w:val="both"/>
        <w:rPr>
          <w:color w:val="000000"/>
        </w:rPr>
      </w:pPr>
      <w:r>
        <w:rPr>
          <w:rFonts w:ascii="Arial" w:eastAsia="Arial" w:hAnsi="Arial" w:cs="Arial"/>
          <w:color w:val="000000"/>
        </w:rPr>
        <w:t>251289 - RSO1.3. - Krepitev trajnostne rasti in konkurenčnosti MSP ter ustvarjanje delovnih mest v MSP ESRR 21-27-Z-SLO.</w:t>
      </w:r>
    </w:p>
    <w:p w14:paraId="50541769"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45130297" w14:textId="0B8FD60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Dinamika sofinanciranja operacije bo določena s pogodbo o dodelitvi sredstev med ministrstvom in izbranim prijaviteljem kot upravičencem, v odvisnosti od finančnega načrta izvajanja operacije in od razpoložljivih pravic porabe oz. proračunskih sredstev.</w:t>
      </w:r>
    </w:p>
    <w:p w14:paraId="055746D5"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045030B" w14:textId="413788C1"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Izplačila ministrstva so odvisna od razpoložljivosti pravic porabe in proračunskih sredstev ministrstva za ta namen. V kolikor bi bile ukinjene ali zmanjšane pravice porabe na proračunskih postavkah, lahko ministrstvo razveljavi javni razpis in izdane sklepe o izboru, ali spremeni pogodbeno vrednost ali dinamiko izplačil. Če se upravičenec ne strinja s predlogom spremembe, se šteje, da odstopa od vloge oziroma od pogodbe o dodelitvi sredstev.</w:t>
      </w:r>
    </w:p>
    <w:p w14:paraId="7292702B"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311BDF6" w14:textId="2555E083" w:rsidR="000755BA" w:rsidRPr="00F47C4B" w:rsidRDefault="00EF1395" w:rsidP="00F47C4B">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Ministrstvo si pridržuje pravico, da lahko javni razpis kadarkoli do izdaje sklepov o (ne)izboru spremeni ali prekliče, kar objavi na osrednjem spletnem mestu državne uprave: </w:t>
      </w:r>
      <w:hyperlink r:id="rId25">
        <w:r>
          <w:rPr>
            <w:rFonts w:ascii="Arial" w:eastAsia="Arial" w:hAnsi="Arial" w:cs="Arial"/>
            <w:color w:val="0000FF"/>
            <w:u w:val="single"/>
          </w:rPr>
          <w:t>https://www.gov.si/</w:t>
        </w:r>
      </w:hyperlink>
      <w:r>
        <w:rPr>
          <w:rFonts w:ascii="Arial" w:eastAsia="Arial" w:hAnsi="Arial" w:cs="Arial"/>
          <w:color w:val="000000"/>
        </w:rPr>
        <w:t xml:space="preserve"> in na spletni strani ministrstva</w:t>
      </w:r>
      <w:r w:rsidRPr="00C80D68">
        <w:rPr>
          <w:rFonts w:ascii="Arial" w:eastAsia="Arial" w:hAnsi="Arial" w:cs="Arial"/>
          <w:color w:val="000000"/>
        </w:rPr>
        <w:t xml:space="preserve">: </w:t>
      </w:r>
      <w:hyperlink r:id="rId26" w:history="1">
        <w:r w:rsidR="00C80D68" w:rsidRPr="00C80D68">
          <w:rPr>
            <w:rStyle w:val="Hiperpovezava"/>
            <w:rFonts w:ascii="Arial" w:hAnsi="Arial" w:cs="Arial"/>
          </w:rPr>
          <w:t>Javne objave Ministrstva za gospodarstvo, delo in šport | GOV.SI</w:t>
        </w:r>
      </w:hyperlink>
      <w:r w:rsidRPr="00C80D68">
        <w:rPr>
          <w:rFonts w:ascii="Arial" w:eastAsia="Arial" w:hAnsi="Arial" w:cs="Arial"/>
          <w:color w:val="000000"/>
        </w:rPr>
        <w:t>.</w:t>
      </w:r>
    </w:p>
    <w:p w14:paraId="6AB15617" w14:textId="79499D5D" w:rsidR="000755BA" w:rsidRPr="00F47C4B" w:rsidRDefault="00F47C4B" w:rsidP="00F47C4B">
      <w:pPr>
        <w:pStyle w:val="Naslov2"/>
        <w:ind w:left="284"/>
      </w:pPr>
      <w:bookmarkStart w:id="39" w:name="_Toc239072459"/>
      <w:r w:rsidRPr="00F47C4B">
        <w:t xml:space="preserve">7. </w:t>
      </w:r>
      <w:r w:rsidR="00EF1395" w:rsidRPr="00F47C4B">
        <w:t xml:space="preserve">Razmerje med sredstvi na postavkah namenskih sredstev EU za kohezijsko </w:t>
      </w:r>
      <w:r w:rsidRPr="00F47C4B">
        <w:t xml:space="preserve">  </w:t>
      </w:r>
      <w:r w:rsidR="00EF1395" w:rsidRPr="00F47C4B">
        <w:t>politiko in na postavkah slovenske udeležbe za sofinanciranje kohezijske politike</w:t>
      </w:r>
      <w:bookmarkEnd w:id="39"/>
    </w:p>
    <w:p w14:paraId="30409463" w14:textId="77777777" w:rsidR="000755BA" w:rsidRDefault="000755BA" w:rsidP="00F47C4B">
      <w:pPr>
        <w:pBdr>
          <w:top w:val="nil"/>
          <w:left w:val="nil"/>
          <w:bottom w:val="nil"/>
          <w:right w:val="nil"/>
          <w:between w:val="nil"/>
        </w:pBdr>
        <w:spacing w:line="276" w:lineRule="auto"/>
        <w:jc w:val="both"/>
        <w:rPr>
          <w:rFonts w:ascii="Arial" w:eastAsia="Arial" w:hAnsi="Arial" w:cs="Arial"/>
          <w:color w:val="000000"/>
          <w:sz w:val="22"/>
          <w:szCs w:val="22"/>
        </w:rPr>
      </w:pPr>
    </w:p>
    <w:p w14:paraId="33279A27" w14:textId="15EF3CB7" w:rsidR="000755BA" w:rsidRDefault="00EF1395" w:rsidP="00F47C4B">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Delež namenskih sredstev EU znaša v upravičenih izdatkih v kohezijski regiji Vzhodna Slovenija do 85 % in v kohezijski regiji Zahodna Slovenija do 40 %. Prispevek nacionalne udeležbe bo zagotovljen s sredstvi na nacionalnih postavkah slovenske udeležbe za sofinanciranje kohezijske politike ter z zasebnimi viri. </w:t>
      </w:r>
    </w:p>
    <w:p w14:paraId="1151A9B4" w14:textId="7F83267D" w:rsidR="000755BA" w:rsidRDefault="00F47C4B" w:rsidP="00F47C4B">
      <w:pPr>
        <w:pStyle w:val="Naslov2"/>
        <w:ind w:firstLine="284"/>
      </w:pPr>
      <w:bookmarkStart w:id="40" w:name="_Toc239072460"/>
      <w:r>
        <w:t xml:space="preserve">8. </w:t>
      </w:r>
      <w:r w:rsidR="00EF1395">
        <w:t>Obdobje, v katerem morajo biti porabljena dodeljena sredstva</w:t>
      </w:r>
      <w:bookmarkEnd w:id="40"/>
    </w:p>
    <w:p w14:paraId="04E82893"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9693C22"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Obdobje upravičenosti stroškov in izdatkov se prične</w:t>
      </w:r>
      <w:r>
        <w:rPr>
          <w:rFonts w:ascii="Arial" w:eastAsia="Arial" w:hAnsi="Arial" w:cs="Arial"/>
          <w:b/>
          <w:bCs/>
          <w:color w:val="000000"/>
        </w:rPr>
        <w:t xml:space="preserve"> </w:t>
      </w:r>
      <w:r>
        <w:rPr>
          <w:rFonts w:ascii="Arial" w:eastAsia="Arial" w:hAnsi="Arial" w:cs="Arial"/>
          <w:color w:val="000000"/>
        </w:rPr>
        <w:t>z dnem oddaje vloge na javni razpis</w:t>
      </w:r>
      <w:r>
        <w:rPr>
          <w:rFonts w:ascii="Arial" w:eastAsia="Arial" w:hAnsi="Arial" w:cs="Arial"/>
          <w:b/>
          <w:bCs/>
          <w:color w:val="000000"/>
        </w:rPr>
        <w:t xml:space="preserve"> </w:t>
      </w:r>
      <w:r>
        <w:rPr>
          <w:rFonts w:ascii="Arial" w:eastAsia="Arial" w:hAnsi="Arial" w:cs="Arial"/>
          <w:color w:val="000000"/>
        </w:rPr>
        <w:t xml:space="preserve">in se konča 15. 10. 2028. </w:t>
      </w:r>
    </w:p>
    <w:p w14:paraId="3534CF0D"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45F7F260"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Obdobje upravičenosti izdatkov prijavitelja je od datuma oddaje vloge do izstavitve zadnjega zahtevka za izplačilo oziroma najkasneje do 15. 10. 2028.</w:t>
      </w:r>
    </w:p>
    <w:p w14:paraId="541A1FBF"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30AD251" w14:textId="2F172174"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Obdobje upravičenosti javnih izdatkov se prične z datumom izdaje sklepa o izboru in se konča 31. 12. 2028.</w:t>
      </w:r>
    </w:p>
    <w:p w14:paraId="683BE21F" w14:textId="77213B06" w:rsidR="000755BA" w:rsidRPr="00F47C4B" w:rsidRDefault="00F47C4B" w:rsidP="00F47C4B">
      <w:pPr>
        <w:pStyle w:val="Naslov2"/>
        <w:ind w:left="284"/>
      </w:pPr>
      <w:bookmarkStart w:id="41" w:name="_Toc239072461"/>
      <w:r>
        <w:t xml:space="preserve">9. </w:t>
      </w:r>
      <w:r w:rsidR="00EF1395">
        <w:t>Upravičeni stroški, intenzivnost pomoči in način financiranja</w:t>
      </w:r>
      <w:bookmarkEnd w:id="41"/>
    </w:p>
    <w:p w14:paraId="5C5EB1C0" w14:textId="77777777" w:rsidR="000755BA" w:rsidRDefault="00EF1395" w:rsidP="00F47C4B">
      <w:pPr>
        <w:pStyle w:val="Naslov2"/>
        <w:ind w:left="284"/>
      </w:pPr>
      <w:bookmarkStart w:id="42" w:name="_Toc239072462"/>
      <w:r>
        <w:t>9.1 Splošno o stroških</w:t>
      </w:r>
      <w:bookmarkEnd w:id="42"/>
    </w:p>
    <w:p w14:paraId="37D6019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8070A51"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Financiranje po tem javnem razpisu bo potekalo skladno s pravili evropske kohezijske politike in veljavnimi Navodili organa upravljanja o upravičenih stroških za sredstva evropske kohezijske politike v programskem obdobju 2021-2027 (v nadaljevanju: Navodila OU o upravičenih stroških), ki so dostopna na </w:t>
      </w:r>
      <w:hyperlink r:id="rId27">
        <w:r>
          <w:rPr>
            <w:rFonts w:ascii="Arial" w:eastAsia="Arial" w:hAnsi="Arial" w:cs="Arial"/>
            <w:color w:val="0000FF"/>
            <w:u w:val="single"/>
          </w:rPr>
          <w:t xml:space="preserve">https://evropskasredstva.si/evropska-kohezijska-politika/navodila-in-smernice/. </w:t>
        </w:r>
      </w:hyperlink>
    </w:p>
    <w:p w14:paraId="31239BD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E1D8B53"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Stroške prijavitelj vsebinsko in vrednostno podrobno opredeli v vlogi.</w:t>
      </w:r>
    </w:p>
    <w:p w14:paraId="0E76C64C"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DA20E99"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Znesek upravičenih stroškov je osnova za izračun zneska sofinanciranja.</w:t>
      </w:r>
    </w:p>
    <w:p w14:paraId="4D16FE3D"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6245157" w14:textId="1FD8654B"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Stroški so upravičeni, če</w:t>
      </w:r>
      <w:r w:rsidR="00111858">
        <w:rPr>
          <w:rFonts w:ascii="Arial" w:eastAsia="Arial" w:hAnsi="Arial" w:cs="Arial"/>
          <w:color w:val="000000"/>
        </w:rPr>
        <w:t xml:space="preserve"> </w:t>
      </w:r>
      <w:r w:rsidR="00111858">
        <w:rPr>
          <w:rFonts w:ascii="Arial" w:hAnsi="Arial" w:cs="Arial"/>
        </w:rPr>
        <w:t>temeljijo na verodostojnih knjigovodskih in drugih listinah in</w:t>
      </w:r>
      <w:r>
        <w:rPr>
          <w:rFonts w:ascii="Arial" w:eastAsia="Arial" w:hAnsi="Arial" w:cs="Arial"/>
          <w:color w:val="000000"/>
        </w:rPr>
        <w:t>:</w:t>
      </w:r>
    </w:p>
    <w:p w14:paraId="3A512EA7" w14:textId="77777777" w:rsidR="000755BA" w:rsidRDefault="00EF1395">
      <w:pPr>
        <w:numPr>
          <w:ilvl w:val="0"/>
          <w:numId w:val="9"/>
        </w:numPr>
        <w:pBdr>
          <w:top w:val="nil"/>
          <w:left w:val="nil"/>
          <w:bottom w:val="nil"/>
          <w:right w:val="nil"/>
          <w:between w:val="nil"/>
        </w:pBdr>
        <w:spacing w:line="276" w:lineRule="auto"/>
        <w:jc w:val="both"/>
        <w:rPr>
          <w:color w:val="000000"/>
        </w:rPr>
      </w:pPr>
      <w:r>
        <w:rPr>
          <w:rFonts w:ascii="Arial" w:eastAsia="Arial" w:hAnsi="Arial" w:cs="Arial"/>
          <w:color w:val="000000"/>
        </w:rPr>
        <w:t>so z operacijo neposredno povezani, so potrebni za njeno izvajanje in so v skladu s predmetom javnega razpisa in cilji operacije;</w:t>
      </w:r>
    </w:p>
    <w:p w14:paraId="57779169" w14:textId="77777777" w:rsidR="000755BA" w:rsidRDefault="00EF1395">
      <w:pPr>
        <w:numPr>
          <w:ilvl w:val="0"/>
          <w:numId w:val="9"/>
        </w:numPr>
        <w:pBdr>
          <w:top w:val="nil"/>
          <w:left w:val="nil"/>
          <w:bottom w:val="nil"/>
          <w:right w:val="nil"/>
          <w:between w:val="nil"/>
        </w:pBdr>
        <w:spacing w:line="276" w:lineRule="auto"/>
        <w:jc w:val="both"/>
        <w:rPr>
          <w:color w:val="000000"/>
        </w:rPr>
      </w:pPr>
      <w:r>
        <w:rPr>
          <w:rFonts w:ascii="Arial" w:eastAsia="Arial" w:hAnsi="Arial" w:cs="Arial"/>
          <w:color w:val="000000"/>
        </w:rPr>
        <w:t>so dejansko nastali: za dela, ki so bila opravljena; za blago, ki je bilo dobavljeno; oziroma za storitve, ki so bile izvedene;</w:t>
      </w:r>
    </w:p>
    <w:p w14:paraId="211253B2" w14:textId="02313D14" w:rsidR="000755BA" w:rsidRDefault="00EF1395">
      <w:pPr>
        <w:numPr>
          <w:ilvl w:val="0"/>
          <w:numId w:val="9"/>
        </w:numPr>
        <w:pBdr>
          <w:top w:val="nil"/>
          <w:left w:val="nil"/>
          <w:bottom w:val="nil"/>
          <w:right w:val="nil"/>
          <w:between w:val="nil"/>
        </w:pBdr>
        <w:spacing w:line="276" w:lineRule="auto"/>
        <w:jc w:val="both"/>
        <w:rPr>
          <w:color w:val="000000"/>
        </w:rPr>
      </w:pPr>
      <w:r>
        <w:rPr>
          <w:rFonts w:ascii="Arial" w:eastAsia="Arial" w:hAnsi="Arial" w:cs="Arial"/>
          <w:color w:val="000000"/>
        </w:rPr>
        <w:t>so pripoznani v skladu s skrbnostjo dobrega gospodarja</w:t>
      </w:r>
      <w:r w:rsidR="00FF7744">
        <w:rPr>
          <w:rFonts w:ascii="Arial" w:eastAsia="Arial" w:hAnsi="Arial" w:cs="Arial"/>
          <w:color w:val="000000"/>
        </w:rPr>
        <w:t xml:space="preserve"> in</w:t>
      </w:r>
    </w:p>
    <w:p w14:paraId="57219261" w14:textId="77777777" w:rsidR="000755BA" w:rsidRDefault="00EF1395">
      <w:pPr>
        <w:numPr>
          <w:ilvl w:val="0"/>
          <w:numId w:val="9"/>
        </w:numPr>
        <w:pBdr>
          <w:top w:val="nil"/>
          <w:left w:val="nil"/>
          <w:bottom w:val="nil"/>
          <w:right w:val="nil"/>
          <w:between w:val="nil"/>
        </w:pBdr>
        <w:spacing w:line="276" w:lineRule="auto"/>
        <w:jc w:val="both"/>
        <w:rPr>
          <w:color w:val="000000"/>
        </w:rPr>
      </w:pPr>
      <w:r>
        <w:rPr>
          <w:rFonts w:ascii="Arial" w:eastAsia="Arial" w:hAnsi="Arial" w:cs="Arial"/>
          <w:color w:val="000000"/>
        </w:rPr>
        <w:t>so bili plačani v obdobju upravičenosti, ki se prične z dnem oddaje vloge na javni razpis in se zaključi najkasneje od 15. 10. 2028;</w:t>
      </w:r>
    </w:p>
    <w:p w14:paraId="78D1506F" w14:textId="447F5E37" w:rsidR="000755BA" w:rsidRPr="00F47C4B" w:rsidRDefault="00EF1395" w:rsidP="00F47C4B">
      <w:pPr>
        <w:numPr>
          <w:ilvl w:val="0"/>
          <w:numId w:val="9"/>
        </w:numPr>
        <w:pBdr>
          <w:top w:val="nil"/>
          <w:left w:val="nil"/>
          <w:bottom w:val="nil"/>
          <w:right w:val="nil"/>
          <w:between w:val="nil"/>
        </w:pBdr>
        <w:spacing w:line="276" w:lineRule="auto"/>
        <w:jc w:val="both"/>
        <w:rPr>
          <w:color w:val="000000"/>
        </w:rPr>
      </w:pPr>
      <w:r>
        <w:rPr>
          <w:rFonts w:ascii="Arial" w:eastAsia="Arial" w:hAnsi="Arial" w:cs="Arial"/>
          <w:color w:val="000000"/>
        </w:rPr>
        <w:t>so v skladu z veljavnimi pravili Unije in nacionalnimi predpisi.</w:t>
      </w:r>
    </w:p>
    <w:p w14:paraId="1107B54D" w14:textId="77777777" w:rsidR="000755BA" w:rsidRDefault="00EF1395" w:rsidP="00F47C4B">
      <w:pPr>
        <w:pStyle w:val="Naslov2"/>
        <w:ind w:left="284"/>
      </w:pPr>
      <w:bookmarkStart w:id="43" w:name="_Toc239072463"/>
      <w:r>
        <w:t>9.2 Upravičeni stroški</w:t>
      </w:r>
      <w:bookmarkEnd w:id="43"/>
    </w:p>
    <w:p w14:paraId="6FC311ED"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993B1D3"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V okviru javnega razpisa se lahko uveljavlja naslednje kategorije upravičenih stroškov:</w:t>
      </w:r>
    </w:p>
    <w:p w14:paraId="2FA15C5E" w14:textId="77777777" w:rsidR="00DB7E99" w:rsidRDefault="00DB7E99" w:rsidP="00055D6B">
      <w:pPr>
        <w:pBdr>
          <w:top w:val="nil"/>
          <w:left w:val="nil"/>
          <w:bottom w:val="nil"/>
          <w:right w:val="nil"/>
          <w:between w:val="nil"/>
        </w:pBdr>
        <w:spacing w:line="276" w:lineRule="auto"/>
        <w:jc w:val="both"/>
        <w:rPr>
          <w:rFonts w:ascii="Arial" w:eastAsia="Arial" w:hAnsi="Arial" w:cs="Arial"/>
          <w:color w:val="000000"/>
        </w:rPr>
      </w:pPr>
    </w:p>
    <w:p w14:paraId="69D1812F" w14:textId="77777777" w:rsidR="00DB7E99" w:rsidRPr="00055D6B" w:rsidRDefault="00DB7E99" w:rsidP="00DB7E99">
      <w:pPr>
        <w:jc w:val="both"/>
        <w:rPr>
          <w:rFonts w:ascii="Arial" w:hAnsi="Arial" w:cs="Arial"/>
          <w:b/>
          <w:bCs/>
        </w:rPr>
      </w:pPr>
      <w:r w:rsidRPr="00055D6B">
        <w:rPr>
          <w:rFonts w:ascii="Arial" w:hAnsi="Arial" w:cs="Arial"/>
          <w:b/>
          <w:bCs/>
        </w:rPr>
        <w:t>- RDO:</w:t>
      </w:r>
    </w:p>
    <w:p w14:paraId="46F7540F" w14:textId="77777777" w:rsidR="000C02B1" w:rsidRPr="000C02B1" w:rsidRDefault="00DB7E99" w:rsidP="000C02B1">
      <w:pPr>
        <w:numPr>
          <w:ilvl w:val="0"/>
          <w:numId w:val="44"/>
        </w:numPr>
        <w:spacing w:line="276" w:lineRule="auto"/>
        <w:ind w:left="851" w:hanging="284"/>
        <w:jc w:val="both"/>
        <w:rPr>
          <w:rFonts w:ascii="Arial" w:hAnsi="Arial" w:cs="Arial"/>
        </w:rPr>
      </w:pPr>
      <w:r w:rsidRPr="000C02B1">
        <w:rPr>
          <w:rFonts w:ascii="Arial" w:hAnsi="Arial" w:cs="Arial"/>
        </w:rPr>
        <w:t>stroški plač in povračil stroškov v zvezi z delom (SE),</w:t>
      </w:r>
    </w:p>
    <w:p w14:paraId="2BDB9299" w14:textId="291C8A6E" w:rsidR="000C02B1" w:rsidRPr="000C02B1" w:rsidRDefault="000C02B1" w:rsidP="000C02B1">
      <w:pPr>
        <w:numPr>
          <w:ilvl w:val="0"/>
          <w:numId w:val="44"/>
        </w:numPr>
        <w:spacing w:line="276" w:lineRule="auto"/>
        <w:ind w:left="851" w:hanging="284"/>
        <w:jc w:val="both"/>
        <w:rPr>
          <w:rFonts w:ascii="Arial" w:hAnsi="Arial" w:cs="Arial"/>
        </w:rPr>
      </w:pPr>
      <w:r w:rsidRPr="000C02B1">
        <w:rPr>
          <w:rFonts w:ascii="Arial" w:hAnsi="Arial" w:cs="Arial"/>
          <w:color w:val="000000"/>
        </w:rPr>
        <w:t xml:space="preserve">posredni stroški v višini do 15 % upravičenih neposrednih stroškov osebja (pavšalna stopnja), </w:t>
      </w:r>
    </w:p>
    <w:p w14:paraId="3E0192A3" w14:textId="77777777" w:rsidR="000C02B1" w:rsidRPr="000C02B1" w:rsidRDefault="00DB7E99" w:rsidP="000C02B1">
      <w:pPr>
        <w:pStyle w:val="Odstavekseznama"/>
        <w:numPr>
          <w:ilvl w:val="0"/>
          <w:numId w:val="44"/>
        </w:numPr>
        <w:tabs>
          <w:tab w:val="left" w:pos="851"/>
        </w:tabs>
        <w:spacing w:after="0"/>
        <w:ind w:left="851" w:hanging="284"/>
        <w:jc w:val="both"/>
        <w:rPr>
          <w:rFonts w:ascii="Arial" w:hAnsi="Arial" w:cs="Arial"/>
          <w:sz w:val="20"/>
          <w:szCs w:val="20"/>
        </w:rPr>
      </w:pPr>
      <w:r w:rsidRPr="000C02B1">
        <w:rPr>
          <w:rFonts w:ascii="Arial" w:hAnsi="Arial" w:cs="Arial"/>
          <w:color w:val="000000"/>
          <w:sz w:val="20"/>
          <w:szCs w:val="20"/>
        </w:rPr>
        <w:t>stroški storitev zunanjih izvajalcev,</w:t>
      </w:r>
    </w:p>
    <w:p w14:paraId="4389C29C" w14:textId="42E09D5B" w:rsidR="00DB7E99" w:rsidRPr="000C02B1" w:rsidRDefault="00DB7E99" w:rsidP="000C02B1">
      <w:pPr>
        <w:pStyle w:val="Odstavekseznama"/>
        <w:numPr>
          <w:ilvl w:val="0"/>
          <w:numId w:val="44"/>
        </w:numPr>
        <w:tabs>
          <w:tab w:val="left" w:pos="851"/>
        </w:tabs>
        <w:spacing w:after="0"/>
        <w:ind w:left="851" w:hanging="284"/>
        <w:jc w:val="both"/>
        <w:rPr>
          <w:rFonts w:ascii="Arial" w:hAnsi="Arial" w:cs="Arial"/>
          <w:sz w:val="20"/>
          <w:szCs w:val="20"/>
        </w:rPr>
      </w:pPr>
      <w:r w:rsidRPr="000C02B1">
        <w:rPr>
          <w:rFonts w:ascii="Arial" w:hAnsi="Arial" w:cs="Arial"/>
          <w:color w:val="000000"/>
          <w:sz w:val="20"/>
          <w:szCs w:val="20"/>
        </w:rPr>
        <w:t>stroški manjših vlaganj v gradnjo in opremo,</w:t>
      </w:r>
    </w:p>
    <w:p w14:paraId="16FBAD8C" w14:textId="77777777" w:rsidR="00DB7E99" w:rsidRPr="000C02B1" w:rsidRDefault="00DB7E99" w:rsidP="000C02B1">
      <w:pPr>
        <w:numPr>
          <w:ilvl w:val="0"/>
          <w:numId w:val="44"/>
        </w:numPr>
        <w:spacing w:line="276" w:lineRule="auto"/>
        <w:ind w:left="851" w:hanging="284"/>
        <w:jc w:val="both"/>
        <w:rPr>
          <w:rFonts w:ascii="Arial" w:hAnsi="Arial" w:cs="Arial"/>
        </w:rPr>
      </w:pPr>
      <w:r w:rsidRPr="000C02B1">
        <w:rPr>
          <w:rFonts w:ascii="Arial" w:hAnsi="Arial" w:cs="Arial"/>
          <w:color w:val="000000"/>
        </w:rPr>
        <w:t>stroški investicij v neopredmetena osnovna sredstva in</w:t>
      </w:r>
    </w:p>
    <w:p w14:paraId="503D834A" w14:textId="77777777" w:rsidR="00DB7E99" w:rsidRPr="000C02B1" w:rsidRDefault="00DB7E99" w:rsidP="000C02B1">
      <w:pPr>
        <w:numPr>
          <w:ilvl w:val="0"/>
          <w:numId w:val="44"/>
        </w:numPr>
        <w:spacing w:line="276" w:lineRule="auto"/>
        <w:ind w:left="851" w:hanging="284"/>
        <w:jc w:val="both"/>
        <w:rPr>
          <w:rFonts w:ascii="Arial" w:hAnsi="Arial" w:cs="Arial"/>
        </w:rPr>
      </w:pPr>
      <w:r w:rsidRPr="000C02B1">
        <w:rPr>
          <w:rFonts w:ascii="Arial" w:eastAsia="MS Mincho" w:hAnsi="Arial" w:cs="Arial"/>
        </w:rPr>
        <w:t xml:space="preserve">davek na dodano vrednost (v nadaljevanju: DDV), </w:t>
      </w:r>
      <w:r w:rsidRPr="000C02B1">
        <w:rPr>
          <w:rFonts w:ascii="Arial" w:hAnsi="Arial" w:cs="Arial"/>
        </w:rPr>
        <w:t>če v skladu z zakonom, ki ureja DDV ni povračljiv.</w:t>
      </w:r>
    </w:p>
    <w:p w14:paraId="62E286E5" w14:textId="32273F7F" w:rsidR="00DB7E99" w:rsidRPr="00055D6B" w:rsidRDefault="00055D6B" w:rsidP="00DB7E99">
      <w:pPr>
        <w:jc w:val="both"/>
        <w:rPr>
          <w:rFonts w:ascii="Arial" w:hAnsi="Arial" w:cs="Arial"/>
          <w:b/>
          <w:bCs/>
        </w:rPr>
      </w:pPr>
      <w:r w:rsidRPr="00055D6B">
        <w:rPr>
          <w:rFonts w:ascii="Arial" w:hAnsi="Arial" w:cs="Arial"/>
          <w:b/>
          <w:bCs/>
        </w:rPr>
        <w:t xml:space="preserve">- </w:t>
      </w:r>
      <w:r w:rsidR="00DB7E99" w:rsidRPr="00055D6B">
        <w:rPr>
          <w:rFonts w:ascii="Arial" w:hAnsi="Arial" w:cs="Arial"/>
          <w:b/>
          <w:bCs/>
        </w:rPr>
        <w:t>PD:</w:t>
      </w:r>
    </w:p>
    <w:p w14:paraId="275DF74E" w14:textId="33467359" w:rsidR="00DB7E99" w:rsidRDefault="00BF4517" w:rsidP="000C02B1">
      <w:pPr>
        <w:spacing w:line="276" w:lineRule="auto"/>
        <w:ind w:left="851" w:hanging="284"/>
        <w:jc w:val="both"/>
        <w:rPr>
          <w:rFonts w:ascii="Arial" w:hAnsi="Arial" w:cs="Arial"/>
        </w:rPr>
      </w:pPr>
      <w:r>
        <w:rPr>
          <w:rFonts w:ascii="Arial" w:hAnsi="Arial" w:cs="Arial"/>
        </w:rPr>
        <w:t xml:space="preserve">7) </w:t>
      </w:r>
      <w:r w:rsidR="00DB7E99">
        <w:rPr>
          <w:rFonts w:ascii="Arial" w:hAnsi="Arial" w:cs="Arial"/>
        </w:rPr>
        <w:t>stroški plač in povračil stroškov v zvezi z delom (SE),</w:t>
      </w:r>
      <w:bookmarkStart w:id="44" w:name="_Hlk188618643"/>
      <w:bookmarkStart w:id="45" w:name="_Hlk188618237"/>
    </w:p>
    <w:p w14:paraId="4C53FC6E" w14:textId="77777777" w:rsidR="000C02B1" w:rsidRPr="00831D23" w:rsidRDefault="00BF4517" w:rsidP="000C02B1">
      <w:pPr>
        <w:ind w:left="644" w:hanging="77"/>
        <w:jc w:val="both"/>
        <w:rPr>
          <w:rFonts w:ascii="Arial" w:hAnsi="Arial" w:cs="Arial"/>
        </w:rPr>
      </w:pPr>
      <w:r>
        <w:rPr>
          <w:rFonts w:ascii="Arial" w:hAnsi="Arial" w:cs="Arial"/>
          <w:color w:val="000000"/>
        </w:rPr>
        <w:t xml:space="preserve">8) </w:t>
      </w:r>
      <w:bookmarkEnd w:id="44"/>
      <w:bookmarkEnd w:id="45"/>
      <w:r w:rsidR="000C02B1" w:rsidRPr="00831D23">
        <w:rPr>
          <w:rFonts w:ascii="Arial" w:hAnsi="Arial" w:cs="Arial"/>
          <w:color w:val="000000"/>
        </w:rPr>
        <w:t>preostali upravičeni stroški v višini do 40 % upravičenih neposrednih stroškov osebja (pavšalna stopnja).</w:t>
      </w:r>
    </w:p>
    <w:p w14:paraId="63478DD0" w14:textId="4D07E52C" w:rsidR="005F24DE" w:rsidRDefault="005F24DE" w:rsidP="005F24DE">
      <w:pPr>
        <w:spacing w:line="276" w:lineRule="auto"/>
        <w:ind w:left="851" w:hanging="284"/>
        <w:jc w:val="both"/>
        <w:rPr>
          <w:rFonts w:ascii="Arial" w:eastAsia="Arial" w:hAnsi="Arial" w:cs="Arial"/>
          <w:color w:val="000000"/>
        </w:rPr>
      </w:pPr>
    </w:p>
    <w:p w14:paraId="68F4E047"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 xml:space="preserve">Sofinanciranje upravičenih stroškov v okviru javnega razpisa ne predstavlja državne pomoči oz. pomoči po pravilu »de </w:t>
      </w:r>
      <w:proofErr w:type="spellStart"/>
      <w:r>
        <w:rPr>
          <w:rFonts w:ascii="Arial" w:eastAsia="Arial" w:hAnsi="Arial" w:cs="Arial"/>
          <w:b/>
          <w:bCs/>
          <w:color w:val="000000"/>
        </w:rPr>
        <w:t>minimis</w:t>
      </w:r>
      <w:proofErr w:type="spellEnd"/>
      <w:r>
        <w:rPr>
          <w:rFonts w:ascii="Arial" w:eastAsia="Arial" w:hAnsi="Arial" w:cs="Arial"/>
          <w:b/>
          <w:bCs/>
          <w:color w:val="000000"/>
        </w:rPr>
        <w:t>«.</w:t>
      </w:r>
    </w:p>
    <w:p w14:paraId="154D0233"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465A226A"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Prijavitelji lahko zaprosijo </w:t>
      </w:r>
      <w:r>
        <w:rPr>
          <w:rFonts w:ascii="Arial" w:eastAsia="Arial" w:hAnsi="Arial" w:cs="Arial"/>
          <w:b/>
          <w:bCs/>
          <w:color w:val="000000"/>
        </w:rPr>
        <w:t>za sofinanciranje v višini do 80 % upravičenih stroškov operacije, vendar ne več kot je to določeno v točki 10 razpisne dokumentacije.</w:t>
      </w:r>
    </w:p>
    <w:p w14:paraId="0AE705B7"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BD302B6"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Zaradi lažjega razumevanja v spodnji tabeli povzemamo višino upravičenosti ter omejitve v zvezi z uveljavljanjem posameznih upravičenih stroškov:</w:t>
      </w:r>
    </w:p>
    <w:p w14:paraId="399DAA0B" w14:textId="77777777" w:rsidR="000A6150" w:rsidRDefault="000A6150">
      <w:pPr>
        <w:pBdr>
          <w:top w:val="nil"/>
          <w:left w:val="nil"/>
          <w:bottom w:val="nil"/>
          <w:right w:val="nil"/>
          <w:between w:val="nil"/>
        </w:pBdr>
        <w:spacing w:line="276" w:lineRule="auto"/>
        <w:jc w:val="both"/>
        <w:rPr>
          <w:rFonts w:ascii="Arial" w:eastAsia="Arial" w:hAnsi="Arial" w:cs="Arial"/>
          <w:color w:val="000000"/>
        </w:rPr>
      </w:pPr>
    </w:p>
    <w:p w14:paraId="101E0CFE" w14:textId="68215388" w:rsidR="000A6150" w:rsidRPr="00055D6B" w:rsidRDefault="000A6150" w:rsidP="00055D6B">
      <w:pPr>
        <w:pStyle w:val="Odstavekseznama"/>
        <w:numPr>
          <w:ilvl w:val="0"/>
          <w:numId w:val="36"/>
        </w:numPr>
        <w:pBdr>
          <w:top w:val="nil"/>
          <w:left w:val="nil"/>
          <w:bottom w:val="nil"/>
          <w:right w:val="nil"/>
          <w:between w:val="nil"/>
        </w:pBdr>
        <w:jc w:val="both"/>
        <w:rPr>
          <w:rFonts w:ascii="Arial" w:eastAsia="Arial" w:hAnsi="Arial" w:cs="Arial"/>
          <w:b/>
          <w:bCs/>
          <w:color w:val="000000"/>
        </w:rPr>
      </w:pPr>
      <w:r w:rsidRPr="00055D6B">
        <w:rPr>
          <w:rFonts w:ascii="Arial" w:eastAsia="Arial" w:hAnsi="Arial" w:cs="Arial"/>
          <w:b/>
          <w:bCs/>
          <w:color w:val="000000"/>
        </w:rPr>
        <w:t xml:space="preserve">Upravičeni stroški za Sklop 1 (RDO): </w:t>
      </w:r>
    </w:p>
    <w:p w14:paraId="491BFA06"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bl>
      <w:tblPr>
        <w:tblStyle w:val="a3"/>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0755BA" w14:paraId="2A84FC2C" w14:textId="77777777">
        <w:trPr>
          <w:trHeight w:val="560"/>
        </w:trPr>
        <w:tc>
          <w:tcPr>
            <w:tcW w:w="4077" w:type="dxa"/>
          </w:tcPr>
          <w:p w14:paraId="5153A653" w14:textId="77777777" w:rsidR="000755BA" w:rsidRDefault="00EF1395">
            <w:pPr>
              <w:pBdr>
                <w:top w:val="nil"/>
                <w:left w:val="nil"/>
                <w:bottom w:val="nil"/>
                <w:right w:val="nil"/>
                <w:between w:val="nil"/>
              </w:pBdr>
              <w:tabs>
                <w:tab w:val="left" w:pos="728"/>
              </w:tabs>
              <w:spacing w:after="200" w:line="276" w:lineRule="auto"/>
              <w:rPr>
                <w:rFonts w:ascii="Arial" w:eastAsia="Arial" w:hAnsi="Arial" w:cs="Arial"/>
                <w:color w:val="000000"/>
              </w:rPr>
            </w:pPr>
            <w:r>
              <w:rPr>
                <w:rFonts w:ascii="Arial" w:eastAsia="Arial" w:hAnsi="Arial" w:cs="Arial"/>
                <w:b/>
                <w:bCs/>
                <w:color w:val="000000"/>
              </w:rPr>
              <w:t>Kategorija upravičenega stroška</w:t>
            </w:r>
          </w:p>
        </w:tc>
        <w:tc>
          <w:tcPr>
            <w:tcW w:w="5245" w:type="dxa"/>
          </w:tcPr>
          <w:p w14:paraId="11209872" w14:textId="77777777" w:rsidR="000755BA" w:rsidRDefault="00EF1395">
            <w:pPr>
              <w:pBdr>
                <w:top w:val="nil"/>
                <w:left w:val="nil"/>
                <w:bottom w:val="nil"/>
                <w:right w:val="nil"/>
                <w:between w:val="nil"/>
              </w:pBdr>
              <w:tabs>
                <w:tab w:val="left" w:pos="728"/>
              </w:tabs>
              <w:spacing w:after="200" w:line="276" w:lineRule="auto"/>
              <w:rPr>
                <w:rFonts w:ascii="Arial" w:eastAsia="Arial" w:hAnsi="Arial" w:cs="Arial"/>
                <w:color w:val="000000"/>
              </w:rPr>
            </w:pPr>
            <w:r>
              <w:rPr>
                <w:rFonts w:ascii="Arial" w:eastAsia="Arial" w:hAnsi="Arial" w:cs="Arial"/>
                <w:b/>
                <w:bCs/>
                <w:color w:val="000000"/>
              </w:rPr>
              <w:t>Višina upravičenosti in omejitve v zvezi z uveljavljanjem posameznih upravičenih stroškov</w:t>
            </w:r>
          </w:p>
        </w:tc>
      </w:tr>
      <w:tr w:rsidR="000755BA" w14:paraId="2730C498" w14:textId="77777777">
        <w:tc>
          <w:tcPr>
            <w:tcW w:w="4077" w:type="dxa"/>
          </w:tcPr>
          <w:p w14:paraId="4ACAE4A6" w14:textId="7F3DD51E" w:rsidR="000755BA" w:rsidRPr="00072E39" w:rsidRDefault="00EF1395" w:rsidP="00072E39">
            <w:pPr>
              <w:pBdr>
                <w:top w:val="nil"/>
                <w:left w:val="nil"/>
                <w:bottom w:val="nil"/>
                <w:right w:val="nil"/>
                <w:between w:val="nil"/>
              </w:pBdr>
              <w:tabs>
                <w:tab w:val="left" w:pos="728"/>
              </w:tabs>
              <w:rPr>
                <w:rFonts w:ascii="Arial" w:eastAsia="Arial" w:hAnsi="Arial" w:cs="Arial"/>
                <w:color w:val="000000"/>
              </w:rPr>
            </w:pPr>
            <w:r w:rsidRPr="00072E39">
              <w:rPr>
                <w:rFonts w:ascii="Arial" w:eastAsia="Arial" w:hAnsi="Arial" w:cs="Arial"/>
                <w:color w:val="000000"/>
              </w:rPr>
              <w:lastRenderedPageBreak/>
              <w:t>Stroški plač in povračil stroškov v zvezi z delom (SE)</w:t>
            </w:r>
          </w:p>
        </w:tc>
        <w:tc>
          <w:tcPr>
            <w:tcW w:w="5245" w:type="dxa"/>
          </w:tcPr>
          <w:p w14:paraId="64B284C7" w14:textId="77777777" w:rsidR="000755BA" w:rsidRPr="00A34622" w:rsidRDefault="00EF1395">
            <w:pPr>
              <w:numPr>
                <w:ilvl w:val="0"/>
                <w:numId w:val="36"/>
              </w:numPr>
              <w:pBdr>
                <w:top w:val="nil"/>
                <w:left w:val="nil"/>
                <w:bottom w:val="nil"/>
                <w:right w:val="nil"/>
                <w:between w:val="nil"/>
              </w:pBdr>
              <w:spacing w:after="200" w:line="276" w:lineRule="auto"/>
              <w:ind w:left="319"/>
              <w:jc w:val="both"/>
              <w:rPr>
                <w:color w:val="000000"/>
              </w:rPr>
            </w:pPr>
            <w:r w:rsidRPr="00A34622">
              <w:rPr>
                <w:rFonts w:ascii="Arial" w:eastAsia="Arial" w:hAnsi="Arial" w:cs="Arial"/>
                <w:b/>
                <w:bCs/>
                <w:color w:val="000000"/>
              </w:rPr>
              <w:t>2.950 EUR</w:t>
            </w:r>
            <w:r w:rsidRPr="00A34622">
              <w:rPr>
                <w:rFonts w:ascii="Arial" w:eastAsia="Arial" w:hAnsi="Arial" w:cs="Arial"/>
                <w:color w:val="000000"/>
              </w:rPr>
              <w:t xml:space="preserve"> bruto / mesec v letih 2026 in 2027</w:t>
            </w:r>
            <w:r w:rsidRPr="00A34622">
              <w:rPr>
                <w:rFonts w:ascii="Arial" w:eastAsia="Arial" w:hAnsi="Arial" w:cs="Arial"/>
                <w:b/>
                <w:bCs/>
                <w:color w:val="000000"/>
              </w:rPr>
              <w:t xml:space="preserve"> </w:t>
            </w:r>
            <w:r w:rsidRPr="00A34622">
              <w:rPr>
                <w:rFonts w:ascii="Arial" w:eastAsia="Arial" w:hAnsi="Arial" w:cs="Arial"/>
                <w:color w:val="000000"/>
              </w:rPr>
              <w:t>za polno zaposlenega na operaciji in</w:t>
            </w:r>
            <w:r w:rsidRPr="00A34622">
              <w:rPr>
                <w:rFonts w:ascii="Arial" w:eastAsia="Arial" w:hAnsi="Arial" w:cs="Arial"/>
                <w:b/>
                <w:bCs/>
                <w:color w:val="000000"/>
              </w:rPr>
              <w:t xml:space="preserve"> 3.080 EUR  </w:t>
            </w:r>
            <w:r w:rsidRPr="00A34622">
              <w:rPr>
                <w:rFonts w:ascii="Arial" w:eastAsia="Arial" w:hAnsi="Arial" w:cs="Arial"/>
                <w:color w:val="000000"/>
              </w:rPr>
              <w:t>bruto / mesec za leto 2028</w:t>
            </w:r>
          </w:p>
          <w:p w14:paraId="2F9CA348" w14:textId="77777777" w:rsidR="000755BA" w:rsidRPr="00A34622" w:rsidRDefault="00EF1395">
            <w:pPr>
              <w:numPr>
                <w:ilvl w:val="0"/>
                <w:numId w:val="36"/>
              </w:numPr>
              <w:pBdr>
                <w:top w:val="nil"/>
                <w:left w:val="nil"/>
                <w:bottom w:val="nil"/>
                <w:right w:val="nil"/>
                <w:between w:val="nil"/>
              </w:pBdr>
              <w:spacing w:after="200" w:line="276" w:lineRule="auto"/>
              <w:ind w:left="319"/>
              <w:jc w:val="both"/>
              <w:rPr>
                <w:color w:val="000000"/>
              </w:rPr>
            </w:pPr>
            <w:r w:rsidRPr="00A34622">
              <w:rPr>
                <w:rFonts w:ascii="Arial" w:eastAsia="Arial" w:hAnsi="Arial" w:cs="Arial"/>
                <w:b/>
                <w:bCs/>
                <w:color w:val="000000"/>
              </w:rPr>
              <w:t>1.475 EUR</w:t>
            </w:r>
            <w:r w:rsidRPr="00A34622">
              <w:rPr>
                <w:rFonts w:ascii="Arial" w:eastAsia="Arial" w:hAnsi="Arial" w:cs="Arial"/>
                <w:color w:val="000000"/>
              </w:rPr>
              <w:t xml:space="preserve"> bruto / mesec v letih 2026 in 2027 za polovično zaposlenega na operaciji in </w:t>
            </w:r>
            <w:r w:rsidRPr="00A34622">
              <w:rPr>
                <w:rFonts w:ascii="Arial" w:eastAsia="Arial" w:hAnsi="Arial" w:cs="Arial"/>
                <w:b/>
                <w:bCs/>
                <w:color w:val="000000"/>
              </w:rPr>
              <w:t>1.540 EUR</w:t>
            </w:r>
            <w:r w:rsidRPr="00A34622">
              <w:rPr>
                <w:rFonts w:ascii="Arial" w:eastAsia="Arial" w:hAnsi="Arial" w:cs="Arial"/>
                <w:color w:val="000000"/>
              </w:rPr>
              <w:t xml:space="preserve"> bruto / mesec za leto 2028</w:t>
            </w:r>
          </w:p>
        </w:tc>
      </w:tr>
      <w:tr w:rsidR="00A34622" w14:paraId="5F440DF4" w14:textId="77777777">
        <w:tc>
          <w:tcPr>
            <w:tcW w:w="4077" w:type="dxa"/>
          </w:tcPr>
          <w:p w14:paraId="53B22442" w14:textId="77777777" w:rsidR="00A34622" w:rsidRPr="00831D23" w:rsidRDefault="00A34622" w:rsidP="00A34622">
            <w:pPr>
              <w:jc w:val="both"/>
              <w:rPr>
                <w:rFonts w:ascii="Arial" w:hAnsi="Arial" w:cs="Arial"/>
              </w:rPr>
            </w:pPr>
            <w:r w:rsidRPr="00831D23">
              <w:rPr>
                <w:rFonts w:ascii="Arial" w:hAnsi="Arial" w:cs="Arial"/>
                <w:color w:val="000000"/>
              </w:rPr>
              <w:t xml:space="preserve">posredni stroški upravičenih neposrednih stroškov osebja (pavšalna stopnja), </w:t>
            </w:r>
          </w:p>
          <w:p w14:paraId="14F2C0FB" w14:textId="0757F080" w:rsidR="00A34622" w:rsidRPr="00072E39" w:rsidRDefault="00A34622" w:rsidP="00A34622">
            <w:pPr>
              <w:pBdr>
                <w:top w:val="nil"/>
                <w:left w:val="nil"/>
                <w:bottom w:val="nil"/>
                <w:right w:val="nil"/>
                <w:between w:val="nil"/>
              </w:pBdr>
              <w:tabs>
                <w:tab w:val="left" w:pos="728"/>
              </w:tabs>
              <w:rPr>
                <w:rFonts w:ascii="Arial" w:eastAsia="Arial" w:hAnsi="Arial" w:cs="Arial"/>
                <w:color w:val="000000"/>
              </w:rPr>
            </w:pPr>
          </w:p>
        </w:tc>
        <w:tc>
          <w:tcPr>
            <w:tcW w:w="5245" w:type="dxa"/>
          </w:tcPr>
          <w:p w14:paraId="3FE214C8" w14:textId="1780B7B5" w:rsidR="00A34622" w:rsidRPr="00A34622" w:rsidRDefault="00A34622" w:rsidP="00A34622">
            <w:pPr>
              <w:pStyle w:val="Odstavekseznama"/>
              <w:numPr>
                <w:ilvl w:val="0"/>
                <w:numId w:val="36"/>
              </w:numPr>
              <w:ind w:left="174" w:hanging="174"/>
              <w:jc w:val="both"/>
              <w:rPr>
                <w:rFonts w:ascii="Arial" w:hAnsi="Arial" w:cs="Arial"/>
                <w:sz w:val="20"/>
                <w:szCs w:val="20"/>
              </w:rPr>
            </w:pPr>
            <w:r w:rsidRPr="00A34622">
              <w:rPr>
                <w:rFonts w:ascii="Arial" w:hAnsi="Arial" w:cs="Arial"/>
                <w:b/>
                <w:bCs/>
                <w:sz w:val="20"/>
                <w:szCs w:val="20"/>
              </w:rPr>
              <w:t>največ do 15 %</w:t>
            </w:r>
            <w:r w:rsidRPr="00A34622">
              <w:rPr>
                <w:rFonts w:ascii="Arial" w:hAnsi="Arial" w:cs="Arial"/>
                <w:sz w:val="20"/>
                <w:szCs w:val="20"/>
              </w:rPr>
              <w:t xml:space="preserve"> </w:t>
            </w:r>
            <w:r w:rsidRPr="00A34622">
              <w:rPr>
                <w:rFonts w:ascii="Arial" w:hAnsi="Arial" w:cs="Arial"/>
                <w:color w:val="000000"/>
                <w:sz w:val="20"/>
                <w:szCs w:val="20"/>
              </w:rPr>
              <w:t>upravičenih neposrednih stroškov osebja</w:t>
            </w:r>
          </w:p>
        </w:tc>
      </w:tr>
      <w:tr w:rsidR="000755BA" w14:paraId="45429F7B" w14:textId="77777777">
        <w:tc>
          <w:tcPr>
            <w:tcW w:w="4077" w:type="dxa"/>
          </w:tcPr>
          <w:p w14:paraId="50D8268D" w14:textId="41722826" w:rsidR="000755BA" w:rsidRPr="00072E39" w:rsidRDefault="00EF1395" w:rsidP="00072E39">
            <w:pPr>
              <w:pBdr>
                <w:top w:val="nil"/>
                <w:left w:val="nil"/>
                <w:bottom w:val="nil"/>
                <w:right w:val="nil"/>
                <w:between w:val="nil"/>
              </w:pBdr>
              <w:tabs>
                <w:tab w:val="left" w:pos="728"/>
              </w:tabs>
              <w:rPr>
                <w:rFonts w:ascii="Arial" w:eastAsia="Arial" w:hAnsi="Arial" w:cs="Arial"/>
                <w:color w:val="000000"/>
              </w:rPr>
            </w:pPr>
            <w:r w:rsidRPr="00072E39">
              <w:rPr>
                <w:rFonts w:ascii="Arial" w:eastAsia="Arial" w:hAnsi="Arial" w:cs="Arial"/>
                <w:color w:val="000000"/>
              </w:rPr>
              <w:t>Stroški storitev zunanjih izvajalcev</w:t>
            </w:r>
          </w:p>
        </w:tc>
        <w:tc>
          <w:tcPr>
            <w:tcW w:w="5245" w:type="dxa"/>
          </w:tcPr>
          <w:p w14:paraId="0F4BD20E" w14:textId="77777777" w:rsidR="000755BA" w:rsidRDefault="00EF1395">
            <w:pPr>
              <w:numPr>
                <w:ilvl w:val="0"/>
                <w:numId w:val="36"/>
              </w:numPr>
              <w:pBdr>
                <w:top w:val="nil"/>
                <w:left w:val="nil"/>
                <w:bottom w:val="nil"/>
                <w:right w:val="nil"/>
                <w:between w:val="nil"/>
              </w:pBdr>
              <w:spacing w:after="200" w:line="276" w:lineRule="auto"/>
              <w:ind w:left="319"/>
              <w:rPr>
                <w:color w:val="000000"/>
              </w:rPr>
            </w:pPr>
            <w:r>
              <w:rPr>
                <w:rFonts w:ascii="Arial" w:eastAsia="Arial" w:hAnsi="Arial" w:cs="Arial"/>
                <w:b/>
                <w:bCs/>
                <w:color w:val="000000"/>
              </w:rPr>
              <w:t>največ do 80 %</w:t>
            </w:r>
            <w:r>
              <w:rPr>
                <w:rFonts w:ascii="Arial" w:eastAsia="Arial" w:hAnsi="Arial" w:cs="Arial"/>
                <w:color w:val="000000"/>
              </w:rPr>
              <w:t xml:space="preserve"> upravičenih stroškov  </w:t>
            </w:r>
          </w:p>
          <w:p w14:paraId="6AC62CF7" w14:textId="77777777" w:rsidR="000755BA" w:rsidRDefault="00EF1395">
            <w:pPr>
              <w:numPr>
                <w:ilvl w:val="0"/>
                <w:numId w:val="36"/>
              </w:numPr>
              <w:pBdr>
                <w:top w:val="nil"/>
                <w:left w:val="nil"/>
                <w:bottom w:val="nil"/>
                <w:right w:val="nil"/>
                <w:between w:val="nil"/>
              </w:pBdr>
              <w:spacing w:after="200" w:line="276" w:lineRule="auto"/>
              <w:ind w:left="319"/>
              <w:jc w:val="both"/>
              <w:rPr>
                <w:color w:val="000000"/>
              </w:rPr>
            </w:pPr>
            <w:r>
              <w:rPr>
                <w:rFonts w:ascii="Arial" w:eastAsia="Arial" w:hAnsi="Arial" w:cs="Arial"/>
                <w:color w:val="000000"/>
                <w:u w:val="single"/>
              </w:rPr>
              <w:t>dodatni omejitvi</w:t>
            </w:r>
            <w:r>
              <w:rPr>
                <w:rFonts w:ascii="Arial" w:eastAsia="Arial" w:hAnsi="Arial" w:cs="Arial"/>
                <w:color w:val="000000"/>
              </w:rPr>
              <w:t xml:space="preserve">: </w:t>
            </w:r>
          </w:p>
          <w:p w14:paraId="4FB7DD51" w14:textId="77777777" w:rsidR="000755BA" w:rsidRDefault="00EF1395">
            <w:pPr>
              <w:numPr>
                <w:ilvl w:val="0"/>
                <w:numId w:val="23"/>
              </w:numPr>
              <w:pBdr>
                <w:top w:val="nil"/>
                <w:left w:val="nil"/>
                <w:bottom w:val="nil"/>
                <w:right w:val="nil"/>
                <w:between w:val="nil"/>
              </w:pBdr>
              <w:spacing w:after="200" w:line="276" w:lineRule="auto"/>
              <w:ind w:left="742"/>
              <w:jc w:val="both"/>
              <w:rPr>
                <w:color w:val="000000"/>
              </w:rPr>
            </w:pPr>
            <w:r>
              <w:rPr>
                <w:rFonts w:ascii="Arial" w:eastAsia="Arial" w:hAnsi="Arial" w:cs="Arial"/>
                <w:b/>
                <w:bCs/>
                <w:color w:val="000000"/>
              </w:rPr>
              <w:t>stroški zunanji izvajalcev, vezani na promocijo destinacije,</w:t>
            </w:r>
            <w:r>
              <w:rPr>
                <w:rFonts w:ascii="Arial" w:eastAsia="Arial" w:hAnsi="Arial" w:cs="Arial"/>
                <w:color w:val="000000"/>
              </w:rPr>
              <w:t xml:space="preserve"> lahko dosegajo </w:t>
            </w:r>
            <w:r>
              <w:rPr>
                <w:rFonts w:ascii="Arial" w:eastAsia="Arial" w:hAnsi="Arial" w:cs="Arial"/>
                <w:b/>
                <w:bCs/>
                <w:color w:val="000000"/>
              </w:rPr>
              <w:t>do največ 20 %</w:t>
            </w:r>
            <w:r>
              <w:rPr>
                <w:rFonts w:ascii="Arial" w:eastAsia="Arial" w:hAnsi="Arial" w:cs="Arial"/>
                <w:color w:val="000000"/>
              </w:rPr>
              <w:t xml:space="preserve"> vrednosti celotnih upravičenih stroškov operacije </w:t>
            </w:r>
          </w:p>
          <w:p w14:paraId="5BB24151" w14:textId="77777777" w:rsidR="000755BA" w:rsidRDefault="00EF1395">
            <w:pPr>
              <w:numPr>
                <w:ilvl w:val="0"/>
                <w:numId w:val="23"/>
              </w:numPr>
              <w:pBdr>
                <w:top w:val="nil"/>
                <w:left w:val="nil"/>
                <w:bottom w:val="nil"/>
                <w:right w:val="nil"/>
                <w:between w:val="nil"/>
              </w:pBdr>
              <w:spacing w:line="276" w:lineRule="auto"/>
              <w:ind w:left="742"/>
              <w:jc w:val="both"/>
              <w:rPr>
                <w:color w:val="000000"/>
              </w:rPr>
            </w:pPr>
            <w:r>
              <w:rPr>
                <w:rFonts w:ascii="Arial" w:eastAsia="Arial" w:hAnsi="Arial" w:cs="Arial"/>
                <w:color w:val="000000"/>
              </w:rPr>
              <w:t xml:space="preserve">v okviru operacije je treba vsaj </w:t>
            </w:r>
            <w:r>
              <w:rPr>
                <w:rFonts w:ascii="Arial" w:eastAsia="Arial" w:hAnsi="Arial" w:cs="Arial"/>
                <w:b/>
                <w:bCs/>
                <w:color w:val="000000"/>
              </w:rPr>
              <w:t>5 % vrednosti</w:t>
            </w:r>
            <w:r>
              <w:rPr>
                <w:rFonts w:ascii="Arial" w:eastAsia="Arial" w:hAnsi="Arial" w:cs="Arial"/>
                <w:color w:val="000000"/>
              </w:rPr>
              <w:t xml:space="preserve"> upravičenih stroškov operacije nameniti </w:t>
            </w:r>
            <w:r>
              <w:rPr>
                <w:rFonts w:ascii="Arial" w:eastAsia="Arial" w:hAnsi="Arial" w:cs="Arial"/>
                <w:b/>
                <w:bCs/>
                <w:color w:val="000000"/>
              </w:rPr>
              <w:t>krepitvi kompetenc širše zainteresirane javnosti</w:t>
            </w:r>
            <w:r>
              <w:rPr>
                <w:rFonts w:ascii="Arial" w:eastAsia="Arial" w:hAnsi="Arial" w:cs="Arial"/>
                <w:color w:val="000000"/>
              </w:rPr>
              <w:t xml:space="preserve"> na področju gostinstva in turizma na območju svojega delovanja</w:t>
            </w:r>
          </w:p>
          <w:p w14:paraId="6080B8E9" w14:textId="77777777" w:rsidR="000755BA" w:rsidRDefault="000755BA">
            <w:pPr>
              <w:pBdr>
                <w:top w:val="nil"/>
                <w:left w:val="nil"/>
                <w:bottom w:val="nil"/>
                <w:right w:val="nil"/>
                <w:between w:val="nil"/>
              </w:pBdr>
              <w:spacing w:line="276" w:lineRule="auto"/>
              <w:ind w:left="742"/>
              <w:jc w:val="both"/>
              <w:rPr>
                <w:rFonts w:ascii="Arial" w:eastAsia="Arial" w:hAnsi="Arial" w:cs="Arial"/>
                <w:color w:val="000000"/>
              </w:rPr>
            </w:pPr>
          </w:p>
        </w:tc>
      </w:tr>
      <w:tr w:rsidR="000755BA" w14:paraId="6F4D9AB1" w14:textId="77777777">
        <w:tc>
          <w:tcPr>
            <w:tcW w:w="4077" w:type="dxa"/>
          </w:tcPr>
          <w:p w14:paraId="27ED0D8C" w14:textId="2BBA1FE6" w:rsidR="000755BA" w:rsidRPr="00072E39" w:rsidRDefault="00EF1395" w:rsidP="00072E39">
            <w:pPr>
              <w:pBdr>
                <w:top w:val="nil"/>
                <w:left w:val="nil"/>
                <w:bottom w:val="nil"/>
                <w:right w:val="nil"/>
                <w:between w:val="nil"/>
              </w:pBdr>
              <w:tabs>
                <w:tab w:val="left" w:pos="728"/>
              </w:tabs>
              <w:rPr>
                <w:rFonts w:ascii="Arial Narrow" w:eastAsia="Arial Narrow" w:hAnsi="Arial Narrow" w:cs="Arial Narrow"/>
                <w:color w:val="000000"/>
              </w:rPr>
            </w:pPr>
            <w:r w:rsidRPr="00072E39">
              <w:rPr>
                <w:rFonts w:ascii="Arial" w:eastAsia="Arial" w:hAnsi="Arial" w:cs="Arial"/>
                <w:color w:val="000000"/>
              </w:rPr>
              <w:t>Stroški manjših vlaganj v gradnjo in opremo</w:t>
            </w:r>
          </w:p>
        </w:tc>
        <w:tc>
          <w:tcPr>
            <w:tcW w:w="5245" w:type="dxa"/>
          </w:tcPr>
          <w:p w14:paraId="4C2D81DC" w14:textId="77777777" w:rsidR="000755BA" w:rsidRDefault="00EF1395">
            <w:pPr>
              <w:numPr>
                <w:ilvl w:val="0"/>
                <w:numId w:val="36"/>
              </w:numPr>
              <w:pBdr>
                <w:top w:val="nil"/>
                <w:left w:val="nil"/>
                <w:bottom w:val="nil"/>
                <w:right w:val="nil"/>
                <w:between w:val="nil"/>
              </w:pBdr>
              <w:spacing w:after="200" w:line="276" w:lineRule="auto"/>
              <w:ind w:left="319"/>
              <w:rPr>
                <w:color w:val="000000"/>
              </w:rPr>
            </w:pPr>
            <w:r>
              <w:rPr>
                <w:rFonts w:ascii="Arial" w:eastAsia="Arial" w:hAnsi="Arial" w:cs="Arial"/>
                <w:b/>
                <w:bCs/>
                <w:color w:val="000000"/>
              </w:rPr>
              <w:t>največ do 80 %</w:t>
            </w:r>
            <w:r>
              <w:rPr>
                <w:rFonts w:ascii="Arial" w:eastAsia="Arial" w:hAnsi="Arial" w:cs="Arial"/>
                <w:color w:val="000000"/>
              </w:rPr>
              <w:t xml:space="preserve"> upravičenih stroškov  </w:t>
            </w:r>
          </w:p>
          <w:p w14:paraId="08DBB223" w14:textId="77777777" w:rsidR="000755BA" w:rsidRDefault="00EF1395">
            <w:pPr>
              <w:numPr>
                <w:ilvl w:val="0"/>
                <w:numId w:val="36"/>
              </w:numPr>
              <w:pBdr>
                <w:top w:val="nil"/>
                <w:left w:val="nil"/>
                <w:bottom w:val="nil"/>
                <w:right w:val="nil"/>
                <w:between w:val="nil"/>
              </w:pBdr>
              <w:spacing w:after="200" w:line="276" w:lineRule="auto"/>
              <w:ind w:left="319"/>
              <w:jc w:val="both"/>
              <w:rPr>
                <w:color w:val="000000"/>
              </w:rPr>
            </w:pPr>
            <w:r>
              <w:rPr>
                <w:rFonts w:ascii="Arial" w:eastAsia="Arial" w:hAnsi="Arial" w:cs="Arial"/>
                <w:color w:val="000000"/>
                <w:u w:val="single"/>
              </w:rPr>
              <w:t>dodatna omejitev</w:t>
            </w:r>
            <w:r>
              <w:rPr>
                <w:rFonts w:ascii="Arial" w:eastAsia="Arial" w:hAnsi="Arial" w:cs="Arial"/>
                <w:color w:val="000000"/>
              </w:rPr>
              <w:t xml:space="preserve">: </w:t>
            </w:r>
            <w:r>
              <w:rPr>
                <w:rFonts w:ascii="Arial" w:eastAsia="Arial" w:hAnsi="Arial" w:cs="Arial"/>
                <w:b/>
                <w:bCs/>
                <w:color w:val="000000"/>
              </w:rPr>
              <w:t xml:space="preserve">do največ 20 % </w:t>
            </w:r>
            <w:r>
              <w:rPr>
                <w:rFonts w:ascii="Arial" w:eastAsia="Arial" w:hAnsi="Arial" w:cs="Arial"/>
                <w:color w:val="000000"/>
              </w:rPr>
              <w:t>vrednosti celotnih upravičenih stroškov operacije</w:t>
            </w:r>
          </w:p>
        </w:tc>
      </w:tr>
      <w:tr w:rsidR="000755BA" w14:paraId="6B2A0C3E" w14:textId="77777777">
        <w:tc>
          <w:tcPr>
            <w:tcW w:w="4077" w:type="dxa"/>
          </w:tcPr>
          <w:p w14:paraId="0F345810" w14:textId="346FD25B" w:rsidR="000755BA" w:rsidRPr="00072E39" w:rsidRDefault="00EF1395" w:rsidP="00072E39">
            <w:pPr>
              <w:pBdr>
                <w:top w:val="nil"/>
                <w:left w:val="nil"/>
                <w:bottom w:val="nil"/>
                <w:right w:val="nil"/>
                <w:between w:val="nil"/>
              </w:pBdr>
              <w:tabs>
                <w:tab w:val="left" w:pos="728"/>
              </w:tabs>
              <w:rPr>
                <w:rFonts w:ascii="Arial Narrow" w:eastAsia="Arial Narrow" w:hAnsi="Arial Narrow" w:cs="Arial Narrow"/>
                <w:color w:val="000000"/>
              </w:rPr>
            </w:pPr>
            <w:r w:rsidRPr="00072E39">
              <w:rPr>
                <w:rFonts w:ascii="Arial" w:eastAsia="Arial" w:hAnsi="Arial" w:cs="Arial"/>
                <w:color w:val="000000"/>
              </w:rPr>
              <w:t>Stroški investicij v neopredmetena osnovna sredstva</w:t>
            </w:r>
          </w:p>
        </w:tc>
        <w:tc>
          <w:tcPr>
            <w:tcW w:w="5245" w:type="dxa"/>
          </w:tcPr>
          <w:p w14:paraId="6CF1B8FF" w14:textId="77777777" w:rsidR="000755BA" w:rsidRPr="00055D6B" w:rsidRDefault="00EF1395">
            <w:pPr>
              <w:numPr>
                <w:ilvl w:val="0"/>
                <w:numId w:val="36"/>
              </w:numPr>
              <w:pBdr>
                <w:top w:val="nil"/>
                <w:left w:val="nil"/>
                <w:bottom w:val="nil"/>
                <w:right w:val="nil"/>
                <w:between w:val="nil"/>
              </w:pBdr>
              <w:spacing w:after="200" w:line="276" w:lineRule="auto"/>
              <w:ind w:left="319"/>
              <w:rPr>
                <w:color w:val="000000"/>
              </w:rPr>
            </w:pPr>
            <w:r>
              <w:rPr>
                <w:rFonts w:ascii="Arial" w:eastAsia="Arial" w:hAnsi="Arial" w:cs="Arial"/>
                <w:b/>
                <w:bCs/>
                <w:color w:val="000000"/>
              </w:rPr>
              <w:t>največ do 80 %</w:t>
            </w:r>
            <w:r>
              <w:rPr>
                <w:rFonts w:ascii="Arial" w:eastAsia="Arial" w:hAnsi="Arial" w:cs="Arial"/>
                <w:color w:val="000000"/>
              </w:rPr>
              <w:t xml:space="preserve"> upravičenih stroškov </w:t>
            </w:r>
          </w:p>
          <w:p w14:paraId="662316AE" w14:textId="54E38798" w:rsidR="00992932" w:rsidRDefault="00992932">
            <w:pPr>
              <w:numPr>
                <w:ilvl w:val="0"/>
                <w:numId w:val="36"/>
              </w:numPr>
              <w:pBdr>
                <w:top w:val="nil"/>
                <w:left w:val="nil"/>
                <w:bottom w:val="nil"/>
                <w:right w:val="nil"/>
                <w:between w:val="nil"/>
              </w:pBdr>
              <w:spacing w:after="200" w:line="276" w:lineRule="auto"/>
              <w:ind w:left="319"/>
              <w:rPr>
                <w:color w:val="000000"/>
              </w:rPr>
            </w:pPr>
            <w:r w:rsidRPr="006364B9">
              <w:rPr>
                <w:rFonts w:ascii="Arial" w:hAnsi="Arial" w:cs="Arial"/>
                <w:bCs/>
                <w:u w:val="single"/>
              </w:rPr>
              <w:t>dodatn</w:t>
            </w:r>
            <w:r>
              <w:rPr>
                <w:rFonts w:ascii="Arial" w:hAnsi="Arial" w:cs="Arial"/>
                <w:bCs/>
                <w:u w:val="single"/>
              </w:rPr>
              <w:t>a</w:t>
            </w:r>
            <w:r w:rsidRPr="006364B9">
              <w:rPr>
                <w:rFonts w:ascii="Arial" w:hAnsi="Arial" w:cs="Arial"/>
                <w:bCs/>
                <w:u w:val="single"/>
              </w:rPr>
              <w:t xml:space="preserve"> omej</w:t>
            </w:r>
            <w:r>
              <w:rPr>
                <w:rFonts w:ascii="Arial" w:hAnsi="Arial" w:cs="Arial"/>
                <w:bCs/>
                <w:u w:val="single"/>
              </w:rPr>
              <w:t>itev</w:t>
            </w:r>
            <w:r w:rsidRPr="006364B9">
              <w:rPr>
                <w:rFonts w:ascii="Arial" w:hAnsi="Arial" w:cs="Arial"/>
                <w:bCs/>
              </w:rPr>
              <w:t xml:space="preserve">: </w:t>
            </w:r>
            <w:r w:rsidRPr="00AA2A21">
              <w:rPr>
                <w:rFonts w:ascii="Arial" w:hAnsi="Arial" w:cs="Arial"/>
                <w:b/>
              </w:rPr>
              <w:t xml:space="preserve">stroški </w:t>
            </w:r>
            <w:r>
              <w:rPr>
                <w:rFonts w:ascii="Arial" w:hAnsi="Arial" w:cs="Arial"/>
                <w:b/>
              </w:rPr>
              <w:t>investicij v neopredmetena osnovna sredstva la</w:t>
            </w:r>
            <w:r w:rsidRPr="006364B9">
              <w:rPr>
                <w:rFonts w:ascii="Arial" w:hAnsi="Arial" w:cs="Arial"/>
                <w:bCs/>
              </w:rPr>
              <w:t xml:space="preserve">hko dosegajo </w:t>
            </w:r>
            <w:r w:rsidRPr="00AA2A21">
              <w:rPr>
                <w:rFonts w:ascii="Arial" w:hAnsi="Arial" w:cs="Arial"/>
                <w:b/>
              </w:rPr>
              <w:t>do največ 20 %</w:t>
            </w:r>
            <w:r w:rsidRPr="006364B9">
              <w:rPr>
                <w:rFonts w:ascii="Arial" w:hAnsi="Arial" w:cs="Arial"/>
                <w:bCs/>
              </w:rPr>
              <w:t xml:space="preserve"> vrednosti celotnih upravičenih stroškov operacije</w:t>
            </w:r>
          </w:p>
        </w:tc>
      </w:tr>
      <w:tr w:rsidR="000755BA" w14:paraId="37E033CC" w14:textId="77777777">
        <w:tc>
          <w:tcPr>
            <w:tcW w:w="4077" w:type="dxa"/>
          </w:tcPr>
          <w:p w14:paraId="47248A1A" w14:textId="30F6A552" w:rsidR="000755BA" w:rsidRPr="00072E39" w:rsidRDefault="00EF1395" w:rsidP="00072E39">
            <w:pPr>
              <w:pBdr>
                <w:top w:val="nil"/>
                <w:left w:val="nil"/>
                <w:bottom w:val="nil"/>
                <w:right w:val="nil"/>
                <w:between w:val="nil"/>
              </w:pBdr>
              <w:tabs>
                <w:tab w:val="left" w:pos="728"/>
              </w:tabs>
              <w:rPr>
                <w:rFonts w:ascii="Arial Narrow" w:eastAsia="Arial Narrow" w:hAnsi="Arial Narrow" w:cs="Arial Narrow"/>
                <w:color w:val="000000"/>
              </w:rPr>
            </w:pPr>
            <w:r w:rsidRPr="00072E39">
              <w:rPr>
                <w:rFonts w:ascii="Arial" w:eastAsia="Arial" w:hAnsi="Arial" w:cs="Arial"/>
                <w:color w:val="000000"/>
              </w:rPr>
              <w:t>DDV</w:t>
            </w:r>
          </w:p>
        </w:tc>
        <w:tc>
          <w:tcPr>
            <w:tcW w:w="5245" w:type="dxa"/>
          </w:tcPr>
          <w:p w14:paraId="5FD2F0B8" w14:textId="77777777" w:rsidR="000755BA" w:rsidRDefault="00EF1395">
            <w:pPr>
              <w:numPr>
                <w:ilvl w:val="0"/>
                <w:numId w:val="36"/>
              </w:numPr>
              <w:pBdr>
                <w:top w:val="nil"/>
                <w:left w:val="nil"/>
                <w:bottom w:val="nil"/>
                <w:right w:val="nil"/>
                <w:between w:val="nil"/>
              </w:pBdr>
              <w:spacing w:line="276" w:lineRule="auto"/>
              <w:ind w:left="317"/>
              <w:jc w:val="both"/>
              <w:rPr>
                <w:color w:val="000000"/>
              </w:rPr>
            </w:pPr>
            <w:r>
              <w:rPr>
                <w:rFonts w:ascii="Arial" w:eastAsia="Arial" w:hAnsi="Arial" w:cs="Arial"/>
                <w:color w:val="000000"/>
              </w:rPr>
              <w:t xml:space="preserve">je upravičen, kadar skupni stroški operacije z DDV znašajo </w:t>
            </w:r>
            <w:r>
              <w:rPr>
                <w:rFonts w:ascii="Arial" w:eastAsia="Arial" w:hAnsi="Arial" w:cs="Arial"/>
                <w:b/>
                <w:bCs/>
                <w:color w:val="000000"/>
              </w:rPr>
              <w:t>manj kot 5.000.000 EUR</w:t>
            </w:r>
            <w:r>
              <w:rPr>
                <w:rFonts w:ascii="Arial" w:eastAsia="Arial" w:hAnsi="Arial" w:cs="Arial"/>
                <w:color w:val="000000"/>
              </w:rPr>
              <w:t xml:space="preserve"> in se nanaša na </w:t>
            </w:r>
            <w:r>
              <w:rPr>
                <w:rFonts w:ascii="Arial" w:eastAsia="Arial" w:hAnsi="Arial" w:cs="Arial"/>
                <w:b/>
                <w:bCs/>
                <w:color w:val="000000"/>
              </w:rPr>
              <w:t>nabave blaga ali storitev, ki jih upravičenec uporablja za dejavnosti</w:t>
            </w:r>
            <w:r>
              <w:rPr>
                <w:rFonts w:ascii="Arial" w:eastAsia="Arial" w:hAnsi="Arial" w:cs="Arial"/>
                <w:color w:val="000000"/>
              </w:rPr>
              <w:t xml:space="preserve"> ali transakcije, za katere v skladu s predpisi o DDV </w:t>
            </w:r>
            <w:r>
              <w:rPr>
                <w:rFonts w:ascii="Arial" w:eastAsia="Arial" w:hAnsi="Arial" w:cs="Arial"/>
                <w:b/>
                <w:bCs/>
                <w:color w:val="000000"/>
              </w:rPr>
              <w:t>nima pravice do odbitka vstopnega DDV</w:t>
            </w:r>
          </w:p>
          <w:p w14:paraId="3A69A48D" w14:textId="77777777" w:rsidR="000755BA" w:rsidRDefault="000755BA">
            <w:pPr>
              <w:pBdr>
                <w:top w:val="nil"/>
                <w:left w:val="nil"/>
                <w:bottom w:val="nil"/>
                <w:right w:val="nil"/>
                <w:between w:val="nil"/>
              </w:pBdr>
              <w:spacing w:line="276" w:lineRule="auto"/>
              <w:ind w:left="317"/>
              <w:jc w:val="both"/>
              <w:rPr>
                <w:rFonts w:ascii="Arial" w:eastAsia="Arial" w:hAnsi="Arial" w:cs="Arial"/>
                <w:color w:val="000000"/>
              </w:rPr>
            </w:pPr>
          </w:p>
          <w:p w14:paraId="01DA89AC" w14:textId="77777777" w:rsidR="000755BA" w:rsidRDefault="00EF1395">
            <w:pPr>
              <w:numPr>
                <w:ilvl w:val="0"/>
                <w:numId w:val="36"/>
              </w:numPr>
              <w:pBdr>
                <w:top w:val="nil"/>
                <w:left w:val="nil"/>
                <w:bottom w:val="nil"/>
                <w:right w:val="nil"/>
                <w:between w:val="nil"/>
              </w:pBdr>
              <w:spacing w:after="200" w:line="276" w:lineRule="auto"/>
              <w:ind w:left="319"/>
              <w:rPr>
                <w:color w:val="000000"/>
              </w:rPr>
            </w:pPr>
            <w:r>
              <w:rPr>
                <w:rFonts w:ascii="Arial" w:eastAsia="Arial" w:hAnsi="Arial" w:cs="Arial"/>
                <w:b/>
                <w:bCs/>
                <w:color w:val="000000"/>
              </w:rPr>
              <w:t xml:space="preserve">povračljiv (odbitni) DDV </w:t>
            </w:r>
            <w:r>
              <w:rPr>
                <w:rFonts w:ascii="Arial" w:eastAsia="Arial" w:hAnsi="Arial" w:cs="Arial"/>
                <w:b/>
                <w:bCs/>
                <w:color w:val="000000"/>
                <w:u w:val="single"/>
              </w:rPr>
              <w:t xml:space="preserve">ni </w:t>
            </w:r>
            <w:r>
              <w:rPr>
                <w:rFonts w:ascii="Arial" w:eastAsia="Arial" w:hAnsi="Arial" w:cs="Arial"/>
                <w:b/>
                <w:bCs/>
                <w:color w:val="000000"/>
              </w:rPr>
              <w:t>upravičen strošek</w:t>
            </w:r>
          </w:p>
        </w:tc>
      </w:tr>
    </w:tbl>
    <w:p w14:paraId="2F2FE850"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93774E6" w14:textId="77777777" w:rsidR="008F1114" w:rsidRDefault="008F1114">
      <w:pPr>
        <w:pBdr>
          <w:top w:val="nil"/>
          <w:left w:val="nil"/>
          <w:bottom w:val="nil"/>
          <w:right w:val="nil"/>
          <w:between w:val="nil"/>
        </w:pBdr>
        <w:spacing w:line="276" w:lineRule="auto"/>
        <w:jc w:val="both"/>
        <w:rPr>
          <w:rFonts w:ascii="Arial" w:eastAsia="Arial" w:hAnsi="Arial" w:cs="Arial"/>
          <w:color w:val="000000"/>
        </w:rPr>
      </w:pPr>
    </w:p>
    <w:p w14:paraId="0C9FBCED" w14:textId="77777777" w:rsidR="008F1114" w:rsidRDefault="008F1114">
      <w:pPr>
        <w:pBdr>
          <w:top w:val="nil"/>
          <w:left w:val="nil"/>
          <w:bottom w:val="nil"/>
          <w:right w:val="nil"/>
          <w:between w:val="nil"/>
        </w:pBdr>
        <w:spacing w:line="276" w:lineRule="auto"/>
        <w:jc w:val="both"/>
        <w:rPr>
          <w:rFonts w:ascii="Arial" w:eastAsia="Arial" w:hAnsi="Arial" w:cs="Arial"/>
          <w:color w:val="000000"/>
        </w:rPr>
      </w:pPr>
    </w:p>
    <w:p w14:paraId="3D38A4E5" w14:textId="77777777" w:rsidR="008F1114" w:rsidRDefault="008F1114">
      <w:pPr>
        <w:pBdr>
          <w:top w:val="nil"/>
          <w:left w:val="nil"/>
          <w:bottom w:val="nil"/>
          <w:right w:val="nil"/>
          <w:between w:val="nil"/>
        </w:pBdr>
        <w:spacing w:line="276" w:lineRule="auto"/>
        <w:jc w:val="both"/>
        <w:rPr>
          <w:rFonts w:ascii="Arial" w:eastAsia="Arial" w:hAnsi="Arial" w:cs="Arial"/>
          <w:color w:val="000000"/>
        </w:rPr>
      </w:pPr>
    </w:p>
    <w:p w14:paraId="3BC034D4" w14:textId="77777777" w:rsidR="008F1114" w:rsidRDefault="008F1114">
      <w:pPr>
        <w:pBdr>
          <w:top w:val="nil"/>
          <w:left w:val="nil"/>
          <w:bottom w:val="nil"/>
          <w:right w:val="nil"/>
          <w:between w:val="nil"/>
        </w:pBdr>
        <w:spacing w:line="276" w:lineRule="auto"/>
        <w:jc w:val="both"/>
        <w:rPr>
          <w:rFonts w:ascii="Arial" w:eastAsia="Arial" w:hAnsi="Arial" w:cs="Arial"/>
          <w:color w:val="000000"/>
        </w:rPr>
      </w:pPr>
    </w:p>
    <w:p w14:paraId="32C2A429" w14:textId="77777777" w:rsidR="008F1114" w:rsidRDefault="008F1114">
      <w:pPr>
        <w:pBdr>
          <w:top w:val="nil"/>
          <w:left w:val="nil"/>
          <w:bottom w:val="nil"/>
          <w:right w:val="nil"/>
          <w:between w:val="nil"/>
        </w:pBdr>
        <w:spacing w:line="276" w:lineRule="auto"/>
        <w:jc w:val="both"/>
        <w:rPr>
          <w:rFonts w:ascii="Arial" w:eastAsia="Arial" w:hAnsi="Arial" w:cs="Arial"/>
          <w:color w:val="000000"/>
        </w:rPr>
      </w:pPr>
    </w:p>
    <w:p w14:paraId="7E300C4E" w14:textId="1F106EBB" w:rsidR="000A6150" w:rsidRPr="00055D6B" w:rsidRDefault="000A6150" w:rsidP="000A6150">
      <w:pPr>
        <w:pStyle w:val="Odstavekseznama"/>
        <w:numPr>
          <w:ilvl w:val="0"/>
          <w:numId w:val="36"/>
        </w:numPr>
        <w:pBdr>
          <w:top w:val="nil"/>
          <w:left w:val="nil"/>
          <w:bottom w:val="nil"/>
          <w:right w:val="nil"/>
          <w:between w:val="nil"/>
        </w:pBdr>
        <w:jc w:val="both"/>
        <w:rPr>
          <w:rFonts w:ascii="Arial" w:eastAsia="Arial" w:hAnsi="Arial" w:cs="Arial"/>
          <w:color w:val="000000"/>
          <w:sz w:val="20"/>
          <w:szCs w:val="20"/>
          <w:lang w:val="sl" w:eastAsia="sl-SI"/>
        </w:rPr>
      </w:pPr>
      <w:r w:rsidRPr="00055D6B">
        <w:rPr>
          <w:rFonts w:ascii="Arial" w:eastAsia="Arial" w:hAnsi="Arial" w:cs="Arial"/>
          <w:b/>
          <w:bCs/>
          <w:color w:val="000000"/>
        </w:rPr>
        <w:lastRenderedPageBreak/>
        <w:t>Upravičeni stroški za Sklop 2 (PD)</w:t>
      </w:r>
      <w:r>
        <w:rPr>
          <w:rFonts w:ascii="Arial" w:eastAsia="Arial" w:hAnsi="Arial" w:cs="Arial"/>
          <w:color w:val="000000"/>
          <w:sz w:val="20"/>
          <w:szCs w:val="20"/>
          <w:lang w:val="sl" w:eastAsia="sl-SI"/>
        </w:rPr>
        <w:t xml:space="preserve">: </w:t>
      </w:r>
      <w:r w:rsidRPr="00055D6B">
        <w:rPr>
          <w:rFonts w:ascii="Arial" w:eastAsia="Arial" w:hAnsi="Arial" w:cs="Arial"/>
          <w:color w:val="000000"/>
          <w:sz w:val="20"/>
          <w:szCs w:val="20"/>
          <w:lang w:val="sl" w:eastAsia="sl-SI"/>
        </w:rPr>
        <w:t xml:space="preserve"> </w:t>
      </w:r>
    </w:p>
    <w:p w14:paraId="5BF00F51" w14:textId="77777777" w:rsidR="000755BA" w:rsidRDefault="000755BA">
      <w:pPr>
        <w:pBdr>
          <w:top w:val="nil"/>
          <w:left w:val="nil"/>
          <w:bottom w:val="nil"/>
          <w:right w:val="nil"/>
          <w:between w:val="nil"/>
        </w:pBdr>
        <w:tabs>
          <w:tab w:val="left" w:pos="1560"/>
        </w:tabs>
        <w:spacing w:line="276" w:lineRule="auto"/>
        <w:jc w:val="both"/>
        <w:rPr>
          <w:rFonts w:ascii="Arial" w:eastAsia="Arial" w:hAnsi="Arial" w:cs="Arial"/>
          <w:color w:val="000000"/>
        </w:rPr>
      </w:pPr>
    </w:p>
    <w:tbl>
      <w:tblPr>
        <w:tblW w:w="93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77"/>
        <w:gridCol w:w="5245"/>
      </w:tblGrid>
      <w:tr w:rsidR="00DB4A42" w14:paraId="13AD1E3C" w14:textId="77777777" w:rsidTr="00286F8B">
        <w:trPr>
          <w:trHeight w:val="560"/>
        </w:trPr>
        <w:tc>
          <w:tcPr>
            <w:tcW w:w="4077" w:type="dxa"/>
          </w:tcPr>
          <w:p w14:paraId="010C025D" w14:textId="77777777" w:rsidR="00DB4A42" w:rsidRDefault="00DB4A42" w:rsidP="00286F8B">
            <w:pPr>
              <w:pBdr>
                <w:top w:val="nil"/>
                <w:left w:val="nil"/>
                <w:bottom w:val="nil"/>
                <w:right w:val="nil"/>
                <w:between w:val="nil"/>
              </w:pBdr>
              <w:tabs>
                <w:tab w:val="left" w:pos="728"/>
              </w:tabs>
              <w:spacing w:after="200" w:line="276" w:lineRule="auto"/>
              <w:rPr>
                <w:rFonts w:ascii="Arial" w:eastAsia="Arial" w:hAnsi="Arial" w:cs="Arial"/>
                <w:color w:val="000000"/>
              </w:rPr>
            </w:pPr>
            <w:r>
              <w:rPr>
                <w:rFonts w:ascii="Arial" w:eastAsia="Arial" w:hAnsi="Arial" w:cs="Arial"/>
                <w:b/>
                <w:bCs/>
                <w:color w:val="000000"/>
              </w:rPr>
              <w:t>Kategorija upravičenega stroška</w:t>
            </w:r>
          </w:p>
        </w:tc>
        <w:tc>
          <w:tcPr>
            <w:tcW w:w="5245" w:type="dxa"/>
          </w:tcPr>
          <w:p w14:paraId="44C34EA6" w14:textId="77777777" w:rsidR="00DB4A42" w:rsidRDefault="00DB4A42" w:rsidP="00286F8B">
            <w:pPr>
              <w:pBdr>
                <w:top w:val="nil"/>
                <w:left w:val="nil"/>
                <w:bottom w:val="nil"/>
                <w:right w:val="nil"/>
                <w:between w:val="nil"/>
              </w:pBdr>
              <w:tabs>
                <w:tab w:val="left" w:pos="728"/>
              </w:tabs>
              <w:spacing w:after="200" w:line="276" w:lineRule="auto"/>
              <w:rPr>
                <w:rFonts w:ascii="Arial" w:eastAsia="Arial" w:hAnsi="Arial" w:cs="Arial"/>
                <w:color w:val="000000"/>
              </w:rPr>
            </w:pPr>
            <w:r>
              <w:rPr>
                <w:rFonts w:ascii="Arial" w:eastAsia="Arial" w:hAnsi="Arial" w:cs="Arial"/>
                <w:b/>
                <w:bCs/>
                <w:color w:val="000000"/>
              </w:rPr>
              <w:t>Višina upravičenosti in omejitve v zvezi z uveljavljanjem posameznih upravičenih stroškov</w:t>
            </w:r>
          </w:p>
        </w:tc>
      </w:tr>
      <w:tr w:rsidR="00DB4A42" w14:paraId="37FD380B" w14:textId="77777777" w:rsidTr="00286F8B">
        <w:tc>
          <w:tcPr>
            <w:tcW w:w="4077" w:type="dxa"/>
          </w:tcPr>
          <w:p w14:paraId="736DA043" w14:textId="25022A4E" w:rsidR="00DB4A42" w:rsidRPr="00072E39" w:rsidRDefault="00DB4A42" w:rsidP="00072E39">
            <w:pPr>
              <w:pBdr>
                <w:top w:val="nil"/>
                <w:left w:val="nil"/>
                <w:bottom w:val="nil"/>
                <w:right w:val="nil"/>
                <w:between w:val="nil"/>
              </w:pBdr>
              <w:tabs>
                <w:tab w:val="left" w:pos="728"/>
              </w:tabs>
              <w:rPr>
                <w:rFonts w:ascii="Arial" w:eastAsia="Arial" w:hAnsi="Arial" w:cs="Arial"/>
                <w:color w:val="000000"/>
              </w:rPr>
            </w:pPr>
            <w:r w:rsidRPr="00072E39">
              <w:rPr>
                <w:rFonts w:ascii="Arial" w:eastAsia="Arial" w:hAnsi="Arial" w:cs="Arial"/>
                <w:color w:val="000000"/>
              </w:rPr>
              <w:t>Stroški plač in povračil stroškov v zvezi z delom (SE)</w:t>
            </w:r>
            <w:r w:rsidRPr="00072E39">
              <w:rPr>
                <w:rFonts w:ascii="Arial" w:hAnsi="Arial" w:cs="Arial"/>
              </w:rPr>
              <w:t xml:space="preserve"> na podlagi Metodologije </w:t>
            </w:r>
            <w:r w:rsidRPr="00072E39">
              <w:rPr>
                <w:rFonts w:ascii="Arial" w:hAnsi="Arial" w:cs="Arial"/>
                <w:color w:val="000000"/>
              </w:rPr>
              <w:t>za izračun stroška na enoto za stroške plač in povračil stroškov v zvezi z delom za predmetni javni razpis (Priloga št. 3 razpisne dokumentacije)</w:t>
            </w:r>
          </w:p>
        </w:tc>
        <w:tc>
          <w:tcPr>
            <w:tcW w:w="5245" w:type="dxa"/>
          </w:tcPr>
          <w:p w14:paraId="4FAA1A95" w14:textId="77777777" w:rsidR="00DB4A42" w:rsidRDefault="00DB4A42" w:rsidP="00DB4A42">
            <w:pPr>
              <w:numPr>
                <w:ilvl w:val="0"/>
                <w:numId w:val="36"/>
              </w:numPr>
              <w:pBdr>
                <w:top w:val="nil"/>
                <w:left w:val="nil"/>
                <w:bottom w:val="nil"/>
                <w:right w:val="nil"/>
                <w:between w:val="nil"/>
              </w:pBdr>
              <w:spacing w:after="200" w:line="276" w:lineRule="auto"/>
              <w:ind w:left="319"/>
              <w:jc w:val="both"/>
              <w:rPr>
                <w:color w:val="000000"/>
              </w:rPr>
            </w:pPr>
            <w:r>
              <w:rPr>
                <w:rFonts w:ascii="Arial" w:eastAsia="Arial" w:hAnsi="Arial" w:cs="Arial"/>
                <w:b/>
                <w:bCs/>
                <w:color w:val="000000"/>
              </w:rPr>
              <w:t>2.950 EUR</w:t>
            </w:r>
            <w:r>
              <w:rPr>
                <w:rFonts w:ascii="Arial" w:eastAsia="Arial" w:hAnsi="Arial" w:cs="Arial"/>
                <w:color w:val="000000"/>
              </w:rPr>
              <w:t xml:space="preserve"> bruto / mesec v letih 2026 in 2027</w:t>
            </w:r>
            <w:r>
              <w:rPr>
                <w:rFonts w:ascii="Arial" w:eastAsia="Arial" w:hAnsi="Arial" w:cs="Arial"/>
                <w:b/>
                <w:bCs/>
                <w:color w:val="000000"/>
              </w:rPr>
              <w:t xml:space="preserve"> </w:t>
            </w:r>
            <w:r>
              <w:rPr>
                <w:rFonts w:ascii="Arial" w:eastAsia="Arial" w:hAnsi="Arial" w:cs="Arial"/>
                <w:color w:val="000000"/>
              </w:rPr>
              <w:t>za polno zaposlenega na operaciji in</w:t>
            </w:r>
            <w:r>
              <w:rPr>
                <w:rFonts w:ascii="Arial" w:eastAsia="Arial" w:hAnsi="Arial" w:cs="Arial"/>
                <w:b/>
                <w:bCs/>
                <w:color w:val="000000"/>
              </w:rPr>
              <w:t xml:space="preserve"> 3.080 EUR  </w:t>
            </w:r>
            <w:r>
              <w:rPr>
                <w:rFonts w:ascii="Arial" w:eastAsia="Arial" w:hAnsi="Arial" w:cs="Arial"/>
                <w:color w:val="000000"/>
              </w:rPr>
              <w:t>bruto / mesec za leto 2028</w:t>
            </w:r>
          </w:p>
          <w:p w14:paraId="4BCAA3DD" w14:textId="77777777" w:rsidR="00DB4A42" w:rsidRDefault="00DB4A42" w:rsidP="00DB4A42">
            <w:pPr>
              <w:numPr>
                <w:ilvl w:val="0"/>
                <w:numId w:val="36"/>
              </w:numPr>
              <w:pBdr>
                <w:top w:val="nil"/>
                <w:left w:val="nil"/>
                <w:bottom w:val="nil"/>
                <w:right w:val="nil"/>
                <w:between w:val="nil"/>
              </w:pBdr>
              <w:spacing w:after="200" w:line="276" w:lineRule="auto"/>
              <w:ind w:left="319"/>
              <w:jc w:val="both"/>
              <w:rPr>
                <w:color w:val="000000"/>
              </w:rPr>
            </w:pPr>
            <w:r>
              <w:rPr>
                <w:rFonts w:ascii="Arial" w:eastAsia="Arial" w:hAnsi="Arial" w:cs="Arial"/>
                <w:b/>
                <w:bCs/>
                <w:color w:val="000000"/>
              </w:rPr>
              <w:t>1.475 EUR</w:t>
            </w:r>
            <w:r>
              <w:rPr>
                <w:rFonts w:ascii="Arial" w:eastAsia="Arial" w:hAnsi="Arial" w:cs="Arial"/>
                <w:color w:val="000000"/>
              </w:rPr>
              <w:t xml:space="preserve"> bruto / mesec v letih 2026 in 2027 za polovično zaposlenega na operaciji in </w:t>
            </w:r>
            <w:r>
              <w:rPr>
                <w:rFonts w:ascii="Arial" w:eastAsia="Arial" w:hAnsi="Arial" w:cs="Arial"/>
                <w:b/>
                <w:bCs/>
                <w:color w:val="000000"/>
              </w:rPr>
              <w:t>1.540 EUR</w:t>
            </w:r>
            <w:r>
              <w:rPr>
                <w:rFonts w:ascii="Arial" w:eastAsia="Arial" w:hAnsi="Arial" w:cs="Arial"/>
                <w:color w:val="000000"/>
              </w:rPr>
              <w:t xml:space="preserve"> bruto / mesec za leto 2028</w:t>
            </w:r>
          </w:p>
        </w:tc>
      </w:tr>
      <w:tr w:rsidR="00A34622" w14:paraId="3CC1C4BC" w14:textId="77777777" w:rsidTr="00286F8B">
        <w:tc>
          <w:tcPr>
            <w:tcW w:w="4077" w:type="dxa"/>
          </w:tcPr>
          <w:p w14:paraId="085BC0E9" w14:textId="272614D4" w:rsidR="00A34622" w:rsidRPr="00072E39" w:rsidRDefault="00A34622" w:rsidP="00A34622">
            <w:pPr>
              <w:pBdr>
                <w:top w:val="nil"/>
                <w:left w:val="nil"/>
                <w:bottom w:val="nil"/>
                <w:right w:val="nil"/>
                <w:between w:val="nil"/>
              </w:pBdr>
              <w:tabs>
                <w:tab w:val="left" w:pos="728"/>
              </w:tabs>
              <w:rPr>
                <w:rFonts w:ascii="Arial" w:eastAsia="Arial" w:hAnsi="Arial" w:cs="Arial"/>
                <w:color w:val="000000"/>
              </w:rPr>
            </w:pPr>
            <w:r w:rsidRPr="00831D23">
              <w:rPr>
                <w:rFonts w:ascii="Arial" w:hAnsi="Arial" w:cs="Arial"/>
                <w:color w:val="000000"/>
              </w:rPr>
              <w:t xml:space="preserve">Preostali upravičeni stroški upravičenih neposrednih stroškov osebja (pavšalna stopnja) </w:t>
            </w:r>
          </w:p>
        </w:tc>
        <w:tc>
          <w:tcPr>
            <w:tcW w:w="5245" w:type="dxa"/>
          </w:tcPr>
          <w:p w14:paraId="7AF9C435" w14:textId="77777777" w:rsidR="00A34622" w:rsidRPr="00831D23" w:rsidRDefault="00A34622" w:rsidP="00A34622">
            <w:pPr>
              <w:numPr>
                <w:ilvl w:val="0"/>
                <w:numId w:val="36"/>
              </w:numPr>
              <w:pBdr>
                <w:top w:val="nil"/>
                <w:left w:val="nil"/>
                <w:bottom w:val="nil"/>
                <w:right w:val="nil"/>
                <w:between w:val="nil"/>
              </w:pBdr>
              <w:spacing w:after="200" w:line="276" w:lineRule="auto"/>
              <w:ind w:left="316" w:hanging="284"/>
              <w:jc w:val="both"/>
              <w:rPr>
                <w:color w:val="000000"/>
              </w:rPr>
            </w:pPr>
            <w:r w:rsidRPr="00831D23">
              <w:rPr>
                <w:rFonts w:ascii="Arial" w:eastAsia="Arial" w:hAnsi="Arial" w:cs="Arial"/>
                <w:b/>
                <w:bCs/>
                <w:color w:val="000000"/>
              </w:rPr>
              <w:t>največ do 40 %</w:t>
            </w:r>
            <w:r w:rsidRPr="00831D23">
              <w:rPr>
                <w:rFonts w:ascii="Arial" w:eastAsia="Arial" w:hAnsi="Arial" w:cs="Arial"/>
                <w:color w:val="000000"/>
              </w:rPr>
              <w:t xml:space="preserve"> upravičenih neposrednih stroškov osebja </w:t>
            </w:r>
          </w:p>
          <w:p w14:paraId="1AC96F5B" w14:textId="77777777" w:rsidR="00A34622" w:rsidRPr="00055D6B" w:rsidRDefault="00A34622" w:rsidP="00A34622">
            <w:pPr>
              <w:spacing w:line="276" w:lineRule="auto"/>
              <w:ind w:left="316"/>
              <w:jc w:val="both"/>
              <w:rPr>
                <w:rFonts w:ascii="Arial" w:hAnsi="Arial" w:cs="Arial"/>
                <w:highlight w:val="yellow"/>
              </w:rPr>
            </w:pPr>
          </w:p>
        </w:tc>
      </w:tr>
    </w:tbl>
    <w:p w14:paraId="4BD24562" w14:textId="77777777" w:rsidR="000A6150" w:rsidRDefault="000A6150">
      <w:pPr>
        <w:pBdr>
          <w:top w:val="nil"/>
          <w:left w:val="nil"/>
          <w:bottom w:val="nil"/>
          <w:right w:val="nil"/>
          <w:between w:val="nil"/>
        </w:pBdr>
        <w:tabs>
          <w:tab w:val="left" w:pos="1560"/>
        </w:tabs>
        <w:spacing w:line="276" w:lineRule="auto"/>
        <w:jc w:val="both"/>
        <w:rPr>
          <w:rFonts w:ascii="Arial" w:eastAsia="Arial" w:hAnsi="Arial" w:cs="Arial"/>
          <w:color w:val="000000"/>
        </w:rPr>
      </w:pPr>
    </w:p>
    <w:p w14:paraId="013909F5" w14:textId="77777777" w:rsidR="00A34622" w:rsidRPr="00A34622" w:rsidRDefault="00A34622" w:rsidP="00A34622">
      <w:pPr>
        <w:spacing w:before="100" w:beforeAutospacing="1" w:after="100" w:afterAutospacing="1"/>
        <w:rPr>
          <w:rFonts w:ascii="Arial" w:eastAsia="Times New Roman" w:hAnsi="Arial" w:cs="Arial"/>
        </w:rPr>
      </w:pPr>
      <w:r w:rsidRPr="00A34622">
        <w:rPr>
          <w:rFonts w:ascii="Arial" w:eastAsia="Times New Roman" w:hAnsi="Arial" w:cs="Arial"/>
        </w:rPr>
        <w:t>V okviru aktivnosti, financiranih v obliki 40 % pavšalne stopnje za povračilo preostalih upravičenih stroškov, mora upravičenec izvesti:</w:t>
      </w:r>
    </w:p>
    <w:p w14:paraId="6A0181FF" w14:textId="77777777" w:rsidR="00C7060F" w:rsidRPr="00055D6B" w:rsidRDefault="00C7060F" w:rsidP="00072E39">
      <w:pPr>
        <w:numPr>
          <w:ilvl w:val="0"/>
          <w:numId w:val="47"/>
        </w:numPr>
        <w:spacing w:before="100" w:beforeAutospacing="1" w:after="100" w:afterAutospacing="1" w:line="276" w:lineRule="auto"/>
        <w:jc w:val="both"/>
        <w:rPr>
          <w:rFonts w:ascii="Arial" w:eastAsia="Times New Roman" w:hAnsi="Arial" w:cs="Arial"/>
        </w:rPr>
      </w:pPr>
      <w:r w:rsidRPr="00055D6B">
        <w:rPr>
          <w:rFonts w:ascii="Arial" w:eastAsia="Times New Roman" w:hAnsi="Arial" w:cs="Arial"/>
        </w:rPr>
        <w:t xml:space="preserve">zasnovo in izvedbo najmanj enega </w:t>
      </w:r>
      <w:proofErr w:type="spellStart"/>
      <w:r w:rsidRPr="00055D6B">
        <w:rPr>
          <w:rFonts w:ascii="Arial" w:eastAsia="Times New Roman" w:hAnsi="Arial" w:cs="Arial"/>
        </w:rPr>
        <w:t>transdestinacijskega</w:t>
      </w:r>
      <w:proofErr w:type="spellEnd"/>
      <w:r w:rsidRPr="00055D6B">
        <w:rPr>
          <w:rFonts w:ascii="Arial" w:eastAsia="Times New Roman" w:hAnsi="Arial" w:cs="Arial"/>
        </w:rPr>
        <w:t xml:space="preserve"> turističnega produkta, ki povezuje turistično ponudbo več destinacij oziroma območij</w:t>
      </w:r>
      <w:r w:rsidRPr="007F10F5">
        <w:rPr>
          <w:rFonts w:ascii="Arial" w:eastAsia="Times New Roman" w:hAnsi="Arial" w:cs="Arial"/>
        </w:rPr>
        <w:t xml:space="preserve">, znotraj tega lahko uveljavlja </w:t>
      </w:r>
      <w:r w:rsidRPr="00055D6B">
        <w:rPr>
          <w:rFonts w:ascii="Arial" w:eastAsia="Times New Roman" w:hAnsi="Arial" w:cs="Arial"/>
        </w:rPr>
        <w:t xml:space="preserve">manjša vlaganja v ureditev oziroma prilagoditev prostora in/ali nabavo opreme, kadar so ta neposredno povezana z izvedbo </w:t>
      </w:r>
      <w:proofErr w:type="spellStart"/>
      <w:r w:rsidRPr="00055D6B">
        <w:rPr>
          <w:rFonts w:ascii="Arial" w:eastAsia="Times New Roman" w:hAnsi="Arial" w:cs="Arial"/>
        </w:rPr>
        <w:t>transdestinacijskega</w:t>
      </w:r>
      <w:proofErr w:type="spellEnd"/>
      <w:r w:rsidRPr="00055D6B">
        <w:rPr>
          <w:rFonts w:ascii="Arial" w:eastAsia="Times New Roman" w:hAnsi="Arial" w:cs="Arial"/>
        </w:rPr>
        <w:t xml:space="preserve"> turističnega produkta;</w:t>
      </w:r>
    </w:p>
    <w:p w14:paraId="23350A8F" w14:textId="36BF13EC" w:rsidR="00C7060F" w:rsidRPr="00C7060F" w:rsidRDefault="00C7060F" w:rsidP="00072E39">
      <w:pPr>
        <w:numPr>
          <w:ilvl w:val="0"/>
          <w:numId w:val="47"/>
        </w:numPr>
        <w:spacing w:before="100" w:beforeAutospacing="1" w:after="100" w:afterAutospacing="1" w:line="276" w:lineRule="auto"/>
        <w:jc w:val="both"/>
        <w:rPr>
          <w:rFonts w:ascii="Arial" w:eastAsia="Times New Roman" w:hAnsi="Arial" w:cs="Arial"/>
        </w:rPr>
      </w:pPr>
      <w:r w:rsidRPr="00055D6B">
        <w:rPr>
          <w:rFonts w:ascii="Arial" w:eastAsia="Times New Roman" w:hAnsi="Arial" w:cs="Arial"/>
        </w:rPr>
        <w:t>promocijske aktivnosti</w:t>
      </w:r>
      <w:r w:rsidRPr="007F10F5">
        <w:rPr>
          <w:rStyle w:val="Sprotnaopomba-sklic"/>
          <w:rFonts w:ascii="Arial" w:eastAsia="Times New Roman" w:hAnsi="Arial" w:cs="Arial"/>
        </w:rPr>
        <w:footnoteReference w:id="10"/>
      </w:r>
      <w:r w:rsidRPr="00055D6B">
        <w:rPr>
          <w:rFonts w:ascii="Arial" w:eastAsia="Times New Roman" w:hAnsi="Arial" w:cs="Arial"/>
        </w:rPr>
        <w:t xml:space="preserve"> za promocijo destinacije oziroma </w:t>
      </w:r>
      <w:proofErr w:type="spellStart"/>
      <w:r w:rsidRPr="00055D6B">
        <w:rPr>
          <w:rFonts w:ascii="Arial" w:eastAsia="Times New Roman" w:hAnsi="Arial" w:cs="Arial"/>
        </w:rPr>
        <w:t>transdestinacijskega</w:t>
      </w:r>
      <w:proofErr w:type="spellEnd"/>
      <w:r w:rsidRPr="00055D6B">
        <w:rPr>
          <w:rFonts w:ascii="Arial" w:eastAsia="Times New Roman" w:hAnsi="Arial" w:cs="Arial"/>
        </w:rPr>
        <w:t xml:space="preserve"> turističnega produkta, ki vključujejo digitalno promocijo, </w:t>
      </w:r>
      <w:r w:rsidRPr="007F10F5">
        <w:rPr>
          <w:rFonts w:ascii="Arial" w:eastAsia="Times New Roman" w:hAnsi="Arial" w:cs="Arial"/>
        </w:rPr>
        <w:t xml:space="preserve">oblikovanja in izdelavo promocijskega materiala </w:t>
      </w:r>
      <w:r w:rsidRPr="00055D6B">
        <w:rPr>
          <w:rFonts w:ascii="Arial" w:eastAsia="Times New Roman" w:hAnsi="Arial" w:cs="Arial"/>
        </w:rPr>
        <w:t xml:space="preserve">ter zakup </w:t>
      </w:r>
      <w:r w:rsidRPr="007F10F5">
        <w:rPr>
          <w:rFonts w:ascii="Arial" w:eastAsia="Times New Roman" w:hAnsi="Arial" w:cs="Arial"/>
        </w:rPr>
        <w:t>medijskega in oglaševalskega prostora v tujih in domačih medijih</w:t>
      </w:r>
    </w:p>
    <w:p w14:paraId="7A79F3A0" w14:textId="77777777" w:rsidR="00C7060F" w:rsidRDefault="00C7060F">
      <w:pPr>
        <w:pBdr>
          <w:top w:val="nil"/>
          <w:left w:val="nil"/>
          <w:bottom w:val="nil"/>
          <w:right w:val="nil"/>
          <w:between w:val="nil"/>
        </w:pBdr>
        <w:tabs>
          <w:tab w:val="left" w:pos="1560"/>
        </w:tabs>
        <w:spacing w:line="276" w:lineRule="auto"/>
        <w:jc w:val="both"/>
        <w:rPr>
          <w:rFonts w:ascii="Arial" w:eastAsia="Arial" w:hAnsi="Arial" w:cs="Arial"/>
          <w:color w:val="000000"/>
        </w:rPr>
      </w:pPr>
    </w:p>
    <w:p w14:paraId="2388707E" w14:textId="2450C3AE" w:rsidR="000755BA" w:rsidRDefault="00EF1395">
      <w:pPr>
        <w:pBdr>
          <w:top w:val="nil"/>
          <w:left w:val="nil"/>
          <w:bottom w:val="nil"/>
          <w:right w:val="nil"/>
          <w:between w:val="nil"/>
        </w:pBdr>
        <w:spacing w:line="276" w:lineRule="auto"/>
        <w:ind w:left="426"/>
        <w:jc w:val="both"/>
        <w:rPr>
          <w:rFonts w:ascii="Arial" w:eastAsia="Arial" w:hAnsi="Arial" w:cs="Arial"/>
          <w:color w:val="000000"/>
        </w:rPr>
      </w:pPr>
      <w:r>
        <w:rPr>
          <w:rFonts w:ascii="Arial" w:eastAsia="Arial" w:hAnsi="Arial" w:cs="Arial"/>
          <w:b/>
          <w:bCs/>
          <w:color w:val="000000"/>
        </w:rPr>
        <w:t xml:space="preserve">Ad 1) </w:t>
      </w:r>
      <w:r w:rsidR="00766A47">
        <w:rPr>
          <w:rFonts w:ascii="Arial" w:eastAsia="Arial" w:hAnsi="Arial" w:cs="Arial"/>
          <w:b/>
          <w:bCs/>
          <w:color w:val="000000"/>
        </w:rPr>
        <w:t>in 7)</w:t>
      </w:r>
      <w:r>
        <w:rPr>
          <w:rFonts w:ascii="Arial" w:eastAsia="Arial" w:hAnsi="Arial" w:cs="Arial"/>
          <w:b/>
          <w:bCs/>
          <w:color w:val="000000"/>
        </w:rPr>
        <w:t xml:space="preserve"> Stroški plač in povračil stroškov v zvezi z delom </w:t>
      </w:r>
    </w:p>
    <w:p w14:paraId="445051FD" w14:textId="77777777" w:rsidR="000755BA" w:rsidRDefault="000755BA">
      <w:pPr>
        <w:pBdr>
          <w:top w:val="nil"/>
          <w:left w:val="nil"/>
          <w:bottom w:val="nil"/>
          <w:right w:val="nil"/>
          <w:between w:val="nil"/>
        </w:pBdr>
        <w:spacing w:line="276" w:lineRule="auto"/>
        <w:rPr>
          <w:rFonts w:ascii="Arial" w:eastAsia="Arial" w:hAnsi="Arial" w:cs="Arial"/>
          <w:color w:val="000000"/>
        </w:rPr>
      </w:pPr>
      <w:bookmarkStart w:id="46" w:name="_ueixy396vk89" w:colFirst="0" w:colLast="0"/>
      <w:bookmarkEnd w:id="46"/>
    </w:p>
    <w:p w14:paraId="586623EF"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Upravičeni stroški (stroški plač in drugih povračil stroškov v zvezi z delom) v okviru javnega razpisa so določeni kot strošek na enoto (v nadaljevanju SE), ki vključuje:</w:t>
      </w:r>
    </w:p>
    <w:p w14:paraId="617D7D89" w14:textId="77777777" w:rsidR="000755BA" w:rsidRDefault="00EF1395">
      <w:pPr>
        <w:numPr>
          <w:ilvl w:val="1"/>
          <w:numId w:val="22"/>
        </w:numPr>
        <w:pBdr>
          <w:top w:val="nil"/>
          <w:left w:val="nil"/>
          <w:bottom w:val="nil"/>
          <w:right w:val="nil"/>
          <w:between w:val="nil"/>
        </w:pBdr>
        <w:spacing w:line="276" w:lineRule="auto"/>
        <w:ind w:left="567"/>
        <w:jc w:val="both"/>
        <w:rPr>
          <w:color w:val="000000"/>
        </w:rPr>
      </w:pPr>
      <w:r>
        <w:rPr>
          <w:rFonts w:ascii="Arial" w:eastAsia="Arial" w:hAnsi="Arial" w:cs="Arial"/>
          <w:color w:val="000000"/>
        </w:rPr>
        <w:t>bruto II plače,</w:t>
      </w:r>
    </w:p>
    <w:p w14:paraId="2645D853" w14:textId="77777777" w:rsidR="000755BA" w:rsidRDefault="00EF1395">
      <w:pPr>
        <w:numPr>
          <w:ilvl w:val="1"/>
          <w:numId w:val="22"/>
        </w:numPr>
        <w:pBdr>
          <w:top w:val="nil"/>
          <w:left w:val="nil"/>
          <w:bottom w:val="nil"/>
          <w:right w:val="nil"/>
          <w:between w:val="nil"/>
        </w:pBdr>
        <w:spacing w:line="276" w:lineRule="auto"/>
        <w:ind w:left="567"/>
        <w:jc w:val="both"/>
        <w:rPr>
          <w:color w:val="000000"/>
        </w:rPr>
      </w:pPr>
      <w:r>
        <w:rPr>
          <w:rFonts w:ascii="Arial" w:eastAsia="Arial" w:hAnsi="Arial" w:cs="Arial"/>
          <w:color w:val="000000"/>
        </w:rPr>
        <w:t>stroške prevoza na delo in prehrane,</w:t>
      </w:r>
    </w:p>
    <w:p w14:paraId="60889CAD" w14:textId="77777777" w:rsidR="000755BA" w:rsidRDefault="00EF1395">
      <w:pPr>
        <w:numPr>
          <w:ilvl w:val="1"/>
          <w:numId w:val="22"/>
        </w:numPr>
        <w:pBdr>
          <w:top w:val="nil"/>
          <w:left w:val="nil"/>
          <w:bottom w:val="nil"/>
          <w:right w:val="nil"/>
          <w:between w:val="nil"/>
        </w:pBdr>
        <w:spacing w:line="276" w:lineRule="auto"/>
        <w:ind w:left="567"/>
        <w:jc w:val="both"/>
        <w:rPr>
          <w:color w:val="000000"/>
        </w:rPr>
      </w:pPr>
      <w:r>
        <w:rPr>
          <w:rFonts w:ascii="Arial" w:eastAsia="Arial" w:hAnsi="Arial" w:cs="Arial"/>
          <w:color w:val="000000"/>
        </w:rPr>
        <w:t>regres za letni dopust in</w:t>
      </w:r>
    </w:p>
    <w:p w14:paraId="73EF7F59" w14:textId="77777777" w:rsidR="000755BA" w:rsidRDefault="00EF1395">
      <w:pPr>
        <w:numPr>
          <w:ilvl w:val="1"/>
          <w:numId w:val="22"/>
        </w:numPr>
        <w:pBdr>
          <w:top w:val="nil"/>
          <w:left w:val="nil"/>
          <w:bottom w:val="nil"/>
          <w:right w:val="nil"/>
          <w:between w:val="nil"/>
        </w:pBdr>
        <w:spacing w:line="276" w:lineRule="auto"/>
        <w:ind w:left="567"/>
        <w:jc w:val="both"/>
        <w:rPr>
          <w:color w:val="000000"/>
        </w:rPr>
      </w:pPr>
      <w:r>
        <w:rPr>
          <w:rFonts w:ascii="Arial" w:eastAsia="Arial" w:hAnsi="Arial" w:cs="Arial"/>
          <w:color w:val="000000"/>
        </w:rPr>
        <w:t>zimski regres.</w:t>
      </w:r>
    </w:p>
    <w:p w14:paraId="45F565C1"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24D70A8"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Višina SE predstavlja stroške dela zaposlenih, ki bodo izvajali dela in naloge, povezane izključno z izvajanjem aktivnosti v okviru izbrane operacije na predmetnem javnem razpisu. Zaposleni lahko dela na operaciji polni (40 ur tedensko) ali polovični (20 ur tedensko) delovni čas. </w:t>
      </w:r>
    </w:p>
    <w:p w14:paraId="1FE7CB2E"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1A6A57CA"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Višina SE je določena na podlagi Metodologije za izračun stroška na enoto za stroške plač in povračil stroškov v zvezi z delom za predmetni javni razpis (Priloga št. 3). </w:t>
      </w:r>
    </w:p>
    <w:p w14:paraId="7CB69D1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4B4C0B1"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V okviru javnega razpisa se lahko uveljavlja SE za stroške dela za:</w:t>
      </w:r>
    </w:p>
    <w:p w14:paraId="2550F13D" w14:textId="77777777" w:rsidR="000755BA" w:rsidRDefault="00EF1395">
      <w:pPr>
        <w:numPr>
          <w:ilvl w:val="0"/>
          <w:numId w:val="31"/>
        </w:numPr>
        <w:pBdr>
          <w:top w:val="nil"/>
          <w:left w:val="nil"/>
          <w:bottom w:val="nil"/>
          <w:right w:val="nil"/>
          <w:between w:val="nil"/>
        </w:pBdr>
        <w:spacing w:line="276" w:lineRule="auto"/>
        <w:jc w:val="both"/>
        <w:rPr>
          <w:color w:val="000000"/>
        </w:rPr>
      </w:pPr>
      <w:r>
        <w:rPr>
          <w:rFonts w:ascii="Arial" w:eastAsia="Arial" w:hAnsi="Arial" w:cs="Arial"/>
          <w:color w:val="000000"/>
        </w:rPr>
        <w:t>do vključno tri zaposlene pri prijavitelju, ki je RDO, ki opravljajo dela in naloge, povezane z vodenjem in administracijo operacije, upravljanjem, trajnostnim razvojem RDO, zelenim koordiniranjem, spremljanjem in analitiko izvajanja aktivnosti RDO;</w:t>
      </w:r>
    </w:p>
    <w:p w14:paraId="2D4367B6" w14:textId="77777777" w:rsidR="000755BA" w:rsidRDefault="00EF1395">
      <w:pPr>
        <w:numPr>
          <w:ilvl w:val="0"/>
          <w:numId w:val="31"/>
        </w:numPr>
        <w:pBdr>
          <w:top w:val="nil"/>
          <w:left w:val="nil"/>
          <w:bottom w:val="nil"/>
          <w:right w:val="nil"/>
          <w:between w:val="nil"/>
        </w:pBdr>
        <w:spacing w:line="276" w:lineRule="auto"/>
        <w:jc w:val="both"/>
        <w:rPr>
          <w:color w:val="000000"/>
        </w:rPr>
      </w:pPr>
      <w:r>
        <w:rPr>
          <w:rFonts w:ascii="Arial" w:eastAsia="Arial" w:hAnsi="Arial" w:cs="Arial"/>
          <w:color w:val="000000"/>
        </w:rPr>
        <w:t xml:space="preserve">enega zaposlenega pri prijavitelju, ki je PD, ki opravlja dela in naloge, povezane z vodenjem in administracijo operacije, upravljanjem, trajnostnim razvojem PD, zelenim koordiniranjem, spremljanjem in analitiko izvajanja aktivnosti PD. </w:t>
      </w:r>
    </w:p>
    <w:p w14:paraId="0DEE6D96"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EEEDD60"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Skladno z metodologijo višina SE za stroške dela zaposlenega na operaciji znaša:</w:t>
      </w:r>
    </w:p>
    <w:p w14:paraId="7CAF6318" w14:textId="77777777" w:rsidR="000755BA" w:rsidRDefault="00EF1395">
      <w:pPr>
        <w:numPr>
          <w:ilvl w:val="0"/>
          <w:numId w:val="21"/>
        </w:numPr>
        <w:pBdr>
          <w:top w:val="nil"/>
          <w:left w:val="nil"/>
          <w:bottom w:val="nil"/>
          <w:right w:val="nil"/>
          <w:between w:val="nil"/>
        </w:pBdr>
        <w:spacing w:line="276" w:lineRule="auto"/>
        <w:jc w:val="both"/>
        <w:rPr>
          <w:color w:val="000000"/>
          <w:u w:val="single"/>
        </w:rPr>
      </w:pPr>
      <w:r>
        <w:rPr>
          <w:rFonts w:ascii="Arial" w:eastAsia="Arial" w:hAnsi="Arial" w:cs="Arial"/>
          <w:b/>
          <w:bCs/>
          <w:color w:val="000000"/>
        </w:rPr>
        <w:t>2.950 EUR</w:t>
      </w:r>
      <w:r>
        <w:rPr>
          <w:rFonts w:ascii="Arial" w:eastAsia="Arial" w:hAnsi="Arial" w:cs="Arial"/>
          <w:color w:val="000000"/>
        </w:rPr>
        <w:t xml:space="preserve"> mesečno za financiranje stroškov plač in povračil stroškov v zvezi z delom zaposlenega na operaciji, ki je polno zaposlen za izvajanje aktivnosti v okviru operacije </w:t>
      </w:r>
      <w:r>
        <w:rPr>
          <w:rFonts w:ascii="Arial" w:eastAsia="Arial" w:hAnsi="Arial" w:cs="Arial"/>
          <w:b/>
          <w:bCs/>
          <w:color w:val="000000"/>
        </w:rPr>
        <w:t>za leti 2026 in 2027</w:t>
      </w:r>
      <w:r>
        <w:rPr>
          <w:rFonts w:ascii="Arial" w:eastAsia="Arial" w:hAnsi="Arial" w:cs="Arial"/>
          <w:color w:val="000000"/>
        </w:rPr>
        <w:t xml:space="preserve"> in </w:t>
      </w:r>
      <w:r>
        <w:rPr>
          <w:rFonts w:ascii="Arial" w:eastAsia="Arial" w:hAnsi="Arial" w:cs="Arial"/>
          <w:b/>
          <w:bCs/>
          <w:color w:val="000000"/>
        </w:rPr>
        <w:t>3.080 EUR za leto 2028</w:t>
      </w:r>
      <w:r>
        <w:rPr>
          <w:rFonts w:ascii="Arial" w:eastAsia="Arial" w:hAnsi="Arial" w:cs="Arial"/>
          <w:color w:val="000000"/>
        </w:rPr>
        <w:t>;</w:t>
      </w:r>
    </w:p>
    <w:p w14:paraId="6F798AE6" w14:textId="77777777" w:rsidR="000755BA" w:rsidRDefault="00EF1395">
      <w:pPr>
        <w:numPr>
          <w:ilvl w:val="0"/>
          <w:numId w:val="21"/>
        </w:numPr>
        <w:pBdr>
          <w:top w:val="nil"/>
          <w:left w:val="nil"/>
          <w:bottom w:val="nil"/>
          <w:right w:val="nil"/>
          <w:between w:val="nil"/>
        </w:pBdr>
        <w:spacing w:line="276" w:lineRule="auto"/>
        <w:jc w:val="both"/>
        <w:rPr>
          <w:color w:val="000000"/>
        </w:rPr>
      </w:pPr>
      <w:r>
        <w:rPr>
          <w:rFonts w:ascii="Arial" w:eastAsia="Arial" w:hAnsi="Arial" w:cs="Arial"/>
          <w:b/>
          <w:bCs/>
          <w:color w:val="000000"/>
        </w:rPr>
        <w:t>1.475 EUR</w:t>
      </w:r>
      <w:r>
        <w:rPr>
          <w:rFonts w:ascii="Arial" w:eastAsia="Arial" w:hAnsi="Arial" w:cs="Arial"/>
          <w:color w:val="000000"/>
        </w:rPr>
        <w:t xml:space="preserve"> mesečno financiranje stroškov plač in povračil stroškov v zvezi z zaposlenega na operaciji, ki je </w:t>
      </w:r>
      <w:r>
        <w:rPr>
          <w:rFonts w:ascii="Arial" w:eastAsia="Arial" w:hAnsi="Arial" w:cs="Arial"/>
          <w:b/>
          <w:bCs/>
          <w:color w:val="000000"/>
        </w:rPr>
        <w:t>polovično zaposlen</w:t>
      </w:r>
      <w:r>
        <w:rPr>
          <w:rFonts w:ascii="Arial" w:eastAsia="Arial" w:hAnsi="Arial" w:cs="Arial"/>
          <w:color w:val="000000"/>
        </w:rPr>
        <w:t xml:space="preserve"> za izvajanje aktivnosti v okviru operacije </w:t>
      </w:r>
      <w:r>
        <w:rPr>
          <w:rFonts w:ascii="Arial" w:eastAsia="Arial" w:hAnsi="Arial" w:cs="Arial"/>
          <w:b/>
          <w:bCs/>
          <w:color w:val="000000"/>
        </w:rPr>
        <w:t>za leti 2026 in 2027</w:t>
      </w:r>
      <w:r>
        <w:rPr>
          <w:rFonts w:ascii="Arial" w:eastAsia="Arial" w:hAnsi="Arial" w:cs="Arial"/>
          <w:color w:val="000000"/>
        </w:rPr>
        <w:t xml:space="preserve"> in </w:t>
      </w:r>
      <w:r>
        <w:rPr>
          <w:rFonts w:ascii="Arial" w:eastAsia="Arial" w:hAnsi="Arial" w:cs="Arial"/>
          <w:b/>
          <w:bCs/>
          <w:color w:val="000000"/>
        </w:rPr>
        <w:t>1.540 EUR za leto 2028</w:t>
      </w:r>
      <w:r>
        <w:rPr>
          <w:rFonts w:ascii="Arial" w:eastAsia="Arial" w:hAnsi="Arial" w:cs="Arial"/>
          <w:color w:val="000000"/>
        </w:rPr>
        <w:t xml:space="preserve">. </w:t>
      </w:r>
    </w:p>
    <w:p w14:paraId="24D28B13" w14:textId="77777777" w:rsidR="000755BA" w:rsidRDefault="000755BA">
      <w:pPr>
        <w:pBdr>
          <w:top w:val="nil"/>
          <w:left w:val="nil"/>
          <w:bottom w:val="nil"/>
          <w:right w:val="nil"/>
          <w:between w:val="nil"/>
        </w:pBdr>
        <w:spacing w:line="276" w:lineRule="auto"/>
        <w:ind w:left="720"/>
        <w:jc w:val="both"/>
        <w:rPr>
          <w:rFonts w:ascii="Arial" w:eastAsia="Arial" w:hAnsi="Arial" w:cs="Arial"/>
          <w:color w:val="000000"/>
        </w:rPr>
      </w:pPr>
    </w:p>
    <w:p w14:paraId="3C2E1292"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SE za leto 2028 bo upravičenec uveljavljal za stroške dela, ki bodo nastali od 1. januarja 2028 do konca operacije. </w:t>
      </w:r>
    </w:p>
    <w:p w14:paraId="4E8B4D7F"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Dokazila za uveljavljanje SE za stroške dela:</w:t>
      </w:r>
    </w:p>
    <w:p w14:paraId="5128CE89" w14:textId="77777777" w:rsidR="000755BA" w:rsidRDefault="00EF1395">
      <w:pPr>
        <w:numPr>
          <w:ilvl w:val="0"/>
          <w:numId w:val="12"/>
        </w:numPr>
        <w:pBdr>
          <w:top w:val="nil"/>
          <w:left w:val="nil"/>
          <w:bottom w:val="nil"/>
          <w:right w:val="nil"/>
          <w:between w:val="nil"/>
        </w:pBdr>
        <w:spacing w:line="276" w:lineRule="auto"/>
        <w:jc w:val="both"/>
        <w:rPr>
          <w:color w:val="000000"/>
        </w:rPr>
      </w:pPr>
      <w:r>
        <w:rPr>
          <w:rFonts w:ascii="Arial" w:eastAsia="Arial" w:hAnsi="Arial" w:cs="Arial"/>
          <w:color w:val="000000"/>
        </w:rPr>
        <w:t xml:space="preserve">ob prvem zahtevku za izplačilo oz. prvem uveljavljanju stroška in ko pride do spremembe - pogodba o zaposlitvi in/ali dodatek k pogodbi o zaposlitvi, iz katerega bo razvidno, da je zaposleni na operaciji po javnem razpisu za polni oz. polovični delovni čas razporejen na delo na operaciji, z jasno opredelitvijo delovnega mesta ter v skladu z javnim razpisom definirano vsebino in obsegom dela za aktivnosti navedene v javnem razpisu; </w:t>
      </w:r>
    </w:p>
    <w:p w14:paraId="25884FF6" w14:textId="77777777" w:rsidR="000755BA" w:rsidRDefault="00EF1395">
      <w:pPr>
        <w:numPr>
          <w:ilvl w:val="0"/>
          <w:numId w:val="12"/>
        </w:numPr>
        <w:pBdr>
          <w:top w:val="nil"/>
          <w:left w:val="nil"/>
          <w:bottom w:val="nil"/>
          <w:right w:val="nil"/>
          <w:between w:val="nil"/>
        </w:pBdr>
        <w:spacing w:line="276" w:lineRule="auto"/>
        <w:jc w:val="both"/>
        <w:rPr>
          <w:color w:val="000000"/>
        </w:rPr>
      </w:pPr>
      <w:r>
        <w:rPr>
          <w:rFonts w:ascii="Arial" w:eastAsia="Arial" w:hAnsi="Arial" w:cs="Arial"/>
          <w:color w:val="000000"/>
        </w:rPr>
        <w:t>pri vsakem zahtevku za izplačilo - vsebinsko poročilo, v katerem so opredeljene realizirane aktivnosti, navedene v javnem razpisu in vlogi upravičenca na javni razpis za posamezno leto.</w:t>
      </w:r>
    </w:p>
    <w:p w14:paraId="7970634F"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79ED0D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149A2D04" w14:textId="62506BF6" w:rsidR="00766A47" w:rsidRPr="00055D6B" w:rsidRDefault="00EF1395" w:rsidP="00A26348">
      <w:pPr>
        <w:pBdr>
          <w:top w:val="nil"/>
          <w:left w:val="nil"/>
          <w:bottom w:val="nil"/>
          <w:right w:val="nil"/>
          <w:between w:val="nil"/>
        </w:pBdr>
        <w:spacing w:line="276" w:lineRule="auto"/>
        <w:ind w:left="426"/>
        <w:jc w:val="both"/>
        <w:rPr>
          <w:rFonts w:ascii="Arial" w:eastAsia="Arial" w:hAnsi="Arial" w:cs="Arial"/>
          <w:b/>
          <w:bCs/>
          <w:color w:val="000000"/>
        </w:rPr>
      </w:pPr>
      <w:r w:rsidRPr="00A26348">
        <w:rPr>
          <w:rFonts w:ascii="Arial" w:eastAsia="Arial" w:hAnsi="Arial" w:cs="Arial"/>
          <w:b/>
          <w:bCs/>
          <w:color w:val="000000"/>
        </w:rPr>
        <w:t>Ad 2) Posredni (operativni) stroški, ki so povezani z neposrednimi aktivnostmi operacije</w:t>
      </w:r>
      <w:r w:rsidR="00A26348" w:rsidRPr="00055D6B">
        <w:rPr>
          <w:rFonts w:ascii="Arial" w:eastAsia="Arial" w:hAnsi="Arial" w:cs="Arial"/>
          <w:b/>
          <w:bCs/>
          <w:color w:val="000000"/>
        </w:rPr>
        <w:t xml:space="preserve"> (</w:t>
      </w:r>
      <w:r w:rsidR="00766A47" w:rsidRPr="00055D6B">
        <w:rPr>
          <w:rFonts w:ascii="Arial" w:eastAsia="Arial" w:hAnsi="Arial" w:cs="Arial"/>
          <w:b/>
          <w:bCs/>
          <w:color w:val="000000"/>
        </w:rPr>
        <w:t>Sklop 1 RDO</w:t>
      </w:r>
      <w:r w:rsidR="00A26348" w:rsidRPr="00055D6B">
        <w:rPr>
          <w:rFonts w:ascii="Arial" w:eastAsia="Arial" w:hAnsi="Arial" w:cs="Arial"/>
          <w:b/>
          <w:bCs/>
          <w:color w:val="000000"/>
        </w:rPr>
        <w:t>)</w:t>
      </w:r>
    </w:p>
    <w:p w14:paraId="75516E4F" w14:textId="77777777" w:rsidR="00A26348" w:rsidRDefault="00A26348" w:rsidP="00A26348">
      <w:pPr>
        <w:pBdr>
          <w:top w:val="nil"/>
          <w:left w:val="nil"/>
          <w:bottom w:val="nil"/>
          <w:right w:val="nil"/>
          <w:between w:val="nil"/>
        </w:pBdr>
        <w:spacing w:line="276" w:lineRule="auto"/>
        <w:ind w:left="426"/>
        <w:jc w:val="both"/>
        <w:rPr>
          <w:rFonts w:ascii="Arial" w:eastAsia="Arial" w:hAnsi="Arial" w:cs="Arial"/>
          <w:color w:val="000000"/>
        </w:rPr>
      </w:pPr>
    </w:p>
    <w:p w14:paraId="53B5C4CD" w14:textId="5853741C"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Posredni (operativni) stroški, ki so povezani z neposrednimi aktivnostmi operacije, se uveljavljajo v obliki pavšalnega financiranja v višini do 15 % upravičenih neposrednih stroškov osebja, ki izvaja aktivnosti na operaciji. Posredni stroški vsebinsko obsegajo ostale stroške delovanja (npr. stroški materiala, goriva, vode, telefona, idr.) </w:t>
      </w:r>
    </w:p>
    <w:p w14:paraId="3253EF49" w14:textId="77777777" w:rsidR="00F30D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Dokazila o nastanku posrednih stroškov se ne prilagajo zahtevkom za izplačilo.</w:t>
      </w:r>
    </w:p>
    <w:p w14:paraId="03F4360E" w14:textId="1AF7DFDD" w:rsidR="00AD28FB"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 </w:t>
      </w:r>
    </w:p>
    <w:p w14:paraId="33911289" w14:textId="77777777" w:rsidR="000755BA" w:rsidRDefault="00EF1395">
      <w:pPr>
        <w:pBdr>
          <w:top w:val="nil"/>
          <w:left w:val="nil"/>
          <w:bottom w:val="nil"/>
          <w:right w:val="nil"/>
          <w:between w:val="nil"/>
        </w:pBdr>
        <w:spacing w:line="276" w:lineRule="auto"/>
        <w:ind w:left="426"/>
        <w:jc w:val="both"/>
        <w:rPr>
          <w:rFonts w:ascii="Arial" w:eastAsia="Arial" w:hAnsi="Arial" w:cs="Arial"/>
          <w:color w:val="000000"/>
        </w:rPr>
      </w:pPr>
      <w:r>
        <w:rPr>
          <w:rFonts w:ascii="Arial" w:eastAsia="Arial" w:hAnsi="Arial" w:cs="Arial"/>
          <w:b/>
          <w:bCs/>
          <w:color w:val="000000"/>
        </w:rPr>
        <w:t>Ad 3)  Stroški storitev zunanjih izvajalcev</w:t>
      </w:r>
    </w:p>
    <w:p w14:paraId="5F80F08D" w14:textId="77777777" w:rsidR="000755BA" w:rsidRDefault="000755BA">
      <w:pPr>
        <w:pBdr>
          <w:top w:val="nil"/>
          <w:left w:val="nil"/>
          <w:bottom w:val="nil"/>
          <w:right w:val="nil"/>
          <w:between w:val="nil"/>
        </w:pBdr>
        <w:spacing w:after="200" w:line="276" w:lineRule="auto"/>
        <w:rPr>
          <w:rFonts w:ascii="Arial" w:eastAsia="Arial" w:hAnsi="Arial" w:cs="Arial"/>
          <w:color w:val="000000"/>
        </w:rPr>
      </w:pPr>
    </w:p>
    <w:p w14:paraId="709948CE" w14:textId="77777777" w:rsidR="000755BA" w:rsidRDefault="00EF1395">
      <w:pPr>
        <w:pBdr>
          <w:top w:val="nil"/>
          <w:left w:val="nil"/>
          <w:bottom w:val="nil"/>
          <w:right w:val="nil"/>
          <w:between w:val="nil"/>
        </w:pBdr>
        <w:spacing w:line="276" w:lineRule="auto"/>
        <w:rPr>
          <w:rFonts w:ascii="Arial" w:eastAsia="Arial" w:hAnsi="Arial" w:cs="Arial"/>
          <w:color w:val="000000"/>
        </w:rPr>
      </w:pPr>
      <w:bookmarkStart w:id="47" w:name="_jbo75ga0wm3k" w:colFirst="0" w:colLast="0"/>
      <w:bookmarkEnd w:id="47"/>
      <w:r>
        <w:rPr>
          <w:rFonts w:ascii="Arial" w:eastAsia="Arial" w:hAnsi="Arial" w:cs="Arial"/>
          <w:b/>
          <w:bCs/>
          <w:color w:val="000000"/>
        </w:rPr>
        <w:t>3.1 Stroški storitev zunanjih izvajalcev, vezanih na strateško načrtovanje, upravljanje in razvoj destinacije:</w:t>
      </w:r>
    </w:p>
    <w:p w14:paraId="438B0324" w14:textId="77777777" w:rsidR="000755BA" w:rsidRDefault="000755BA">
      <w:pPr>
        <w:pBdr>
          <w:top w:val="nil"/>
          <w:left w:val="nil"/>
          <w:bottom w:val="nil"/>
          <w:right w:val="nil"/>
          <w:between w:val="nil"/>
        </w:pBdr>
        <w:spacing w:line="276" w:lineRule="auto"/>
        <w:ind w:left="1701"/>
        <w:rPr>
          <w:rFonts w:ascii="Arial" w:eastAsia="Arial" w:hAnsi="Arial" w:cs="Arial"/>
          <w:color w:val="000000"/>
        </w:rPr>
      </w:pPr>
    </w:p>
    <w:p w14:paraId="4704631B" w14:textId="78FBCB9B" w:rsidR="000755BA" w:rsidRDefault="00EF1395">
      <w:pPr>
        <w:numPr>
          <w:ilvl w:val="2"/>
          <w:numId w:val="10"/>
        </w:numPr>
        <w:pBdr>
          <w:top w:val="nil"/>
          <w:left w:val="nil"/>
          <w:bottom w:val="nil"/>
          <w:right w:val="nil"/>
          <w:between w:val="nil"/>
        </w:pBdr>
        <w:spacing w:line="276" w:lineRule="auto"/>
        <w:ind w:left="567"/>
        <w:jc w:val="both"/>
        <w:rPr>
          <w:color w:val="000000"/>
        </w:rPr>
      </w:pPr>
      <w:r>
        <w:rPr>
          <w:rFonts w:ascii="Arial" w:eastAsia="Arial" w:hAnsi="Arial" w:cs="Arial"/>
          <w:color w:val="000000"/>
        </w:rPr>
        <w:t xml:space="preserve">stroški izdelave strategije razvoja RDO oz. PD s predvidenimi letnimi plani, priprava akcijskega načrta razvoja trajnostnega turizma, priprava analiz (analize zadovoljstva obiskovalcev, prebivalcev, analize segmentacije gostov in ciljih segmentov, velikih podatkov (big-data: mobilni telefoni, plačilne kartice, sistemi rezervacij, senzorji ipd.), zbiranje in analiza podatkov poslovanja </w:t>
      </w:r>
      <w:r>
        <w:rPr>
          <w:rFonts w:ascii="Arial" w:eastAsia="Arial" w:hAnsi="Arial" w:cs="Arial"/>
          <w:color w:val="000000"/>
        </w:rPr>
        <w:lastRenderedPageBreak/>
        <w:t xml:space="preserve">podjetij in atrakcij (ADR, OCC, </w:t>
      </w:r>
      <w:proofErr w:type="spellStart"/>
      <w:r>
        <w:rPr>
          <w:rFonts w:ascii="Arial" w:eastAsia="Arial" w:hAnsi="Arial" w:cs="Arial"/>
          <w:color w:val="000000"/>
        </w:rPr>
        <w:t>RevPAR</w:t>
      </w:r>
      <w:proofErr w:type="spellEnd"/>
      <w:r>
        <w:rPr>
          <w:rFonts w:ascii="Arial" w:eastAsia="Arial" w:hAnsi="Arial" w:cs="Arial"/>
          <w:color w:val="000000"/>
        </w:rPr>
        <w:t xml:space="preserve">), priprava primerjalnih analiz s konkurenti, priprava trajnostnih letnih poročil, izvajanje kontrole kazalnikov za spremljanje trajnostnega poslovanja), </w:t>
      </w:r>
    </w:p>
    <w:p w14:paraId="0E5AD349" w14:textId="77777777" w:rsidR="000755BA" w:rsidRDefault="00EF1395">
      <w:pPr>
        <w:numPr>
          <w:ilvl w:val="2"/>
          <w:numId w:val="10"/>
        </w:numPr>
        <w:pBdr>
          <w:top w:val="nil"/>
          <w:left w:val="nil"/>
          <w:bottom w:val="nil"/>
          <w:right w:val="nil"/>
          <w:between w:val="nil"/>
        </w:pBdr>
        <w:spacing w:line="276" w:lineRule="auto"/>
        <w:ind w:left="567"/>
        <w:jc w:val="both"/>
        <w:rPr>
          <w:color w:val="000000"/>
        </w:rPr>
      </w:pPr>
      <w:r>
        <w:rPr>
          <w:rFonts w:ascii="Arial" w:eastAsia="Arial" w:hAnsi="Arial" w:cs="Arial"/>
          <w:color w:val="000000"/>
        </w:rPr>
        <w:t>stroški oblikovanja trajnostnih pobud za razvoj produktov (smernice za vedenje obiskovalcev na ranljivih območjih, kodeks za odgovorno in trajnostno izvajanje turističnih vodenj za turistične vodnike, turistične agencije in organizatorje potovanj ipd.) in njihovo izvajanje;</w:t>
      </w:r>
    </w:p>
    <w:p w14:paraId="4D684E24" w14:textId="77777777" w:rsidR="000755BA" w:rsidRDefault="00EF1395">
      <w:pPr>
        <w:numPr>
          <w:ilvl w:val="2"/>
          <w:numId w:val="10"/>
        </w:numPr>
        <w:pBdr>
          <w:top w:val="nil"/>
          <w:left w:val="nil"/>
          <w:bottom w:val="nil"/>
          <w:right w:val="nil"/>
          <w:between w:val="nil"/>
        </w:pBdr>
        <w:spacing w:line="276" w:lineRule="auto"/>
        <w:ind w:left="567"/>
        <w:jc w:val="both"/>
        <w:rPr>
          <w:color w:val="000000"/>
        </w:rPr>
      </w:pPr>
      <w:r>
        <w:rPr>
          <w:rFonts w:ascii="Arial" w:eastAsia="Arial" w:hAnsi="Arial" w:cs="Arial"/>
          <w:color w:val="000000"/>
        </w:rPr>
        <w:t>stroški izdelave priročnika trženjskih znamk destinacije in integralnih turističnih proizvodov, stroški oblikovanja standardov kakovosti za turistične produkte (lokalne znamke in sistem standardov);</w:t>
      </w:r>
    </w:p>
    <w:p w14:paraId="358AA4E1" w14:textId="77777777" w:rsidR="000755BA" w:rsidRDefault="00EF1395">
      <w:pPr>
        <w:numPr>
          <w:ilvl w:val="2"/>
          <w:numId w:val="10"/>
        </w:numPr>
        <w:pBdr>
          <w:top w:val="nil"/>
          <w:left w:val="nil"/>
          <w:bottom w:val="nil"/>
          <w:right w:val="nil"/>
          <w:between w:val="nil"/>
        </w:pBdr>
        <w:spacing w:line="276" w:lineRule="auto"/>
        <w:ind w:left="567"/>
        <w:jc w:val="both"/>
        <w:rPr>
          <w:color w:val="000000"/>
        </w:rPr>
      </w:pPr>
      <w:r>
        <w:rPr>
          <w:rFonts w:ascii="Arial" w:eastAsia="Arial" w:hAnsi="Arial" w:cs="Arial"/>
          <w:color w:val="000000"/>
        </w:rPr>
        <w:t>stroški priprave modelov upravljanja turističnega obiska/turističnih tokov in njihovega izvajanja,</w:t>
      </w:r>
    </w:p>
    <w:p w14:paraId="22E41180" w14:textId="77777777" w:rsidR="000755BA" w:rsidRDefault="00EF1395">
      <w:pPr>
        <w:numPr>
          <w:ilvl w:val="2"/>
          <w:numId w:val="10"/>
        </w:numPr>
        <w:pBdr>
          <w:top w:val="nil"/>
          <w:left w:val="nil"/>
          <w:bottom w:val="nil"/>
          <w:right w:val="nil"/>
          <w:between w:val="nil"/>
        </w:pBdr>
        <w:spacing w:line="276" w:lineRule="auto"/>
        <w:ind w:left="567"/>
        <w:jc w:val="both"/>
        <w:rPr>
          <w:color w:val="000000"/>
        </w:rPr>
      </w:pPr>
      <w:r>
        <w:rPr>
          <w:rFonts w:ascii="Arial" w:eastAsia="Arial" w:hAnsi="Arial" w:cs="Arial"/>
          <w:color w:val="000000"/>
        </w:rPr>
        <w:t>stroški spodbujanja trajnostne mobilnosti in aktivnosti na področju načrtovanja prostora;</w:t>
      </w:r>
    </w:p>
    <w:p w14:paraId="22801319" w14:textId="77777777" w:rsidR="000755BA" w:rsidRDefault="00EF1395">
      <w:pPr>
        <w:numPr>
          <w:ilvl w:val="2"/>
          <w:numId w:val="10"/>
        </w:numPr>
        <w:pBdr>
          <w:top w:val="nil"/>
          <w:left w:val="nil"/>
          <w:bottom w:val="nil"/>
          <w:right w:val="nil"/>
          <w:between w:val="nil"/>
        </w:pBdr>
        <w:spacing w:line="276" w:lineRule="auto"/>
        <w:ind w:left="567"/>
        <w:jc w:val="both"/>
        <w:rPr>
          <w:color w:val="000000"/>
        </w:rPr>
      </w:pPr>
      <w:r>
        <w:rPr>
          <w:rFonts w:ascii="Arial" w:eastAsia="Arial" w:hAnsi="Arial" w:cs="Arial"/>
          <w:color w:val="000000"/>
        </w:rPr>
        <w:t xml:space="preserve">stroški razvoja znanj in kompetenc med turističnimi ponudniki v destinaciji (izobraževanja in usposabljanja) ter izobraževanja in usposabljanja zaposlenih v </w:t>
      </w:r>
      <w:proofErr w:type="spellStart"/>
      <w:r>
        <w:rPr>
          <w:rFonts w:ascii="Arial" w:eastAsia="Arial" w:hAnsi="Arial" w:cs="Arial"/>
          <w:color w:val="000000"/>
        </w:rPr>
        <w:t>destinacijskih</w:t>
      </w:r>
      <w:proofErr w:type="spellEnd"/>
      <w:r>
        <w:rPr>
          <w:rFonts w:ascii="Arial" w:eastAsia="Arial" w:hAnsi="Arial" w:cs="Arial"/>
          <w:color w:val="000000"/>
        </w:rPr>
        <w:t xml:space="preserve"> organizacijah</w:t>
      </w:r>
      <w:r>
        <w:rPr>
          <w:rFonts w:ascii="Arial" w:eastAsia="Arial" w:hAnsi="Arial" w:cs="Arial"/>
          <w:color w:val="000000"/>
          <w:vertAlign w:val="superscript"/>
        </w:rPr>
        <w:footnoteReference w:id="11"/>
      </w:r>
      <w:r>
        <w:rPr>
          <w:rFonts w:ascii="Arial" w:eastAsia="Arial" w:hAnsi="Arial" w:cs="Arial"/>
          <w:color w:val="000000"/>
        </w:rPr>
        <w:t>,</w:t>
      </w:r>
    </w:p>
    <w:p w14:paraId="26697762" w14:textId="77777777" w:rsidR="000755BA" w:rsidRDefault="00EF1395">
      <w:pPr>
        <w:numPr>
          <w:ilvl w:val="2"/>
          <w:numId w:val="11"/>
        </w:numPr>
        <w:pBdr>
          <w:top w:val="nil"/>
          <w:left w:val="nil"/>
          <w:bottom w:val="nil"/>
          <w:right w:val="nil"/>
          <w:between w:val="nil"/>
        </w:pBdr>
        <w:spacing w:line="276" w:lineRule="auto"/>
        <w:ind w:left="567"/>
        <w:jc w:val="both"/>
        <w:rPr>
          <w:color w:val="000000"/>
        </w:rPr>
      </w:pPr>
      <w:r>
        <w:rPr>
          <w:rFonts w:ascii="Arial" w:eastAsia="Arial" w:hAnsi="Arial" w:cs="Arial"/>
          <w:color w:val="000000"/>
        </w:rPr>
        <w:t>stroški izvedbe usposabljanj v podporo razvoju turističnih produktov, ogledov primerov dobrih praks turističnih produktov,</w:t>
      </w:r>
    </w:p>
    <w:p w14:paraId="3715A126" w14:textId="77777777" w:rsidR="000755BA" w:rsidRDefault="00EF1395">
      <w:pPr>
        <w:numPr>
          <w:ilvl w:val="2"/>
          <w:numId w:val="11"/>
        </w:numPr>
        <w:pBdr>
          <w:top w:val="nil"/>
          <w:left w:val="nil"/>
          <w:bottom w:val="nil"/>
          <w:right w:val="nil"/>
          <w:between w:val="nil"/>
        </w:pBdr>
        <w:spacing w:line="276" w:lineRule="auto"/>
        <w:ind w:left="567"/>
        <w:jc w:val="both"/>
        <w:rPr>
          <w:color w:val="000000"/>
        </w:rPr>
      </w:pPr>
      <w:r>
        <w:rPr>
          <w:rFonts w:ascii="Arial" w:eastAsia="Arial" w:hAnsi="Arial" w:cs="Arial"/>
          <w:color w:val="000000"/>
        </w:rPr>
        <w:t xml:space="preserve">stroški oblikovanja novih turističnih produktov </w:t>
      </w:r>
      <w:r>
        <w:rPr>
          <w:rFonts w:ascii="Arial" w:eastAsia="Arial" w:hAnsi="Arial" w:cs="Arial"/>
          <w:color w:val="000000"/>
          <w:u w:val="single"/>
        </w:rPr>
        <w:t>na ravni celotne destinacije</w:t>
      </w:r>
      <w:r>
        <w:rPr>
          <w:rFonts w:ascii="Arial" w:eastAsia="Arial" w:hAnsi="Arial" w:cs="Arial"/>
          <w:color w:val="000000"/>
        </w:rPr>
        <w:t xml:space="preserve"> (to so produkti, ki jih destinacija razvije do faze tržne sposobnosti in temeljijo na temeljnih usmeritvah, ciljih in identificiranih priložnostih destinacije). Pri tem se kot strošek razvoja produktov ne upošteva zgolj sestavljanje/dopolnjevanje obstoječe turistične ponudbe destinacije, temveč razvoj in ustvarjanje nove dodane vrednosti novih inovativnih vsebin in novih povezav, s katerimi se bo okrepil potencial destinacije z novimi, izvirnimi motivi za obisk destinacije. Vsi turistični produkti, ki bodo predmet sofinanciranja, bodo morali biti dani na trg do zaključka operacije, prijavitelj pa bo moral še pet let od zaključka operacije ministrstvu sporočati rezultate teh produktov (npr. število obiskovalcev, prodanih paketov, prenočitev), </w:t>
      </w:r>
    </w:p>
    <w:p w14:paraId="53D411A2" w14:textId="77777777" w:rsidR="000755BA" w:rsidRPr="00C7060F" w:rsidRDefault="00EF1395">
      <w:pPr>
        <w:numPr>
          <w:ilvl w:val="2"/>
          <w:numId w:val="11"/>
        </w:numPr>
        <w:pBdr>
          <w:top w:val="nil"/>
          <w:left w:val="nil"/>
          <w:bottom w:val="nil"/>
          <w:right w:val="nil"/>
          <w:between w:val="nil"/>
        </w:pBdr>
        <w:spacing w:line="276" w:lineRule="auto"/>
        <w:ind w:left="567"/>
        <w:jc w:val="both"/>
        <w:rPr>
          <w:color w:val="000000"/>
        </w:rPr>
      </w:pPr>
      <w:r>
        <w:rPr>
          <w:rFonts w:ascii="Arial" w:eastAsia="Arial" w:hAnsi="Arial" w:cs="Arial"/>
          <w:color w:val="000000"/>
        </w:rPr>
        <w:t>stroški digitalnega inoviranja kulturne dediščine</w:t>
      </w:r>
      <w:r>
        <w:rPr>
          <w:rFonts w:ascii="Arial" w:eastAsia="Arial" w:hAnsi="Arial" w:cs="Arial"/>
          <w:color w:val="000000"/>
          <w:vertAlign w:val="superscript"/>
        </w:rPr>
        <w:footnoteReference w:id="12"/>
      </w:r>
      <w:r>
        <w:rPr>
          <w:rFonts w:ascii="Arial" w:eastAsia="Arial" w:hAnsi="Arial" w:cs="Arial"/>
          <w:color w:val="000000"/>
        </w:rPr>
        <w:t xml:space="preserve"> in naravnih vrednot </w:t>
      </w:r>
      <w:r>
        <w:rPr>
          <w:rFonts w:ascii="Arial" w:eastAsia="Arial" w:hAnsi="Arial" w:cs="Arial"/>
          <w:color w:val="000000"/>
          <w:vertAlign w:val="superscript"/>
        </w:rPr>
        <w:footnoteReference w:id="13"/>
      </w:r>
      <w:r>
        <w:rPr>
          <w:rFonts w:ascii="Arial" w:eastAsia="Arial" w:hAnsi="Arial" w:cs="Arial"/>
          <w:color w:val="000000"/>
        </w:rPr>
        <w:t xml:space="preserve">. </w:t>
      </w:r>
    </w:p>
    <w:p w14:paraId="34B3A3D9" w14:textId="77777777" w:rsidR="00C7060F" w:rsidRDefault="00C7060F" w:rsidP="00C7060F">
      <w:pPr>
        <w:pBdr>
          <w:top w:val="nil"/>
          <w:left w:val="nil"/>
          <w:bottom w:val="nil"/>
          <w:right w:val="nil"/>
          <w:between w:val="nil"/>
        </w:pBdr>
        <w:spacing w:line="276" w:lineRule="auto"/>
        <w:ind w:left="567"/>
        <w:jc w:val="both"/>
        <w:rPr>
          <w:color w:val="000000"/>
        </w:rPr>
      </w:pPr>
    </w:p>
    <w:p w14:paraId="09B56419"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 xml:space="preserve">3.2 Stroški storitev zunanjih izvajalcev, vezanih na promocijo destinacije: </w:t>
      </w:r>
    </w:p>
    <w:p w14:paraId="0ECDCA4F" w14:textId="77777777" w:rsidR="000755BA" w:rsidRDefault="00EF1395">
      <w:pPr>
        <w:numPr>
          <w:ilvl w:val="2"/>
          <w:numId w:val="20"/>
        </w:numPr>
        <w:pBdr>
          <w:top w:val="nil"/>
          <w:left w:val="nil"/>
          <w:bottom w:val="nil"/>
          <w:right w:val="nil"/>
          <w:between w:val="nil"/>
        </w:pBdr>
        <w:spacing w:line="276" w:lineRule="auto"/>
        <w:ind w:left="426"/>
        <w:jc w:val="both"/>
        <w:rPr>
          <w:color w:val="000000"/>
        </w:rPr>
      </w:pPr>
      <w:r>
        <w:rPr>
          <w:rFonts w:ascii="Arial" w:eastAsia="Arial" w:hAnsi="Arial" w:cs="Arial"/>
          <w:color w:val="000000"/>
        </w:rPr>
        <w:t xml:space="preserve">stroški digitalne promocije (oblikovanje in urednikovanje lastne spletne strani, stroški upravljanja lastnih kanalov na družbenih medijih, stroški razvoja in vključevanja v rezervacijske sisteme, razvoj </w:t>
      </w:r>
      <w:proofErr w:type="spellStart"/>
      <w:r>
        <w:rPr>
          <w:rFonts w:ascii="Arial" w:eastAsia="Arial" w:hAnsi="Arial" w:cs="Arial"/>
          <w:color w:val="000000"/>
        </w:rPr>
        <w:t>mediateke</w:t>
      </w:r>
      <w:proofErr w:type="spellEnd"/>
      <w:r>
        <w:rPr>
          <w:rFonts w:ascii="Arial" w:eastAsia="Arial" w:hAnsi="Arial" w:cs="Arial"/>
          <w:color w:val="000000"/>
        </w:rPr>
        <w:t xml:space="preserve"> za deljenje promocijskega materiala, razvoj skupnih digitalnih orodij za podporo promociji (</w:t>
      </w:r>
      <w:proofErr w:type="spellStart"/>
      <w:r>
        <w:rPr>
          <w:rFonts w:ascii="Arial" w:eastAsia="Arial" w:hAnsi="Arial" w:cs="Arial"/>
          <w:color w:val="000000"/>
        </w:rPr>
        <w:t>klepetalniki</w:t>
      </w:r>
      <w:proofErr w:type="spellEnd"/>
      <w:r>
        <w:rPr>
          <w:rFonts w:ascii="Arial" w:eastAsia="Arial" w:hAnsi="Arial" w:cs="Arial"/>
          <w:color w:val="000000"/>
        </w:rPr>
        <w:t>, VR/AR rešitve, digitalni asistenti ipd.),</w:t>
      </w:r>
    </w:p>
    <w:p w14:paraId="07D6E729" w14:textId="77777777" w:rsidR="000755BA" w:rsidRDefault="00EF1395">
      <w:pPr>
        <w:numPr>
          <w:ilvl w:val="2"/>
          <w:numId w:val="20"/>
        </w:numPr>
        <w:pBdr>
          <w:top w:val="nil"/>
          <w:left w:val="nil"/>
          <w:bottom w:val="nil"/>
          <w:right w:val="nil"/>
          <w:between w:val="nil"/>
        </w:pBdr>
        <w:spacing w:line="276" w:lineRule="auto"/>
        <w:ind w:left="426"/>
        <w:jc w:val="both"/>
        <w:rPr>
          <w:color w:val="000000"/>
        </w:rPr>
      </w:pPr>
      <w:r>
        <w:rPr>
          <w:rFonts w:ascii="Arial" w:eastAsia="Arial" w:hAnsi="Arial" w:cs="Arial"/>
          <w:color w:val="000000"/>
        </w:rPr>
        <w:t>stroški oblikovanja in izdelave promocijskega materiala</w:t>
      </w:r>
      <w:r>
        <w:rPr>
          <w:rFonts w:ascii="Arial" w:eastAsia="Arial" w:hAnsi="Arial" w:cs="Arial"/>
          <w:color w:val="000000"/>
          <w:vertAlign w:val="superscript"/>
        </w:rPr>
        <w:footnoteReference w:id="14"/>
      </w:r>
      <w:r>
        <w:rPr>
          <w:rFonts w:ascii="Arial" w:eastAsia="Arial" w:hAnsi="Arial" w:cs="Arial"/>
          <w:color w:val="000000"/>
        </w:rPr>
        <w:t xml:space="preserve">, </w:t>
      </w:r>
    </w:p>
    <w:p w14:paraId="5A6EB4AF" w14:textId="77777777" w:rsidR="000755BA" w:rsidRDefault="00EF1395">
      <w:pPr>
        <w:numPr>
          <w:ilvl w:val="2"/>
          <w:numId w:val="20"/>
        </w:numPr>
        <w:pBdr>
          <w:top w:val="nil"/>
          <w:left w:val="nil"/>
          <w:bottom w:val="nil"/>
          <w:right w:val="nil"/>
          <w:between w:val="nil"/>
        </w:pBdr>
        <w:spacing w:line="276" w:lineRule="auto"/>
        <w:ind w:left="426"/>
        <w:jc w:val="both"/>
        <w:rPr>
          <w:color w:val="000000"/>
        </w:rPr>
      </w:pPr>
      <w:r>
        <w:rPr>
          <w:rFonts w:ascii="Arial" w:eastAsia="Arial" w:hAnsi="Arial" w:cs="Arial"/>
          <w:color w:val="000000"/>
        </w:rPr>
        <w:t>stroški zakupa medijskega in oglaševalskega prostora v tujih in domačih medijih,</w:t>
      </w:r>
    </w:p>
    <w:p w14:paraId="64167E88" w14:textId="77777777" w:rsidR="000755BA" w:rsidRDefault="00EF1395">
      <w:pPr>
        <w:numPr>
          <w:ilvl w:val="2"/>
          <w:numId w:val="20"/>
        </w:numPr>
        <w:pBdr>
          <w:top w:val="nil"/>
          <w:left w:val="nil"/>
          <w:bottom w:val="nil"/>
          <w:right w:val="nil"/>
          <w:between w:val="nil"/>
        </w:pBdr>
        <w:spacing w:line="276" w:lineRule="auto"/>
        <w:ind w:left="426"/>
        <w:jc w:val="both"/>
        <w:rPr>
          <w:color w:val="000000"/>
        </w:rPr>
      </w:pPr>
      <w:r>
        <w:rPr>
          <w:rFonts w:ascii="Arial" w:eastAsia="Arial" w:hAnsi="Arial" w:cs="Arial"/>
          <w:color w:val="000000"/>
        </w:rPr>
        <w:t>organizacija medijskih dogodkov doma in v tujini,</w:t>
      </w:r>
    </w:p>
    <w:p w14:paraId="4E0102E5" w14:textId="77777777" w:rsidR="000755BA" w:rsidRDefault="00EF1395">
      <w:pPr>
        <w:numPr>
          <w:ilvl w:val="2"/>
          <w:numId w:val="20"/>
        </w:numPr>
        <w:pBdr>
          <w:top w:val="nil"/>
          <w:left w:val="nil"/>
          <w:bottom w:val="nil"/>
          <w:right w:val="nil"/>
          <w:between w:val="nil"/>
        </w:pBdr>
        <w:spacing w:line="276" w:lineRule="auto"/>
        <w:ind w:left="426"/>
        <w:jc w:val="both"/>
        <w:rPr>
          <w:color w:val="000000"/>
        </w:rPr>
      </w:pPr>
      <w:r>
        <w:rPr>
          <w:rFonts w:ascii="Arial" w:eastAsia="Arial" w:hAnsi="Arial" w:cs="Arial"/>
          <w:color w:val="000000"/>
        </w:rPr>
        <w:t>organizacija promocijskih dogodkov v tujini,</w:t>
      </w:r>
    </w:p>
    <w:p w14:paraId="17D8DCB7" w14:textId="77777777" w:rsidR="000755BA" w:rsidRDefault="00EF1395">
      <w:pPr>
        <w:numPr>
          <w:ilvl w:val="2"/>
          <w:numId w:val="20"/>
        </w:numPr>
        <w:pBdr>
          <w:top w:val="nil"/>
          <w:left w:val="nil"/>
          <w:bottom w:val="nil"/>
          <w:right w:val="nil"/>
          <w:between w:val="nil"/>
        </w:pBdr>
        <w:spacing w:line="276" w:lineRule="auto"/>
        <w:ind w:left="426"/>
        <w:jc w:val="both"/>
        <w:rPr>
          <w:color w:val="000000"/>
        </w:rPr>
      </w:pPr>
      <w:r>
        <w:rPr>
          <w:rFonts w:ascii="Arial" w:eastAsia="Arial" w:hAnsi="Arial" w:cs="Arial"/>
          <w:color w:val="000000"/>
        </w:rPr>
        <w:t>produkcija foto- ali/in video materiala ter zagotavljanje ustreznih pravic za prenos materiala.</w:t>
      </w:r>
    </w:p>
    <w:p w14:paraId="759823EE"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8A75E4A"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b/>
          <w:bCs/>
          <w:color w:val="000000"/>
        </w:rPr>
        <w:t xml:space="preserve">Stroški zunanjih izvajalcev, vezanih na promocijo destinacije, lahko dosegajo največ 20 % vrednosti celotnih upravičenih stroškov operacije. </w:t>
      </w:r>
    </w:p>
    <w:p w14:paraId="77D92E65"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b/>
          <w:bCs/>
          <w:color w:val="000000"/>
        </w:rPr>
        <w:t xml:space="preserve">Upravičeni stroški bodo zgolj stroški promocijskega materiala, ki se ne bodo nanašali na promocijo posameznega ponudnika, temveč na promocijo destinacije, integralnih turističnih proizvodov in tematskih proizvodov na ravni destinacije. </w:t>
      </w:r>
      <w:r>
        <w:rPr>
          <w:rFonts w:ascii="Arial" w:eastAsia="Arial" w:hAnsi="Arial" w:cs="Arial"/>
          <w:color w:val="000000"/>
        </w:rPr>
        <w:t xml:space="preserve">V kolikor promocijski material obsega integralni turistični proizvod ali tematski proizvod, ki presega meje delovanja regionalne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je sofinanciran del promocijskega materiala, ki se nanaša na območje delovanja regionalne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w:t>
      </w:r>
    </w:p>
    <w:p w14:paraId="61D5E003"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Aktivnosti bodo izvajali izvajalci, izbrani na pregleden in javno objavljen način, na podlagi vnaprej določenih meril kakovosti in učinkovitosti, s čimer se zagotavlja enakopravna možnost sodelovanja za vse zainteresirane izvajalce.</w:t>
      </w:r>
    </w:p>
    <w:p w14:paraId="64FFAEBA"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Upravičenci do sredstev / izvajalci po tem javnem razpisu bodo zunanje izvajalce izbirali skladno z Zakonom o javnem naročanju (Uradni list RS, št. </w:t>
      </w:r>
      <w:hyperlink r:id="rId28">
        <w:r>
          <w:rPr>
            <w:rFonts w:ascii="Arial" w:eastAsia="Arial" w:hAnsi="Arial" w:cs="Arial"/>
            <w:color w:val="000000"/>
          </w:rPr>
          <w:t>91/15</w:t>
        </w:r>
      </w:hyperlink>
      <w:r>
        <w:rPr>
          <w:rFonts w:ascii="Arial" w:eastAsia="Arial" w:hAnsi="Arial" w:cs="Arial"/>
          <w:color w:val="000000"/>
        </w:rPr>
        <w:t>, </w:t>
      </w:r>
      <w:hyperlink r:id="rId29">
        <w:r>
          <w:rPr>
            <w:rFonts w:ascii="Arial" w:eastAsia="Arial" w:hAnsi="Arial" w:cs="Arial"/>
            <w:color w:val="000000"/>
          </w:rPr>
          <w:t>14/18</w:t>
        </w:r>
      </w:hyperlink>
      <w:r>
        <w:rPr>
          <w:rFonts w:ascii="Arial" w:eastAsia="Arial" w:hAnsi="Arial" w:cs="Arial"/>
          <w:color w:val="000000"/>
        </w:rPr>
        <w:t>, </w:t>
      </w:r>
      <w:hyperlink r:id="rId30">
        <w:r>
          <w:rPr>
            <w:rFonts w:ascii="Arial" w:eastAsia="Arial" w:hAnsi="Arial" w:cs="Arial"/>
            <w:color w:val="000000"/>
          </w:rPr>
          <w:t>121/21</w:t>
        </w:r>
      </w:hyperlink>
      <w:r>
        <w:rPr>
          <w:rFonts w:ascii="Arial" w:eastAsia="Arial" w:hAnsi="Arial" w:cs="Arial"/>
          <w:color w:val="000000"/>
        </w:rPr>
        <w:t>, </w:t>
      </w:r>
      <w:hyperlink r:id="rId31">
        <w:r>
          <w:rPr>
            <w:rFonts w:ascii="Arial" w:eastAsia="Arial" w:hAnsi="Arial" w:cs="Arial"/>
            <w:color w:val="000000"/>
          </w:rPr>
          <w:t>10/22</w:t>
        </w:r>
      </w:hyperlink>
      <w:r>
        <w:rPr>
          <w:rFonts w:ascii="Arial" w:eastAsia="Arial" w:hAnsi="Arial" w:cs="Arial"/>
          <w:color w:val="000000"/>
        </w:rPr>
        <w:t>, </w:t>
      </w:r>
      <w:hyperlink r:id="rId32">
        <w:r>
          <w:rPr>
            <w:rFonts w:ascii="Arial" w:eastAsia="Arial" w:hAnsi="Arial" w:cs="Arial"/>
            <w:color w:val="000000"/>
          </w:rPr>
          <w:t>74/22</w:t>
        </w:r>
      </w:hyperlink>
      <w:r>
        <w:rPr>
          <w:rFonts w:ascii="Arial" w:eastAsia="Arial" w:hAnsi="Arial" w:cs="Arial"/>
          <w:color w:val="000000"/>
        </w:rPr>
        <w:t xml:space="preserve"> – </w:t>
      </w:r>
      <w:proofErr w:type="spellStart"/>
      <w:r>
        <w:rPr>
          <w:rFonts w:ascii="Arial" w:eastAsia="Arial" w:hAnsi="Arial" w:cs="Arial"/>
          <w:color w:val="000000"/>
        </w:rPr>
        <w:t>odl</w:t>
      </w:r>
      <w:proofErr w:type="spellEnd"/>
      <w:r>
        <w:rPr>
          <w:rFonts w:ascii="Arial" w:eastAsia="Arial" w:hAnsi="Arial" w:cs="Arial"/>
          <w:color w:val="000000"/>
        </w:rPr>
        <w:t>. US, </w:t>
      </w:r>
      <w:hyperlink r:id="rId33">
        <w:r>
          <w:rPr>
            <w:rFonts w:ascii="Arial" w:eastAsia="Arial" w:hAnsi="Arial" w:cs="Arial"/>
            <w:color w:val="000000"/>
          </w:rPr>
          <w:t>100/22</w:t>
        </w:r>
      </w:hyperlink>
      <w:r>
        <w:rPr>
          <w:rFonts w:ascii="Arial" w:eastAsia="Arial" w:hAnsi="Arial" w:cs="Arial"/>
          <w:color w:val="000000"/>
        </w:rPr>
        <w:t> – ZNUZSZS, </w:t>
      </w:r>
      <w:hyperlink r:id="rId34">
        <w:r>
          <w:rPr>
            <w:rFonts w:ascii="Arial" w:eastAsia="Arial" w:hAnsi="Arial" w:cs="Arial"/>
            <w:color w:val="000000"/>
          </w:rPr>
          <w:t>28/23</w:t>
        </w:r>
      </w:hyperlink>
      <w:r>
        <w:rPr>
          <w:rFonts w:ascii="Arial" w:eastAsia="Arial" w:hAnsi="Arial" w:cs="Arial"/>
          <w:color w:val="000000"/>
        </w:rPr>
        <w:t>, </w:t>
      </w:r>
      <w:hyperlink r:id="rId35">
        <w:r>
          <w:rPr>
            <w:rFonts w:ascii="Arial" w:eastAsia="Arial" w:hAnsi="Arial" w:cs="Arial"/>
            <w:color w:val="000000"/>
          </w:rPr>
          <w:t>88/23</w:t>
        </w:r>
      </w:hyperlink>
      <w:r>
        <w:rPr>
          <w:rFonts w:ascii="Arial" w:eastAsia="Arial" w:hAnsi="Arial" w:cs="Arial"/>
          <w:color w:val="000000"/>
        </w:rPr>
        <w:t> – ZOPNN-F in </w:t>
      </w:r>
      <w:hyperlink r:id="rId36">
        <w:r>
          <w:rPr>
            <w:rFonts w:ascii="Arial" w:eastAsia="Arial" w:hAnsi="Arial" w:cs="Arial"/>
            <w:color w:val="000000"/>
          </w:rPr>
          <w:t>83/25</w:t>
        </w:r>
      </w:hyperlink>
      <w:r>
        <w:rPr>
          <w:rFonts w:ascii="Arial" w:eastAsia="Arial" w:hAnsi="Arial" w:cs="Arial"/>
          <w:color w:val="000000"/>
        </w:rPr>
        <w:t> – ZOUL; v nadaljevanju: ZJN-3) in Uredbo o zelenem javnem naročanju (Uradni list RS, št. 51/17, 64/19, 121/21, 132/23 in 43/25).</w:t>
      </w:r>
    </w:p>
    <w:p w14:paraId="3FDEF507"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76AF71D"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D97111E" w14:textId="77777777" w:rsidR="000755BA" w:rsidRDefault="00EF1395">
      <w:pPr>
        <w:pBdr>
          <w:top w:val="nil"/>
          <w:left w:val="nil"/>
          <w:bottom w:val="nil"/>
          <w:right w:val="nil"/>
          <w:between w:val="nil"/>
        </w:pBdr>
        <w:spacing w:line="276" w:lineRule="auto"/>
        <w:ind w:left="426"/>
        <w:rPr>
          <w:rFonts w:ascii="Arial" w:eastAsia="Arial" w:hAnsi="Arial" w:cs="Arial"/>
          <w:color w:val="000000"/>
        </w:rPr>
      </w:pPr>
      <w:r>
        <w:rPr>
          <w:rFonts w:ascii="Arial" w:eastAsia="Arial" w:hAnsi="Arial" w:cs="Arial"/>
          <w:b/>
          <w:bCs/>
          <w:color w:val="000000"/>
        </w:rPr>
        <w:t>Ad 4)  Stroški manjših vlaganj v gradnjo in opremo</w:t>
      </w:r>
    </w:p>
    <w:p w14:paraId="77786FDB"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2681B18"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Stroški manjših vlaganj v gradnjo in opremo javne turistične infrastrukture zajemajo:</w:t>
      </w:r>
    </w:p>
    <w:p w14:paraId="4EE44F58" w14:textId="77777777" w:rsidR="000755BA" w:rsidRDefault="00EF1395">
      <w:pPr>
        <w:numPr>
          <w:ilvl w:val="0"/>
          <w:numId w:val="34"/>
        </w:numPr>
        <w:pBdr>
          <w:top w:val="nil"/>
          <w:left w:val="nil"/>
          <w:bottom w:val="nil"/>
          <w:right w:val="nil"/>
          <w:between w:val="nil"/>
        </w:pBdr>
        <w:spacing w:line="276" w:lineRule="auto"/>
        <w:ind w:left="426" w:hanging="284"/>
        <w:jc w:val="both"/>
        <w:rPr>
          <w:color w:val="000000"/>
        </w:rPr>
      </w:pPr>
      <w:r>
        <w:rPr>
          <w:rFonts w:ascii="Arial" w:eastAsia="Arial" w:hAnsi="Arial" w:cs="Arial"/>
          <w:color w:val="000000"/>
        </w:rPr>
        <w:lastRenderedPageBreak/>
        <w:t>stroške priprave projektne oz. investicijske dokumentacije,</w:t>
      </w:r>
    </w:p>
    <w:p w14:paraId="27C4C4D4" w14:textId="77777777" w:rsidR="000755BA" w:rsidRDefault="00EF1395">
      <w:pPr>
        <w:numPr>
          <w:ilvl w:val="0"/>
          <w:numId w:val="34"/>
        </w:numPr>
        <w:pBdr>
          <w:top w:val="nil"/>
          <w:left w:val="nil"/>
          <w:bottom w:val="nil"/>
          <w:right w:val="nil"/>
          <w:between w:val="nil"/>
        </w:pBdr>
        <w:spacing w:line="276" w:lineRule="auto"/>
        <w:ind w:left="426" w:hanging="284"/>
        <w:jc w:val="both"/>
        <w:rPr>
          <w:color w:val="000000"/>
        </w:rPr>
      </w:pPr>
      <w:r>
        <w:rPr>
          <w:rFonts w:ascii="Arial" w:eastAsia="Arial" w:hAnsi="Arial" w:cs="Arial"/>
          <w:color w:val="000000"/>
        </w:rPr>
        <w:t xml:space="preserve">stroške </w:t>
      </w:r>
      <w:r>
        <w:rPr>
          <w:rFonts w:ascii="Arial" w:eastAsia="Arial" w:hAnsi="Arial" w:cs="Arial"/>
          <w:b/>
          <w:bCs/>
          <w:color w:val="000000"/>
        </w:rPr>
        <w:t>gradnje</w:t>
      </w:r>
      <w:r>
        <w:rPr>
          <w:rFonts w:ascii="Arial" w:eastAsia="Arial" w:hAnsi="Arial" w:cs="Arial"/>
          <w:b/>
          <w:bCs/>
          <w:color w:val="000000"/>
          <w:vertAlign w:val="superscript"/>
        </w:rPr>
        <w:footnoteReference w:id="15"/>
      </w:r>
      <w:r>
        <w:rPr>
          <w:rFonts w:ascii="Arial" w:eastAsia="Arial" w:hAnsi="Arial" w:cs="Arial"/>
          <w:b/>
          <w:bCs/>
          <w:color w:val="000000"/>
        </w:rPr>
        <w:t xml:space="preserve"> javne turistične infrastrukture, vezane na </w:t>
      </w:r>
      <w:proofErr w:type="spellStart"/>
      <w:r>
        <w:rPr>
          <w:rFonts w:ascii="Arial" w:eastAsia="Arial" w:hAnsi="Arial" w:cs="Arial"/>
          <w:b/>
          <w:bCs/>
          <w:color w:val="000000"/>
        </w:rPr>
        <w:t>destinacijske</w:t>
      </w:r>
      <w:proofErr w:type="spellEnd"/>
      <w:r>
        <w:rPr>
          <w:rFonts w:ascii="Arial" w:eastAsia="Arial" w:hAnsi="Arial" w:cs="Arial"/>
          <w:b/>
          <w:bCs/>
          <w:color w:val="000000"/>
        </w:rPr>
        <w:t xml:space="preserve"> turistične produkte</w:t>
      </w:r>
      <w:r>
        <w:rPr>
          <w:rFonts w:ascii="Arial" w:eastAsia="Arial" w:hAnsi="Arial" w:cs="Arial"/>
          <w:color w:val="000000"/>
        </w:rPr>
        <w:t>: pripravljalna dela z izjemo nakupa zemljišč, gradbena in inštalacijska dela (GOI dela), postavitev, dobava in montaža,</w:t>
      </w:r>
    </w:p>
    <w:p w14:paraId="42BFB509" w14:textId="343FF27D" w:rsidR="000755BA" w:rsidRDefault="00EF1395">
      <w:pPr>
        <w:numPr>
          <w:ilvl w:val="0"/>
          <w:numId w:val="34"/>
        </w:numPr>
        <w:pBdr>
          <w:top w:val="nil"/>
          <w:left w:val="nil"/>
          <w:bottom w:val="nil"/>
          <w:right w:val="nil"/>
          <w:between w:val="nil"/>
        </w:pBdr>
        <w:spacing w:line="276" w:lineRule="auto"/>
        <w:ind w:left="426" w:hanging="284"/>
        <w:jc w:val="both"/>
        <w:rPr>
          <w:color w:val="000000"/>
        </w:rPr>
      </w:pPr>
      <w:bookmarkStart w:id="48" w:name="_5fcr9kik5vnj" w:colFirst="0" w:colLast="0"/>
      <w:bookmarkEnd w:id="48"/>
      <w:r>
        <w:rPr>
          <w:rFonts w:ascii="Arial" w:eastAsia="Arial" w:hAnsi="Arial" w:cs="Arial"/>
          <w:color w:val="000000"/>
        </w:rPr>
        <w:t xml:space="preserve">stroške investicij v </w:t>
      </w:r>
      <w:r>
        <w:rPr>
          <w:rFonts w:ascii="Arial" w:eastAsia="Arial" w:hAnsi="Arial" w:cs="Arial"/>
          <w:b/>
          <w:bCs/>
          <w:color w:val="000000"/>
        </w:rPr>
        <w:t>opremo</w:t>
      </w:r>
      <w:r>
        <w:rPr>
          <w:rFonts w:ascii="Arial" w:eastAsia="Arial" w:hAnsi="Arial" w:cs="Arial"/>
          <w:color w:val="000000"/>
        </w:rPr>
        <w:t xml:space="preserve"> </w:t>
      </w:r>
      <w:r>
        <w:rPr>
          <w:rFonts w:ascii="Arial" w:eastAsia="Arial" w:hAnsi="Arial" w:cs="Arial"/>
          <w:b/>
          <w:bCs/>
          <w:color w:val="000000"/>
        </w:rPr>
        <w:t xml:space="preserve">javne turistične infrastrukture, vezane na </w:t>
      </w:r>
      <w:proofErr w:type="spellStart"/>
      <w:r>
        <w:rPr>
          <w:rFonts w:ascii="Arial" w:eastAsia="Arial" w:hAnsi="Arial" w:cs="Arial"/>
          <w:b/>
          <w:bCs/>
          <w:color w:val="000000"/>
        </w:rPr>
        <w:t>destinacijske</w:t>
      </w:r>
      <w:proofErr w:type="spellEnd"/>
      <w:r>
        <w:rPr>
          <w:rFonts w:ascii="Arial" w:eastAsia="Arial" w:hAnsi="Arial" w:cs="Arial"/>
          <w:b/>
          <w:bCs/>
          <w:color w:val="000000"/>
        </w:rPr>
        <w:t xml:space="preserve"> turistične produkte</w:t>
      </w:r>
      <w:r>
        <w:rPr>
          <w:rFonts w:ascii="Arial" w:eastAsia="Arial" w:hAnsi="Arial" w:cs="Arial"/>
          <w:color w:val="000000"/>
        </w:rPr>
        <w:t xml:space="preserve"> (oprema za ureditev javne turistične infrastrukture, označevanje in urejanje turističnih privlačnosti in znamenitosti, osvetlitev turistične infrastrukture, razgledne površine, površine za sprostitev,</w:t>
      </w:r>
      <w:r w:rsidR="0004051E">
        <w:rPr>
          <w:rFonts w:ascii="Arial" w:eastAsia="Arial" w:hAnsi="Arial" w:cs="Arial"/>
          <w:color w:val="000000"/>
        </w:rPr>
        <w:t xml:space="preserve"> </w:t>
      </w:r>
      <w:r>
        <w:rPr>
          <w:rFonts w:ascii="Arial" w:eastAsia="Arial" w:hAnsi="Arial" w:cs="Arial"/>
          <w:color w:val="000000"/>
        </w:rPr>
        <w:t>…) in druga opredmetena osnovna sredstva (vključno z dobavo, postavitvijo in montažo)</w:t>
      </w:r>
      <w:r>
        <w:rPr>
          <w:rFonts w:ascii="Arial" w:eastAsia="Arial" w:hAnsi="Arial" w:cs="Arial"/>
          <w:color w:val="000000"/>
          <w:vertAlign w:val="superscript"/>
        </w:rPr>
        <w:footnoteReference w:id="16"/>
      </w:r>
      <w:r>
        <w:rPr>
          <w:rFonts w:ascii="Arial" w:eastAsia="Arial" w:hAnsi="Arial" w:cs="Arial"/>
          <w:color w:val="000000"/>
        </w:rPr>
        <w:t>;</w:t>
      </w:r>
    </w:p>
    <w:p w14:paraId="4F90E0B4" w14:textId="77777777" w:rsidR="000755BA" w:rsidRDefault="00EF1395">
      <w:pPr>
        <w:numPr>
          <w:ilvl w:val="0"/>
          <w:numId w:val="34"/>
        </w:numPr>
        <w:pBdr>
          <w:top w:val="nil"/>
          <w:left w:val="nil"/>
          <w:bottom w:val="nil"/>
          <w:right w:val="nil"/>
          <w:between w:val="nil"/>
        </w:pBdr>
        <w:spacing w:line="276" w:lineRule="auto"/>
        <w:ind w:left="426" w:hanging="284"/>
        <w:jc w:val="both"/>
        <w:rPr>
          <w:color w:val="000000"/>
        </w:rPr>
      </w:pPr>
      <w:r>
        <w:rPr>
          <w:rFonts w:ascii="Arial" w:eastAsia="Arial" w:hAnsi="Arial" w:cs="Arial"/>
          <w:color w:val="000000"/>
        </w:rPr>
        <w:t xml:space="preserve">stroške nakupa tehnološke opreme (računalniki, tiskalniki, mobilni telefoni in druga tehnološka oprema), nujno potrebne za izvajanje funkcij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w:t>
      </w:r>
    </w:p>
    <w:p w14:paraId="04092958" w14:textId="77777777" w:rsidR="000755BA" w:rsidRDefault="000755BA">
      <w:pPr>
        <w:pBdr>
          <w:top w:val="nil"/>
          <w:left w:val="nil"/>
          <w:bottom w:val="nil"/>
          <w:right w:val="nil"/>
          <w:between w:val="nil"/>
        </w:pBdr>
        <w:spacing w:line="276" w:lineRule="auto"/>
        <w:ind w:left="1" w:firstLine="708"/>
        <w:jc w:val="both"/>
        <w:rPr>
          <w:rFonts w:ascii="Arial" w:eastAsia="Arial" w:hAnsi="Arial" w:cs="Arial"/>
          <w:color w:val="000000"/>
        </w:rPr>
      </w:pPr>
    </w:p>
    <w:p w14:paraId="6E83C12D"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Investicije v gradnjo in opremo iz te točke lahko obsegajo do vključno največ 20 % vrednosti celotnih upravičenih stroškov operacije. </w:t>
      </w:r>
    </w:p>
    <w:p w14:paraId="4F96BBA1"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4A8F90F"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Nakup rabljene opreme ni upravičen strošek.</w:t>
      </w:r>
    </w:p>
    <w:p w14:paraId="4167B207"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4225A0DE"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Operacija mora biti vodena na posebnem stroškovnem mestu.</w:t>
      </w:r>
    </w:p>
    <w:p w14:paraId="389934D3"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688C43C3"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 xml:space="preserve">Vlaganja v gradnjo in opremo javne turistične infrastrukture so upravičena zgolj v primeru, ko so vezana na vse </w:t>
      </w:r>
      <w:proofErr w:type="spellStart"/>
      <w:r>
        <w:rPr>
          <w:rFonts w:ascii="Arial" w:eastAsia="Arial" w:hAnsi="Arial" w:cs="Arial"/>
          <w:b/>
          <w:bCs/>
          <w:color w:val="000000"/>
        </w:rPr>
        <w:t>destinacijske</w:t>
      </w:r>
      <w:proofErr w:type="spellEnd"/>
      <w:r>
        <w:rPr>
          <w:rFonts w:ascii="Arial" w:eastAsia="Arial" w:hAnsi="Arial" w:cs="Arial"/>
          <w:b/>
          <w:bCs/>
          <w:color w:val="000000"/>
        </w:rPr>
        <w:t xml:space="preserve"> turistične produkte, ki bodo razviti in vzpostavljeni tekom izvedbe operacije, ki je predmet prijave na javni razpis. Posamezna javna turistična infrastruktura (vezana zgolj na določeno turistično znamenitost ali zgolj v enem delu destinacije) NI upravičena do sofinanciranja. </w:t>
      </w:r>
    </w:p>
    <w:p w14:paraId="68108A1F"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D8FB1E2"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Predmet sofinanciranja bodo </w:t>
      </w:r>
      <w:r>
        <w:rPr>
          <w:rFonts w:ascii="Arial" w:eastAsia="Arial" w:hAnsi="Arial" w:cs="Arial"/>
          <w:b/>
          <w:bCs/>
          <w:color w:val="000000"/>
        </w:rPr>
        <w:t>zgolj vlaganja, ki so neposredno povezana s turizmom</w:t>
      </w:r>
      <w:r>
        <w:rPr>
          <w:rFonts w:ascii="Arial" w:eastAsia="Arial" w:hAnsi="Arial" w:cs="Arial"/>
          <w:color w:val="000000"/>
        </w:rPr>
        <w:t xml:space="preserve">, kar pomeni, da bodo to infrastrukturo uporabljali pretežno turisti ter bo imela vpliv na višjo raven kakovosti doživetja turistov in s tem doseganje višjega cenovnega </w:t>
      </w:r>
      <w:proofErr w:type="spellStart"/>
      <w:r>
        <w:rPr>
          <w:rFonts w:ascii="Arial" w:eastAsia="Arial" w:hAnsi="Arial" w:cs="Arial"/>
          <w:color w:val="000000"/>
        </w:rPr>
        <w:t>pozicioniranja</w:t>
      </w:r>
      <w:proofErr w:type="spellEnd"/>
      <w:r>
        <w:rPr>
          <w:rFonts w:ascii="Arial" w:eastAsia="Arial" w:hAnsi="Arial" w:cs="Arial"/>
          <w:color w:val="000000"/>
        </w:rPr>
        <w:t xml:space="preserve"> vseh turističnih ponudnikov, ki delujejo v teh destinacijah. </w:t>
      </w:r>
    </w:p>
    <w:p w14:paraId="6CA81725"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78CE3CD"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Za infrastrukturo, ki bo sofinancirana v okviru tega javnega razpisa, mora upravičenec zagotoviti, da je ta v času trajanja projekta in obdobja spremljanja projekta </w:t>
      </w:r>
      <w:r>
        <w:rPr>
          <w:rFonts w:ascii="Arial" w:eastAsia="Arial" w:hAnsi="Arial" w:cs="Arial"/>
          <w:b/>
          <w:bCs/>
          <w:color w:val="000000"/>
        </w:rPr>
        <w:t>prosto dostopna vsem uporabnikom pod enakimi pogoji ter brezplačna za uporabo</w:t>
      </w:r>
      <w:r>
        <w:rPr>
          <w:rFonts w:ascii="Arial" w:eastAsia="Arial" w:hAnsi="Arial" w:cs="Arial"/>
          <w:color w:val="000000"/>
        </w:rPr>
        <w:t>.</w:t>
      </w:r>
    </w:p>
    <w:p w14:paraId="430BDE9A"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9679D73"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Lastništvo sofinancirane infrastrukture mora biti ves čas trajanja projekta in obdobja spremljanja v javni lasti</w:t>
      </w:r>
      <w:r>
        <w:rPr>
          <w:rFonts w:ascii="Arial" w:eastAsia="Arial" w:hAnsi="Arial" w:cs="Arial"/>
          <w:color w:val="000000"/>
        </w:rPr>
        <w:t xml:space="preserve">, in sicer v lasti občine ali več občin na območju izvajanja projekta. Upravljanje infrastrukture se lahko prenese na upravičenca ali drug javni oziroma neprofitni subjekt, pri čemer mora biti zagotovljeno, da se upravljanje izvaja na pregleden, </w:t>
      </w:r>
      <w:proofErr w:type="spellStart"/>
      <w:r>
        <w:rPr>
          <w:rFonts w:ascii="Arial" w:eastAsia="Arial" w:hAnsi="Arial" w:cs="Arial"/>
          <w:color w:val="000000"/>
        </w:rPr>
        <w:t>nediskriminatoren</w:t>
      </w:r>
      <w:proofErr w:type="spellEnd"/>
      <w:r>
        <w:rPr>
          <w:rFonts w:ascii="Arial" w:eastAsia="Arial" w:hAnsi="Arial" w:cs="Arial"/>
          <w:color w:val="000000"/>
        </w:rPr>
        <w:t xml:space="preserve"> način in ne predstavlja izvajanja gospodarske dejavnosti.</w:t>
      </w:r>
    </w:p>
    <w:p w14:paraId="5710270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1B55697"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Upravičenec mora že ob oddaji vloge jasno opredeliti lastništvo infrastrukture, način upravljanja, pogoje dostopa ter odgovornost za njeno vzdrževanje.</w:t>
      </w:r>
    </w:p>
    <w:p w14:paraId="44C790AF"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7065B66"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V primeru </w:t>
      </w:r>
      <w:r>
        <w:rPr>
          <w:rFonts w:ascii="Arial" w:eastAsia="Arial" w:hAnsi="Arial" w:cs="Arial"/>
          <w:b/>
          <w:bCs/>
          <w:color w:val="000000"/>
        </w:rPr>
        <w:t>manjših gradbenih posegov ali investicij v opremo</w:t>
      </w:r>
      <w:r>
        <w:rPr>
          <w:rFonts w:ascii="Arial" w:eastAsia="Arial" w:hAnsi="Arial" w:cs="Arial"/>
          <w:color w:val="000000"/>
        </w:rPr>
        <w:t xml:space="preserve"> mora prijavitelj priložiti vso dokumentacijo, ki izkazuje, da je načrtovani poseg skladen z veljavno zakonodajo in ga je dovoljeno izvesti. To vključuje zlasti gradbeno dovoljenje, kadar je to potrebno, ali izjavo projektanta, da gradbeno </w:t>
      </w:r>
      <w:r>
        <w:rPr>
          <w:rFonts w:ascii="Arial" w:eastAsia="Arial" w:hAnsi="Arial" w:cs="Arial"/>
          <w:color w:val="000000"/>
        </w:rPr>
        <w:lastRenderedPageBreak/>
        <w:t>dovoljenje ni potrebno, razširjeno lokacijsko informacijo, ter vsa potrebna soglasja in mnenja pristojnih organov (npr. upravljavcev infrastrukture, občine ipd.). V primeru posegov na območjih kulturne dediščine je treba priložiti tudi soglasje Zavoda za varstvo kulturne dediščine Slovenije (ZVKDS). Prijavitelj mora prav tako priložiti tudi vsa ostala soglasja in dovoljenja, če so glede na vrsto ali lokacijo posega potrebna. Predložena dokumentacija mora biti veljavna in takšna, da omogoča jasno presojo, da je poseg dopusten in izvedljiv.</w:t>
      </w:r>
    </w:p>
    <w:p w14:paraId="09ED1905" w14:textId="77777777" w:rsidR="000755BA" w:rsidRDefault="000755BA">
      <w:pPr>
        <w:pBdr>
          <w:top w:val="nil"/>
          <w:left w:val="nil"/>
          <w:bottom w:val="nil"/>
          <w:right w:val="nil"/>
          <w:between w:val="nil"/>
        </w:pBdr>
        <w:spacing w:after="200" w:line="276" w:lineRule="auto"/>
        <w:jc w:val="both"/>
        <w:rPr>
          <w:rFonts w:ascii="Arial" w:eastAsia="Arial" w:hAnsi="Arial" w:cs="Arial"/>
          <w:color w:val="000000"/>
        </w:rPr>
      </w:pPr>
      <w:bookmarkStart w:id="49" w:name="_42ippaflj0ld" w:colFirst="0" w:colLast="0"/>
      <w:bookmarkEnd w:id="49"/>
    </w:p>
    <w:p w14:paraId="67E59ACC" w14:textId="77777777" w:rsidR="000755BA" w:rsidRDefault="00EF1395">
      <w:pPr>
        <w:pBdr>
          <w:top w:val="nil"/>
          <w:left w:val="nil"/>
          <w:bottom w:val="nil"/>
          <w:right w:val="nil"/>
          <w:between w:val="nil"/>
        </w:pBdr>
        <w:spacing w:line="276" w:lineRule="auto"/>
        <w:ind w:left="426"/>
        <w:rPr>
          <w:rFonts w:ascii="Arial" w:eastAsia="Arial" w:hAnsi="Arial" w:cs="Arial"/>
          <w:color w:val="000000"/>
        </w:rPr>
      </w:pPr>
      <w:r>
        <w:rPr>
          <w:rFonts w:ascii="Arial" w:eastAsia="Arial" w:hAnsi="Arial" w:cs="Arial"/>
          <w:b/>
          <w:bCs/>
          <w:color w:val="000000"/>
        </w:rPr>
        <w:t>Ad 5)  Stroški investicij v neopredmetena osnovna sredstva</w:t>
      </w:r>
    </w:p>
    <w:p w14:paraId="6E7076F9"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B9119C1"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Stroški investicij v neopredmetena osnovna sredstva zajemajo:</w:t>
      </w:r>
    </w:p>
    <w:p w14:paraId="3895DF26" w14:textId="77777777" w:rsidR="000755BA" w:rsidRDefault="00EF1395">
      <w:pPr>
        <w:numPr>
          <w:ilvl w:val="1"/>
          <w:numId w:val="5"/>
        </w:numPr>
        <w:pBdr>
          <w:top w:val="nil"/>
          <w:left w:val="nil"/>
          <w:bottom w:val="nil"/>
          <w:right w:val="nil"/>
          <w:between w:val="nil"/>
        </w:pBdr>
        <w:spacing w:line="276" w:lineRule="auto"/>
        <w:ind w:left="709" w:hanging="425"/>
        <w:jc w:val="both"/>
        <w:rPr>
          <w:color w:val="000000"/>
        </w:rPr>
      </w:pPr>
      <w:r>
        <w:rPr>
          <w:rFonts w:ascii="Arial" w:eastAsia="Arial" w:hAnsi="Arial" w:cs="Arial"/>
          <w:color w:val="000000"/>
        </w:rPr>
        <w:t>spletne in mobilne aplikacije, vezane na predstavitev in promocijo turistične ponudbe destinacije;</w:t>
      </w:r>
    </w:p>
    <w:p w14:paraId="689E8D25" w14:textId="77777777" w:rsidR="000755BA" w:rsidRDefault="00EF1395">
      <w:pPr>
        <w:numPr>
          <w:ilvl w:val="1"/>
          <w:numId w:val="5"/>
        </w:numPr>
        <w:pBdr>
          <w:top w:val="nil"/>
          <w:left w:val="nil"/>
          <w:bottom w:val="nil"/>
          <w:right w:val="nil"/>
          <w:between w:val="nil"/>
        </w:pBdr>
        <w:spacing w:line="276" w:lineRule="auto"/>
        <w:ind w:left="709" w:hanging="425"/>
        <w:jc w:val="both"/>
        <w:rPr>
          <w:color w:val="000000"/>
        </w:rPr>
      </w:pPr>
      <w:bookmarkStart w:id="50" w:name="_t2ctyhjpkt4k" w:colFirst="0" w:colLast="0"/>
      <w:bookmarkEnd w:id="50"/>
      <w:r>
        <w:rPr>
          <w:rFonts w:ascii="Arial" w:eastAsia="Arial" w:hAnsi="Arial" w:cs="Arial"/>
          <w:color w:val="000000"/>
        </w:rPr>
        <w:t>nakup licenčne programske opreme, potrebne za razvoj turističnih produktov, predstavitev in promocijo turistične ponudbe destinacije.</w:t>
      </w:r>
    </w:p>
    <w:p w14:paraId="2599A434" w14:textId="77777777" w:rsidR="000755BA" w:rsidRDefault="000755BA">
      <w:pPr>
        <w:pBdr>
          <w:top w:val="nil"/>
          <w:left w:val="nil"/>
          <w:bottom w:val="nil"/>
          <w:right w:val="nil"/>
          <w:between w:val="nil"/>
        </w:pBdr>
        <w:tabs>
          <w:tab w:val="left" w:pos="1560"/>
        </w:tabs>
        <w:spacing w:line="276" w:lineRule="auto"/>
        <w:jc w:val="both"/>
        <w:rPr>
          <w:rFonts w:ascii="Arial" w:eastAsia="Arial" w:hAnsi="Arial" w:cs="Arial"/>
          <w:color w:val="000000"/>
        </w:rPr>
      </w:pPr>
    </w:p>
    <w:p w14:paraId="195DAC3E" w14:textId="702078BB" w:rsidR="008C26A1" w:rsidRDefault="008C26A1" w:rsidP="008F1114">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Stroški investicij v neopredmetena osnovna sredstva iz te točke lahko obsegajo do vključno največ 20 % vrednosti celotnih upravičenih stroškov operacije. </w:t>
      </w:r>
    </w:p>
    <w:p w14:paraId="123D179D" w14:textId="77777777" w:rsidR="000755BA" w:rsidRDefault="000755BA">
      <w:pPr>
        <w:pBdr>
          <w:top w:val="nil"/>
          <w:left w:val="nil"/>
          <w:bottom w:val="nil"/>
          <w:right w:val="nil"/>
          <w:between w:val="nil"/>
        </w:pBdr>
        <w:tabs>
          <w:tab w:val="left" w:pos="1560"/>
        </w:tabs>
        <w:spacing w:line="276" w:lineRule="auto"/>
        <w:jc w:val="both"/>
        <w:rPr>
          <w:rFonts w:ascii="Arial" w:eastAsia="Arial" w:hAnsi="Arial" w:cs="Arial"/>
          <w:color w:val="000000"/>
        </w:rPr>
      </w:pPr>
    </w:p>
    <w:p w14:paraId="4CBFA8C4" w14:textId="77777777" w:rsidR="000755BA" w:rsidRDefault="00EF1395">
      <w:pPr>
        <w:pBdr>
          <w:top w:val="nil"/>
          <w:left w:val="nil"/>
          <w:bottom w:val="nil"/>
          <w:right w:val="nil"/>
          <w:between w:val="nil"/>
        </w:pBdr>
        <w:spacing w:line="276" w:lineRule="auto"/>
        <w:ind w:left="426"/>
        <w:rPr>
          <w:rFonts w:ascii="Arial" w:eastAsia="Arial" w:hAnsi="Arial" w:cs="Arial"/>
          <w:color w:val="000000"/>
        </w:rPr>
      </w:pPr>
      <w:r>
        <w:rPr>
          <w:rFonts w:ascii="Arial" w:eastAsia="Arial" w:hAnsi="Arial" w:cs="Arial"/>
          <w:b/>
          <w:bCs/>
          <w:color w:val="000000"/>
        </w:rPr>
        <w:t>Ad 6)  DDV</w:t>
      </w:r>
    </w:p>
    <w:p w14:paraId="6FBA5306"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A0FF5A1"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DDV je lahko upravičen strošek, če v skladu z zakonodajo s področja davkov ni povračljiv.</w:t>
      </w:r>
    </w:p>
    <w:p w14:paraId="314F036C"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F430938"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DDV je upravičen strošek za operacije, katerih skupni stroški skupaj z DDV znašajo manj kot 5.000.000 EUR, kadar se nanaša na nabave blaga ali storitev, ki jih upravičenec uporablja za dejavnosti ali transakcije, za katere v skladu s predpisi o DDV nima pravice do odbitka vstopnega DDV.</w:t>
      </w:r>
    </w:p>
    <w:p w14:paraId="09C59206"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B7F9A23"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Povračljiv (odbitni) DDV ni upravičen strošek, tudi če upravičenec pravice do odbitka ne uveljavlja.</w:t>
      </w:r>
    </w:p>
    <w:p w14:paraId="69492620"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6488BBE" w14:textId="537724CC"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Upravičenec, ki uveljavlja DDV kot upravičen strošek, mora pod kazensko in materialno odgovornostjo predložiti izjavo (Obrazec št. 8), da v skladu z zakonodajo o DDV ne more odbijati vstopnega DDV, ter navesti razlog za to. Če se nabave uporabljajo za dejavnosti </w:t>
      </w:r>
      <w:r w:rsidR="006541C2">
        <w:rPr>
          <w:rFonts w:ascii="Arial" w:eastAsia="Arial" w:hAnsi="Arial" w:cs="Arial"/>
          <w:color w:val="000000"/>
        </w:rPr>
        <w:t>s</w:t>
      </w:r>
      <w:r>
        <w:rPr>
          <w:rFonts w:ascii="Arial" w:eastAsia="Arial" w:hAnsi="Arial" w:cs="Arial"/>
          <w:color w:val="000000"/>
        </w:rPr>
        <w:t xml:space="preserve"> pravico in brez pravice do odbitka DDV, mora upravičenec navesti delež (%) DDV, za katerega nima pravice do odbitka.</w:t>
      </w:r>
    </w:p>
    <w:p w14:paraId="1825C401"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BDD14E1"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Upravičenec je odgovoren za pravilnost obračunavanja in uveljavljanja DDV skladno z veljavno zakonodajo.</w:t>
      </w:r>
    </w:p>
    <w:p w14:paraId="150930E7" w14:textId="232AB755" w:rsidR="00AD28FB" w:rsidRDefault="00AD28FB">
      <w:pPr>
        <w:pBdr>
          <w:top w:val="nil"/>
          <w:left w:val="nil"/>
          <w:bottom w:val="nil"/>
          <w:right w:val="nil"/>
          <w:between w:val="nil"/>
        </w:pBdr>
        <w:spacing w:line="276" w:lineRule="auto"/>
        <w:jc w:val="both"/>
        <w:rPr>
          <w:rFonts w:ascii="Arial" w:eastAsia="Arial" w:hAnsi="Arial" w:cs="Arial"/>
          <w:color w:val="000000"/>
        </w:rPr>
      </w:pPr>
    </w:p>
    <w:p w14:paraId="400E2009" w14:textId="4B44261F" w:rsidR="00A26348" w:rsidRPr="00055D6B" w:rsidRDefault="00AD28FB" w:rsidP="00A26348">
      <w:pPr>
        <w:pBdr>
          <w:top w:val="nil"/>
          <w:left w:val="nil"/>
          <w:bottom w:val="nil"/>
          <w:right w:val="nil"/>
          <w:between w:val="nil"/>
        </w:pBdr>
        <w:spacing w:line="276" w:lineRule="auto"/>
        <w:jc w:val="both"/>
        <w:rPr>
          <w:rFonts w:ascii="Arial" w:eastAsia="Arial" w:hAnsi="Arial" w:cs="Arial"/>
          <w:b/>
          <w:bCs/>
          <w:color w:val="000000"/>
        </w:rPr>
      </w:pPr>
      <w:r w:rsidRPr="00A26348">
        <w:rPr>
          <w:rFonts w:ascii="Arial" w:eastAsia="Arial" w:hAnsi="Arial" w:cs="Arial"/>
          <w:b/>
          <w:bCs/>
          <w:color w:val="000000"/>
          <w:lang w:val="sl-SI"/>
        </w:rPr>
        <w:t>Ad 8)  40 % upravičenih neposrednih stroškov za osebje za povračilo preostalih stroškov operacije</w:t>
      </w:r>
      <w:r w:rsidR="00A26348" w:rsidRPr="00A26348">
        <w:rPr>
          <w:rFonts w:ascii="Arial" w:eastAsia="Arial" w:hAnsi="Arial" w:cs="Arial"/>
          <w:b/>
          <w:bCs/>
          <w:color w:val="000000"/>
          <w:lang w:val="sl-SI"/>
        </w:rPr>
        <w:t xml:space="preserve"> (</w:t>
      </w:r>
      <w:r w:rsidR="00A26348" w:rsidRPr="00055D6B">
        <w:rPr>
          <w:rFonts w:ascii="Arial" w:eastAsia="Arial" w:hAnsi="Arial" w:cs="Arial"/>
          <w:b/>
          <w:bCs/>
          <w:color w:val="000000"/>
        </w:rPr>
        <w:t>Sklop 2 PD)</w:t>
      </w:r>
    </w:p>
    <w:p w14:paraId="6992AB58" w14:textId="77777777" w:rsidR="00A26348" w:rsidRDefault="00A26348" w:rsidP="00AC38F5">
      <w:pPr>
        <w:pBdr>
          <w:top w:val="nil"/>
          <w:left w:val="nil"/>
          <w:bottom w:val="nil"/>
          <w:right w:val="nil"/>
          <w:between w:val="nil"/>
        </w:pBdr>
        <w:spacing w:line="276" w:lineRule="auto"/>
        <w:jc w:val="both"/>
        <w:rPr>
          <w:rFonts w:ascii="Arial" w:eastAsia="Arial" w:hAnsi="Arial" w:cs="Arial"/>
          <w:b/>
          <w:bCs/>
          <w:color w:val="000000"/>
          <w:lang w:val="sl-SI"/>
        </w:rPr>
      </w:pPr>
    </w:p>
    <w:p w14:paraId="2EDEC018" w14:textId="77777777" w:rsidR="00E74E86" w:rsidRPr="00E74E86" w:rsidRDefault="00E74E86" w:rsidP="00AD30D3">
      <w:pPr>
        <w:pBdr>
          <w:top w:val="nil"/>
          <w:left w:val="nil"/>
          <w:bottom w:val="nil"/>
          <w:right w:val="nil"/>
          <w:between w:val="nil"/>
        </w:pBdr>
        <w:spacing w:line="276" w:lineRule="auto"/>
        <w:jc w:val="both"/>
        <w:rPr>
          <w:rFonts w:ascii="Arial" w:eastAsia="Arial" w:hAnsi="Arial" w:cs="Arial"/>
          <w:color w:val="000000"/>
          <w:lang w:val="sl-SI"/>
        </w:rPr>
      </w:pPr>
      <w:r w:rsidRPr="00E74E86">
        <w:rPr>
          <w:rFonts w:ascii="Arial" w:eastAsia="Arial" w:hAnsi="Arial" w:cs="Arial"/>
          <w:color w:val="000000"/>
          <w:lang w:val="sl-SI"/>
        </w:rPr>
        <w:t>Zajeti stroški:</w:t>
      </w:r>
    </w:p>
    <w:p w14:paraId="327C21ED" w14:textId="77777777" w:rsidR="00E74E86" w:rsidRPr="00E74E86" w:rsidRDefault="00E74E86" w:rsidP="00AD30D3">
      <w:pPr>
        <w:pBdr>
          <w:top w:val="nil"/>
          <w:left w:val="nil"/>
          <w:bottom w:val="nil"/>
          <w:right w:val="nil"/>
          <w:between w:val="nil"/>
        </w:pBdr>
        <w:spacing w:line="276" w:lineRule="auto"/>
        <w:jc w:val="both"/>
        <w:rPr>
          <w:rFonts w:ascii="Arial" w:eastAsia="Arial" w:hAnsi="Arial" w:cs="Arial"/>
          <w:color w:val="000000"/>
          <w:lang w:val="sl-SI"/>
        </w:rPr>
      </w:pPr>
      <w:r w:rsidRPr="00E74E86">
        <w:rPr>
          <w:rFonts w:ascii="Arial" w:eastAsia="Arial" w:hAnsi="Arial" w:cs="Arial"/>
          <w:color w:val="000000"/>
          <w:lang w:val="sl-SI"/>
        </w:rPr>
        <w:t>- stroški storitev zunanjih izvajalcev,</w:t>
      </w:r>
    </w:p>
    <w:p w14:paraId="5F2E4654" w14:textId="77777777" w:rsidR="00E74E86" w:rsidRPr="00E74E86" w:rsidRDefault="00E74E86" w:rsidP="00AD30D3">
      <w:pPr>
        <w:pBdr>
          <w:top w:val="nil"/>
          <w:left w:val="nil"/>
          <w:bottom w:val="nil"/>
          <w:right w:val="nil"/>
          <w:between w:val="nil"/>
        </w:pBdr>
        <w:spacing w:line="276" w:lineRule="auto"/>
        <w:jc w:val="both"/>
        <w:rPr>
          <w:rFonts w:ascii="Arial" w:eastAsia="Arial" w:hAnsi="Arial" w:cs="Arial"/>
          <w:color w:val="000000"/>
          <w:lang w:val="sl-SI"/>
        </w:rPr>
      </w:pPr>
      <w:r w:rsidRPr="00E74E86">
        <w:rPr>
          <w:rFonts w:ascii="Arial" w:eastAsia="Arial" w:hAnsi="Arial" w:cs="Arial"/>
          <w:color w:val="000000"/>
          <w:lang w:val="sl-SI"/>
        </w:rPr>
        <w:t>- stroški investicij v neopredmetena osnovna sredstva,</w:t>
      </w:r>
    </w:p>
    <w:p w14:paraId="31E496BB" w14:textId="219E5879" w:rsidR="00AD28FB" w:rsidRDefault="00E74E86" w:rsidP="00AD30D3">
      <w:pPr>
        <w:pBdr>
          <w:top w:val="nil"/>
          <w:left w:val="nil"/>
          <w:bottom w:val="nil"/>
          <w:right w:val="nil"/>
          <w:between w:val="nil"/>
        </w:pBdr>
        <w:spacing w:line="276" w:lineRule="auto"/>
        <w:jc w:val="both"/>
        <w:rPr>
          <w:rFonts w:ascii="Arial" w:eastAsia="Arial" w:hAnsi="Arial" w:cs="Arial"/>
          <w:color w:val="000000"/>
        </w:rPr>
      </w:pPr>
      <w:r w:rsidRPr="00E74E86">
        <w:rPr>
          <w:rFonts w:ascii="Arial" w:eastAsia="Arial" w:hAnsi="Arial" w:cs="Arial"/>
          <w:color w:val="000000"/>
          <w:lang w:val="sl-SI"/>
        </w:rPr>
        <w:t xml:space="preserve">- </w:t>
      </w:r>
      <w:r w:rsidRPr="00E74E86">
        <w:rPr>
          <w:rFonts w:ascii="Arial" w:eastAsia="Arial" w:hAnsi="Arial" w:cs="Arial"/>
          <w:color w:val="000000"/>
        </w:rPr>
        <w:t>stroški manjših vlaganj v gradnjo in opremo.</w:t>
      </w:r>
    </w:p>
    <w:p w14:paraId="039F9228" w14:textId="77777777" w:rsidR="00E74E86" w:rsidRDefault="00E74E86" w:rsidP="00AD30D3">
      <w:pPr>
        <w:pBdr>
          <w:top w:val="nil"/>
          <w:left w:val="nil"/>
          <w:bottom w:val="nil"/>
          <w:right w:val="nil"/>
          <w:between w:val="nil"/>
        </w:pBdr>
        <w:spacing w:line="276" w:lineRule="auto"/>
        <w:jc w:val="both"/>
        <w:rPr>
          <w:rFonts w:ascii="Arial" w:eastAsia="Arial" w:hAnsi="Arial" w:cs="Arial"/>
          <w:color w:val="000000"/>
        </w:rPr>
      </w:pPr>
    </w:p>
    <w:p w14:paraId="29774C17" w14:textId="6D8985EC" w:rsidR="00AD28FB" w:rsidRDefault="00AD28FB" w:rsidP="00072E39">
      <w:pPr>
        <w:spacing w:line="276" w:lineRule="auto"/>
        <w:jc w:val="both"/>
        <w:rPr>
          <w:rFonts w:ascii="Arial" w:hAnsi="Arial" w:cs="Arial"/>
        </w:rPr>
      </w:pPr>
      <w:r w:rsidRPr="00AD28FB">
        <w:rPr>
          <w:rFonts w:ascii="Arial" w:hAnsi="Arial" w:cs="Arial"/>
        </w:rPr>
        <w:t>Upravičeni stroški operacije, ki se na podlagi 56. člena Uredbe (EU) 2021/1060 financirajo po pavšalni stopnji v višini do 40 % upravičenih neposrednih stroškov plač in povračil stroškov v zvezi z delom zaposlenih, povezanih z izvedbo operacije,</w:t>
      </w:r>
      <w:r>
        <w:rPr>
          <w:rFonts w:ascii="Arial" w:hAnsi="Arial" w:cs="Arial"/>
        </w:rPr>
        <w:t xml:space="preserve"> in so namenjeni </w:t>
      </w:r>
      <w:r w:rsidRPr="00766A47">
        <w:rPr>
          <w:rFonts w:ascii="Arial" w:hAnsi="Arial" w:cs="Arial"/>
        </w:rPr>
        <w:t>strošk</w:t>
      </w:r>
      <w:r w:rsidR="00A1538C">
        <w:rPr>
          <w:rFonts w:ascii="Arial" w:hAnsi="Arial" w:cs="Arial"/>
        </w:rPr>
        <w:t>om</w:t>
      </w:r>
      <w:r w:rsidRPr="00766A47">
        <w:rPr>
          <w:rFonts w:ascii="Arial" w:hAnsi="Arial" w:cs="Arial"/>
        </w:rPr>
        <w:t xml:space="preserve"> spremljajočih </w:t>
      </w:r>
      <w:r>
        <w:rPr>
          <w:rFonts w:ascii="Arial" w:hAnsi="Arial" w:cs="Arial"/>
        </w:rPr>
        <w:t xml:space="preserve">upravičenih </w:t>
      </w:r>
      <w:r w:rsidRPr="00766A47">
        <w:rPr>
          <w:rFonts w:ascii="Arial" w:hAnsi="Arial" w:cs="Arial"/>
        </w:rPr>
        <w:t>aktivnosti</w:t>
      </w:r>
      <w:r w:rsidRPr="00BF78B8">
        <w:rPr>
          <w:rFonts w:ascii="Arial" w:hAnsi="Arial" w:cs="Arial"/>
        </w:rPr>
        <w:t xml:space="preserve"> ter posrednih stroško</w:t>
      </w:r>
      <w:r>
        <w:rPr>
          <w:rFonts w:ascii="Arial" w:hAnsi="Arial" w:cs="Arial"/>
        </w:rPr>
        <w:t>v.</w:t>
      </w:r>
      <w:r w:rsidRPr="00BF78B8">
        <w:rPr>
          <w:rFonts w:ascii="Arial" w:hAnsi="Arial" w:cs="Arial"/>
        </w:rPr>
        <w:t xml:space="preserve"> Ti stroški se uveljavljajo v obliki pavšalne stopnje, zato se dokazila o njihovem nastanku ne prilagajo zahtevkom za izplačilo. Upravičenec je upravičen do izplačila stroškov </w:t>
      </w:r>
      <w:r w:rsidRPr="00BF78B8">
        <w:rPr>
          <w:rFonts w:ascii="Arial" w:hAnsi="Arial" w:cs="Arial"/>
        </w:rPr>
        <w:lastRenderedPageBreak/>
        <w:t>v okviru pavšalne stopnje v kolikor izpolnjuje pogoje za izplačilo stroškov plač in povračil stroškov v zvezi z delom. Ti stroški so</w:t>
      </w:r>
      <w:r w:rsidRPr="002E247C">
        <w:rPr>
          <w:rFonts w:ascii="Arial" w:hAnsi="Arial" w:cs="Arial"/>
        </w:rPr>
        <w:t xml:space="preserve"> namenjeni izvedbi spremljajočih aktivnosti, ki so potrebne za kakovostno izvedbo operacije. </w:t>
      </w:r>
    </w:p>
    <w:p w14:paraId="60AEE51F" w14:textId="77777777" w:rsidR="00AD28FB" w:rsidRDefault="00AD28FB" w:rsidP="00072E39">
      <w:pPr>
        <w:spacing w:line="276" w:lineRule="auto"/>
        <w:jc w:val="both"/>
        <w:rPr>
          <w:rFonts w:ascii="Arial" w:hAnsi="Arial" w:cs="Arial"/>
        </w:rPr>
      </w:pPr>
    </w:p>
    <w:p w14:paraId="4DE00767" w14:textId="2974657F" w:rsidR="000755BA" w:rsidRPr="00F47C4B" w:rsidRDefault="00AD28FB">
      <w:pPr>
        <w:pBdr>
          <w:top w:val="nil"/>
          <w:left w:val="nil"/>
          <w:bottom w:val="nil"/>
          <w:right w:val="nil"/>
          <w:between w:val="nil"/>
        </w:pBdr>
        <w:spacing w:line="276" w:lineRule="auto"/>
        <w:jc w:val="both"/>
        <w:rPr>
          <w:rFonts w:ascii="Arial" w:hAnsi="Arial" w:cs="Arial"/>
        </w:rPr>
      </w:pPr>
      <w:r w:rsidRPr="00AD28FB">
        <w:rPr>
          <w:rFonts w:ascii="Arial" w:hAnsi="Arial" w:cs="Arial"/>
        </w:rPr>
        <w:t>Upravičenec o aktivnostih, financiranih v okviru pavšalne stopnje, poroča v vsebinskem poročilu ob vsakem zahtevku za izplačilo. Iz poročila morajo biti jasno razvidni izvedene aktivnosti ter njihova vsebinska povezanost z namenom in cilji operacije.</w:t>
      </w:r>
    </w:p>
    <w:p w14:paraId="2688EBF0" w14:textId="77777777" w:rsidR="000755BA" w:rsidRDefault="00EF1395" w:rsidP="00F47C4B">
      <w:pPr>
        <w:pStyle w:val="Naslov2"/>
        <w:ind w:left="426"/>
      </w:pPr>
      <w:bookmarkStart w:id="51" w:name="_Toc239072464"/>
      <w:r>
        <w:t>9.3 Način financiranja upravičenih stroškov</w:t>
      </w:r>
      <w:bookmarkEnd w:id="51"/>
    </w:p>
    <w:p w14:paraId="4499F2F3" w14:textId="77777777" w:rsidR="009B324A" w:rsidRDefault="009B324A">
      <w:pPr>
        <w:pBdr>
          <w:top w:val="nil"/>
          <w:left w:val="nil"/>
          <w:bottom w:val="nil"/>
          <w:right w:val="nil"/>
          <w:between w:val="nil"/>
        </w:pBdr>
        <w:spacing w:line="276" w:lineRule="auto"/>
        <w:jc w:val="both"/>
        <w:rPr>
          <w:rFonts w:ascii="Arial" w:eastAsia="Arial" w:hAnsi="Arial" w:cs="Arial"/>
          <w:color w:val="000000"/>
        </w:rPr>
      </w:pPr>
    </w:p>
    <w:p w14:paraId="1934860F" w14:textId="77777777" w:rsidR="00D37B29" w:rsidRPr="00D37B29" w:rsidRDefault="00D37B29" w:rsidP="00D37B29">
      <w:pPr>
        <w:spacing w:after="200" w:line="276" w:lineRule="auto"/>
        <w:jc w:val="both"/>
        <w:rPr>
          <w:rFonts w:ascii="Arial" w:eastAsia="MS Mincho" w:hAnsi="Arial" w:cs="Arial"/>
          <w:lang w:val="sl-SI" w:eastAsia="en-US"/>
        </w:rPr>
      </w:pPr>
      <w:r w:rsidRPr="00D37B29">
        <w:rPr>
          <w:rFonts w:ascii="Arial" w:eastAsia="MS Mincho" w:hAnsi="Arial" w:cs="Arial"/>
          <w:lang w:val="sl-SI" w:eastAsia="en-US"/>
        </w:rPr>
        <w:t xml:space="preserve">Pri stroških, ki se financirajo na podlagi dejansko nastalih stroškov, mora upravičenec predložiti račune oziroma druge verodostojne knjigovodske listine ter ostala dokazila kot jih določajo Navodila organa upravljanja o upravičenih stroških za sredstva evropske kohezijske politike v programskem obdobju 2021-2027. Navodila so dostopna na spletni strani: https://evropskasredstva.si/evropska-kohezijska-politika/navodila-in-smernice/.  </w:t>
      </w:r>
    </w:p>
    <w:p w14:paraId="1945F10A" w14:textId="5447C567" w:rsidR="000755BA" w:rsidRDefault="0077707F">
      <w:pPr>
        <w:pBdr>
          <w:top w:val="nil"/>
          <w:left w:val="nil"/>
          <w:bottom w:val="nil"/>
          <w:right w:val="nil"/>
          <w:between w:val="nil"/>
        </w:pBdr>
        <w:spacing w:line="276" w:lineRule="auto"/>
        <w:jc w:val="both"/>
        <w:rPr>
          <w:rFonts w:ascii="Arial" w:eastAsia="MS Mincho" w:hAnsi="Arial" w:cs="Arial"/>
          <w:lang w:val="sl-SI" w:eastAsia="en-US"/>
        </w:rPr>
      </w:pPr>
      <w:r>
        <w:rPr>
          <w:rFonts w:ascii="Arial" w:eastAsia="MS Mincho" w:hAnsi="Arial" w:cs="Arial"/>
          <w:lang w:val="sl-SI" w:eastAsia="en-US"/>
        </w:rPr>
        <w:t>Stroške</w:t>
      </w:r>
      <w:r w:rsidR="00D37B29" w:rsidRPr="00D37B29">
        <w:rPr>
          <w:rFonts w:ascii="Arial" w:eastAsia="MS Mincho" w:hAnsi="Arial" w:cs="Arial"/>
          <w:lang w:val="sl-SI" w:eastAsia="en-US"/>
        </w:rPr>
        <w:t xml:space="preserve">, ki se financirajo </w:t>
      </w:r>
      <w:r w:rsidR="00213D3B">
        <w:rPr>
          <w:rFonts w:ascii="Arial" w:eastAsia="MS Mincho" w:hAnsi="Arial" w:cs="Arial"/>
          <w:lang w:val="sl-SI" w:eastAsia="en-US"/>
        </w:rPr>
        <w:t>z uporabo poe</w:t>
      </w:r>
      <w:r w:rsidR="00D37B29" w:rsidRPr="00D37B29">
        <w:rPr>
          <w:rFonts w:ascii="Arial" w:eastAsia="MS Mincho" w:hAnsi="Arial" w:cs="Arial"/>
          <w:lang w:val="sl-SI" w:eastAsia="en-US"/>
        </w:rPr>
        <w:t>nostavljenih oblik financiranja (standardni strošek na enoto oziroma pavšalna stopnja), upravičenec dokazuje z izvedbo aktivnosti oziroma doseganj</w:t>
      </w:r>
      <w:r>
        <w:rPr>
          <w:rFonts w:ascii="Arial" w:eastAsia="MS Mincho" w:hAnsi="Arial" w:cs="Arial"/>
          <w:lang w:val="sl-SI" w:eastAsia="en-US"/>
        </w:rPr>
        <w:t>em</w:t>
      </w:r>
      <w:r w:rsidR="00D37B29" w:rsidRPr="00D37B29">
        <w:rPr>
          <w:rFonts w:ascii="Arial" w:eastAsia="MS Mincho" w:hAnsi="Arial" w:cs="Arial"/>
          <w:lang w:val="sl-SI" w:eastAsia="en-US"/>
        </w:rPr>
        <w:t xml:space="preserve"> rezultatov, kot je to določeno v razpisni dokumentaciji</w:t>
      </w:r>
      <w:r w:rsidR="00C556CA">
        <w:rPr>
          <w:rFonts w:ascii="Arial" w:eastAsia="MS Mincho" w:hAnsi="Arial" w:cs="Arial"/>
          <w:lang w:val="sl-SI" w:eastAsia="en-US"/>
        </w:rPr>
        <w:t xml:space="preserve">, </w:t>
      </w:r>
      <w:r w:rsidR="00C556CA" w:rsidRPr="00055D6B">
        <w:rPr>
          <w:rFonts w:ascii="Arial" w:eastAsia="MS Mincho" w:hAnsi="Arial" w:cs="Arial"/>
          <w:color w:val="000000" w:themeColor="text1"/>
          <w:lang w:val="sl-SI" w:eastAsia="en-US"/>
        </w:rPr>
        <w:t xml:space="preserve">točka </w:t>
      </w:r>
      <w:r w:rsidR="00C556CA" w:rsidRPr="00055D6B">
        <w:rPr>
          <w:rFonts w:ascii="Arial" w:eastAsia="MS Mincho" w:hAnsi="Arial" w:cs="Arial"/>
          <w:color w:val="000000" w:themeColor="text1"/>
          <w:lang w:eastAsia="en-US"/>
        </w:rPr>
        <w:t>9.2 Upravičeni stroški</w:t>
      </w:r>
      <w:r w:rsidR="00D37B29" w:rsidRPr="00D37B29">
        <w:rPr>
          <w:rFonts w:ascii="Arial" w:eastAsia="MS Mincho" w:hAnsi="Arial" w:cs="Arial"/>
          <w:lang w:val="sl-SI" w:eastAsia="en-US"/>
        </w:rPr>
        <w:t>.</w:t>
      </w:r>
    </w:p>
    <w:p w14:paraId="1C349E46" w14:textId="77777777" w:rsidR="00055D6B" w:rsidRDefault="00055D6B">
      <w:pPr>
        <w:pBdr>
          <w:top w:val="nil"/>
          <w:left w:val="nil"/>
          <w:bottom w:val="nil"/>
          <w:right w:val="nil"/>
          <w:between w:val="nil"/>
        </w:pBdr>
        <w:spacing w:line="276" w:lineRule="auto"/>
        <w:jc w:val="both"/>
        <w:rPr>
          <w:rFonts w:ascii="Arial" w:eastAsia="Arial" w:hAnsi="Arial" w:cs="Arial"/>
          <w:color w:val="000000"/>
        </w:rPr>
      </w:pPr>
    </w:p>
    <w:p w14:paraId="2B3CDF0E"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Potrditev sofinanciranja operacije in vloge na javni razpis s sklepom o izboru ne pomeni tudi predhodne odobritve sofinanciranja posameznih upravičenih stroškov, opredeljenih v vlogi. </w:t>
      </w:r>
    </w:p>
    <w:p w14:paraId="5945EE6E"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sz w:val="22"/>
          <w:szCs w:val="22"/>
        </w:rPr>
      </w:pPr>
      <w:r>
        <w:rPr>
          <w:rFonts w:ascii="Arial" w:eastAsia="Arial" w:hAnsi="Arial" w:cs="Arial"/>
          <w:color w:val="000000"/>
        </w:rPr>
        <w:t xml:space="preserve">Vsebinska in finančna poročila o izvedenih aktivnostih in doseženih rezultatih ter zahtevki za izplačila se bodo oddajali v skladu z navodili organa upravljanja in ministrstva preko informacijskega sistema organa upravljanja </w:t>
      </w:r>
      <w:proofErr w:type="spellStart"/>
      <w:r>
        <w:rPr>
          <w:rFonts w:ascii="Arial" w:eastAsia="Arial" w:hAnsi="Arial" w:cs="Arial"/>
          <w:color w:val="000000"/>
        </w:rPr>
        <w:t>eMA</w:t>
      </w:r>
      <w:proofErr w:type="spellEnd"/>
      <w:r>
        <w:rPr>
          <w:rFonts w:ascii="Arial" w:eastAsia="Arial" w:hAnsi="Arial" w:cs="Arial"/>
          <w:color w:val="000000"/>
        </w:rPr>
        <w:t xml:space="preserve"> 2 (v nadaljevanju: IS OU e-MA). Upravičenec bo moral izpolnjevati tudi vse zahteve, določene z Navodili organa upravljanja za finančno upravljanje s sredstvi evropske  kohezijske politike cilja Naložbe za rast in delovna mesta v programskem obdobju 2021 – 2027, objavljenim na spletni strani: </w:t>
      </w:r>
      <w:hyperlink r:id="rId37">
        <w:r>
          <w:rPr>
            <w:rFonts w:ascii="Arial" w:eastAsia="Arial" w:hAnsi="Arial" w:cs="Arial"/>
            <w:color w:val="0000FF"/>
            <w:u w:val="single"/>
          </w:rPr>
          <w:t>https://evropskasredstva.si/evropska-kohezijska-politika/navodila-in-smernice/</w:t>
        </w:r>
      </w:hyperlink>
      <w:r>
        <w:rPr>
          <w:rFonts w:ascii="Arial" w:eastAsia="Arial" w:hAnsi="Arial" w:cs="Arial"/>
          <w:color w:val="000000"/>
        </w:rPr>
        <w:t xml:space="preserve"> in s Priročnikom za uporabo informacijskega sistema e-MA, objavljen na spletni strani: </w:t>
      </w:r>
      <w:hyperlink r:id="rId38">
        <w:r>
          <w:rPr>
            <w:rFonts w:ascii="Arial" w:eastAsia="Arial" w:hAnsi="Arial" w:cs="Arial"/>
            <w:color w:val="0000FF"/>
            <w:u w:val="single"/>
          </w:rPr>
          <w:t>http://www.eu-skladi.si/portal/sl/ekp/izvajanje/e-ma</w:t>
        </w:r>
      </w:hyperlink>
      <w:r>
        <w:rPr>
          <w:rFonts w:ascii="Arial" w:eastAsia="Arial" w:hAnsi="Arial" w:cs="Arial"/>
          <w:color w:val="000000"/>
        </w:rPr>
        <w:t xml:space="preserve">. To pomeni, da bo prijavitelj moral pridobiti dostop do IS </w:t>
      </w:r>
      <w:proofErr w:type="spellStart"/>
      <w:r>
        <w:rPr>
          <w:rFonts w:ascii="Arial" w:eastAsia="Arial" w:hAnsi="Arial" w:cs="Arial"/>
          <w:color w:val="000000"/>
        </w:rPr>
        <w:t>eMA</w:t>
      </w:r>
      <w:proofErr w:type="spellEnd"/>
      <w:r>
        <w:rPr>
          <w:rFonts w:ascii="Arial" w:eastAsia="Arial" w:hAnsi="Arial" w:cs="Arial"/>
          <w:color w:val="000000"/>
        </w:rPr>
        <w:t xml:space="preserve"> ter zahtevke za izplačila skupaj z zahtevanimi dokazili za dokazovanje upravičenosti stroškov ter doseganja kazalnikov in ostalo zahtevano dokumentacijo vnesti v IS OU e-MA. Upravičenost sofinanciranja bo ministrstvo preverjalo v okviru vsakokratne presoje zahtevka za izplačilo, na način in z dinamiko, kot bo opredeljeno v pogodbi o dodelitvi sredstev. </w:t>
      </w:r>
    </w:p>
    <w:p w14:paraId="6AD8E3B3"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Za vsak strošek, pri katerem ministrstvo ob pregledu zahtevka za izplačilo ne najde neposredne povezave med nastankom stroška in izvedbo operacije, ne glede na to, ali ta dejansko obstaja, ali v primerih nejasnosti/dvoma/negotovosti/suma na nepravilnost, lahko ministrstvo od izbranega prijavitelja zahteva dodatna pojasnila, dodatna dokazila ali izjave (npr. fotografije, izpise, certifikate ipd.), ki dokazujejo nastanek in obstoj stroška za izvedbo operacije. V primeru, da ministrstvo meni, da dodatna dokazila ne nakazujejo v zadostni meri povezave med nastankom stroška in izvedbo operacije, kot tudi v primeru neupravičenih stroškov, lahko ministrstvo od prijavitelja zahteva zmanjšanje vrednosti zahtevka za izplačilo.</w:t>
      </w:r>
    </w:p>
    <w:p w14:paraId="1DA43FE4"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Dokazovanje upravičenosti stroškov je na strani izbranega prijavitelja. Vse neupravičene stroške operacije krije prijavitelj sam.</w:t>
      </w:r>
    </w:p>
    <w:p w14:paraId="5E24F4A9" w14:textId="4CA47485" w:rsidR="000755BA" w:rsidRPr="00F47C4B" w:rsidRDefault="00EF1395" w:rsidP="00F47C4B">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Upravičenci morajo zagotoviti hrambo in vpogled v dokumentacijo operacije še 10 (deset) let po njenem zaključku, in sicer za preverjanje izvajanja in upravljanja in revizijske postopke. Upravičenci so dolžni na poziv vsa dokazila in dokumentacijo zahtevkov za izplačilo predložiti ministrstvu. V primeru, da </w:t>
      </w:r>
      <w:r>
        <w:rPr>
          <w:rFonts w:ascii="Arial" w:eastAsia="Arial" w:hAnsi="Arial" w:cs="Arial"/>
          <w:color w:val="000000"/>
        </w:rPr>
        <w:lastRenderedPageBreak/>
        <w:t>ministrstvo ob pregledu dokumentacije po izplačilu ugotovi, da so bili zahtevki za izplačilo nepravilni oziroma v njih navedeni stroški nimajo podlage v dejanskih računovodskih listinah oz. v predloženih dokazilih ali da so bili stroški neupravičeni, lahko zahteva vračilo neupravičeno izplačanih sredstev v celoti ali delno, glede na obliko in obseg ugotovljenih nepravilnosti</w:t>
      </w:r>
    </w:p>
    <w:p w14:paraId="4ACADD39" w14:textId="41A75CEB" w:rsidR="000755BA" w:rsidRDefault="00F47C4B" w:rsidP="00F47C4B">
      <w:pPr>
        <w:pStyle w:val="Naslov2"/>
        <w:ind w:left="284"/>
      </w:pPr>
      <w:bookmarkStart w:id="52" w:name="_Toc239072465"/>
      <w:r>
        <w:t xml:space="preserve">10. </w:t>
      </w:r>
      <w:r w:rsidR="00EF1395">
        <w:t>Intenzivnost pomoči</w:t>
      </w:r>
      <w:bookmarkEnd w:id="52"/>
      <w:r w:rsidR="00EF1395">
        <w:t xml:space="preserve"> </w:t>
      </w:r>
    </w:p>
    <w:p w14:paraId="6395A7C6"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F524F7C" w14:textId="14467B22" w:rsidR="000755BA" w:rsidRDefault="00EF1395" w:rsidP="0004051E">
      <w:pPr>
        <w:pBdr>
          <w:top w:val="nil"/>
          <w:left w:val="nil"/>
          <w:bottom w:val="nil"/>
          <w:right w:val="nil"/>
          <w:between w:val="nil"/>
        </w:pBdr>
        <w:spacing w:after="200" w:line="276" w:lineRule="auto"/>
        <w:ind w:left="7230" w:hanging="7230"/>
        <w:rPr>
          <w:rFonts w:ascii="Arial" w:eastAsia="Arial" w:hAnsi="Arial" w:cs="Arial"/>
          <w:color w:val="000000"/>
        </w:rPr>
      </w:pPr>
      <w:r>
        <w:rPr>
          <w:rFonts w:ascii="Arial" w:eastAsia="Arial" w:hAnsi="Arial" w:cs="Arial"/>
          <w:color w:val="000000"/>
        </w:rPr>
        <w:t xml:space="preserve">Operacija se lahko sofinancira v deležu </w:t>
      </w:r>
      <w:r>
        <w:rPr>
          <w:rFonts w:ascii="Arial" w:eastAsia="Arial" w:hAnsi="Arial" w:cs="Arial"/>
          <w:b/>
          <w:bCs/>
          <w:color w:val="000000"/>
        </w:rPr>
        <w:t>največ do 80 % upravičenih stroškov</w:t>
      </w:r>
      <w:r>
        <w:rPr>
          <w:rFonts w:ascii="Arial" w:eastAsia="Arial" w:hAnsi="Arial" w:cs="Arial"/>
          <w:color w:val="000000"/>
        </w:rPr>
        <w:t>.</w:t>
      </w:r>
      <w:r w:rsidR="0004051E">
        <w:rPr>
          <w:rFonts w:ascii="Arial" w:eastAsia="Arial" w:hAnsi="Arial" w:cs="Arial"/>
          <w:color w:val="000000"/>
        </w:rPr>
        <w:t xml:space="preserve"> </w:t>
      </w:r>
    </w:p>
    <w:p w14:paraId="13C05238" w14:textId="77777777" w:rsidR="000755BA" w:rsidRDefault="00EF1395">
      <w:pPr>
        <w:pBdr>
          <w:top w:val="nil"/>
          <w:left w:val="nil"/>
          <w:bottom w:val="nil"/>
          <w:right w:val="nil"/>
          <w:between w:val="nil"/>
        </w:pBdr>
        <w:spacing w:after="200" w:line="276" w:lineRule="auto"/>
        <w:ind w:left="7230" w:hanging="7230"/>
        <w:jc w:val="both"/>
        <w:rPr>
          <w:rFonts w:ascii="Arial" w:eastAsia="Arial" w:hAnsi="Arial" w:cs="Arial"/>
          <w:color w:val="000000"/>
        </w:rPr>
      </w:pPr>
      <w:r>
        <w:rPr>
          <w:rFonts w:ascii="Arial" w:eastAsia="Arial" w:hAnsi="Arial" w:cs="Arial"/>
          <w:color w:val="000000"/>
        </w:rPr>
        <w:t>Višina sofinanciranja upravičenih stroškov operacije lahko obsega največ:</w:t>
      </w:r>
    </w:p>
    <w:p w14:paraId="541EDFB8"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u w:val="single"/>
        </w:rPr>
      </w:pPr>
      <w:r>
        <w:rPr>
          <w:rFonts w:ascii="Arial" w:eastAsia="Arial" w:hAnsi="Arial" w:cs="Arial"/>
          <w:b/>
          <w:bCs/>
          <w:color w:val="000000"/>
          <w:u w:val="single"/>
        </w:rPr>
        <w:t xml:space="preserve">za Sklop 1: </w:t>
      </w:r>
    </w:p>
    <w:p w14:paraId="3F798A95"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Načrtovani upravičeni stroški za Sklop 1 se določijo na podlagi petih kriterijev, pri čemer je vsak od kriterijev ponderiran. Kriteriji in višina uteži (v %) je določena na spodaj navedeni način: </w:t>
      </w:r>
    </w:p>
    <w:tbl>
      <w:tblPr>
        <w:tblStyle w:val="a4"/>
        <w:tblW w:w="9077" w:type="dxa"/>
        <w:tblInd w:w="-5" w:type="dxa"/>
        <w:tblLayout w:type="fixed"/>
        <w:tblLook w:val="0000" w:firstRow="0" w:lastRow="0" w:firstColumn="0" w:lastColumn="0" w:noHBand="0" w:noVBand="0"/>
      </w:tblPr>
      <w:tblGrid>
        <w:gridCol w:w="6101"/>
        <w:gridCol w:w="2976"/>
      </w:tblGrid>
      <w:tr w:rsidR="000755BA" w14:paraId="540E9ACF" w14:textId="77777777">
        <w:trPr>
          <w:trHeight w:val="300"/>
        </w:trPr>
        <w:tc>
          <w:tcPr>
            <w:tcW w:w="6101" w:type="dxa"/>
            <w:tcBorders>
              <w:top w:val="single" w:sz="4" w:space="0" w:color="000000"/>
              <w:left w:val="single" w:sz="4" w:space="0" w:color="000000"/>
              <w:bottom w:val="single" w:sz="4" w:space="0" w:color="000000"/>
              <w:right w:val="single" w:sz="4" w:space="0" w:color="000000"/>
            </w:tcBorders>
            <w:shd w:val="clear" w:color="auto" w:fill="EEECE1"/>
            <w:vAlign w:val="center"/>
          </w:tcPr>
          <w:p w14:paraId="34C64FD2"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Kazalniki turističnih regij</w:t>
            </w:r>
          </w:p>
        </w:tc>
        <w:tc>
          <w:tcPr>
            <w:tcW w:w="2976" w:type="dxa"/>
            <w:tcBorders>
              <w:top w:val="single" w:sz="4" w:space="0" w:color="000000"/>
              <w:left w:val="nil"/>
              <w:bottom w:val="single" w:sz="4" w:space="0" w:color="000000"/>
              <w:right w:val="single" w:sz="4" w:space="0" w:color="000000"/>
            </w:tcBorders>
            <w:shd w:val="clear" w:color="auto" w:fill="EEECE1"/>
            <w:vAlign w:val="center"/>
          </w:tcPr>
          <w:p w14:paraId="36F0EF06"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Utež (v %)</w:t>
            </w:r>
          </w:p>
        </w:tc>
      </w:tr>
      <w:tr w:rsidR="000755BA" w14:paraId="1D7197CA" w14:textId="77777777">
        <w:trPr>
          <w:trHeight w:val="300"/>
        </w:trPr>
        <w:tc>
          <w:tcPr>
            <w:tcW w:w="6101" w:type="dxa"/>
            <w:tcBorders>
              <w:top w:val="nil"/>
              <w:left w:val="single" w:sz="4" w:space="0" w:color="000000"/>
              <w:bottom w:val="single" w:sz="4" w:space="0" w:color="000000"/>
              <w:right w:val="single" w:sz="4" w:space="0" w:color="000000"/>
            </w:tcBorders>
            <w:vAlign w:val="center"/>
          </w:tcPr>
          <w:p w14:paraId="4F55EB0A"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Število vključenih občin v zaokroženo turistično območje</w:t>
            </w:r>
          </w:p>
        </w:tc>
        <w:tc>
          <w:tcPr>
            <w:tcW w:w="2976" w:type="dxa"/>
            <w:tcBorders>
              <w:top w:val="nil"/>
              <w:left w:val="nil"/>
              <w:bottom w:val="single" w:sz="4" w:space="0" w:color="000000"/>
              <w:right w:val="single" w:sz="4" w:space="0" w:color="000000"/>
            </w:tcBorders>
            <w:shd w:val="clear" w:color="auto" w:fill="FFFFFF"/>
            <w:vAlign w:val="center"/>
          </w:tcPr>
          <w:p w14:paraId="2E26B16E"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20 %</w:t>
            </w:r>
          </w:p>
        </w:tc>
      </w:tr>
      <w:tr w:rsidR="000755BA" w14:paraId="16BA83CD" w14:textId="77777777">
        <w:trPr>
          <w:trHeight w:val="300"/>
        </w:trPr>
        <w:tc>
          <w:tcPr>
            <w:tcW w:w="6101" w:type="dxa"/>
            <w:tcBorders>
              <w:top w:val="nil"/>
              <w:left w:val="single" w:sz="4" w:space="0" w:color="000000"/>
              <w:bottom w:val="single" w:sz="4" w:space="0" w:color="000000"/>
              <w:right w:val="single" w:sz="4" w:space="0" w:color="000000"/>
            </w:tcBorders>
            <w:vAlign w:val="center"/>
          </w:tcPr>
          <w:p w14:paraId="29D8D728" w14:textId="5A6ECB05"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Število prebivalcev na območju RDO v letu 202</w:t>
            </w:r>
            <w:r w:rsidR="00344AAE">
              <w:rPr>
                <w:rFonts w:ascii="Arial" w:eastAsia="Arial" w:hAnsi="Arial" w:cs="Arial"/>
                <w:color w:val="000000"/>
              </w:rPr>
              <w:t>5</w:t>
            </w:r>
          </w:p>
        </w:tc>
        <w:tc>
          <w:tcPr>
            <w:tcW w:w="2976" w:type="dxa"/>
            <w:tcBorders>
              <w:top w:val="nil"/>
              <w:left w:val="nil"/>
              <w:bottom w:val="single" w:sz="4" w:space="0" w:color="000000"/>
              <w:right w:val="single" w:sz="4" w:space="0" w:color="000000"/>
            </w:tcBorders>
            <w:shd w:val="clear" w:color="auto" w:fill="FFFFFF"/>
            <w:vAlign w:val="center"/>
          </w:tcPr>
          <w:p w14:paraId="7EC2EAE6"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15 %</w:t>
            </w:r>
          </w:p>
        </w:tc>
      </w:tr>
      <w:tr w:rsidR="000755BA" w14:paraId="120F9174" w14:textId="77777777">
        <w:trPr>
          <w:trHeight w:val="300"/>
        </w:trPr>
        <w:tc>
          <w:tcPr>
            <w:tcW w:w="6101" w:type="dxa"/>
            <w:tcBorders>
              <w:top w:val="nil"/>
              <w:left w:val="single" w:sz="4" w:space="0" w:color="000000"/>
              <w:bottom w:val="single" w:sz="4" w:space="0" w:color="000000"/>
              <w:right w:val="single" w:sz="4" w:space="0" w:color="000000"/>
            </w:tcBorders>
            <w:vAlign w:val="center"/>
          </w:tcPr>
          <w:p w14:paraId="0C5F07E6"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Število delovno aktivnih prebivalcev v turizmu na območju RDO (metodologija OECD/UNWTO)</w:t>
            </w:r>
          </w:p>
        </w:tc>
        <w:tc>
          <w:tcPr>
            <w:tcW w:w="2976" w:type="dxa"/>
            <w:tcBorders>
              <w:top w:val="nil"/>
              <w:left w:val="nil"/>
              <w:bottom w:val="single" w:sz="4" w:space="0" w:color="000000"/>
              <w:right w:val="single" w:sz="4" w:space="0" w:color="000000"/>
            </w:tcBorders>
            <w:shd w:val="clear" w:color="auto" w:fill="FFFFFF"/>
            <w:vAlign w:val="center"/>
          </w:tcPr>
          <w:p w14:paraId="34BEAD6A"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15 %</w:t>
            </w:r>
          </w:p>
        </w:tc>
      </w:tr>
      <w:tr w:rsidR="000755BA" w14:paraId="760363DE" w14:textId="77777777">
        <w:trPr>
          <w:trHeight w:val="300"/>
        </w:trPr>
        <w:tc>
          <w:tcPr>
            <w:tcW w:w="6101" w:type="dxa"/>
            <w:tcBorders>
              <w:top w:val="nil"/>
              <w:left w:val="single" w:sz="4" w:space="0" w:color="000000"/>
              <w:bottom w:val="single" w:sz="4" w:space="0" w:color="000000"/>
              <w:right w:val="single" w:sz="4" w:space="0" w:color="000000"/>
            </w:tcBorders>
            <w:vAlign w:val="center"/>
          </w:tcPr>
          <w:p w14:paraId="7A4BCFBA"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Površina zaokroženega turističnega območja (v km2)</w:t>
            </w:r>
          </w:p>
        </w:tc>
        <w:tc>
          <w:tcPr>
            <w:tcW w:w="2976" w:type="dxa"/>
            <w:tcBorders>
              <w:top w:val="nil"/>
              <w:left w:val="nil"/>
              <w:bottom w:val="single" w:sz="4" w:space="0" w:color="000000"/>
              <w:right w:val="single" w:sz="4" w:space="0" w:color="000000"/>
            </w:tcBorders>
            <w:shd w:val="clear" w:color="auto" w:fill="FFFFFF"/>
            <w:vAlign w:val="center"/>
          </w:tcPr>
          <w:p w14:paraId="496D0270"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15 %</w:t>
            </w:r>
          </w:p>
        </w:tc>
      </w:tr>
      <w:tr w:rsidR="000755BA" w14:paraId="1F03362F" w14:textId="77777777">
        <w:trPr>
          <w:trHeight w:val="315"/>
        </w:trPr>
        <w:tc>
          <w:tcPr>
            <w:tcW w:w="6101" w:type="dxa"/>
            <w:tcBorders>
              <w:top w:val="nil"/>
              <w:left w:val="single" w:sz="4" w:space="0" w:color="000000"/>
              <w:bottom w:val="single" w:sz="4" w:space="0" w:color="000000"/>
              <w:right w:val="single" w:sz="4" w:space="0" w:color="000000"/>
            </w:tcBorders>
            <w:vAlign w:val="center"/>
          </w:tcPr>
          <w:p w14:paraId="7B1B2C0A" w14:textId="34AC0216"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Število prenočitev ustvarjenih na zaokroženem turističnem območju v letu 202</w:t>
            </w:r>
            <w:r w:rsidR="00344AAE">
              <w:rPr>
                <w:rFonts w:ascii="Arial" w:eastAsia="Arial" w:hAnsi="Arial" w:cs="Arial"/>
                <w:color w:val="000000"/>
              </w:rPr>
              <w:t>5</w:t>
            </w:r>
          </w:p>
        </w:tc>
        <w:tc>
          <w:tcPr>
            <w:tcW w:w="2976" w:type="dxa"/>
            <w:tcBorders>
              <w:top w:val="nil"/>
              <w:left w:val="nil"/>
              <w:bottom w:val="single" w:sz="4" w:space="0" w:color="000000"/>
              <w:right w:val="single" w:sz="4" w:space="0" w:color="000000"/>
            </w:tcBorders>
            <w:shd w:val="clear" w:color="auto" w:fill="FFFFFF"/>
            <w:vAlign w:val="center"/>
          </w:tcPr>
          <w:p w14:paraId="5C756727"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35 %</w:t>
            </w:r>
          </w:p>
        </w:tc>
      </w:tr>
      <w:tr w:rsidR="000755BA" w14:paraId="34B5A0C5" w14:textId="77777777">
        <w:trPr>
          <w:trHeight w:val="300"/>
        </w:trPr>
        <w:tc>
          <w:tcPr>
            <w:tcW w:w="6101" w:type="dxa"/>
            <w:tcBorders>
              <w:top w:val="nil"/>
              <w:left w:val="single" w:sz="4" w:space="0" w:color="000000"/>
              <w:bottom w:val="single" w:sz="4" w:space="0" w:color="000000"/>
              <w:right w:val="single" w:sz="4" w:space="0" w:color="000000"/>
            </w:tcBorders>
            <w:shd w:val="clear" w:color="auto" w:fill="EEECE1"/>
            <w:vAlign w:val="center"/>
          </w:tcPr>
          <w:p w14:paraId="59427BF2"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SKUPAJ</w:t>
            </w:r>
          </w:p>
        </w:tc>
        <w:tc>
          <w:tcPr>
            <w:tcW w:w="2976" w:type="dxa"/>
            <w:tcBorders>
              <w:top w:val="nil"/>
              <w:left w:val="nil"/>
              <w:bottom w:val="single" w:sz="4" w:space="0" w:color="000000"/>
              <w:right w:val="single" w:sz="4" w:space="0" w:color="000000"/>
            </w:tcBorders>
            <w:shd w:val="clear" w:color="auto" w:fill="EEECE1"/>
            <w:vAlign w:val="center"/>
          </w:tcPr>
          <w:p w14:paraId="6699C8B4"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100 %</w:t>
            </w:r>
          </w:p>
        </w:tc>
      </w:tr>
    </w:tbl>
    <w:p w14:paraId="36E57750"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1C1F186C"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Višina sofinanciranja upravičenih stroškov se izračuna na podlagi naslednje formule:</w:t>
      </w:r>
    </w:p>
    <w:p w14:paraId="6FF8B156"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Dosežene točke za posamezni kazalnik = Utež kazalnika (%) * (Nominalna vrednost kazalnika območja RDO/ Nominalna vrednost kazalnika za Slovenijo) (%) * 10.000</w:t>
      </w:r>
    </w:p>
    <w:p w14:paraId="32B822BC" w14:textId="2A21DA2D"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Skupno število doseženih točk po vseh kriterijih za vsako območje RDO se izračuna na naslednji način:</w:t>
      </w:r>
    </w:p>
    <w:p w14:paraId="5D194EC0" w14:textId="6FBBA6F8"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noProof/>
        </w:rPr>
        <w:drawing>
          <wp:anchor distT="0" distB="0" distL="114300" distR="114300" simplePos="0" relativeHeight="251658240" behindDoc="0" locked="0" layoutInCell="1" hidden="0" allowOverlap="1" wp14:anchorId="57C86BFB" wp14:editId="398AE649">
            <wp:simplePos x="0" y="0"/>
            <wp:positionH relativeFrom="margin">
              <wp:align>left</wp:align>
            </wp:positionH>
            <wp:positionV relativeFrom="paragraph">
              <wp:posOffset>55880</wp:posOffset>
            </wp:positionV>
            <wp:extent cx="6248400" cy="381000"/>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9"/>
                    <a:srcRect/>
                    <a:stretch>
                      <a:fillRect/>
                    </a:stretch>
                  </pic:blipFill>
                  <pic:spPr>
                    <a:xfrm>
                      <a:off x="0" y="0"/>
                      <a:ext cx="6248400" cy="381000"/>
                    </a:xfrm>
                    <a:prstGeom prst="rect">
                      <a:avLst/>
                    </a:prstGeom>
                    <a:ln/>
                  </pic:spPr>
                </pic:pic>
              </a:graphicData>
            </a:graphic>
            <wp14:sizeRelH relativeFrom="margin">
              <wp14:pctWidth>0</wp14:pctWidth>
            </wp14:sizeRelH>
            <wp14:sizeRelV relativeFrom="margin">
              <wp14:pctHeight>0</wp14:pctHeight>
            </wp14:sizeRelV>
          </wp:anchor>
        </w:drawing>
      </w:r>
    </w:p>
    <w:p w14:paraId="2EEF0E64" w14:textId="77777777" w:rsidR="000755BA" w:rsidRDefault="000755BA">
      <w:pPr>
        <w:pBdr>
          <w:top w:val="nil"/>
          <w:left w:val="nil"/>
          <w:bottom w:val="nil"/>
          <w:right w:val="nil"/>
          <w:between w:val="nil"/>
        </w:pBdr>
        <w:spacing w:after="200" w:line="276" w:lineRule="auto"/>
        <w:jc w:val="both"/>
        <w:rPr>
          <w:rFonts w:ascii="Arial" w:eastAsia="Arial" w:hAnsi="Arial" w:cs="Arial"/>
          <w:color w:val="000000"/>
        </w:rPr>
      </w:pPr>
    </w:p>
    <w:p w14:paraId="2407E8B9"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Glede na višino doseženih točk se RDO-ji razvrstijo v razrede. Vrednost 1 dosežene točke znaša 1.750 EUR, najvišje višine sofinanciranja pa kot sledi v spodnji tabeli:</w:t>
      </w:r>
    </w:p>
    <w:tbl>
      <w:tblPr>
        <w:tblStyle w:val="a5"/>
        <w:tblW w:w="91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5"/>
        <w:gridCol w:w="2429"/>
        <w:gridCol w:w="603"/>
        <w:gridCol w:w="1338"/>
        <w:gridCol w:w="1418"/>
        <w:gridCol w:w="2477"/>
      </w:tblGrid>
      <w:tr w:rsidR="000755BA" w14:paraId="2CCAB7D5" w14:textId="77777777">
        <w:trPr>
          <w:trHeight w:val="900"/>
        </w:trPr>
        <w:tc>
          <w:tcPr>
            <w:tcW w:w="5245" w:type="dxa"/>
            <w:gridSpan w:val="4"/>
            <w:shd w:val="clear" w:color="auto" w:fill="FFFFFF"/>
            <w:vAlign w:val="center"/>
          </w:tcPr>
          <w:p w14:paraId="5E77C53E"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Dosežen razpon skupnega števila točk</w:t>
            </w:r>
          </w:p>
        </w:tc>
        <w:tc>
          <w:tcPr>
            <w:tcW w:w="1418" w:type="dxa"/>
            <w:shd w:val="clear" w:color="auto" w:fill="FFFFFF"/>
          </w:tcPr>
          <w:p w14:paraId="33D6B2AB"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Vrednost 1 dosežene točke</w:t>
            </w:r>
          </w:p>
        </w:tc>
        <w:tc>
          <w:tcPr>
            <w:tcW w:w="2477" w:type="dxa"/>
            <w:shd w:val="clear" w:color="auto" w:fill="FFFFFF"/>
            <w:vAlign w:val="center"/>
          </w:tcPr>
          <w:p w14:paraId="4E91071D"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Najvišja vrednost  sofinanciranja</w:t>
            </w:r>
          </w:p>
        </w:tc>
      </w:tr>
      <w:tr w:rsidR="000755BA" w14:paraId="7E67818A" w14:textId="77777777">
        <w:trPr>
          <w:trHeight w:val="300"/>
        </w:trPr>
        <w:tc>
          <w:tcPr>
            <w:tcW w:w="875" w:type="dxa"/>
            <w:shd w:val="clear" w:color="auto" w:fill="FFFFFF"/>
            <w:vAlign w:val="center"/>
          </w:tcPr>
          <w:p w14:paraId="77FB271D" w14:textId="77777777" w:rsidR="000755BA" w:rsidRDefault="00EF1395">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do</w:t>
            </w:r>
          </w:p>
        </w:tc>
        <w:tc>
          <w:tcPr>
            <w:tcW w:w="2429" w:type="dxa"/>
            <w:shd w:val="clear" w:color="auto" w:fill="FFFFFF"/>
            <w:vAlign w:val="center"/>
          </w:tcPr>
          <w:p w14:paraId="79188156"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500 točk</w:t>
            </w:r>
          </w:p>
        </w:tc>
        <w:tc>
          <w:tcPr>
            <w:tcW w:w="603" w:type="dxa"/>
            <w:shd w:val="clear" w:color="auto" w:fill="FFFFFF"/>
            <w:vAlign w:val="center"/>
          </w:tcPr>
          <w:p w14:paraId="3C26BF8C"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 </w:t>
            </w:r>
          </w:p>
        </w:tc>
        <w:tc>
          <w:tcPr>
            <w:tcW w:w="1338" w:type="dxa"/>
            <w:shd w:val="clear" w:color="auto" w:fill="FFFFFF"/>
            <w:vAlign w:val="center"/>
          </w:tcPr>
          <w:p w14:paraId="358F28B7"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w:t>
            </w:r>
          </w:p>
        </w:tc>
        <w:tc>
          <w:tcPr>
            <w:tcW w:w="1418" w:type="dxa"/>
            <w:shd w:val="clear" w:color="auto" w:fill="FFFFFF"/>
          </w:tcPr>
          <w:p w14:paraId="5019B990"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1.750 EUR</w:t>
            </w:r>
          </w:p>
        </w:tc>
        <w:tc>
          <w:tcPr>
            <w:tcW w:w="2477" w:type="dxa"/>
            <w:shd w:val="clear" w:color="auto" w:fill="FFFFFF"/>
            <w:vAlign w:val="center"/>
          </w:tcPr>
          <w:p w14:paraId="05F0B54A"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 xml:space="preserve">          800.000 EUR</w:t>
            </w:r>
          </w:p>
        </w:tc>
      </w:tr>
      <w:tr w:rsidR="000755BA" w14:paraId="75D0C601" w14:textId="77777777">
        <w:trPr>
          <w:trHeight w:val="300"/>
        </w:trPr>
        <w:tc>
          <w:tcPr>
            <w:tcW w:w="875" w:type="dxa"/>
            <w:shd w:val="clear" w:color="auto" w:fill="FFFFFF"/>
            <w:vAlign w:val="center"/>
          </w:tcPr>
          <w:p w14:paraId="63E18B09" w14:textId="77777777" w:rsidR="000755BA" w:rsidRDefault="00EF1395">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nad</w:t>
            </w:r>
          </w:p>
        </w:tc>
        <w:tc>
          <w:tcPr>
            <w:tcW w:w="2429" w:type="dxa"/>
            <w:shd w:val="clear" w:color="auto" w:fill="FFFFFF"/>
            <w:vAlign w:val="center"/>
          </w:tcPr>
          <w:p w14:paraId="5E9FB481"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500 točk</w:t>
            </w:r>
          </w:p>
        </w:tc>
        <w:tc>
          <w:tcPr>
            <w:tcW w:w="603" w:type="dxa"/>
            <w:shd w:val="clear" w:color="auto" w:fill="FFFFFF"/>
            <w:vAlign w:val="center"/>
          </w:tcPr>
          <w:p w14:paraId="2FDCA9B5"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do</w:t>
            </w:r>
          </w:p>
        </w:tc>
        <w:tc>
          <w:tcPr>
            <w:tcW w:w="1338" w:type="dxa"/>
            <w:shd w:val="clear" w:color="auto" w:fill="FFFFFF"/>
            <w:vAlign w:val="center"/>
          </w:tcPr>
          <w:p w14:paraId="3F674D5C"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600 točk</w:t>
            </w:r>
          </w:p>
        </w:tc>
        <w:tc>
          <w:tcPr>
            <w:tcW w:w="1418" w:type="dxa"/>
            <w:shd w:val="clear" w:color="auto" w:fill="FFFFFF"/>
          </w:tcPr>
          <w:p w14:paraId="790F9CA2"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1.750 EUR</w:t>
            </w:r>
          </w:p>
        </w:tc>
        <w:tc>
          <w:tcPr>
            <w:tcW w:w="2477" w:type="dxa"/>
            <w:shd w:val="clear" w:color="auto" w:fill="FFFFFF"/>
            <w:vAlign w:val="center"/>
          </w:tcPr>
          <w:p w14:paraId="66F8E75D"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 xml:space="preserve">       1.000.000 EUR</w:t>
            </w:r>
          </w:p>
        </w:tc>
      </w:tr>
      <w:tr w:rsidR="000755BA" w14:paraId="72CD9A80" w14:textId="77777777">
        <w:trPr>
          <w:trHeight w:val="300"/>
        </w:trPr>
        <w:tc>
          <w:tcPr>
            <w:tcW w:w="875" w:type="dxa"/>
            <w:shd w:val="clear" w:color="auto" w:fill="FFFFFF"/>
            <w:vAlign w:val="center"/>
          </w:tcPr>
          <w:p w14:paraId="654911CB" w14:textId="77777777" w:rsidR="000755BA" w:rsidRDefault="00EF1395">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nad</w:t>
            </w:r>
          </w:p>
        </w:tc>
        <w:tc>
          <w:tcPr>
            <w:tcW w:w="2429" w:type="dxa"/>
            <w:shd w:val="clear" w:color="auto" w:fill="FFFFFF"/>
            <w:vAlign w:val="center"/>
          </w:tcPr>
          <w:p w14:paraId="3F3C7548"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600 točk</w:t>
            </w:r>
          </w:p>
        </w:tc>
        <w:tc>
          <w:tcPr>
            <w:tcW w:w="603" w:type="dxa"/>
            <w:shd w:val="clear" w:color="auto" w:fill="FFFFFF"/>
            <w:vAlign w:val="center"/>
          </w:tcPr>
          <w:p w14:paraId="0D6C3183"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do</w:t>
            </w:r>
          </w:p>
        </w:tc>
        <w:tc>
          <w:tcPr>
            <w:tcW w:w="1338" w:type="dxa"/>
            <w:shd w:val="clear" w:color="auto" w:fill="FFFFFF"/>
            <w:vAlign w:val="center"/>
          </w:tcPr>
          <w:p w14:paraId="0AB426B7"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800 točk</w:t>
            </w:r>
          </w:p>
        </w:tc>
        <w:tc>
          <w:tcPr>
            <w:tcW w:w="1418" w:type="dxa"/>
            <w:shd w:val="clear" w:color="auto" w:fill="FFFFFF"/>
          </w:tcPr>
          <w:p w14:paraId="3C3DEFD4"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1.750 EUR</w:t>
            </w:r>
          </w:p>
        </w:tc>
        <w:tc>
          <w:tcPr>
            <w:tcW w:w="2477" w:type="dxa"/>
            <w:shd w:val="clear" w:color="auto" w:fill="FFFFFF"/>
            <w:vAlign w:val="center"/>
          </w:tcPr>
          <w:p w14:paraId="2F267E72"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 xml:space="preserve">       1.250.000 EUR</w:t>
            </w:r>
          </w:p>
        </w:tc>
      </w:tr>
      <w:tr w:rsidR="000755BA" w14:paraId="64C9382B" w14:textId="77777777">
        <w:trPr>
          <w:trHeight w:val="349"/>
        </w:trPr>
        <w:tc>
          <w:tcPr>
            <w:tcW w:w="875" w:type="dxa"/>
            <w:shd w:val="clear" w:color="auto" w:fill="FFFFFF"/>
            <w:vAlign w:val="center"/>
          </w:tcPr>
          <w:p w14:paraId="54AD1E74" w14:textId="77777777" w:rsidR="000755BA" w:rsidRDefault="00EF1395">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nad</w:t>
            </w:r>
          </w:p>
        </w:tc>
        <w:tc>
          <w:tcPr>
            <w:tcW w:w="2429" w:type="dxa"/>
            <w:shd w:val="clear" w:color="auto" w:fill="FFFFFF"/>
            <w:vAlign w:val="center"/>
          </w:tcPr>
          <w:p w14:paraId="10762F05"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800 točk</w:t>
            </w:r>
          </w:p>
        </w:tc>
        <w:tc>
          <w:tcPr>
            <w:tcW w:w="603" w:type="dxa"/>
            <w:shd w:val="clear" w:color="auto" w:fill="FFFFFF"/>
            <w:vAlign w:val="center"/>
          </w:tcPr>
          <w:p w14:paraId="20F6955B"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do</w:t>
            </w:r>
          </w:p>
        </w:tc>
        <w:tc>
          <w:tcPr>
            <w:tcW w:w="1338" w:type="dxa"/>
            <w:shd w:val="clear" w:color="auto" w:fill="FFFFFF"/>
            <w:vAlign w:val="center"/>
          </w:tcPr>
          <w:p w14:paraId="2ECC82ED"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1.200 točk</w:t>
            </w:r>
          </w:p>
        </w:tc>
        <w:tc>
          <w:tcPr>
            <w:tcW w:w="1418" w:type="dxa"/>
            <w:shd w:val="clear" w:color="auto" w:fill="FFFFFF"/>
          </w:tcPr>
          <w:p w14:paraId="76C780C8"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1.750 EUR</w:t>
            </w:r>
          </w:p>
        </w:tc>
        <w:tc>
          <w:tcPr>
            <w:tcW w:w="2477" w:type="dxa"/>
            <w:shd w:val="clear" w:color="auto" w:fill="FFFFFF"/>
            <w:vAlign w:val="center"/>
          </w:tcPr>
          <w:p w14:paraId="5EA46BD2"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 xml:space="preserve">       1.450.000 EUR</w:t>
            </w:r>
          </w:p>
        </w:tc>
      </w:tr>
      <w:tr w:rsidR="000755BA" w14:paraId="1DDBE2E3" w14:textId="77777777">
        <w:trPr>
          <w:trHeight w:val="300"/>
        </w:trPr>
        <w:tc>
          <w:tcPr>
            <w:tcW w:w="875" w:type="dxa"/>
            <w:shd w:val="clear" w:color="auto" w:fill="FFFFFF"/>
            <w:vAlign w:val="center"/>
          </w:tcPr>
          <w:p w14:paraId="167CC482" w14:textId="77777777" w:rsidR="000755BA" w:rsidRDefault="00EF1395">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nad</w:t>
            </w:r>
          </w:p>
        </w:tc>
        <w:tc>
          <w:tcPr>
            <w:tcW w:w="2429" w:type="dxa"/>
            <w:shd w:val="clear" w:color="auto" w:fill="FFFFFF"/>
            <w:vAlign w:val="center"/>
          </w:tcPr>
          <w:p w14:paraId="4B8B5E82"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1.200 točk</w:t>
            </w:r>
          </w:p>
        </w:tc>
        <w:tc>
          <w:tcPr>
            <w:tcW w:w="603" w:type="dxa"/>
            <w:shd w:val="clear" w:color="auto" w:fill="FFFFFF"/>
            <w:vAlign w:val="center"/>
          </w:tcPr>
          <w:p w14:paraId="3CB56C4E"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 </w:t>
            </w:r>
          </w:p>
        </w:tc>
        <w:tc>
          <w:tcPr>
            <w:tcW w:w="1338" w:type="dxa"/>
            <w:shd w:val="clear" w:color="auto" w:fill="FFFFFF"/>
            <w:vAlign w:val="center"/>
          </w:tcPr>
          <w:p w14:paraId="1708C654"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w:t>
            </w:r>
          </w:p>
        </w:tc>
        <w:tc>
          <w:tcPr>
            <w:tcW w:w="1418" w:type="dxa"/>
            <w:shd w:val="clear" w:color="auto" w:fill="FFFFFF"/>
          </w:tcPr>
          <w:p w14:paraId="46AD3DC3"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1.750 EUR</w:t>
            </w:r>
          </w:p>
        </w:tc>
        <w:tc>
          <w:tcPr>
            <w:tcW w:w="2477" w:type="dxa"/>
            <w:shd w:val="clear" w:color="auto" w:fill="FFFFFF"/>
            <w:vAlign w:val="center"/>
          </w:tcPr>
          <w:p w14:paraId="7F2732FC"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 xml:space="preserve">       1.650.000 EUR</w:t>
            </w:r>
          </w:p>
        </w:tc>
      </w:tr>
    </w:tbl>
    <w:p w14:paraId="179BE354"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26CBE38"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Najvišja zgornja meja sofinanciranja je 1.650.000 EUR. </w:t>
      </w:r>
    </w:p>
    <w:p w14:paraId="30CA46BB"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lastRenderedPageBreak/>
        <w:t xml:space="preserve">Izračuni za vsako od območij RDO so podani v II. poglavju, točke 6 razpisne dokumentacije. </w:t>
      </w:r>
    </w:p>
    <w:p w14:paraId="5B084C59"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Minimalna načrtovana vrednost upravičenih stroškov operacije ne sme biti manjša od 30 % zgoraj navedenih najvišjih skupnih vrednosti upravičenih stroškov.</w:t>
      </w:r>
    </w:p>
    <w:p w14:paraId="6865D90E"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644EF6A"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u w:val="single"/>
        </w:rPr>
      </w:pPr>
      <w:r>
        <w:rPr>
          <w:rFonts w:ascii="Arial" w:eastAsia="Arial" w:hAnsi="Arial" w:cs="Arial"/>
          <w:b/>
          <w:bCs/>
          <w:color w:val="000000"/>
          <w:u w:val="single"/>
        </w:rPr>
        <w:t xml:space="preserve">za Sklop 2: </w:t>
      </w:r>
    </w:p>
    <w:p w14:paraId="00266617" w14:textId="6CD32321"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Višina sofinanciranja upravičenih stroškov lahko znaša največ 100.000 EUR. </w:t>
      </w:r>
      <w:bookmarkStart w:id="53" w:name="_jtk2dsgq5gdr" w:colFirst="0" w:colLast="0"/>
      <w:bookmarkEnd w:id="53"/>
    </w:p>
    <w:p w14:paraId="5C273DB8" w14:textId="7AA13C88" w:rsidR="000755BA" w:rsidRDefault="00F47C4B" w:rsidP="00F47C4B">
      <w:pPr>
        <w:pStyle w:val="Naslov2"/>
        <w:ind w:left="284"/>
      </w:pPr>
      <w:bookmarkStart w:id="54" w:name="_Toc239072466"/>
      <w:r>
        <w:t xml:space="preserve">11. </w:t>
      </w:r>
      <w:r w:rsidR="00EF1395">
        <w:t>Roki in način prijave na javni razpis</w:t>
      </w:r>
      <w:bookmarkEnd w:id="54"/>
      <w:r w:rsidR="00EF1395">
        <w:t xml:space="preserve"> </w:t>
      </w:r>
    </w:p>
    <w:p w14:paraId="6877B2FB" w14:textId="77777777" w:rsidR="000755BA" w:rsidRDefault="000755BA">
      <w:pPr>
        <w:pBdr>
          <w:top w:val="nil"/>
          <w:left w:val="nil"/>
          <w:bottom w:val="nil"/>
          <w:right w:val="nil"/>
          <w:between w:val="nil"/>
        </w:pBdr>
        <w:spacing w:line="276" w:lineRule="auto"/>
        <w:ind w:left="360"/>
        <w:jc w:val="both"/>
        <w:rPr>
          <w:rFonts w:ascii="Arial" w:eastAsia="Arial" w:hAnsi="Arial" w:cs="Arial"/>
          <w:color w:val="000000"/>
          <w:sz w:val="22"/>
          <w:szCs w:val="22"/>
        </w:rPr>
      </w:pPr>
    </w:p>
    <w:p w14:paraId="531A2811" w14:textId="49A9AA11"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Roka za oddajo vlog na predmetni javni razpis sta dva, in sicer za prvo odpiranje: </w:t>
      </w:r>
      <w:r w:rsidR="00780246">
        <w:rPr>
          <w:rFonts w:ascii="Arial" w:eastAsia="Arial" w:hAnsi="Arial" w:cs="Arial"/>
          <w:color w:val="000000"/>
        </w:rPr>
        <w:t>26</w:t>
      </w:r>
      <w:r w:rsidR="009245F9">
        <w:rPr>
          <w:rFonts w:ascii="Arial" w:eastAsia="Arial" w:hAnsi="Arial" w:cs="Arial"/>
          <w:color w:val="000000"/>
        </w:rPr>
        <w:t>.</w:t>
      </w:r>
      <w:r w:rsidR="00E15D96">
        <w:rPr>
          <w:rFonts w:ascii="Arial" w:eastAsia="Arial" w:hAnsi="Arial" w:cs="Arial"/>
          <w:color w:val="000000"/>
        </w:rPr>
        <w:t xml:space="preserve"> </w:t>
      </w:r>
      <w:r w:rsidR="00780246">
        <w:rPr>
          <w:rFonts w:ascii="Arial" w:eastAsia="Arial" w:hAnsi="Arial" w:cs="Arial"/>
          <w:color w:val="000000"/>
        </w:rPr>
        <w:t>2</w:t>
      </w:r>
      <w:r w:rsidR="009245F9">
        <w:rPr>
          <w:rFonts w:ascii="Arial" w:eastAsia="Arial" w:hAnsi="Arial" w:cs="Arial"/>
          <w:color w:val="000000"/>
        </w:rPr>
        <w:t>.</w:t>
      </w:r>
      <w:r w:rsidR="00E15D96">
        <w:rPr>
          <w:rFonts w:ascii="Arial" w:eastAsia="Arial" w:hAnsi="Arial" w:cs="Arial"/>
          <w:color w:val="000000"/>
        </w:rPr>
        <w:t xml:space="preserve"> </w:t>
      </w:r>
      <w:r w:rsidR="009245F9">
        <w:rPr>
          <w:rFonts w:ascii="Arial" w:eastAsia="Arial" w:hAnsi="Arial" w:cs="Arial"/>
          <w:color w:val="000000"/>
        </w:rPr>
        <w:t>2027</w:t>
      </w:r>
      <w:r>
        <w:rPr>
          <w:rFonts w:ascii="Arial" w:eastAsia="Arial" w:hAnsi="Arial" w:cs="Arial"/>
          <w:color w:val="000000"/>
        </w:rPr>
        <w:t xml:space="preserve"> in za  drugo odpiranje </w:t>
      </w:r>
      <w:r w:rsidR="00780246">
        <w:rPr>
          <w:rFonts w:ascii="Arial" w:eastAsia="Arial" w:hAnsi="Arial" w:cs="Arial"/>
          <w:color w:val="000000"/>
        </w:rPr>
        <w:t>26</w:t>
      </w:r>
      <w:r w:rsidR="009245F9">
        <w:rPr>
          <w:rFonts w:ascii="Arial" w:eastAsia="Arial" w:hAnsi="Arial" w:cs="Arial"/>
          <w:color w:val="000000"/>
        </w:rPr>
        <w:t>.</w:t>
      </w:r>
      <w:r w:rsidR="00E15D96">
        <w:rPr>
          <w:rFonts w:ascii="Arial" w:eastAsia="Arial" w:hAnsi="Arial" w:cs="Arial"/>
          <w:color w:val="000000"/>
        </w:rPr>
        <w:t xml:space="preserve"> </w:t>
      </w:r>
      <w:r w:rsidR="009245F9">
        <w:rPr>
          <w:rFonts w:ascii="Arial" w:eastAsia="Arial" w:hAnsi="Arial" w:cs="Arial"/>
          <w:color w:val="000000"/>
        </w:rPr>
        <w:t>4.</w:t>
      </w:r>
      <w:r w:rsidR="00E15D96">
        <w:rPr>
          <w:rFonts w:ascii="Arial" w:eastAsia="Arial" w:hAnsi="Arial" w:cs="Arial"/>
          <w:color w:val="000000"/>
        </w:rPr>
        <w:t xml:space="preserve"> </w:t>
      </w:r>
      <w:r w:rsidR="009245F9">
        <w:rPr>
          <w:rFonts w:ascii="Arial" w:eastAsia="Arial" w:hAnsi="Arial" w:cs="Arial"/>
          <w:color w:val="000000"/>
        </w:rPr>
        <w:t>2027</w:t>
      </w:r>
      <w:r>
        <w:rPr>
          <w:rFonts w:ascii="Arial" w:eastAsia="Arial" w:hAnsi="Arial" w:cs="Arial"/>
          <w:color w:val="000000"/>
        </w:rPr>
        <w:t xml:space="preserve">. </w:t>
      </w:r>
    </w:p>
    <w:p w14:paraId="2D7FE8B2"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Oddaja vloge na javni razpis pomeni, da se je prijavitelj seznanil z vsebino javnega razpisa in razpisne dokumentacije ter se z njo strinja. Stroški priprave vloge in oddaje vloge na predmetni javni razpis niso upravičen strošek.</w:t>
      </w:r>
    </w:p>
    <w:p w14:paraId="1F0ECA4F"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Navodila za izdelavo popolne vloge so navedena v točki 27 razpisne dokumentacije.</w:t>
      </w:r>
    </w:p>
    <w:p w14:paraId="157403C8"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1EC1C349"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Vloga mora biti vložena v papirnati/tiskani obliki na obrazcih, ki so del razpisne dokumentacije in mora vsebovati vse zahtevane priloge in podatke, ki so določeni v besedilu javnega razpisa in razpisni dokumentaciji. Poleg tega je treba, skupaj z vlogo, na USB nosilcu posredovati kopijo celotne dokumentacije, tako v </w:t>
      </w:r>
      <w:proofErr w:type="spellStart"/>
      <w:r>
        <w:rPr>
          <w:rFonts w:ascii="Arial" w:eastAsia="Arial" w:hAnsi="Arial" w:cs="Arial"/>
          <w:color w:val="000000"/>
        </w:rPr>
        <w:t>word</w:t>
      </w:r>
      <w:proofErr w:type="spellEnd"/>
      <w:r>
        <w:rPr>
          <w:rFonts w:ascii="Arial" w:eastAsia="Arial" w:hAnsi="Arial" w:cs="Arial"/>
          <w:color w:val="000000"/>
        </w:rPr>
        <w:t xml:space="preserve"> kot </w:t>
      </w:r>
      <w:proofErr w:type="spellStart"/>
      <w:r>
        <w:rPr>
          <w:rFonts w:ascii="Arial" w:eastAsia="Arial" w:hAnsi="Arial" w:cs="Arial"/>
          <w:color w:val="000000"/>
        </w:rPr>
        <w:t>pdf</w:t>
      </w:r>
      <w:proofErr w:type="spellEnd"/>
      <w:r>
        <w:rPr>
          <w:rFonts w:ascii="Arial" w:eastAsia="Arial" w:hAnsi="Arial" w:cs="Arial"/>
          <w:color w:val="000000"/>
        </w:rPr>
        <w:t>. obliki (podpisana). V primeru neskladnosti podatkov v tiskanih in elektronskih obrazcih in prilogah, se upoštevajo tisti v tiskani obliki.</w:t>
      </w:r>
    </w:p>
    <w:p w14:paraId="0A6D80C5"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5F1B05A" w14:textId="7588E4F1"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Vlogo je potrebno vložiti na naslov: Ministrstvo za gospodarstvo, </w:t>
      </w:r>
      <w:r w:rsidR="007A2EF4">
        <w:rPr>
          <w:rFonts w:ascii="Arial" w:eastAsia="Arial" w:hAnsi="Arial" w:cs="Arial"/>
          <w:color w:val="000000"/>
        </w:rPr>
        <w:t>delo</w:t>
      </w:r>
      <w:r>
        <w:rPr>
          <w:rFonts w:ascii="Arial" w:eastAsia="Arial" w:hAnsi="Arial" w:cs="Arial"/>
          <w:color w:val="000000"/>
        </w:rPr>
        <w:t xml:space="preserve"> in šport, Kotnikova ulica 5, 1000 Ljubljana. Vloga se lahko odda po pošti ali osebno. Pri oddanih vlogah na pošto se bo upošteval datum oddaje vloge, ki je razviden iz poštnega žiga, odtisnjenega na ovojnici, ki ne sme biti kasnejši od roka za predložitev vlog. Osebno se lahko vloga odda v sprejemni pisarni ministrstva (pri recepciji), na lokaciji Kotnikova ulica 5, Ljubljana, v času uradnih ur, in sicer od 9.00 do 15.00 ure. </w:t>
      </w:r>
    </w:p>
    <w:p w14:paraId="44073BAB"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488FA31"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 primeru, da iz ovojnice datum na poštnem žigu ne bo razviden in v primeru neposredne predložitve vloge na sedežu ministrstva, velja datum, vpisan na potrdilu ministrstva o prejemu pošiljke, ki prav tako ne sme biti kasnejši od roka za predložitev vlog. </w:t>
      </w:r>
    </w:p>
    <w:p w14:paraId="75F3194B"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A1E36E1"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Kot pravočasne bodo upoštevane vloge, ki bodo, ne glede na način dostave, prispele v vložišče ministrstva najkasneje do rokov za oddajo vlog, navedenih v prvem odstavku te točke, in sicer na način, da bo iz pošiljke jasno razviden točen datum in ura oddaje vloge. V nasprotnem primeru strokovna komisija vloge ne bo obravnavala in jo bo s sklepom kot prepozno zavrgla ter zaprto vrnila pošiljatelju.</w:t>
      </w:r>
    </w:p>
    <w:p w14:paraId="442C071E"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Vloga na razpis mora biti oddana v zaprti ovojnici, ki mora biti označena s polnim nazivom in naslovom prijavitelja ter vidno oznako na sprednji strani, dobesedno in brez okrajšav: »NE ODPIRAJ –VLOGA – Javni razpis za trajnostni razvoj in upravljanje turističnih destinacij«. Za označevanje vloge na ovojnici se uporabi obrazec za označbo vloge (Priloga št. 5: Oprema ovojnice), ki je del razpisne dokumentacije. Če prijavitelj ne bo uporabil obrazca za označbo vloge, mora ovojnica vključevati vse elemente, ki so navedeni na obrazcu za označbo vloge. Vloge, ki bodo nepopolno in nepravilno označene, se ne bodo obravnavale in bodo s sklepom zavržene ter zaprte vrnjene pošiljatelju.</w:t>
      </w:r>
    </w:p>
    <w:p w14:paraId="6819D845" w14:textId="77777777" w:rsidR="000755BA" w:rsidRDefault="000755BA">
      <w:pPr>
        <w:pBdr>
          <w:top w:val="nil"/>
          <w:left w:val="nil"/>
          <w:bottom w:val="nil"/>
          <w:right w:val="nil"/>
          <w:between w:val="nil"/>
        </w:pBdr>
        <w:spacing w:line="276" w:lineRule="auto"/>
        <w:jc w:val="both"/>
        <w:rPr>
          <w:rFonts w:ascii="Arial" w:eastAsia="Arial" w:hAnsi="Arial" w:cs="Arial"/>
          <w:color w:val="000000"/>
          <w:highlight w:val="green"/>
        </w:rPr>
      </w:pPr>
    </w:p>
    <w:p w14:paraId="428ACF1E" w14:textId="77777777" w:rsidR="000755BA" w:rsidRDefault="000755BA">
      <w:pPr>
        <w:pBdr>
          <w:top w:val="nil"/>
          <w:left w:val="nil"/>
          <w:bottom w:val="nil"/>
          <w:right w:val="nil"/>
          <w:between w:val="nil"/>
        </w:pBdr>
        <w:spacing w:line="276" w:lineRule="auto"/>
        <w:jc w:val="both"/>
        <w:rPr>
          <w:rFonts w:ascii="Arial" w:eastAsia="Arial" w:hAnsi="Arial" w:cs="Arial"/>
          <w:color w:val="000000"/>
          <w:highlight w:val="green"/>
        </w:rPr>
      </w:pPr>
    </w:p>
    <w:p w14:paraId="30C56745" w14:textId="7C8FED74" w:rsidR="000755BA" w:rsidRPr="00EF6514" w:rsidRDefault="00EF6514" w:rsidP="00EF6514">
      <w:pPr>
        <w:pStyle w:val="Naslov2"/>
        <w:ind w:left="426"/>
      </w:pPr>
      <w:bookmarkStart w:id="55" w:name="_Toc239072467"/>
      <w:r>
        <w:lastRenderedPageBreak/>
        <w:t xml:space="preserve">12. </w:t>
      </w:r>
      <w:r w:rsidR="00EF1395">
        <w:t>Odpiranje vlog ter postopek in način izbora</w:t>
      </w:r>
      <w:bookmarkEnd w:id="55"/>
      <w:r w:rsidR="00EF1395">
        <w:t xml:space="preserve"> </w:t>
      </w:r>
    </w:p>
    <w:p w14:paraId="20178F8B" w14:textId="77777777" w:rsidR="000755BA" w:rsidRDefault="00EF1395" w:rsidP="00EF6514">
      <w:pPr>
        <w:pStyle w:val="Naslov2"/>
        <w:ind w:left="284"/>
      </w:pPr>
      <w:bookmarkStart w:id="56" w:name="_Toc239072468"/>
      <w:r>
        <w:t>12.1 Odpiranje vlog</w:t>
      </w:r>
      <w:bookmarkEnd w:id="56"/>
    </w:p>
    <w:p w14:paraId="42EA9A4B"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D2DFE12"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Odpiranje vlog ne bo javno in bo izvedeno v prostorih ministrstva najkasneje v roku osmih (8) delovnih dni po datumu za oddajo vlog za posamezno odpiranje. </w:t>
      </w:r>
    </w:p>
    <w:p w14:paraId="2878D5AD"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EAA1F38"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Na odpiranju bo strokovna komisija najprej preverila pravočasnost in pravilno označenost prispelih vlog ter formalno popolnost vlog. </w:t>
      </w:r>
    </w:p>
    <w:p w14:paraId="1F7C8B3A"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9D6B088" w14:textId="0E4461D1" w:rsidR="007A2EF4"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Odpirale se bodo samo v roku oddane, izpolnjene in pravilno označene vloge, in sicer po vrstnem redu oddaje vloge na pošto. Neustrezno označene ter nepravočasno prispele vloge na zadnji rok se ne bodo obravnavale in bodo s sklepom zavržene ter zaprte vrnjene prijavitelju. V primeru nepravočasne oddaje vloge na prvi rok za oddajo, se bo vloga odpirala na prvem naslednjem roku za odpiranje, o čemer bo prijavitelj pisno obveščen. Prijavitelj lahko vlogo tudi umakne iz obravnave.</w:t>
      </w:r>
    </w:p>
    <w:p w14:paraId="0A846AAB" w14:textId="77777777" w:rsidR="000755BA" w:rsidRDefault="00EF1395" w:rsidP="00EF6514">
      <w:pPr>
        <w:pStyle w:val="Naslov2"/>
        <w:ind w:left="284"/>
      </w:pPr>
      <w:bookmarkStart w:id="57" w:name="_Toc239072469"/>
      <w:r>
        <w:t>12.2 Popolnost vlog in dopolnjevanje</w:t>
      </w:r>
      <w:bookmarkEnd w:id="57"/>
    </w:p>
    <w:p w14:paraId="14FCD6B9"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42C63E50"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Na odpiranju bo strokovna komisija ugotavljala tudi formalno popolnost vlog. </w:t>
      </w:r>
    </w:p>
    <w:p w14:paraId="4A516B5D"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090A2A2"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Vloga je formalno popolna, če vsebuje:</w:t>
      </w:r>
    </w:p>
    <w:p w14:paraId="37BBDE25"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vse izpolnjene, podpisane, datirane in ožigosane razpisne obrazce,</w:t>
      </w:r>
    </w:p>
    <w:p w14:paraId="3D45FB3F"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vse zahtevane priloge, ki so sestavni del razpisne dokumentacije,</w:t>
      </w:r>
    </w:p>
    <w:p w14:paraId="40C47681" w14:textId="77777777" w:rsidR="000755BA" w:rsidRDefault="00EF1395">
      <w:pPr>
        <w:numPr>
          <w:ilvl w:val="0"/>
          <w:numId w:val="15"/>
        </w:numPr>
        <w:pBdr>
          <w:top w:val="nil"/>
          <w:left w:val="nil"/>
          <w:bottom w:val="nil"/>
          <w:right w:val="nil"/>
          <w:between w:val="nil"/>
        </w:pBdr>
        <w:spacing w:line="276" w:lineRule="auto"/>
        <w:jc w:val="both"/>
        <w:rPr>
          <w:color w:val="000000"/>
        </w:rPr>
      </w:pPr>
      <w:proofErr w:type="spellStart"/>
      <w:r>
        <w:rPr>
          <w:rFonts w:ascii="Arial" w:eastAsia="Arial" w:hAnsi="Arial" w:cs="Arial"/>
          <w:color w:val="000000"/>
        </w:rPr>
        <w:t>konzorcijsko</w:t>
      </w:r>
      <w:proofErr w:type="spellEnd"/>
      <w:r>
        <w:rPr>
          <w:rFonts w:ascii="Arial" w:eastAsia="Arial" w:hAnsi="Arial" w:cs="Arial"/>
          <w:color w:val="000000"/>
        </w:rPr>
        <w:t xml:space="preserve"> pogodbo vseh predstavnikov destinacij na območju RDO oz. PD,</w:t>
      </w:r>
    </w:p>
    <w:p w14:paraId="4C030BCE"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sporazum o sodelovanju z bližnjo RDO z veljavnostjo vsaj do konca leta 2028  – velja za prijavitelje na Sklop 2,</w:t>
      </w:r>
    </w:p>
    <w:p w14:paraId="2BE8A89E"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 xml:space="preserve">program dela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za obdobje od leta prijave na javni razpis do konca leta 2028,</w:t>
      </w:r>
    </w:p>
    <w:p w14:paraId="17997384"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ustanovni akt prijavitelja,</w:t>
      </w:r>
    </w:p>
    <w:p w14:paraId="74F158AE"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strategijo razvoja turizma na območju delovanja RDO oz. PD za obdobje petih let, z veljavnostjo vsaj do konca leta 2028 – v kolikor prijavitelj s strategijo še ne razpolaga, jo mora pripraviti tekom izvajanja operacije in jo najkasneje do izstavitve zadnjega zahtevka za izplačilo predložiti ministrstvu,</w:t>
      </w:r>
    </w:p>
    <w:p w14:paraId="69E40139"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sporazume o sodelovanju z gospodarskimi družbami in podjetniki posamezniki, ki opravljajo turistično dejavnost, ki skupaj predstavljajo vsaj dve tretjini razpoložljivih turističnih nastanitvenih zmogljivosti na področju delovanja RDO oz. PD (sporazume o sodelovanju je potrebno priložiti k vlogi na javni razpis za vsakega deležnika, ki izkazuje podporo operaciji, posebej),</w:t>
      </w:r>
    </w:p>
    <w:p w14:paraId="6B0FC4D7" w14:textId="77777777" w:rsidR="000755BA" w:rsidRDefault="00EF1395">
      <w:pPr>
        <w:numPr>
          <w:ilvl w:val="0"/>
          <w:numId w:val="15"/>
        </w:numPr>
        <w:pBdr>
          <w:top w:val="nil"/>
          <w:left w:val="nil"/>
          <w:bottom w:val="nil"/>
          <w:right w:val="nil"/>
          <w:between w:val="nil"/>
        </w:pBdr>
        <w:spacing w:line="276" w:lineRule="auto"/>
        <w:jc w:val="both"/>
        <w:rPr>
          <w:color w:val="000000"/>
        </w:rPr>
      </w:pPr>
      <w:bookmarkStart w:id="58" w:name="_vogin5cjbe2y" w:colFirst="0" w:colLast="0"/>
      <w:bookmarkEnd w:id="58"/>
      <w:r>
        <w:rPr>
          <w:rFonts w:ascii="Arial" w:eastAsia="Arial" w:hAnsi="Arial" w:cs="Arial"/>
          <w:color w:val="000000"/>
        </w:rPr>
        <w:t>za manjše gradbene posege ali investicije v opremo, vso dokumentacijo, ki izkazuje, da je načrtovani poseg skladen z veljavno zakonodajo in ga je dopustno izvesti, vključno z gradbenim dovoljenjem (če je to potrebno) oziroma izjavo projektanta, da to ni potrebno, razširjeno lokacijsko informacijo ter vsemi potrebnimi soglasji in mnenji pristojnih organov (npr. upravljavcev infrastrukture, občine ipd.); v primeru posegov na območjih kulturne dediščine tudi soglasje ZVKDS oz. ostala soglasja in dovoljenja v kolikor so le-ta potrebna,</w:t>
      </w:r>
    </w:p>
    <w:p w14:paraId="56FF63D7"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 xml:space="preserve">drugo dokumentacijo, ki dodatno potrjuje navedbe v vlogi, </w:t>
      </w:r>
    </w:p>
    <w:p w14:paraId="1EA61323"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lastRenderedPageBreak/>
        <w:t xml:space="preserve">USB nosilec, na katerem mora biti kopija celotne dokumentacije, tako v </w:t>
      </w:r>
      <w:proofErr w:type="spellStart"/>
      <w:r>
        <w:rPr>
          <w:rFonts w:ascii="Arial" w:eastAsia="Arial" w:hAnsi="Arial" w:cs="Arial"/>
          <w:color w:val="000000"/>
        </w:rPr>
        <w:t>word</w:t>
      </w:r>
      <w:proofErr w:type="spellEnd"/>
      <w:r>
        <w:rPr>
          <w:rFonts w:ascii="Arial" w:eastAsia="Arial" w:hAnsi="Arial" w:cs="Arial"/>
          <w:color w:val="000000"/>
        </w:rPr>
        <w:t xml:space="preserve"> kot </w:t>
      </w:r>
      <w:proofErr w:type="spellStart"/>
      <w:r>
        <w:rPr>
          <w:rFonts w:ascii="Arial" w:eastAsia="Arial" w:hAnsi="Arial" w:cs="Arial"/>
          <w:color w:val="000000"/>
        </w:rPr>
        <w:t>pdf</w:t>
      </w:r>
      <w:proofErr w:type="spellEnd"/>
      <w:r>
        <w:rPr>
          <w:rFonts w:ascii="Arial" w:eastAsia="Arial" w:hAnsi="Arial" w:cs="Arial"/>
          <w:color w:val="000000"/>
        </w:rPr>
        <w:t>. obliki (podpisana).</w:t>
      </w:r>
    </w:p>
    <w:p w14:paraId="6438EBFF"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6C27E02"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Za formalno nepopolno vlogo se šteje vloga, ki ne vsebuje vseh prijavnih obrazcev, obveznih prilog ter podatkov, zahtevanih v besedilu javnega razpisa in razpisni dokumentaciji, in ki na USB nosilcu ne vsebuje vse dokumentacije.</w:t>
      </w:r>
    </w:p>
    <w:p w14:paraId="1E6913E8"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Vsi obrazci in obvezne priloge vloge morajo biti v celoti izpolnjeni, datirani in originalno podpisani s strani odgovorne osebe prijavitelja ter žigosani. Vloga in vsi njeni sestavni deli morajo biti izpolnjeni v slovenskem jeziku. Vsi zneski v vlogi morajo biti navedeni v evrih (EUR), zaokroženi na dve decimalni mesti. </w:t>
      </w:r>
    </w:p>
    <w:p w14:paraId="402D6474"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8738052" w14:textId="46F332A1"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Če obrazci in priloge ne bodo originalno podpisani in žigosani, se bo vloga štela za formalno nepopolno. Če prijavitelj ne posluje z žigom, mora na mesta, določena za žig, navesti: »Ne poslujemo z žigom«. Vlogo lahko podpiše le zakoniti zastopnik ali od njega pooblaščena oseba. </w:t>
      </w:r>
    </w:p>
    <w:p w14:paraId="720E9CE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5A574CD"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V primeru formalno nepopolnih vlog, bo strokovna komisija v roku osmih (8) dni od zaključka odpiranja vlog prijavitelje pisno pozvala k dopolnitvi vloge. Prijavitelji, katerih vloge ne bodo formalno popolne, bodo morali vlogo dopolniti najkasneje v roku osmih (8) dni od prejema poziva za dopolnitev. Poziv za dopolnitev vloge bo posredovan s priporočeno pošto na naslov prijavitelja in hkrati po elektronski pošti na elektronski naslov prijavitelja, naveden v prijavnem obrazcu. Od prijavitelja se pričakuje, da bo v tem času dostopen za dvig pošte.</w:t>
      </w:r>
    </w:p>
    <w:p w14:paraId="277EA920"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Prijavitelj v dopolnitvi vloge ne sme spreminjati:</w:t>
      </w:r>
    </w:p>
    <w:p w14:paraId="412B037F" w14:textId="77777777" w:rsidR="000755BA" w:rsidRDefault="00EF1395">
      <w:pPr>
        <w:numPr>
          <w:ilvl w:val="0"/>
          <w:numId w:val="34"/>
        </w:numPr>
        <w:pBdr>
          <w:top w:val="nil"/>
          <w:left w:val="nil"/>
          <w:bottom w:val="nil"/>
          <w:right w:val="nil"/>
          <w:between w:val="nil"/>
        </w:pBdr>
        <w:spacing w:line="276" w:lineRule="auto"/>
        <w:ind w:left="426"/>
        <w:jc w:val="both"/>
        <w:rPr>
          <w:color w:val="000000"/>
        </w:rPr>
      </w:pPr>
      <w:r>
        <w:rPr>
          <w:rFonts w:ascii="Arial" w:eastAsia="Arial" w:hAnsi="Arial" w:cs="Arial"/>
          <w:color w:val="000000"/>
        </w:rPr>
        <w:t xml:space="preserve">višine zaprošenih sredstev, </w:t>
      </w:r>
    </w:p>
    <w:p w14:paraId="2A31F4EE" w14:textId="77777777" w:rsidR="000755BA" w:rsidRDefault="00EF1395">
      <w:pPr>
        <w:numPr>
          <w:ilvl w:val="0"/>
          <w:numId w:val="34"/>
        </w:numPr>
        <w:pBdr>
          <w:top w:val="nil"/>
          <w:left w:val="nil"/>
          <w:bottom w:val="nil"/>
          <w:right w:val="nil"/>
          <w:between w:val="nil"/>
        </w:pBdr>
        <w:spacing w:line="276" w:lineRule="auto"/>
        <w:ind w:left="426"/>
        <w:jc w:val="both"/>
        <w:rPr>
          <w:color w:val="000000"/>
        </w:rPr>
      </w:pPr>
      <w:r>
        <w:rPr>
          <w:rFonts w:ascii="Arial" w:eastAsia="Arial" w:hAnsi="Arial" w:cs="Arial"/>
          <w:color w:val="000000"/>
        </w:rPr>
        <w:t xml:space="preserve">tistega dela vloge, ki se veže na tehnične specifikacije predmeta vloge in </w:t>
      </w:r>
    </w:p>
    <w:p w14:paraId="598E2779" w14:textId="77777777" w:rsidR="000755BA" w:rsidRDefault="00EF1395">
      <w:pPr>
        <w:numPr>
          <w:ilvl w:val="0"/>
          <w:numId w:val="34"/>
        </w:numPr>
        <w:pBdr>
          <w:top w:val="nil"/>
          <w:left w:val="nil"/>
          <w:bottom w:val="nil"/>
          <w:right w:val="nil"/>
          <w:between w:val="nil"/>
        </w:pBdr>
        <w:spacing w:line="276" w:lineRule="auto"/>
        <w:ind w:left="426"/>
        <w:jc w:val="both"/>
        <w:rPr>
          <w:color w:val="000000"/>
        </w:rPr>
      </w:pPr>
      <w:r>
        <w:rPr>
          <w:rFonts w:ascii="Arial" w:eastAsia="Arial" w:hAnsi="Arial" w:cs="Arial"/>
          <w:color w:val="000000"/>
        </w:rPr>
        <w:t xml:space="preserve">tistih elementov vloge, ki vplivajo ali bi lahko vplivali na drugačno razvrstitev njegove vloge glede na preostale vloge, ki jih je ministrstvo prejelo v postopku dodelitve sredstev. </w:t>
      </w:r>
    </w:p>
    <w:p w14:paraId="3D8D4511"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F9F7D88"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Nepopolne vloge, ki jih prijavitelji ne bodo dopolnili v roku in v skladu s pozivom za dopolnitev, bodo s sklepom zavržene. </w:t>
      </w:r>
    </w:p>
    <w:p w14:paraId="549FBADF"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ED0EF95"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Za vse pravočasne, pravilno označene in formalno popolne vloge bo strokovna komisija opravila pregled vsebinske popolnosti in ustreznosti vloge. Preverila bo ali vloga izpolnjuje vse pogoje javnega razpisa. Pogoji za kandidiranje morajo biti izpolnjeni na dan oddaje vloge. Izpolnjevanje pogojev za kandidiranje je predmet preverjanja pred začetkom ocenjevanja. V postopek ocenjevanja bo strokovna komisija uvrstila le tiste vloge, ki bodo izpolnjevale vse pogoje javnega razpisa. Če vloga prijavitelja ne bo izpolnjevala vseh pogojev javnega razpisa, bo zavrnjena in ne bo predmet ocenjevanja na podlagi meril za ocenjevanje. </w:t>
      </w:r>
    </w:p>
    <w:p w14:paraId="0083D03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bookmarkStart w:id="59" w:name="_hyzdhrxw8mb1" w:colFirst="0" w:colLast="0"/>
      <w:bookmarkEnd w:id="59"/>
    </w:p>
    <w:p w14:paraId="562920C5" w14:textId="3E44139D"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Če bo strokovna komisija pri pregledu vlog ugotovila, da vloga ni jasna (da je vsebinsko nepopolna in neustrezna), lahko prijavitelja pozove k pojasnitvi vloge in/ali uskladitvi vloge oziroma dokumentacije in mu določi rok za pojasnitev. Prijavitelj sme ob pisnem soglasju ministrstva popraviti zgolj očitne računske napake, ki jih ministrstvo odkrije pri pregledu vloge, pri čemer se višina zaprošenih sredstev ne sme spreminjati. V primeru, da prijavitelj vsebinskih pojasnitev </w:t>
      </w:r>
      <w:r w:rsidR="00683F46">
        <w:rPr>
          <w:rFonts w:ascii="Arial" w:eastAsia="Arial" w:hAnsi="Arial" w:cs="Arial"/>
          <w:color w:val="000000"/>
        </w:rPr>
        <w:t xml:space="preserve">vloge </w:t>
      </w:r>
      <w:r>
        <w:rPr>
          <w:rFonts w:ascii="Arial" w:eastAsia="Arial" w:hAnsi="Arial" w:cs="Arial"/>
          <w:color w:val="000000"/>
        </w:rPr>
        <w:t xml:space="preserve">ne posreduje v postavljenem roku, se šteje, da pogoj ni izpolnjen, vloga prijavitelja pa se zavrne. </w:t>
      </w:r>
    </w:p>
    <w:p w14:paraId="02DB17E9"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BAD8DC3" w14:textId="28C494D9" w:rsidR="00EF6514" w:rsidRDefault="00EF1395" w:rsidP="00EF6514">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Izpolnjevanje pogojev mora izhajati iz celotne vloge in podatkov iz javnih evidenc. Če strokovna komisija ugotovi, da vloga prijavitelja ne izpolnjuje vseh pogojev in zahtev javnega razpisa in razpisne </w:t>
      </w:r>
      <w:r>
        <w:rPr>
          <w:rFonts w:ascii="Arial" w:eastAsia="Arial" w:hAnsi="Arial" w:cs="Arial"/>
          <w:color w:val="000000"/>
        </w:rPr>
        <w:lastRenderedPageBreak/>
        <w:t xml:space="preserve">dokumentacije, nadaljnjega ocenjevanja po merilih za ocenjevanje ne izvede, vloga prijavitelja pa se zaradi neizpolnjevanja pogojev zavrne. </w:t>
      </w:r>
      <w:bookmarkStart w:id="60" w:name="_qrcn4h95vse0" w:colFirst="0" w:colLast="0"/>
      <w:bookmarkEnd w:id="60"/>
    </w:p>
    <w:p w14:paraId="0F6B3B21" w14:textId="4B30F66E" w:rsidR="000755BA" w:rsidRPr="00EF6514" w:rsidRDefault="00EF6514" w:rsidP="00EF6514">
      <w:pPr>
        <w:pStyle w:val="Naslov2"/>
        <w:ind w:left="426"/>
      </w:pPr>
      <w:bookmarkStart w:id="61" w:name="_Toc239072470"/>
      <w:r w:rsidRPr="00EF6514">
        <w:t xml:space="preserve">13. </w:t>
      </w:r>
      <w:r w:rsidR="00EF1395" w:rsidRPr="00EF6514">
        <w:t>Postopek ocenjevanja in način izbora operacij ter merila za ocenjevanje vlog</w:t>
      </w:r>
      <w:bookmarkEnd w:id="61"/>
      <w:r w:rsidR="00EF1395" w:rsidRPr="00EF6514">
        <w:t xml:space="preserve"> </w:t>
      </w:r>
    </w:p>
    <w:p w14:paraId="1FC81A29" w14:textId="77777777" w:rsidR="000755BA" w:rsidRDefault="00EF1395" w:rsidP="00EF6514">
      <w:pPr>
        <w:pStyle w:val="Naslov2"/>
        <w:ind w:left="426"/>
      </w:pPr>
      <w:bookmarkStart w:id="62" w:name="_Toc239072471"/>
      <w:r>
        <w:t>13.1 Postopek ocenjevanja in način izbora operacij</w:t>
      </w:r>
      <w:bookmarkEnd w:id="62"/>
    </w:p>
    <w:p w14:paraId="5AA0611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5B8E8FF"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 postopek ocenjevanja bodo uvrščene le tiste vloge, ki bodo izpolnjevale vse pogoje javnega razpisa. Vse vloge, ki bodo formalno popolne in bodo izpolnjevale razpisne pogoje, bo strokovna komisija  ocenila na podlagi meril za ocenjevanje, pri pripravi katerih so bila upoštevana Merila za izbor operacij  v okviru programa evropske kohezijske politike v obdobju 2021 – 2027 v Sloveniji, dostopna na spletni strani </w:t>
      </w:r>
      <w:hyperlink r:id="rId40" w:history="1">
        <w:r>
          <w:rPr>
            <w:rFonts w:ascii="Arial" w:eastAsia="Arial" w:hAnsi="Arial" w:cs="Arial"/>
            <w:color w:val="0000FF"/>
            <w:u w:val="single"/>
          </w:rPr>
          <w:t>https://evropskasredstva.si/evropska-kohezijska-politika/kljucni-dokumenti/programski-dokumenti-za-obdobje-2021-2027/</w:t>
        </w:r>
      </w:hyperlink>
      <w:r>
        <w:rPr>
          <w:rFonts w:ascii="Arial" w:eastAsia="Arial" w:hAnsi="Arial" w:cs="Arial"/>
          <w:color w:val="000000"/>
        </w:rPr>
        <w:t xml:space="preserve">. Pomembno je, da prijavitelj v celoti poda vse zahtevane podatke v okviru prijavnih obrazcev, jih strokovno in realno utemelji ter predloži vse zahtevane priloge in dokazila ter tako komisiji omogoči ustrezno ocenjevanje posameznih aktivnosti in operacije kot celote. </w:t>
      </w:r>
    </w:p>
    <w:p w14:paraId="31CF6956"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D08D4E4"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Vsako vlogo, ki izpolnjuje vse pogoje za kandidiranje, ocenita ločeno dva člana strokovne komisije in sicer na osnovi meril in ocenjevalnih kriterijev, opredeljenih v točki 14.2 javnega razpisa oz. točki 13.2 razpisne dokumentacije. Pri ocenjevanju se sledi podatkom iz vloge, iz spremljajoče dokumentacije ter morebitnim drugim javno dostopnim podatkom. V primeru razhajanj ocen ocenjevalcev pri posameznemu merilu, se do ocene opredeli strokovna komisija na seji, ki tudi določi končno oceno zadevnega merila, kar ustrezno evidentira v okviru zapisnika. </w:t>
      </w:r>
    </w:p>
    <w:p w14:paraId="56DC2810"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6F9C3C1"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Strokovna komisija lahko od prijavitelja zahteva tudi dodatna pojasnila oziroma obrazložitve o vsebini vloge. Če pojasnila ne bodo posredovana v roku in na način, ki bo določen v pozivu, bo strokovna komisija vlogo ocenila na podlagi obstoječih podatkov.</w:t>
      </w:r>
    </w:p>
    <w:p w14:paraId="46D7AA11"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Če bo prijavitelj v prijavi kot upravičene navedel tudi neupravičene stroške, bo strokovna komisija ustrezno znižala višino sofinanciranja ter prijavitelju predlagala nižjo višino sofinanciranja od prvotno zaprošene. V takem primeru bo poziv za prilagoditev finančnega načrta prijavitelju posredovan po elektronski pošti na elektronski naslov prijavitelja, navedenem v Obrazcu št. 1</w:t>
      </w:r>
      <w:r>
        <w:rPr>
          <w:rFonts w:ascii="Arial" w:eastAsia="Arial" w:hAnsi="Arial" w:cs="Arial"/>
          <w:i/>
          <w:iCs/>
          <w:color w:val="000000"/>
        </w:rPr>
        <w:t xml:space="preserve">. </w:t>
      </w:r>
      <w:r>
        <w:rPr>
          <w:rFonts w:ascii="Arial" w:eastAsia="Arial" w:hAnsi="Arial" w:cs="Arial"/>
          <w:color w:val="000000"/>
        </w:rPr>
        <w:t>Če prilagoditev finančnega načrta ne bo posredovana v roku in na način, določen v pozivu, ali če se prijavitelj ne bo strinjal s predlogi strokovne komisije, se šteje, da prijavitelj odstopa od vloge. Tudi druge morebitne spremembe finančnega načrta zaradi tehničnih ali očitnih računskih napak prijavitelj lahko posreduje elektronsko.</w:t>
      </w:r>
    </w:p>
    <w:p w14:paraId="5AA417AE"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Prag števila točk nad katerim bo odobreno sofinanciranje je 35 doseženih točk. Če je vloga ocenjena z manj kot 35 točkami, ne more pridobiti sofinanciranja in se zavrne.</w:t>
      </w:r>
    </w:p>
    <w:p w14:paraId="642D4F51"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948BFDA" w14:textId="77777777" w:rsidR="000755BA" w:rsidRDefault="00EF1395">
      <w:pPr>
        <w:pBdr>
          <w:top w:val="nil"/>
          <w:left w:val="nil"/>
          <w:bottom w:val="nil"/>
          <w:right w:val="nil"/>
          <w:between w:val="nil"/>
        </w:pBdr>
        <w:spacing w:line="276" w:lineRule="auto"/>
        <w:jc w:val="both"/>
        <w:rPr>
          <w:rFonts w:ascii="Arial" w:eastAsia="Arial" w:hAnsi="Arial" w:cs="Arial"/>
          <w:color w:val="000000"/>
          <w:highlight w:val="yellow"/>
        </w:rPr>
      </w:pPr>
      <w:r>
        <w:rPr>
          <w:rFonts w:ascii="Arial" w:eastAsia="Arial" w:hAnsi="Arial" w:cs="Arial"/>
          <w:color w:val="000000"/>
        </w:rPr>
        <w:t xml:space="preserve">Vloge, ki dosežejo prag za sofinanciranje, strokovna komisija v okviru posameznega roka za oddajo vlog razdeli v dve ločeni skupini, in sicer eno za Sklop 1 ter drugo za Sklop 2. Razpoložljiva sredstva bodo vlogam, ki so v postopku ocenjevanja vlog dosegle prag sofinanciranja in so razvrščene v navedeni dve skupini, dodeljena po vrsti od najvišje ocenjenih proti nižje </w:t>
      </w:r>
      <w:proofErr w:type="spellStart"/>
      <w:r>
        <w:rPr>
          <w:rFonts w:ascii="Arial" w:eastAsia="Arial" w:hAnsi="Arial" w:cs="Arial"/>
          <w:color w:val="000000"/>
        </w:rPr>
        <w:t>rangiranim</w:t>
      </w:r>
      <w:proofErr w:type="spellEnd"/>
      <w:r>
        <w:rPr>
          <w:rFonts w:ascii="Arial" w:eastAsia="Arial" w:hAnsi="Arial" w:cs="Arial"/>
          <w:color w:val="000000"/>
        </w:rPr>
        <w:t xml:space="preserve"> oz. ocenjenim, na način, da se praviloma podpre operacija do polne višine zaprošenega sofinanciranja, vendar le do izčrpanja razpoložljivih sredstev po tem javnem razpisu.</w:t>
      </w:r>
    </w:p>
    <w:p w14:paraId="36F4D77A"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9FB2F85" w14:textId="7F0FD805"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 primeru, da bo več vlog ocenjenih z enakim skupnim številom točk, bodo imele prednost vloge z višjim številom točk po merilu 1.1. »Odličnost in jasnost programa dela«, zatem po merilu št. 1.2. »Izvajanje funkcij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zatem po merilu št. 2.1. »Vodenje in organizacija operacije«, zatem po merilu št. 3.1. »Sodelovanje z lokalno skupnostjo« in nazadnje po merilu št. 4.1. »Znak za okolje«.</w:t>
      </w:r>
    </w:p>
    <w:p w14:paraId="645AF71A"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17539F04" w14:textId="564BC5F9"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Na osnovi rezultatov ocenjevanja za posamezno odpiranje javnega razpisa bo strokovna komisija oblikovala predlog prejemnikov sredstev, ki jih bo predlagala za sofinanciranje glede na razpoložljiva sredstva javnega razpisa za posamezno odpiranje. Predlog bo v odločanje posredovan predstojniku ministrstva. Predstojnik ministrstva sprejme končno odločitev s sklepom o zavrženju za formalno nepopolne vloge, vključno z neustrezno dopolnjenimi vlogami (vloge, ki so po dopolnitvi še vedno formalno nepopolne) in s sklepom o zavrnitvi za prepozno prispele vloge, za vse vsebinsko neustrezne oz. nepopolne vloge (vloge, ki ne izpolnjujejo pogojev), vloge, ki niso dosegle praga za sofinanciranje in vloge, ki so sicer dosegle prag za sofinanciranje, pa za njihovo sofinanciranje v okviru posameznega roka za oddajo vlog ni bilo na voljo dovolj razpoložljivih sredstev. </w:t>
      </w:r>
    </w:p>
    <w:p w14:paraId="7E081EFC" w14:textId="0B2140D7" w:rsidR="000755BA" w:rsidRDefault="00EF6514" w:rsidP="00EF6514">
      <w:pPr>
        <w:pStyle w:val="Naslov2"/>
        <w:ind w:left="426"/>
      </w:pPr>
      <w:bookmarkStart w:id="63" w:name="_Toc239072472"/>
      <w:r>
        <w:t xml:space="preserve">13.2 </w:t>
      </w:r>
      <w:r w:rsidR="00EF1395">
        <w:t>Merila za ocenjevanje vlog</w:t>
      </w:r>
      <w:bookmarkEnd w:id="63"/>
    </w:p>
    <w:p w14:paraId="1899B524"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BC6E8D6"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Strokovna komisija bo formalno popolne vloge, ki bodo izpolnjevale razpisne pogoje ocenila na podlagi spodaj navedenih meril.</w:t>
      </w:r>
    </w:p>
    <w:tbl>
      <w:tblPr>
        <w:tblStyle w:val="a6"/>
        <w:tblW w:w="0" w:type="auto"/>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61"/>
        <w:gridCol w:w="6379"/>
        <w:gridCol w:w="850"/>
        <w:gridCol w:w="978"/>
      </w:tblGrid>
      <w:tr w:rsidR="000755BA" w14:paraId="687F6045" w14:textId="77777777" w:rsidTr="0004051E">
        <w:tc>
          <w:tcPr>
            <w:tcW w:w="861" w:type="dxa"/>
            <w:shd w:val="clear" w:color="auto" w:fill="D9D9D9" w:themeFill="background1" w:themeFillShade="D9"/>
          </w:tcPr>
          <w:p w14:paraId="78DF53DF"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 </w:t>
            </w:r>
          </w:p>
        </w:tc>
        <w:tc>
          <w:tcPr>
            <w:tcW w:w="6379" w:type="dxa"/>
            <w:shd w:val="clear" w:color="auto" w:fill="D9D9D9" w:themeFill="background1" w:themeFillShade="D9"/>
          </w:tcPr>
          <w:p w14:paraId="2AA19510"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Merila </w:t>
            </w:r>
          </w:p>
        </w:tc>
        <w:tc>
          <w:tcPr>
            <w:tcW w:w="850" w:type="dxa"/>
            <w:shd w:val="clear" w:color="auto" w:fill="D9D9D9" w:themeFill="background1" w:themeFillShade="D9"/>
          </w:tcPr>
          <w:p w14:paraId="13E054D1" w14:textId="0E508870" w:rsidR="000755BA" w:rsidRDefault="00644050">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Š</w:t>
            </w:r>
            <w:r w:rsidR="00EF1395">
              <w:rPr>
                <w:rFonts w:ascii="Arial" w:eastAsia="Arial" w:hAnsi="Arial" w:cs="Arial"/>
                <w:b/>
                <w:bCs/>
                <w:color w:val="000000"/>
              </w:rPr>
              <w:t>t. točk</w:t>
            </w:r>
          </w:p>
        </w:tc>
        <w:tc>
          <w:tcPr>
            <w:tcW w:w="978" w:type="dxa"/>
            <w:shd w:val="clear" w:color="auto" w:fill="D9D9D9" w:themeFill="background1" w:themeFillShade="D9"/>
          </w:tcPr>
          <w:p w14:paraId="20228CC7"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Max. št. točk</w:t>
            </w:r>
          </w:p>
        </w:tc>
      </w:tr>
      <w:tr w:rsidR="000755BA" w14:paraId="66455425" w14:textId="77777777" w:rsidTr="0004051E">
        <w:tc>
          <w:tcPr>
            <w:tcW w:w="861" w:type="dxa"/>
            <w:shd w:val="clear" w:color="auto" w:fill="D9D9D9" w:themeFill="background1" w:themeFillShade="D9"/>
          </w:tcPr>
          <w:p w14:paraId="799D16D2" w14:textId="77777777" w:rsidR="000755BA" w:rsidRDefault="00EF1395">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1.</w:t>
            </w:r>
          </w:p>
        </w:tc>
        <w:tc>
          <w:tcPr>
            <w:tcW w:w="6379" w:type="dxa"/>
          </w:tcPr>
          <w:p w14:paraId="1A817BBD"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ODLIČNOST</w:t>
            </w:r>
          </w:p>
        </w:tc>
        <w:tc>
          <w:tcPr>
            <w:tcW w:w="850" w:type="dxa"/>
          </w:tcPr>
          <w:p w14:paraId="7474C877"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 </w:t>
            </w:r>
          </w:p>
        </w:tc>
        <w:tc>
          <w:tcPr>
            <w:tcW w:w="978" w:type="dxa"/>
          </w:tcPr>
          <w:p w14:paraId="3F3B7005" w14:textId="77777777" w:rsidR="000755BA" w:rsidRDefault="00EF1395">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20</w:t>
            </w:r>
          </w:p>
        </w:tc>
      </w:tr>
      <w:tr w:rsidR="000755BA" w14:paraId="3DB51C70" w14:textId="77777777" w:rsidTr="0004051E">
        <w:tc>
          <w:tcPr>
            <w:tcW w:w="861" w:type="dxa"/>
            <w:shd w:val="clear" w:color="auto" w:fill="D9D9D9" w:themeFill="background1" w:themeFillShade="D9"/>
          </w:tcPr>
          <w:p w14:paraId="0CB9F19A" w14:textId="77777777" w:rsidR="000755BA" w:rsidRDefault="00EF1395">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1.1.</w:t>
            </w:r>
          </w:p>
        </w:tc>
        <w:tc>
          <w:tcPr>
            <w:tcW w:w="6379" w:type="dxa"/>
          </w:tcPr>
          <w:p w14:paraId="54765279"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Odličnost in jasnost programa dela</w:t>
            </w:r>
          </w:p>
        </w:tc>
        <w:tc>
          <w:tcPr>
            <w:tcW w:w="850" w:type="dxa"/>
          </w:tcPr>
          <w:p w14:paraId="5A46C844" w14:textId="77777777" w:rsidR="000755BA" w:rsidRDefault="000755BA">
            <w:pPr>
              <w:pBdr>
                <w:top w:val="nil"/>
                <w:left w:val="nil"/>
                <w:bottom w:val="nil"/>
                <w:right w:val="nil"/>
                <w:between w:val="nil"/>
              </w:pBdr>
              <w:spacing w:line="276" w:lineRule="auto"/>
              <w:jc w:val="center"/>
              <w:rPr>
                <w:rFonts w:ascii="Arial" w:eastAsia="Arial" w:hAnsi="Arial" w:cs="Arial"/>
                <w:color w:val="000000"/>
              </w:rPr>
            </w:pPr>
          </w:p>
        </w:tc>
        <w:tc>
          <w:tcPr>
            <w:tcW w:w="978" w:type="dxa"/>
          </w:tcPr>
          <w:p w14:paraId="687DD083" w14:textId="7854817F" w:rsidR="000755BA" w:rsidRDefault="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10</w:t>
            </w:r>
          </w:p>
        </w:tc>
      </w:tr>
      <w:tr w:rsidR="00683F46" w14:paraId="57CDA5C0" w14:textId="77777777" w:rsidTr="0004051E">
        <w:tc>
          <w:tcPr>
            <w:tcW w:w="861" w:type="dxa"/>
            <w:shd w:val="clear" w:color="auto" w:fill="D9D9D9" w:themeFill="background1" w:themeFillShade="D9"/>
          </w:tcPr>
          <w:p w14:paraId="6810CF46"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p>
        </w:tc>
        <w:tc>
          <w:tcPr>
            <w:tcW w:w="6379" w:type="dxa"/>
          </w:tcPr>
          <w:p w14:paraId="67ECA16B"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Pripravljen je jasen, podroben in utemeljen program dela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ki vključuje delovne sklope operacije, njihovo vsebino, rezultate in potrebne vire.</w:t>
            </w:r>
          </w:p>
        </w:tc>
        <w:tc>
          <w:tcPr>
            <w:tcW w:w="850" w:type="dxa"/>
          </w:tcPr>
          <w:p w14:paraId="7BF982C6" w14:textId="5DB8A32D"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10</w:t>
            </w:r>
          </w:p>
        </w:tc>
        <w:tc>
          <w:tcPr>
            <w:tcW w:w="978" w:type="dxa"/>
          </w:tcPr>
          <w:p w14:paraId="2E1ADE44" w14:textId="7FE30FEE"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683F46" w14:paraId="4462D729" w14:textId="77777777" w:rsidTr="0004051E">
        <w:tc>
          <w:tcPr>
            <w:tcW w:w="861" w:type="dxa"/>
            <w:shd w:val="clear" w:color="auto" w:fill="D9D9D9" w:themeFill="background1" w:themeFillShade="D9"/>
          </w:tcPr>
          <w:p w14:paraId="075CA8CB"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p>
        </w:tc>
        <w:tc>
          <w:tcPr>
            <w:tcW w:w="6379" w:type="dxa"/>
          </w:tcPr>
          <w:p w14:paraId="08C438C2"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Program dela </w:t>
            </w:r>
            <w:proofErr w:type="spellStart"/>
            <w:r>
              <w:rPr>
                <w:rFonts w:ascii="Arial" w:eastAsia="Arial" w:hAnsi="Arial" w:cs="Arial"/>
                <w:color w:val="000000"/>
              </w:rPr>
              <w:t>destinacisjke</w:t>
            </w:r>
            <w:proofErr w:type="spellEnd"/>
            <w:r>
              <w:rPr>
                <w:rFonts w:ascii="Arial" w:eastAsia="Arial" w:hAnsi="Arial" w:cs="Arial"/>
                <w:color w:val="000000"/>
              </w:rPr>
              <w:t xml:space="preserve"> organizacije je jasen in vključuje tako delovne sklope operacije kot njihovo vsebino, rezultate in potrebne vire, vendar ni dovolj podroben oz. je pomanjkljivo utemeljen oz. temelji na dvomljivih izhodiščih.  </w:t>
            </w:r>
          </w:p>
        </w:tc>
        <w:tc>
          <w:tcPr>
            <w:tcW w:w="850" w:type="dxa"/>
          </w:tcPr>
          <w:p w14:paraId="6AC2291D" w14:textId="0F58DB2E"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5</w:t>
            </w:r>
          </w:p>
        </w:tc>
        <w:tc>
          <w:tcPr>
            <w:tcW w:w="978" w:type="dxa"/>
          </w:tcPr>
          <w:p w14:paraId="35B0380B" w14:textId="44E72708"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683F46" w14:paraId="413A93F7" w14:textId="77777777" w:rsidTr="0004051E">
        <w:tc>
          <w:tcPr>
            <w:tcW w:w="861" w:type="dxa"/>
            <w:shd w:val="clear" w:color="auto" w:fill="D9D9D9" w:themeFill="background1" w:themeFillShade="D9"/>
          </w:tcPr>
          <w:p w14:paraId="1EE51F95"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p>
        </w:tc>
        <w:tc>
          <w:tcPr>
            <w:tcW w:w="6379" w:type="dxa"/>
          </w:tcPr>
          <w:p w14:paraId="56F948E1"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Program dela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je pomanjkljiv tako z vidika vsebinskih sklopov kot podrobnosti in utemeljenosti. </w:t>
            </w:r>
          </w:p>
        </w:tc>
        <w:tc>
          <w:tcPr>
            <w:tcW w:w="850" w:type="dxa"/>
          </w:tcPr>
          <w:p w14:paraId="346DD0F5" w14:textId="5EDD216A"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0</w:t>
            </w:r>
          </w:p>
        </w:tc>
        <w:tc>
          <w:tcPr>
            <w:tcW w:w="978" w:type="dxa"/>
          </w:tcPr>
          <w:p w14:paraId="73F60C16" w14:textId="72D12443"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5F73E8" w14:paraId="02F0A9EE" w14:textId="77777777" w:rsidTr="0004051E">
        <w:tc>
          <w:tcPr>
            <w:tcW w:w="861" w:type="dxa"/>
            <w:shd w:val="clear" w:color="auto" w:fill="D9D9D9" w:themeFill="background1" w:themeFillShade="D9"/>
          </w:tcPr>
          <w:p w14:paraId="7F4B3AD3" w14:textId="77777777" w:rsidR="005F73E8" w:rsidRDefault="005F73E8" w:rsidP="005F73E8">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1.2.</w:t>
            </w:r>
          </w:p>
        </w:tc>
        <w:tc>
          <w:tcPr>
            <w:tcW w:w="6379" w:type="dxa"/>
          </w:tcPr>
          <w:p w14:paraId="041CB787" w14:textId="77777777" w:rsidR="005F73E8" w:rsidRDefault="005F73E8" w:rsidP="005F73E8">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 xml:space="preserve">Izvajanje funkcij </w:t>
            </w:r>
            <w:proofErr w:type="spellStart"/>
            <w:r>
              <w:rPr>
                <w:rFonts w:ascii="Arial" w:eastAsia="Arial" w:hAnsi="Arial" w:cs="Arial"/>
                <w:b/>
                <w:bCs/>
                <w:color w:val="000000"/>
              </w:rPr>
              <w:t>destinacijske</w:t>
            </w:r>
            <w:proofErr w:type="spellEnd"/>
            <w:r>
              <w:rPr>
                <w:rFonts w:ascii="Arial" w:eastAsia="Arial" w:hAnsi="Arial" w:cs="Arial"/>
                <w:b/>
                <w:bCs/>
                <w:color w:val="000000"/>
              </w:rPr>
              <w:t xml:space="preserve"> organizacije</w:t>
            </w:r>
          </w:p>
        </w:tc>
        <w:tc>
          <w:tcPr>
            <w:tcW w:w="850" w:type="dxa"/>
          </w:tcPr>
          <w:p w14:paraId="5CB967B8" w14:textId="77777777" w:rsidR="005F73E8" w:rsidRDefault="005F73E8" w:rsidP="005F73E8">
            <w:pPr>
              <w:pBdr>
                <w:top w:val="nil"/>
                <w:left w:val="nil"/>
                <w:bottom w:val="nil"/>
                <w:right w:val="nil"/>
                <w:between w:val="nil"/>
              </w:pBdr>
              <w:spacing w:line="276" w:lineRule="auto"/>
              <w:jc w:val="center"/>
              <w:rPr>
                <w:rFonts w:ascii="Arial" w:eastAsia="Arial" w:hAnsi="Arial" w:cs="Arial"/>
                <w:color w:val="000000"/>
              </w:rPr>
            </w:pPr>
          </w:p>
        </w:tc>
        <w:tc>
          <w:tcPr>
            <w:tcW w:w="978" w:type="dxa"/>
          </w:tcPr>
          <w:p w14:paraId="4FCCE817" w14:textId="5912EE5F" w:rsidR="005F73E8" w:rsidRDefault="00683F46" w:rsidP="005F73E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10</w:t>
            </w:r>
          </w:p>
        </w:tc>
      </w:tr>
      <w:tr w:rsidR="00683F46" w14:paraId="712EA698" w14:textId="77777777" w:rsidTr="0004051E">
        <w:tc>
          <w:tcPr>
            <w:tcW w:w="861" w:type="dxa"/>
            <w:shd w:val="clear" w:color="auto" w:fill="D9D9D9" w:themeFill="background1" w:themeFillShade="D9"/>
          </w:tcPr>
          <w:p w14:paraId="65B3AE54"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p>
        </w:tc>
        <w:tc>
          <w:tcPr>
            <w:tcW w:w="6379" w:type="dxa"/>
          </w:tcPr>
          <w:p w14:paraId="3933C66D"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Program dela vključuje aktivnosti, ki se nanašajo na </w:t>
            </w:r>
            <w:r>
              <w:rPr>
                <w:rFonts w:ascii="Arial" w:eastAsia="Arial" w:hAnsi="Arial" w:cs="Arial"/>
                <w:b/>
                <w:bCs/>
                <w:color w:val="000000"/>
              </w:rPr>
              <w:t xml:space="preserve">vsaj tri sklope </w:t>
            </w:r>
            <w:r>
              <w:rPr>
                <w:rFonts w:ascii="Arial" w:eastAsia="Arial" w:hAnsi="Arial" w:cs="Arial"/>
                <w:color w:val="000000"/>
              </w:rPr>
              <w:t xml:space="preserve">iz vsakega od treh stebrov ključnih funkcij za </w:t>
            </w:r>
            <w:proofErr w:type="spellStart"/>
            <w:r>
              <w:rPr>
                <w:rFonts w:ascii="Arial" w:eastAsia="Arial" w:hAnsi="Arial" w:cs="Arial"/>
                <w:color w:val="000000"/>
              </w:rPr>
              <w:t>destinacijsko</w:t>
            </w:r>
            <w:proofErr w:type="spellEnd"/>
            <w:r>
              <w:rPr>
                <w:rFonts w:ascii="Arial" w:eastAsia="Arial" w:hAnsi="Arial" w:cs="Arial"/>
                <w:color w:val="000000"/>
              </w:rPr>
              <w:t xml:space="preserve"> organizacijo, ki je predmet prijave na razpis (RDO oz. PD), kot jih opredeljuje Priročnik za delo </w:t>
            </w:r>
            <w:proofErr w:type="spellStart"/>
            <w:r>
              <w:rPr>
                <w:rFonts w:ascii="Arial" w:eastAsia="Arial" w:hAnsi="Arial" w:cs="Arial"/>
                <w:color w:val="000000"/>
              </w:rPr>
              <w:t>destinacijskih</w:t>
            </w:r>
            <w:proofErr w:type="spellEnd"/>
            <w:r>
              <w:rPr>
                <w:rFonts w:ascii="Arial" w:eastAsia="Arial" w:hAnsi="Arial" w:cs="Arial"/>
                <w:color w:val="000000"/>
              </w:rPr>
              <w:t xml:space="preserve"> turističnih organizacij</w:t>
            </w:r>
            <w:r>
              <w:rPr>
                <w:rFonts w:ascii="Arial" w:eastAsia="Arial" w:hAnsi="Arial" w:cs="Arial"/>
                <w:color w:val="000000"/>
                <w:vertAlign w:val="superscript"/>
              </w:rPr>
              <w:footnoteReference w:id="17"/>
            </w:r>
            <w:r>
              <w:rPr>
                <w:rFonts w:ascii="Arial" w:eastAsia="Arial" w:hAnsi="Arial" w:cs="Arial"/>
                <w:color w:val="000000"/>
              </w:rPr>
              <w:t>.</w:t>
            </w:r>
          </w:p>
        </w:tc>
        <w:tc>
          <w:tcPr>
            <w:tcW w:w="850" w:type="dxa"/>
          </w:tcPr>
          <w:p w14:paraId="12502263" w14:textId="0F83BADF"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10</w:t>
            </w:r>
          </w:p>
        </w:tc>
        <w:tc>
          <w:tcPr>
            <w:tcW w:w="978" w:type="dxa"/>
          </w:tcPr>
          <w:p w14:paraId="2743DAD3" w14:textId="7B99280C"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683F46" w14:paraId="1C411CAB" w14:textId="77777777" w:rsidTr="0004051E">
        <w:tc>
          <w:tcPr>
            <w:tcW w:w="861" w:type="dxa"/>
            <w:shd w:val="clear" w:color="auto" w:fill="D9D9D9" w:themeFill="background1" w:themeFillShade="D9"/>
          </w:tcPr>
          <w:p w14:paraId="25B9FC2C"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p>
        </w:tc>
        <w:tc>
          <w:tcPr>
            <w:tcW w:w="6379" w:type="dxa"/>
          </w:tcPr>
          <w:p w14:paraId="6B0BEDA3"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Program dela vključuje aktivnosti, ki se nanašajo na vsaj dva sklopa iz vsakega od treh stebrov ključnih funkcij za </w:t>
            </w:r>
            <w:proofErr w:type="spellStart"/>
            <w:r>
              <w:rPr>
                <w:rFonts w:ascii="Arial" w:eastAsia="Arial" w:hAnsi="Arial" w:cs="Arial"/>
                <w:color w:val="000000"/>
              </w:rPr>
              <w:t>destinacijsko</w:t>
            </w:r>
            <w:proofErr w:type="spellEnd"/>
            <w:r>
              <w:rPr>
                <w:rFonts w:ascii="Arial" w:eastAsia="Arial" w:hAnsi="Arial" w:cs="Arial"/>
                <w:color w:val="000000"/>
              </w:rPr>
              <w:t xml:space="preserve"> organizacijo, ki je predmet prijave na razpis (RDO oz. PD), kot jih opredeljuje Priročnik za delo </w:t>
            </w:r>
            <w:proofErr w:type="spellStart"/>
            <w:r>
              <w:rPr>
                <w:rFonts w:ascii="Arial" w:eastAsia="Arial" w:hAnsi="Arial" w:cs="Arial"/>
                <w:color w:val="000000"/>
              </w:rPr>
              <w:t>destinacijskih</w:t>
            </w:r>
            <w:proofErr w:type="spellEnd"/>
            <w:r>
              <w:rPr>
                <w:rFonts w:ascii="Arial" w:eastAsia="Arial" w:hAnsi="Arial" w:cs="Arial"/>
                <w:color w:val="000000"/>
              </w:rPr>
              <w:t xml:space="preserve"> turističnih organizacij.</w:t>
            </w:r>
          </w:p>
        </w:tc>
        <w:tc>
          <w:tcPr>
            <w:tcW w:w="850" w:type="dxa"/>
          </w:tcPr>
          <w:p w14:paraId="43A87542" w14:textId="4BA4B97A"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5</w:t>
            </w:r>
          </w:p>
        </w:tc>
        <w:tc>
          <w:tcPr>
            <w:tcW w:w="978" w:type="dxa"/>
          </w:tcPr>
          <w:p w14:paraId="30A7464F" w14:textId="3DA257DC"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683F46" w14:paraId="11E20A1B" w14:textId="77777777" w:rsidTr="0004051E">
        <w:tc>
          <w:tcPr>
            <w:tcW w:w="861" w:type="dxa"/>
            <w:shd w:val="clear" w:color="auto" w:fill="D9D9D9" w:themeFill="background1" w:themeFillShade="D9"/>
          </w:tcPr>
          <w:p w14:paraId="08F5890B"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p>
        </w:tc>
        <w:tc>
          <w:tcPr>
            <w:tcW w:w="6379" w:type="dxa"/>
          </w:tcPr>
          <w:p w14:paraId="4E9711F5"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Program dela vključuje aktivnosti, ki se nanašajo na manj kot dva sklopa iz vsakega od treh stebrov ključnih funkcij za </w:t>
            </w:r>
            <w:proofErr w:type="spellStart"/>
            <w:r>
              <w:rPr>
                <w:rFonts w:ascii="Arial" w:eastAsia="Arial" w:hAnsi="Arial" w:cs="Arial"/>
                <w:color w:val="000000"/>
              </w:rPr>
              <w:t>destinacijsko</w:t>
            </w:r>
            <w:proofErr w:type="spellEnd"/>
            <w:r>
              <w:rPr>
                <w:rFonts w:ascii="Arial" w:eastAsia="Arial" w:hAnsi="Arial" w:cs="Arial"/>
                <w:color w:val="000000"/>
              </w:rPr>
              <w:t xml:space="preserve"> organizacijo, ki je predmet prijave na razpis (RDO oz. PD), kot jih opredeljuje Priročnik za delo </w:t>
            </w:r>
            <w:proofErr w:type="spellStart"/>
            <w:r>
              <w:rPr>
                <w:rFonts w:ascii="Arial" w:eastAsia="Arial" w:hAnsi="Arial" w:cs="Arial"/>
                <w:color w:val="000000"/>
              </w:rPr>
              <w:t>destinacijskih</w:t>
            </w:r>
            <w:proofErr w:type="spellEnd"/>
            <w:r>
              <w:rPr>
                <w:rFonts w:ascii="Arial" w:eastAsia="Arial" w:hAnsi="Arial" w:cs="Arial"/>
                <w:color w:val="000000"/>
              </w:rPr>
              <w:t xml:space="preserve"> turističnih organizacij.</w:t>
            </w:r>
          </w:p>
        </w:tc>
        <w:tc>
          <w:tcPr>
            <w:tcW w:w="850" w:type="dxa"/>
          </w:tcPr>
          <w:p w14:paraId="1498CF3B" w14:textId="096C6D91"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0</w:t>
            </w:r>
          </w:p>
        </w:tc>
        <w:tc>
          <w:tcPr>
            <w:tcW w:w="978" w:type="dxa"/>
          </w:tcPr>
          <w:p w14:paraId="4552BB23" w14:textId="1811645F"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5F73E8" w14:paraId="37421E49" w14:textId="77777777" w:rsidTr="0004051E">
        <w:tc>
          <w:tcPr>
            <w:tcW w:w="861" w:type="dxa"/>
            <w:shd w:val="clear" w:color="auto" w:fill="D9D9D9" w:themeFill="background1" w:themeFillShade="D9"/>
          </w:tcPr>
          <w:p w14:paraId="27AA5FDD" w14:textId="77777777" w:rsidR="005F73E8" w:rsidRDefault="005F73E8" w:rsidP="005F73E8">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2.</w:t>
            </w:r>
          </w:p>
        </w:tc>
        <w:tc>
          <w:tcPr>
            <w:tcW w:w="6379" w:type="dxa"/>
          </w:tcPr>
          <w:p w14:paraId="4E2C61A6" w14:textId="77777777" w:rsidR="005F73E8" w:rsidRDefault="005F73E8" w:rsidP="005F73E8">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 xml:space="preserve">KAKOVOST OPERACIJE </w:t>
            </w:r>
          </w:p>
        </w:tc>
        <w:tc>
          <w:tcPr>
            <w:tcW w:w="850" w:type="dxa"/>
          </w:tcPr>
          <w:p w14:paraId="17AAF845" w14:textId="77777777" w:rsidR="005F73E8" w:rsidRDefault="005F73E8" w:rsidP="005F73E8">
            <w:pPr>
              <w:pBdr>
                <w:top w:val="nil"/>
                <w:left w:val="nil"/>
                <w:bottom w:val="nil"/>
                <w:right w:val="nil"/>
                <w:between w:val="nil"/>
              </w:pBdr>
              <w:spacing w:line="276" w:lineRule="auto"/>
              <w:jc w:val="center"/>
              <w:rPr>
                <w:rFonts w:ascii="Arial" w:eastAsia="Arial" w:hAnsi="Arial" w:cs="Arial"/>
                <w:color w:val="000000"/>
              </w:rPr>
            </w:pPr>
          </w:p>
        </w:tc>
        <w:tc>
          <w:tcPr>
            <w:tcW w:w="978" w:type="dxa"/>
          </w:tcPr>
          <w:p w14:paraId="1503362D" w14:textId="77777777" w:rsidR="005F73E8" w:rsidRDefault="005F73E8" w:rsidP="005F73E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5</w:t>
            </w:r>
          </w:p>
        </w:tc>
      </w:tr>
      <w:tr w:rsidR="005F73E8" w14:paraId="4F32D438" w14:textId="77777777" w:rsidTr="0004051E">
        <w:tc>
          <w:tcPr>
            <w:tcW w:w="861" w:type="dxa"/>
            <w:shd w:val="clear" w:color="auto" w:fill="D9D9D9" w:themeFill="background1" w:themeFillShade="D9"/>
          </w:tcPr>
          <w:p w14:paraId="7E90AA5C" w14:textId="77777777" w:rsidR="005F73E8" w:rsidRDefault="005F73E8" w:rsidP="005F73E8">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2.1.</w:t>
            </w:r>
          </w:p>
        </w:tc>
        <w:tc>
          <w:tcPr>
            <w:tcW w:w="6379" w:type="dxa"/>
          </w:tcPr>
          <w:p w14:paraId="0EE49571" w14:textId="77777777" w:rsidR="005F73E8" w:rsidRDefault="005F73E8" w:rsidP="005F73E8">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Vodenje in organizacija operacije</w:t>
            </w:r>
          </w:p>
        </w:tc>
        <w:tc>
          <w:tcPr>
            <w:tcW w:w="850" w:type="dxa"/>
          </w:tcPr>
          <w:p w14:paraId="7245DA01" w14:textId="77777777" w:rsidR="005F73E8" w:rsidRDefault="005F73E8" w:rsidP="005F73E8">
            <w:pPr>
              <w:pBdr>
                <w:top w:val="nil"/>
                <w:left w:val="nil"/>
                <w:bottom w:val="nil"/>
                <w:right w:val="nil"/>
                <w:between w:val="nil"/>
              </w:pBdr>
              <w:spacing w:line="276" w:lineRule="auto"/>
              <w:jc w:val="center"/>
              <w:rPr>
                <w:rFonts w:ascii="Arial" w:eastAsia="Arial" w:hAnsi="Arial" w:cs="Arial"/>
                <w:color w:val="000000"/>
              </w:rPr>
            </w:pPr>
          </w:p>
        </w:tc>
        <w:tc>
          <w:tcPr>
            <w:tcW w:w="978" w:type="dxa"/>
          </w:tcPr>
          <w:p w14:paraId="7CC93CEA" w14:textId="396475BC" w:rsidR="005F73E8" w:rsidRDefault="00683F46" w:rsidP="005F73E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5</w:t>
            </w:r>
          </w:p>
        </w:tc>
      </w:tr>
      <w:tr w:rsidR="00683F46" w14:paraId="0DDB9640" w14:textId="77777777" w:rsidTr="0004051E">
        <w:tc>
          <w:tcPr>
            <w:tcW w:w="861" w:type="dxa"/>
            <w:shd w:val="clear" w:color="auto" w:fill="D9D9D9" w:themeFill="background1" w:themeFillShade="D9"/>
          </w:tcPr>
          <w:p w14:paraId="6C0441E1"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 </w:t>
            </w:r>
          </w:p>
        </w:tc>
        <w:tc>
          <w:tcPr>
            <w:tcW w:w="6379" w:type="dxa"/>
          </w:tcPr>
          <w:p w14:paraId="7A605743" w14:textId="669A3E7F"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Dobra predstavitev vodenja in organizacije izvedbe operacije, prikazana potencialna tveganja in ukrepi za njihovo obvladovanje</w:t>
            </w:r>
            <w:r w:rsidR="002E5D5B">
              <w:rPr>
                <w:rFonts w:ascii="Arial" w:eastAsia="Arial" w:hAnsi="Arial" w:cs="Arial"/>
                <w:color w:val="000000"/>
              </w:rPr>
              <w:t xml:space="preserve"> ter</w:t>
            </w:r>
            <w:r>
              <w:rPr>
                <w:rFonts w:ascii="Arial" w:eastAsia="Arial" w:hAnsi="Arial" w:cs="Arial"/>
                <w:color w:val="000000"/>
              </w:rPr>
              <w:t xml:space="preserve"> izkazane ustrezne reference projektne skupine za izvedbo operacije. </w:t>
            </w:r>
          </w:p>
        </w:tc>
        <w:tc>
          <w:tcPr>
            <w:tcW w:w="850" w:type="dxa"/>
          </w:tcPr>
          <w:p w14:paraId="5D008F5D" w14:textId="6B3DE2CA"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5</w:t>
            </w:r>
          </w:p>
        </w:tc>
        <w:tc>
          <w:tcPr>
            <w:tcW w:w="978" w:type="dxa"/>
          </w:tcPr>
          <w:p w14:paraId="7988BD85" w14:textId="2DDDF2EF"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683F46" w14:paraId="74CA2476" w14:textId="77777777" w:rsidTr="0004051E">
        <w:tc>
          <w:tcPr>
            <w:tcW w:w="861" w:type="dxa"/>
            <w:shd w:val="clear" w:color="auto" w:fill="D9D9D9" w:themeFill="background1" w:themeFillShade="D9"/>
          </w:tcPr>
          <w:p w14:paraId="3C1FBD56"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lastRenderedPageBreak/>
              <w:t> </w:t>
            </w:r>
          </w:p>
        </w:tc>
        <w:tc>
          <w:tcPr>
            <w:tcW w:w="6379" w:type="dxa"/>
          </w:tcPr>
          <w:p w14:paraId="7537821F" w14:textId="77777777" w:rsidR="002E5D5B"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Dobra predstavitev</w:t>
            </w:r>
            <w:r w:rsidR="002E5D5B">
              <w:rPr>
                <w:rFonts w:ascii="Arial" w:eastAsia="Arial" w:hAnsi="Arial" w:cs="Arial"/>
                <w:color w:val="000000"/>
              </w:rPr>
              <w:t>:</w:t>
            </w:r>
            <w:r>
              <w:rPr>
                <w:rFonts w:ascii="Arial" w:eastAsia="Arial" w:hAnsi="Arial" w:cs="Arial"/>
                <w:color w:val="000000"/>
              </w:rPr>
              <w:t xml:space="preserve"> </w:t>
            </w:r>
          </w:p>
          <w:p w14:paraId="59832B49" w14:textId="77777777" w:rsidR="002E5D5B" w:rsidRDefault="00683F46" w:rsidP="002E5D5B">
            <w:pPr>
              <w:pStyle w:val="Odstavekseznama"/>
              <w:numPr>
                <w:ilvl w:val="0"/>
                <w:numId w:val="34"/>
              </w:numPr>
              <w:pBdr>
                <w:top w:val="nil"/>
                <w:left w:val="nil"/>
                <w:bottom w:val="nil"/>
                <w:right w:val="nil"/>
                <w:between w:val="nil"/>
              </w:pBdr>
              <w:ind w:left="362" w:hanging="283"/>
              <w:jc w:val="both"/>
              <w:rPr>
                <w:rFonts w:ascii="Arial" w:eastAsia="Arial" w:hAnsi="Arial" w:cs="Arial"/>
                <w:color w:val="000000"/>
              </w:rPr>
            </w:pPr>
            <w:r w:rsidRPr="00055D6B">
              <w:rPr>
                <w:rFonts w:ascii="Arial" w:eastAsia="Arial" w:hAnsi="Arial" w:cs="Arial"/>
                <w:color w:val="000000"/>
              </w:rPr>
              <w:t xml:space="preserve">vodenja in organizacije izvedbe operacije, prikazana potencialna tveganja in ukrepi za njihovo obvladovanje ali </w:t>
            </w:r>
          </w:p>
          <w:p w14:paraId="28AF6CE7" w14:textId="4817F0F1" w:rsidR="00683F46" w:rsidRPr="00055D6B" w:rsidRDefault="00683F46" w:rsidP="00055D6B">
            <w:pPr>
              <w:pStyle w:val="Odstavekseznama"/>
              <w:numPr>
                <w:ilvl w:val="0"/>
                <w:numId w:val="34"/>
              </w:numPr>
              <w:pBdr>
                <w:top w:val="nil"/>
                <w:left w:val="nil"/>
                <w:bottom w:val="nil"/>
                <w:right w:val="nil"/>
                <w:between w:val="nil"/>
              </w:pBdr>
              <w:ind w:left="362" w:hanging="283"/>
              <w:jc w:val="both"/>
              <w:rPr>
                <w:rFonts w:ascii="Arial" w:eastAsia="Arial" w:hAnsi="Arial" w:cs="Arial"/>
                <w:color w:val="000000"/>
              </w:rPr>
            </w:pPr>
            <w:r w:rsidRPr="00055D6B">
              <w:rPr>
                <w:rFonts w:ascii="Arial" w:eastAsia="Arial" w:hAnsi="Arial" w:cs="Arial"/>
                <w:color w:val="000000"/>
              </w:rPr>
              <w:t xml:space="preserve">izkazane ustrezne reference projektne skupine za izvedbo operacije. </w:t>
            </w:r>
          </w:p>
        </w:tc>
        <w:tc>
          <w:tcPr>
            <w:tcW w:w="850" w:type="dxa"/>
          </w:tcPr>
          <w:p w14:paraId="6CF19988" w14:textId="403243F0"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2</w:t>
            </w:r>
          </w:p>
        </w:tc>
        <w:tc>
          <w:tcPr>
            <w:tcW w:w="978" w:type="dxa"/>
          </w:tcPr>
          <w:p w14:paraId="0B9BD86A" w14:textId="36BD895A"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683F46" w14:paraId="3A66FFA4" w14:textId="77777777" w:rsidTr="0004051E">
        <w:tc>
          <w:tcPr>
            <w:tcW w:w="861" w:type="dxa"/>
            <w:shd w:val="clear" w:color="auto" w:fill="D9D9D9" w:themeFill="background1" w:themeFillShade="D9"/>
          </w:tcPr>
          <w:p w14:paraId="09E5A76D"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 </w:t>
            </w:r>
          </w:p>
        </w:tc>
        <w:tc>
          <w:tcPr>
            <w:tcW w:w="6379" w:type="dxa"/>
          </w:tcPr>
          <w:p w14:paraId="4A54AB15"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Nič od navedenega.</w:t>
            </w:r>
          </w:p>
        </w:tc>
        <w:tc>
          <w:tcPr>
            <w:tcW w:w="850" w:type="dxa"/>
          </w:tcPr>
          <w:p w14:paraId="2D341E18" w14:textId="63651F09"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0</w:t>
            </w:r>
          </w:p>
        </w:tc>
        <w:tc>
          <w:tcPr>
            <w:tcW w:w="978" w:type="dxa"/>
          </w:tcPr>
          <w:p w14:paraId="437353EA" w14:textId="204B02F6"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5F73E8" w14:paraId="214F54A3" w14:textId="77777777" w:rsidTr="0004051E">
        <w:tc>
          <w:tcPr>
            <w:tcW w:w="861" w:type="dxa"/>
            <w:shd w:val="clear" w:color="auto" w:fill="D9D9D9" w:themeFill="background1" w:themeFillShade="D9"/>
          </w:tcPr>
          <w:p w14:paraId="1C6A02EF" w14:textId="77777777" w:rsidR="005F73E8" w:rsidRDefault="005F73E8" w:rsidP="005F73E8">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3.</w:t>
            </w:r>
          </w:p>
        </w:tc>
        <w:tc>
          <w:tcPr>
            <w:tcW w:w="6379" w:type="dxa"/>
          </w:tcPr>
          <w:p w14:paraId="29FF41D3" w14:textId="77777777" w:rsidR="005F73E8" w:rsidRDefault="005F73E8" w:rsidP="005F73E8">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PRIČAKOVANI DRUŽBENI UČINKI OPERACIJE</w:t>
            </w:r>
          </w:p>
        </w:tc>
        <w:tc>
          <w:tcPr>
            <w:tcW w:w="850" w:type="dxa"/>
          </w:tcPr>
          <w:p w14:paraId="408CFB91" w14:textId="77777777" w:rsidR="005F73E8" w:rsidRDefault="005F73E8" w:rsidP="005F73E8">
            <w:pPr>
              <w:pBdr>
                <w:top w:val="nil"/>
                <w:left w:val="nil"/>
                <w:bottom w:val="nil"/>
                <w:right w:val="nil"/>
                <w:between w:val="nil"/>
              </w:pBdr>
              <w:spacing w:line="276" w:lineRule="auto"/>
              <w:jc w:val="center"/>
              <w:rPr>
                <w:rFonts w:ascii="Arial" w:eastAsia="Arial" w:hAnsi="Arial" w:cs="Arial"/>
                <w:color w:val="000000"/>
              </w:rPr>
            </w:pPr>
          </w:p>
        </w:tc>
        <w:tc>
          <w:tcPr>
            <w:tcW w:w="978" w:type="dxa"/>
          </w:tcPr>
          <w:p w14:paraId="7B9BC130" w14:textId="77777777" w:rsidR="005F73E8" w:rsidRDefault="005F73E8" w:rsidP="005F73E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10</w:t>
            </w:r>
          </w:p>
        </w:tc>
      </w:tr>
      <w:tr w:rsidR="005F73E8" w14:paraId="0C22C680" w14:textId="77777777" w:rsidTr="0004051E">
        <w:tc>
          <w:tcPr>
            <w:tcW w:w="861" w:type="dxa"/>
            <w:shd w:val="clear" w:color="auto" w:fill="D9D9D9" w:themeFill="background1" w:themeFillShade="D9"/>
          </w:tcPr>
          <w:p w14:paraId="7B6EB0FA" w14:textId="77777777" w:rsidR="005F73E8" w:rsidRDefault="005F73E8" w:rsidP="005F73E8">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3.1.</w:t>
            </w:r>
          </w:p>
        </w:tc>
        <w:tc>
          <w:tcPr>
            <w:tcW w:w="6379" w:type="dxa"/>
          </w:tcPr>
          <w:p w14:paraId="608856C3" w14:textId="77777777" w:rsidR="005F73E8" w:rsidRDefault="005F73E8" w:rsidP="005F73E8">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Sodelovanje z lokalno skupnostjo</w:t>
            </w:r>
          </w:p>
        </w:tc>
        <w:tc>
          <w:tcPr>
            <w:tcW w:w="850" w:type="dxa"/>
          </w:tcPr>
          <w:p w14:paraId="69755F10" w14:textId="77777777" w:rsidR="005F73E8" w:rsidRDefault="005F73E8" w:rsidP="005F73E8">
            <w:pPr>
              <w:pBdr>
                <w:top w:val="nil"/>
                <w:left w:val="nil"/>
                <w:bottom w:val="nil"/>
                <w:right w:val="nil"/>
                <w:between w:val="nil"/>
              </w:pBdr>
              <w:spacing w:line="276" w:lineRule="auto"/>
              <w:jc w:val="center"/>
              <w:rPr>
                <w:rFonts w:ascii="Arial" w:eastAsia="Arial" w:hAnsi="Arial" w:cs="Arial"/>
                <w:color w:val="000000"/>
              </w:rPr>
            </w:pPr>
          </w:p>
        </w:tc>
        <w:tc>
          <w:tcPr>
            <w:tcW w:w="978" w:type="dxa"/>
          </w:tcPr>
          <w:p w14:paraId="56CCDC0D" w14:textId="17CD3E2B" w:rsidR="005F73E8" w:rsidRDefault="00683F46" w:rsidP="005F73E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10</w:t>
            </w:r>
          </w:p>
        </w:tc>
      </w:tr>
      <w:tr w:rsidR="00683F46" w14:paraId="15469BF3" w14:textId="77777777" w:rsidTr="0004051E">
        <w:tc>
          <w:tcPr>
            <w:tcW w:w="861" w:type="dxa"/>
            <w:shd w:val="clear" w:color="auto" w:fill="D9D9D9" w:themeFill="background1" w:themeFillShade="D9"/>
          </w:tcPr>
          <w:p w14:paraId="2D25E5EE"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 </w:t>
            </w:r>
          </w:p>
        </w:tc>
        <w:tc>
          <w:tcPr>
            <w:tcW w:w="6379" w:type="dxa"/>
          </w:tcPr>
          <w:p w14:paraId="21F2B59A"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Prijavitelj ima oz. bo v roku enega leta od odobritve sofinanciranja imel vzpostavljeno redno komunikacijo in dobro sodelovanje z lokalno skupnostjo, ki vključuje/bo vključevalo:</w:t>
            </w:r>
          </w:p>
          <w:p w14:paraId="772D9C20" w14:textId="77777777" w:rsidR="00683F46" w:rsidRDefault="00683F46" w:rsidP="00683F46">
            <w:pPr>
              <w:numPr>
                <w:ilvl w:val="0"/>
                <w:numId w:val="31"/>
              </w:numPr>
              <w:pBdr>
                <w:top w:val="nil"/>
                <w:left w:val="nil"/>
                <w:bottom w:val="nil"/>
                <w:right w:val="nil"/>
                <w:between w:val="nil"/>
              </w:pBdr>
              <w:spacing w:line="276" w:lineRule="auto"/>
              <w:ind w:left="259" w:hanging="254"/>
              <w:jc w:val="both"/>
              <w:rPr>
                <w:color w:val="000000"/>
              </w:rPr>
            </w:pPr>
            <w:r>
              <w:rPr>
                <w:rFonts w:ascii="Arial" w:eastAsia="Arial" w:hAnsi="Arial" w:cs="Arial"/>
                <w:color w:val="000000"/>
              </w:rPr>
              <w:t>vzpostavljen sistem komuniciranja</w:t>
            </w:r>
            <w:r>
              <w:rPr>
                <w:rFonts w:ascii="Arial" w:eastAsia="Arial" w:hAnsi="Arial" w:cs="Arial"/>
                <w:color w:val="000000"/>
                <w:vertAlign w:val="superscript"/>
              </w:rPr>
              <w:footnoteReference w:id="18"/>
            </w:r>
            <w:r>
              <w:rPr>
                <w:rFonts w:ascii="Arial" w:eastAsia="Arial" w:hAnsi="Arial" w:cs="Arial"/>
                <w:color w:val="000000"/>
              </w:rPr>
              <w:t xml:space="preserve">, </w:t>
            </w:r>
          </w:p>
          <w:p w14:paraId="2BCB66E5" w14:textId="77777777" w:rsidR="00683F46" w:rsidRDefault="00683F46" w:rsidP="00683F46">
            <w:pPr>
              <w:numPr>
                <w:ilvl w:val="0"/>
                <w:numId w:val="31"/>
              </w:numPr>
              <w:pBdr>
                <w:top w:val="nil"/>
                <w:left w:val="nil"/>
                <w:bottom w:val="nil"/>
                <w:right w:val="nil"/>
                <w:between w:val="nil"/>
              </w:pBdr>
              <w:spacing w:line="276" w:lineRule="auto"/>
              <w:ind w:left="259" w:hanging="254"/>
              <w:jc w:val="both"/>
              <w:rPr>
                <w:color w:val="000000"/>
              </w:rPr>
            </w:pPr>
            <w:r>
              <w:rPr>
                <w:rFonts w:ascii="Arial" w:eastAsia="Arial" w:hAnsi="Arial" w:cs="Arial"/>
                <w:color w:val="000000"/>
              </w:rPr>
              <w:t>organizirana vsaj letna srečanja za zainteresirane prebivalce</w:t>
            </w:r>
            <w:r>
              <w:rPr>
                <w:rFonts w:ascii="Arial" w:eastAsia="Arial" w:hAnsi="Arial" w:cs="Arial"/>
                <w:color w:val="000000"/>
                <w:vertAlign w:val="superscript"/>
              </w:rPr>
              <w:footnoteReference w:id="19"/>
            </w:r>
            <w:r>
              <w:rPr>
                <w:rFonts w:ascii="Arial" w:eastAsia="Arial" w:hAnsi="Arial" w:cs="Arial"/>
                <w:color w:val="000000"/>
              </w:rPr>
              <w:t xml:space="preserve">, </w:t>
            </w:r>
          </w:p>
          <w:p w14:paraId="35372EFE" w14:textId="77777777" w:rsidR="00683F46" w:rsidRDefault="00683F46" w:rsidP="00683F46">
            <w:pPr>
              <w:numPr>
                <w:ilvl w:val="0"/>
                <w:numId w:val="31"/>
              </w:numPr>
              <w:pBdr>
                <w:top w:val="nil"/>
                <w:left w:val="nil"/>
                <w:bottom w:val="nil"/>
                <w:right w:val="nil"/>
                <w:between w:val="nil"/>
              </w:pBdr>
              <w:spacing w:line="276" w:lineRule="auto"/>
              <w:ind w:left="259" w:hanging="254"/>
              <w:jc w:val="both"/>
              <w:rPr>
                <w:color w:val="000000"/>
              </w:rPr>
            </w:pPr>
            <w:r>
              <w:rPr>
                <w:rFonts w:ascii="Arial" w:eastAsia="Arial" w:hAnsi="Arial" w:cs="Arial"/>
                <w:color w:val="000000"/>
              </w:rPr>
              <w:t>preverjanje zadovoljstva s turizmom na območju delovanja destinacije</w:t>
            </w:r>
            <w:r>
              <w:rPr>
                <w:rFonts w:ascii="Arial" w:eastAsia="Arial" w:hAnsi="Arial" w:cs="Arial"/>
                <w:color w:val="000000"/>
                <w:vertAlign w:val="superscript"/>
              </w:rPr>
              <w:footnoteReference w:id="20"/>
            </w:r>
            <w:r>
              <w:rPr>
                <w:rFonts w:ascii="Arial" w:eastAsia="Arial" w:hAnsi="Arial" w:cs="Arial"/>
                <w:color w:val="000000"/>
              </w:rPr>
              <w:t>,</w:t>
            </w:r>
          </w:p>
          <w:p w14:paraId="21128AE9" w14:textId="77777777" w:rsidR="00683F46" w:rsidRDefault="00683F46" w:rsidP="00683F46">
            <w:pPr>
              <w:numPr>
                <w:ilvl w:val="0"/>
                <w:numId w:val="31"/>
              </w:numPr>
              <w:pBdr>
                <w:top w:val="nil"/>
                <w:left w:val="nil"/>
                <w:bottom w:val="nil"/>
                <w:right w:val="nil"/>
                <w:between w:val="nil"/>
              </w:pBdr>
              <w:spacing w:line="276" w:lineRule="auto"/>
              <w:ind w:left="259" w:hanging="254"/>
              <w:jc w:val="both"/>
              <w:rPr>
                <w:color w:val="000000"/>
              </w:rPr>
            </w:pPr>
            <w:r>
              <w:rPr>
                <w:rFonts w:ascii="Arial" w:eastAsia="Arial" w:hAnsi="Arial" w:cs="Arial"/>
                <w:color w:val="000000"/>
              </w:rPr>
              <w:t xml:space="preserve">vključevanje zainteresiranih predstavnikov lokalne skupnosti v aktivnosti destinacije (npr. obrtniki, lokalni umetniki, rokodelci, kmetje, predstavniki društev) – ob prijavi predloženi sporazumi o sodelovanju/pisma o nameri </w:t>
            </w:r>
          </w:p>
          <w:p w14:paraId="5F67CECE" w14:textId="77777777" w:rsidR="00683F46" w:rsidRDefault="00683F46" w:rsidP="00683F46">
            <w:pPr>
              <w:numPr>
                <w:ilvl w:val="0"/>
                <w:numId w:val="31"/>
              </w:numPr>
              <w:pBdr>
                <w:top w:val="nil"/>
                <w:left w:val="nil"/>
                <w:bottom w:val="nil"/>
                <w:right w:val="nil"/>
                <w:between w:val="nil"/>
              </w:pBdr>
              <w:spacing w:line="276" w:lineRule="auto"/>
              <w:ind w:left="259" w:hanging="254"/>
              <w:jc w:val="both"/>
              <w:rPr>
                <w:color w:val="000000"/>
              </w:rPr>
            </w:pPr>
            <w:r>
              <w:rPr>
                <w:rFonts w:ascii="Arial" w:eastAsia="Arial" w:hAnsi="Arial" w:cs="Arial"/>
                <w:color w:val="000000"/>
              </w:rPr>
              <w:t>načrtovane so aktivnosti in investicije, ki bodo dostopne in v dobrobit tudi lokalni skupnosti (npr. dogodki, javne turistične površine)</w:t>
            </w:r>
            <w:r>
              <w:rPr>
                <w:rFonts w:ascii="Arial" w:eastAsia="Arial" w:hAnsi="Arial" w:cs="Arial"/>
                <w:color w:val="000000"/>
                <w:vertAlign w:val="superscript"/>
              </w:rPr>
              <w:footnoteReference w:id="21"/>
            </w:r>
            <w:r>
              <w:rPr>
                <w:rFonts w:ascii="Arial" w:eastAsia="Arial" w:hAnsi="Arial" w:cs="Arial"/>
                <w:color w:val="000000"/>
              </w:rPr>
              <w:t xml:space="preserve">. </w:t>
            </w:r>
          </w:p>
        </w:tc>
        <w:tc>
          <w:tcPr>
            <w:tcW w:w="850" w:type="dxa"/>
          </w:tcPr>
          <w:p w14:paraId="2C759D96" w14:textId="2CEB9F3D"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10 </w:t>
            </w:r>
          </w:p>
        </w:tc>
        <w:tc>
          <w:tcPr>
            <w:tcW w:w="978" w:type="dxa"/>
          </w:tcPr>
          <w:p w14:paraId="372B5AC9" w14:textId="2393934B"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683F46" w14:paraId="688402D9" w14:textId="77777777" w:rsidTr="0004051E">
        <w:tc>
          <w:tcPr>
            <w:tcW w:w="861" w:type="dxa"/>
            <w:shd w:val="clear" w:color="auto" w:fill="D9D9D9" w:themeFill="background1" w:themeFillShade="D9"/>
          </w:tcPr>
          <w:p w14:paraId="50D98554"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 </w:t>
            </w:r>
          </w:p>
        </w:tc>
        <w:tc>
          <w:tcPr>
            <w:tcW w:w="6379" w:type="dxa"/>
          </w:tcPr>
          <w:p w14:paraId="43DCCF5E"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Prijavitelj ima oz. bo v roku enega leta od odobritve sofinanciranja imel vzpostavljeno redno komunikacijo in dobro sodelovanje z lokalno skupnostjo, ki vključuje vsaj tri od spodaj navedenih alinej:</w:t>
            </w:r>
          </w:p>
          <w:p w14:paraId="090C198D" w14:textId="77777777" w:rsidR="00683F46" w:rsidRDefault="00683F46" w:rsidP="00683F46">
            <w:pPr>
              <w:numPr>
                <w:ilvl w:val="0"/>
                <w:numId w:val="31"/>
              </w:numPr>
              <w:pBdr>
                <w:top w:val="nil"/>
                <w:left w:val="nil"/>
                <w:bottom w:val="nil"/>
                <w:right w:val="nil"/>
                <w:between w:val="nil"/>
              </w:pBdr>
              <w:spacing w:line="276" w:lineRule="auto"/>
              <w:ind w:left="259" w:hanging="254"/>
              <w:jc w:val="both"/>
              <w:rPr>
                <w:color w:val="000000"/>
              </w:rPr>
            </w:pPr>
            <w:r>
              <w:rPr>
                <w:rFonts w:ascii="Arial" w:eastAsia="Arial" w:hAnsi="Arial" w:cs="Arial"/>
                <w:color w:val="000000"/>
              </w:rPr>
              <w:t xml:space="preserve">vzpostavljen sistem komuniciranja, </w:t>
            </w:r>
          </w:p>
          <w:p w14:paraId="303CE5E1" w14:textId="77777777" w:rsidR="00683F46" w:rsidRDefault="00683F46" w:rsidP="00683F46">
            <w:pPr>
              <w:numPr>
                <w:ilvl w:val="0"/>
                <w:numId w:val="31"/>
              </w:numPr>
              <w:pBdr>
                <w:top w:val="nil"/>
                <w:left w:val="nil"/>
                <w:bottom w:val="nil"/>
                <w:right w:val="nil"/>
                <w:between w:val="nil"/>
              </w:pBdr>
              <w:spacing w:line="276" w:lineRule="auto"/>
              <w:ind w:left="259" w:hanging="254"/>
              <w:jc w:val="both"/>
              <w:rPr>
                <w:color w:val="000000"/>
              </w:rPr>
            </w:pPr>
            <w:r>
              <w:rPr>
                <w:rFonts w:ascii="Arial" w:eastAsia="Arial" w:hAnsi="Arial" w:cs="Arial"/>
                <w:color w:val="000000"/>
              </w:rPr>
              <w:t xml:space="preserve">organizirana vsaj letna srečanja za zainteresirane prebivalce, </w:t>
            </w:r>
          </w:p>
          <w:p w14:paraId="2B4BB04C" w14:textId="77777777" w:rsidR="00683F46" w:rsidRDefault="00683F46" w:rsidP="00683F46">
            <w:pPr>
              <w:numPr>
                <w:ilvl w:val="0"/>
                <w:numId w:val="31"/>
              </w:numPr>
              <w:pBdr>
                <w:top w:val="nil"/>
                <w:left w:val="nil"/>
                <w:bottom w:val="nil"/>
                <w:right w:val="nil"/>
                <w:between w:val="nil"/>
              </w:pBdr>
              <w:spacing w:line="276" w:lineRule="auto"/>
              <w:ind w:left="259" w:hanging="254"/>
              <w:jc w:val="both"/>
              <w:rPr>
                <w:color w:val="000000"/>
              </w:rPr>
            </w:pPr>
            <w:r>
              <w:rPr>
                <w:rFonts w:ascii="Arial" w:eastAsia="Arial" w:hAnsi="Arial" w:cs="Arial"/>
                <w:color w:val="000000"/>
              </w:rPr>
              <w:t>preverjanje zadovoljstva s turizmom na območju delovanja destinacije,</w:t>
            </w:r>
          </w:p>
          <w:p w14:paraId="11B718FF" w14:textId="77777777" w:rsidR="00683F46" w:rsidRDefault="00683F46" w:rsidP="00683F46">
            <w:pPr>
              <w:numPr>
                <w:ilvl w:val="0"/>
                <w:numId w:val="31"/>
              </w:numPr>
              <w:pBdr>
                <w:top w:val="nil"/>
                <w:left w:val="nil"/>
                <w:bottom w:val="nil"/>
                <w:right w:val="nil"/>
                <w:between w:val="nil"/>
              </w:pBdr>
              <w:spacing w:line="276" w:lineRule="auto"/>
              <w:ind w:left="259" w:hanging="254"/>
              <w:jc w:val="both"/>
              <w:rPr>
                <w:color w:val="000000"/>
              </w:rPr>
            </w:pPr>
            <w:r>
              <w:rPr>
                <w:rFonts w:ascii="Arial" w:eastAsia="Arial" w:hAnsi="Arial" w:cs="Arial"/>
                <w:color w:val="000000"/>
              </w:rPr>
              <w:t xml:space="preserve">vključevanje zainteresiranih predstavnikov lokalne skupnosti v aktivnosti destinacije (npr. obrtniki, lokalni umetniki, rokodelci, </w:t>
            </w:r>
            <w:r>
              <w:rPr>
                <w:rFonts w:ascii="Arial" w:eastAsia="Arial" w:hAnsi="Arial" w:cs="Arial"/>
                <w:color w:val="000000"/>
              </w:rPr>
              <w:lastRenderedPageBreak/>
              <w:t>kmetje, predstavniki društev) – ob prijavi predloženi sporazumi o sodelovanju/pisma o nameri</w:t>
            </w:r>
          </w:p>
          <w:p w14:paraId="3846A9C2" w14:textId="77777777" w:rsidR="00683F46" w:rsidRDefault="00683F46" w:rsidP="00683F46">
            <w:pPr>
              <w:numPr>
                <w:ilvl w:val="0"/>
                <w:numId w:val="31"/>
              </w:numPr>
              <w:pBdr>
                <w:top w:val="nil"/>
                <w:left w:val="nil"/>
                <w:bottom w:val="nil"/>
                <w:right w:val="nil"/>
                <w:between w:val="nil"/>
              </w:pBdr>
              <w:spacing w:line="276" w:lineRule="auto"/>
              <w:ind w:left="259" w:hanging="254"/>
              <w:jc w:val="both"/>
              <w:rPr>
                <w:color w:val="000000"/>
              </w:rPr>
            </w:pPr>
            <w:r>
              <w:rPr>
                <w:rFonts w:ascii="Arial" w:eastAsia="Arial" w:hAnsi="Arial" w:cs="Arial"/>
                <w:color w:val="000000"/>
              </w:rPr>
              <w:t xml:space="preserve">načrtovane so aktivnosti in investicije, ki bodo dostopne in v dobrobit tudi lokalni skupnosti (npr. dogodki, javne turistične površine). </w:t>
            </w:r>
          </w:p>
        </w:tc>
        <w:tc>
          <w:tcPr>
            <w:tcW w:w="850" w:type="dxa"/>
          </w:tcPr>
          <w:p w14:paraId="09EB3705" w14:textId="6648C019"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lastRenderedPageBreak/>
              <w:t>5</w:t>
            </w:r>
          </w:p>
        </w:tc>
        <w:tc>
          <w:tcPr>
            <w:tcW w:w="978" w:type="dxa"/>
          </w:tcPr>
          <w:p w14:paraId="1FAA6F7E" w14:textId="6F8662CF"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683F46" w14:paraId="7F57C030" w14:textId="77777777" w:rsidTr="0004051E">
        <w:tc>
          <w:tcPr>
            <w:tcW w:w="861" w:type="dxa"/>
            <w:shd w:val="clear" w:color="auto" w:fill="D9D9D9" w:themeFill="background1" w:themeFillShade="D9"/>
          </w:tcPr>
          <w:p w14:paraId="2B6E2303"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 </w:t>
            </w:r>
          </w:p>
        </w:tc>
        <w:tc>
          <w:tcPr>
            <w:tcW w:w="6379" w:type="dxa"/>
          </w:tcPr>
          <w:p w14:paraId="3B41FE4F"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Prijavitelj nima vzpostavljene redne komunikacije in dobrega sodelovanja z lokalno skupnostjo, ki bi vključevala vsaj tri od zgoraj navedenih alinej oz. ta sodelovanja niso ustrezno utemeljena.</w:t>
            </w:r>
          </w:p>
        </w:tc>
        <w:tc>
          <w:tcPr>
            <w:tcW w:w="850" w:type="dxa"/>
          </w:tcPr>
          <w:p w14:paraId="6DC5FCD4" w14:textId="0FFE703A"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 0</w:t>
            </w:r>
          </w:p>
        </w:tc>
        <w:tc>
          <w:tcPr>
            <w:tcW w:w="978" w:type="dxa"/>
          </w:tcPr>
          <w:p w14:paraId="5F8152F1" w14:textId="118992BE"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5F73E8" w14:paraId="09D1A03B" w14:textId="77777777" w:rsidTr="0004051E">
        <w:tc>
          <w:tcPr>
            <w:tcW w:w="861" w:type="dxa"/>
            <w:shd w:val="clear" w:color="auto" w:fill="D9D9D9" w:themeFill="background1" w:themeFillShade="D9"/>
          </w:tcPr>
          <w:p w14:paraId="6474ED11" w14:textId="77777777" w:rsidR="005F73E8" w:rsidRDefault="005F73E8" w:rsidP="005F73E8">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4.</w:t>
            </w:r>
          </w:p>
        </w:tc>
        <w:tc>
          <w:tcPr>
            <w:tcW w:w="6379" w:type="dxa"/>
          </w:tcPr>
          <w:p w14:paraId="74B79A49" w14:textId="77777777" w:rsidR="005F73E8" w:rsidRDefault="005F73E8" w:rsidP="005F73E8">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PRIČAKOVANI VPLIVI NA OKOLJE</w:t>
            </w:r>
          </w:p>
        </w:tc>
        <w:tc>
          <w:tcPr>
            <w:tcW w:w="850" w:type="dxa"/>
          </w:tcPr>
          <w:p w14:paraId="42A6DF0D" w14:textId="77777777" w:rsidR="005F73E8" w:rsidRDefault="005F73E8" w:rsidP="005F73E8">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 </w:t>
            </w:r>
          </w:p>
        </w:tc>
        <w:tc>
          <w:tcPr>
            <w:tcW w:w="978" w:type="dxa"/>
          </w:tcPr>
          <w:p w14:paraId="16C7CB5E" w14:textId="77777777" w:rsidR="005F73E8" w:rsidRDefault="005F73E8" w:rsidP="005F73E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15</w:t>
            </w:r>
          </w:p>
        </w:tc>
      </w:tr>
      <w:tr w:rsidR="005F73E8" w14:paraId="67442487" w14:textId="77777777" w:rsidTr="0004051E">
        <w:tc>
          <w:tcPr>
            <w:tcW w:w="861" w:type="dxa"/>
            <w:shd w:val="clear" w:color="auto" w:fill="D9D9D9" w:themeFill="background1" w:themeFillShade="D9"/>
          </w:tcPr>
          <w:p w14:paraId="49FCAB0F" w14:textId="77777777" w:rsidR="005F73E8" w:rsidRDefault="005F73E8" w:rsidP="005F73E8">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4.1.</w:t>
            </w:r>
          </w:p>
        </w:tc>
        <w:tc>
          <w:tcPr>
            <w:tcW w:w="6379" w:type="dxa"/>
          </w:tcPr>
          <w:p w14:paraId="7D3B3E0E" w14:textId="77777777" w:rsidR="005F73E8" w:rsidRDefault="005F73E8" w:rsidP="005F73E8">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Znak za okolje</w:t>
            </w:r>
          </w:p>
        </w:tc>
        <w:tc>
          <w:tcPr>
            <w:tcW w:w="850" w:type="dxa"/>
          </w:tcPr>
          <w:p w14:paraId="64C89698" w14:textId="77777777" w:rsidR="005F73E8" w:rsidRDefault="005F73E8" w:rsidP="005F73E8">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w:t>
            </w:r>
          </w:p>
        </w:tc>
        <w:tc>
          <w:tcPr>
            <w:tcW w:w="978" w:type="dxa"/>
          </w:tcPr>
          <w:p w14:paraId="7E463AA1" w14:textId="2DB35894" w:rsidR="005F73E8" w:rsidRDefault="00683F46" w:rsidP="005F73E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8</w:t>
            </w:r>
          </w:p>
        </w:tc>
      </w:tr>
      <w:tr w:rsidR="00683F46" w14:paraId="6AA0FB39" w14:textId="77777777" w:rsidTr="0004051E">
        <w:tc>
          <w:tcPr>
            <w:tcW w:w="861" w:type="dxa"/>
            <w:shd w:val="clear" w:color="auto" w:fill="D9D9D9" w:themeFill="background1" w:themeFillShade="D9"/>
          </w:tcPr>
          <w:p w14:paraId="3C3A3A91" w14:textId="77777777" w:rsidR="00683F46" w:rsidRDefault="00683F46" w:rsidP="00683F46">
            <w:pPr>
              <w:pBdr>
                <w:top w:val="nil"/>
                <w:left w:val="nil"/>
                <w:bottom w:val="nil"/>
                <w:right w:val="nil"/>
                <w:between w:val="nil"/>
              </w:pBdr>
              <w:spacing w:line="276" w:lineRule="auto"/>
              <w:rPr>
                <w:rFonts w:ascii="Arial" w:eastAsia="Arial" w:hAnsi="Arial" w:cs="Arial"/>
                <w:color w:val="000000"/>
              </w:rPr>
            </w:pPr>
          </w:p>
        </w:tc>
        <w:tc>
          <w:tcPr>
            <w:tcW w:w="6379" w:type="dxa"/>
          </w:tcPr>
          <w:p w14:paraId="20E59941"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Sklop 1: Prijavitelj, lokalne skupnosti na območju delovanja prijavitelja (</w:t>
            </w:r>
            <w:proofErr w:type="spellStart"/>
            <w:r>
              <w:rPr>
                <w:rFonts w:ascii="Arial" w:eastAsia="Arial" w:hAnsi="Arial" w:cs="Arial"/>
                <w:color w:val="000000"/>
              </w:rPr>
              <w:t>destinacijske</w:t>
            </w:r>
            <w:proofErr w:type="spellEnd"/>
            <w:r>
              <w:rPr>
                <w:rFonts w:ascii="Arial" w:eastAsia="Arial" w:hAnsi="Arial" w:cs="Arial"/>
                <w:color w:val="000000"/>
              </w:rPr>
              <w:t xml:space="preserve"> turistične organizacije znotraj območja delovanja, občine) in predstavniki turističnega gospodarstva na območju delovanja, ki so prijavitelju izrazili podporo:</w:t>
            </w:r>
          </w:p>
          <w:p w14:paraId="23351E85" w14:textId="77777777" w:rsidR="00683F46" w:rsidRDefault="00683F46" w:rsidP="00683F46">
            <w:pPr>
              <w:numPr>
                <w:ilvl w:val="0"/>
                <w:numId w:val="31"/>
              </w:numPr>
              <w:pBdr>
                <w:top w:val="nil"/>
                <w:left w:val="nil"/>
                <w:bottom w:val="nil"/>
                <w:right w:val="nil"/>
                <w:between w:val="nil"/>
              </w:pBdr>
              <w:spacing w:line="276" w:lineRule="auto"/>
              <w:jc w:val="both"/>
              <w:rPr>
                <w:color w:val="000000"/>
              </w:rPr>
            </w:pPr>
            <w:r>
              <w:rPr>
                <w:rFonts w:ascii="Arial" w:eastAsia="Arial" w:hAnsi="Arial" w:cs="Arial"/>
                <w:color w:val="000000"/>
              </w:rPr>
              <w:t xml:space="preserve">imajo skupaj pridobljenih že vsaj pet znakov za okolje (trajnostni, </w:t>
            </w:r>
            <w:proofErr w:type="spellStart"/>
            <w:r>
              <w:rPr>
                <w:rFonts w:ascii="Arial" w:eastAsia="Arial" w:hAnsi="Arial" w:cs="Arial"/>
                <w:color w:val="000000"/>
              </w:rPr>
              <w:t>okoljski</w:t>
            </w:r>
            <w:proofErr w:type="spellEnd"/>
            <w:r>
              <w:rPr>
                <w:rFonts w:ascii="Arial" w:eastAsia="Arial" w:hAnsi="Arial" w:cs="Arial"/>
                <w:color w:val="000000"/>
              </w:rPr>
              <w:t xml:space="preserve"> in ekološki znaki, ki jih priznava Zelena shema slovenskega turizma). </w:t>
            </w:r>
          </w:p>
          <w:p w14:paraId="47E087DE" w14:textId="77777777" w:rsidR="00683F46" w:rsidRDefault="00683F46" w:rsidP="00683F46">
            <w:pPr>
              <w:numPr>
                <w:ilvl w:val="0"/>
                <w:numId w:val="31"/>
              </w:numPr>
              <w:pBdr>
                <w:top w:val="nil"/>
                <w:left w:val="nil"/>
                <w:bottom w:val="nil"/>
                <w:right w:val="nil"/>
                <w:between w:val="nil"/>
              </w:pBdr>
              <w:spacing w:line="276" w:lineRule="auto"/>
              <w:jc w:val="both"/>
              <w:rPr>
                <w:color w:val="000000"/>
              </w:rPr>
            </w:pPr>
            <w:r>
              <w:rPr>
                <w:rFonts w:ascii="Arial" w:eastAsia="Arial" w:hAnsi="Arial" w:cs="Arial"/>
                <w:color w:val="000000"/>
              </w:rPr>
              <w:t xml:space="preserve">do konca izvajanja operacije bo na območju delovanja v Zeleno shemo slovenskega turizma vključenih vsaj 10 večjih ponudnikov nastanitev na območju delovanja (z vsaj 30 ležišči). </w:t>
            </w:r>
          </w:p>
          <w:p w14:paraId="0BC9284B"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p>
          <w:p w14:paraId="3F1B7427"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Sklop 2: Do konca izvajanja operacije bo na območju delovanja v Zeleno shemo slovenskega turizma vključenih vsaj 5 ponudnikov nastanitev. </w:t>
            </w:r>
          </w:p>
          <w:p w14:paraId="1B43CAC5" w14:textId="77777777" w:rsidR="00683F46" w:rsidRDefault="00683F46" w:rsidP="00683F46">
            <w:pPr>
              <w:pBdr>
                <w:top w:val="nil"/>
                <w:left w:val="nil"/>
                <w:bottom w:val="nil"/>
                <w:right w:val="nil"/>
                <w:between w:val="nil"/>
              </w:pBdr>
              <w:spacing w:line="276" w:lineRule="auto"/>
              <w:ind w:firstLine="200"/>
              <w:jc w:val="both"/>
              <w:rPr>
                <w:rFonts w:ascii="Arial" w:eastAsia="Arial" w:hAnsi="Arial" w:cs="Arial"/>
                <w:color w:val="000000"/>
              </w:rPr>
            </w:pPr>
            <w:r>
              <w:rPr>
                <w:rFonts w:ascii="Arial" w:eastAsia="Arial" w:hAnsi="Arial" w:cs="Arial"/>
                <w:color w:val="000000"/>
              </w:rPr>
              <w:t xml:space="preserve"> </w:t>
            </w:r>
          </w:p>
        </w:tc>
        <w:tc>
          <w:tcPr>
            <w:tcW w:w="850" w:type="dxa"/>
          </w:tcPr>
          <w:p w14:paraId="12C6AFCD" w14:textId="0E2B2022"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8</w:t>
            </w:r>
          </w:p>
        </w:tc>
        <w:tc>
          <w:tcPr>
            <w:tcW w:w="978" w:type="dxa"/>
          </w:tcPr>
          <w:p w14:paraId="6B5302D8" w14:textId="502E0AB6"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683F46" w14:paraId="0B682379" w14:textId="77777777" w:rsidTr="0004051E">
        <w:tc>
          <w:tcPr>
            <w:tcW w:w="861" w:type="dxa"/>
            <w:shd w:val="clear" w:color="auto" w:fill="D9D9D9" w:themeFill="background1" w:themeFillShade="D9"/>
          </w:tcPr>
          <w:p w14:paraId="3CD2A322" w14:textId="77777777" w:rsidR="00683F46" w:rsidRDefault="00683F46" w:rsidP="00683F46">
            <w:pPr>
              <w:pBdr>
                <w:top w:val="nil"/>
                <w:left w:val="nil"/>
                <w:bottom w:val="nil"/>
                <w:right w:val="nil"/>
                <w:between w:val="nil"/>
              </w:pBdr>
              <w:spacing w:line="276" w:lineRule="auto"/>
              <w:rPr>
                <w:rFonts w:ascii="Arial" w:eastAsia="Arial" w:hAnsi="Arial" w:cs="Arial"/>
                <w:color w:val="000000"/>
              </w:rPr>
            </w:pPr>
          </w:p>
        </w:tc>
        <w:tc>
          <w:tcPr>
            <w:tcW w:w="6379" w:type="dxa"/>
          </w:tcPr>
          <w:p w14:paraId="77C918A1"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Sklop 1: Do konca izvajanja operacije bo na območju delovanja v Zeleno shemo slovenskega turizma vključenih vsaj 5 večjih ponudnikov nastanitev na območju delovanja (z vsaj 30 ležišči). </w:t>
            </w:r>
          </w:p>
          <w:p w14:paraId="78C2CB0D"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p>
          <w:p w14:paraId="63F4A795"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Sklop 2: Do konca izvajanja operacije bodo na območju delovanja v Zeleno shemo slovenskega turizma vključeni vsaj 3 ponudniki nastanitev. </w:t>
            </w:r>
          </w:p>
          <w:p w14:paraId="3BCDF4B1" w14:textId="77777777" w:rsidR="00683F46" w:rsidRDefault="00683F46" w:rsidP="00683F46">
            <w:pPr>
              <w:pBdr>
                <w:top w:val="nil"/>
                <w:left w:val="nil"/>
                <w:bottom w:val="nil"/>
                <w:right w:val="nil"/>
                <w:between w:val="nil"/>
              </w:pBdr>
              <w:spacing w:line="276" w:lineRule="auto"/>
              <w:ind w:firstLine="200"/>
              <w:jc w:val="both"/>
              <w:rPr>
                <w:rFonts w:ascii="Arial" w:eastAsia="Arial" w:hAnsi="Arial" w:cs="Arial"/>
                <w:color w:val="000000"/>
              </w:rPr>
            </w:pPr>
          </w:p>
        </w:tc>
        <w:tc>
          <w:tcPr>
            <w:tcW w:w="850" w:type="dxa"/>
          </w:tcPr>
          <w:p w14:paraId="673103EA" w14:textId="277C6D07"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4</w:t>
            </w:r>
          </w:p>
        </w:tc>
        <w:tc>
          <w:tcPr>
            <w:tcW w:w="978" w:type="dxa"/>
          </w:tcPr>
          <w:p w14:paraId="5E700B23" w14:textId="115DCD59"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683F46" w14:paraId="3BAF11D6" w14:textId="77777777" w:rsidTr="0004051E">
        <w:tc>
          <w:tcPr>
            <w:tcW w:w="861" w:type="dxa"/>
            <w:shd w:val="clear" w:color="auto" w:fill="D9D9D9" w:themeFill="background1" w:themeFillShade="D9"/>
          </w:tcPr>
          <w:p w14:paraId="35257FB2" w14:textId="77777777" w:rsidR="00683F46" w:rsidRDefault="00683F46" w:rsidP="00683F46">
            <w:pPr>
              <w:pBdr>
                <w:top w:val="nil"/>
                <w:left w:val="nil"/>
                <w:bottom w:val="nil"/>
                <w:right w:val="nil"/>
                <w:between w:val="nil"/>
              </w:pBdr>
              <w:spacing w:line="276" w:lineRule="auto"/>
              <w:rPr>
                <w:rFonts w:ascii="Arial" w:eastAsia="Arial" w:hAnsi="Arial" w:cs="Arial"/>
                <w:color w:val="000000"/>
              </w:rPr>
            </w:pPr>
          </w:p>
        </w:tc>
        <w:tc>
          <w:tcPr>
            <w:tcW w:w="6379" w:type="dxa"/>
          </w:tcPr>
          <w:p w14:paraId="7AA0A5FA"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Sklop 1: Do konca izvajanja operacije bo na območju delovanja v Zeleno shemo slovenskega turizma vključenih manj kot 5 večjih ponudnikov nastanitev na območju delovanja (z vsaj 30 ležišči). </w:t>
            </w:r>
          </w:p>
          <w:p w14:paraId="000C719E"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p>
          <w:p w14:paraId="786F6F5F"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Sklop 2: Do konca izvajanja operacije bodo na območju delovanja v Zeleno shemo slovenskega turizma vključeni manj kot 3 ponudniki nastanitev. </w:t>
            </w:r>
          </w:p>
          <w:p w14:paraId="66107976" w14:textId="77777777" w:rsidR="00683F46" w:rsidRDefault="00683F46" w:rsidP="00683F46">
            <w:pPr>
              <w:pBdr>
                <w:top w:val="nil"/>
                <w:left w:val="nil"/>
                <w:bottom w:val="nil"/>
                <w:right w:val="nil"/>
                <w:between w:val="nil"/>
              </w:pBdr>
              <w:spacing w:line="276" w:lineRule="auto"/>
              <w:ind w:firstLine="200"/>
              <w:jc w:val="both"/>
              <w:rPr>
                <w:rFonts w:ascii="Arial" w:eastAsia="Arial" w:hAnsi="Arial" w:cs="Arial"/>
                <w:color w:val="000000"/>
              </w:rPr>
            </w:pPr>
          </w:p>
        </w:tc>
        <w:tc>
          <w:tcPr>
            <w:tcW w:w="850" w:type="dxa"/>
          </w:tcPr>
          <w:p w14:paraId="2110855A" w14:textId="6B6F739E"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0</w:t>
            </w:r>
          </w:p>
        </w:tc>
        <w:tc>
          <w:tcPr>
            <w:tcW w:w="978" w:type="dxa"/>
          </w:tcPr>
          <w:p w14:paraId="11D88D3D" w14:textId="569B9204"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5F73E8" w14:paraId="66D43E68" w14:textId="77777777" w:rsidTr="0004051E">
        <w:tc>
          <w:tcPr>
            <w:tcW w:w="861" w:type="dxa"/>
            <w:shd w:val="clear" w:color="auto" w:fill="D9D9D9" w:themeFill="background1" w:themeFillShade="D9"/>
          </w:tcPr>
          <w:p w14:paraId="464C0CD1" w14:textId="77777777" w:rsidR="005F73E8" w:rsidRDefault="005F73E8" w:rsidP="005F73E8">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4.2.</w:t>
            </w:r>
          </w:p>
        </w:tc>
        <w:tc>
          <w:tcPr>
            <w:tcW w:w="6379" w:type="dxa"/>
          </w:tcPr>
          <w:p w14:paraId="6E94921A" w14:textId="77777777" w:rsidR="005F73E8" w:rsidRDefault="005F73E8" w:rsidP="005F73E8">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Trajnostna mobilnost</w:t>
            </w:r>
          </w:p>
        </w:tc>
        <w:tc>
          <w:tcPr>
            <w:tcW w:w="850" w:type="dxa"/>
          </w:tcPr>
          <w:p w14:paraId="54B5EA07" w14:textId="77777777" w:rsidR="005F73E8" w:rsidRDefault="005F73E8" w:rsidP="005F73E8">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w:t>
            </w:r>
          </w:p>
        </w:tc>
        <w:tc>
          <w:tcPr>
            <w:tcW w:w="978" w:type="dxa"/>
          </w:tcPr>
          <w:p w14:paraId="61DFEEAD" w14:textId="5459FA0F" w:rsidR="005F73E8" w:rsidRDefault="00683F46" w:rsidP="005F73E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7</w:t>
            </w:r>
          </w:p>
        </w:tc>
      </w:tr>
      <w:tr w:rsidR="00683F46" w14:paraId="34887E5B" w14:textId="77777777" w:rsidTr="0004051E">
        <w:tc>
          <w:tcPr>
            <w:tcW w:w="861" w:type="dxa"/>
            <w:shd w:val="clear" w:color="auto" w:fill="D9D9D9" w:themeFill="background1" w:themeFillShade="D9"/>
          </w:tcPr>
          <w:p w14:paraId="776B1AA2"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p>
        </w:tc>
        <w:tc>
          <w:tcPr>
            <w:tcW w:w="6379" w:type="dxa"/>
          </w:tcPr>
          <w:p w14:paraId="62E9A68B" w14:textId="1DDF3DDE"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Prijavitelj bo (sam ali s partnerji, s katerimi ima za ta namen podpisan sporazum o sodelovanju) do zaključka izvedbe operacije na območju delovanja vzpostavil možnost trajnostne mobilnosti, ki vključuje vsaj: </w:t>
            </w:r>
          </w:p>
          <w:p w14:paraId="38A71FB4" w14:textId="77777777" w:rsidR="00683F46" w:rsidRDefault="00683F46" w:rsidP="00683F46">
            <w:pPr>
              <w:numPr>
                <w:ilvl w:val="0"/>
                <w:numId w:val="32"/>
              </w:numPr>
              <w:pBdr>
                <w:top w:val="nil"/>
                <w:left w:val="nil"/>
                <w:bottom w:val="nil"/>
                <w:right w:val="nil"/>
                <w:between w:val="nil"/>
              </w:pBdr>
              <w:spacing w:line="276" w:lineRule="auto"/>
              <w:ind w:left="306" w:hanging="219"/>
              <w:jc w:val="both"/>
              <w:rPr>
                <w:color w:val="000000"/>
              </w:rPr>
            </w:pPr>
            <w:r>
              <w:rPr>
                <w:rFonts w:ascii="Arial" w:eastAsia="Arial" w:hAnsi="Arial" w:cs="Arial"/>
                <w:color w:val="000000"/>
              </w:rPr>
              <w:t xml:space="preserve">možnost izposoje koles (vsaj 5 zagotovljenih koles na vsako občino na območju delovanja), </w:t>
            </w:r>
          </w:p>
          <w:p w14:paraId="7E7803DE" w14:textId="77777777" w:rsidR="00683F46" w:rsidRDefault="00683F46" w:rsidP="00683F46">
            <w:pPr>
              <w:numPr>
                <w:ilvl w:val="0"/>
                <w:numId w:val="32"/>
              </w:numPr>
              <w:pBdr>
                <w:top w:val="nil"/>
                <w:left w:val="nil"/>
                <w:bottom w:val="nil"/>
                <w:right w:val="nil"/>
                <w:between w:val="nil"/>
              </w:pBdr>
              <w:spacing w:line="276" w:lineRule="auto"/>
              <w:ind w:left="306" w:hanging="219"/>
              <w:jc w:val="both"/>
              <w:rPr>
                <w:color w:val="000000"/>
              </w:rPr>
            </w:pPr>
            <w:r>
              <w:rPr>
                <w:rFonts w:ascii="Arial" w:eastAsia="Arial" w:hAnsi="Arial" w:cs="Arial"/>
                <w:color w:val="000000"/>
              </w:rPr>
              <w:t xml:space="preserve">polnilne postaje za električna vozila na območju (vsaj 1 na občino delovanja), </w:t>
            </w:r>
          </w:p>
          <w:p w14:paraId="5D3966CA" w14:textId="77777777" w:rsidR="00683F46" w:rsidRDefault="00683F46" w:rsidP="00683F46">
            <w:pPr>
              <w:numPr>
                <w:ilvl w:val="0"/>
                <w:numId w:val="32"/>
              </w:numPr>
              <w:pBdr>
                <w:top w:val="nil"/>
                <w:left w:val="nil"/>
                <w:bottom w:val="nil"/>
                <w:right w:val="nil"/>
                <w:between w:val="nil"/>
              </w:pBdr>
              <w:spacing w:line="276" w:lineRule="auto"/>
              <w:ind w:left="306" w:hanging="219"/>
              <w:jc w:val="both"/>
              <w:rPr>
                <w:color w:val="000000"/>
              </w:rPr>
            </w:pPr>
            <w:r>
              <w:rPr>
                <w:rFonts w:ascii="Arial" w:eastAsia="Arial" w:hAnsi="Arial" w:cs="Arial"/>
                <w:color w:val="000000"/>
              </w:rPr>
              <w:lastRenderedPageBreak/>
              <w:t xml:space="preserve">organiziran javni ali skupinski prevoz do vsaj petih najbolj obiskanih turističnih atrakcij na območju delovanja oziroma zagotovljen dostop do teh atrakcij z že obstoječim javnim ali skupinskim prevozom, ta je lahko integriran v skupno </w:t>
            </w:r>
            <w:proofErr w:type="spellStart"/>
            <w:r>
              <w:rPr>
                <w:rFonts w:ascii="Arial" w:eastAsia="Arial" w:hAnsi="Arial" w:cs="Arial"/>
                <w:color w:val="000000"/>
              </w:rPr>
              <w:t>destinacijsko</w:t>
            </w:r>
            <w:proofErr w:type="spellEnd"/>
            <w:r>
              <w:rPr>
                <w:rFonts w:ascii="Arial" w:eastAsia="Arial" w:hAnsi="Arial" w:cs="Arial"/>
                <w:color w:val="000000"/>
              </w:rPr>
              <w:t xml:space="preserve"> kartico ali sistem trajnostne mobilnosti na destinaciji.</w:t>
            </w:r>
          </w:p>
        </w:tc>
        <w:tc>
          <w:tcPr>
            <w:tcW w:w="850" w:type="dxa"/>
          </w:tcPr>
          <w:p w14:paraId="7E29390F" w14:textId="37B3FF79"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lastRenderedPageBreak/>
              <w:t>7</w:t>
            </w:r>
          </w:p>
        </w:tc>
        <w:tc>
          <w:tcPr>
            <w:tcW w:w="978" w:type="dxa"/>
          </w:tcPr>
          <w:p w14:paraId="0E7EE0F3" w14:textId="1F6067D5"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683F46" w14:paraId="44632418" w14:textId="77777777" w:rsidTr="0004051E">
        <w:tc>
          <w:tcPr>
            <w:tcW w:w="861" w:type="dxa"/>
            <w:shd w:val="clear" w:color="auto" w:fill="D9D9D9" w:themeFill="background1" w:themeFillShade="D9"/>
          </w:tcPr>
          <w:p w14:paraId="736425BF"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 </w:t>
            </w:r>
          </w:p>
        </w:tc>
        <w:tc>
          <w:tcPr>
            <w:tcW w:w="6379" w:type="dxa"/>
          </w:tcPr>
          <w:p w14:paraId="64091588"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Prijavitelj bo (sam ali s partnerji, s katerimi ima za ta namen podpisan sporazum o sodelovanju) do zaključka izvedbe operacije na območju delovanja vzpostavil možnost trajnostne mobilnosti, ki vključuje vsaj: </w:t>
            </w:r>
          </w:p>
          <w:p w14:paraId="4B8BFA11" w14:textId="77777777" w:rsidR="00683F46" w:rsidRDefault="00683F46" w:rsidP="00683F46">
            <w:pPr>
              <w:numPr>
                <w:ilvl w:val="0"/>
                <w:numId w:val="32"/>
              </w:numPr>
              <w:pBdr>
                <w:top w:val="nil"/>
                <w:left w:val="nil"/>
                <w:bottom w:val="nil"/>
                <w:right w:val="nil"/>
                <w:between w:val="nil"/>
              </w:pBdr>
              <w:spacing w:line="276" w:lineRule="auto"/>
              <w:ind w:left="306" w:hanging="219"/>
              <w:jc w:val="both"/>
              <w:rPr>
                <w:color w:val="000000"/>
              </w:rPr>
            </w:pPr>
            <w:r>
              <w:rPr>
                <w:rFonts w:ascii="Arial" w:eastAsia="Arial" w:hAnsi="Arial" w:cs="Arial"/>
                <w:color w:val="000000"/>
              </w:rPr>
              <w:t xml:space="preserve">možnost izposoje koles (vsaj 5 zagotovljenih koles na vsako občino na območju delovanja), </w:t>
            </w:r>
          </w:p>
          <w:p w14:paraId="54053B16" w14:textId="77777777" w:rsidR="00683F46" w:rsidRDefault="00683F46" w:rsidP="00683F46">
            <w:pPr>
              <w:numPr>
                <w:ilvl w:val="0"/>
                <w:numId w:val="32"/>
              </w:numPr>
              <w:pBdr>
                <w:top w:val="nil"/>
                <w:left w:val="nil"/>
                <w:bottom w:val="nil"/>
                <w:right w:val="nil"/>
                <w:between w:val="nil"/>
              </w:pBdr>
              <w:spacing w:line="276" w:lineRule="auto"/>
              <w:ind w:left="306" w:hanging="219"/>
              <w:jc w:val="both"/>
              <w:rPr>
                <w:color w:val="000000"/>
              </w:rPr>
            </w:pPr>
            <w:r>
              <w:rPr>
                <w:rFonts w:ascii="Arial" w:eastAsia="Arial" w:hAnsi="Arial" w:cs="Arial"/>
                <w:color w:val="000000"/>
              </w:rPr>
              <w:t xml:space="preserve">polnilne postaje za električna vozila na območju (vsaj 1 na občino delovanja), </w:t>
            </w:r>
          </w:p>
          <w:p w14:paraId="67B89DD2" w14:textId="77777777" w:rsidR="00683F46" w:rsidRDefault="00683F46" w:rsidP="00683F46">
            <w:pPr>
              <w:numPr>
                <w:ilvl w:val="0"/>
                <w:numId w:val="32"/>
              </w:numPr>
              <w:pBdr>
                <w:top w:val="nil"/>
                <w:left w:val="nil"/>
                <w:bottom w:val="nil"/>
                <w:right w:val="nil"/>
                <w:between w:val="nil"/>
              </w:pBdr>
              <w:spacing w:line="276" w:lineRule="auto"/>
              <w:ind w:left="306" w:hanging="219"/>
              <w:jc w:val="both"/>
              <w:rPr>
                <w:color w:val="000000"/>
              </w:rPr>
            </w:pPr>
            <w:r>
              <w:rPr>
                <w:rFonts w:ascii="Arial" w:eastAsia="Arial" w:hAnsi="Arial" w:cs="Arial"/>
                <w:color w:val="000000"/>
              </w:rPr>
              <w:t xml:space="preserve">organiziral javni ali skupinski prevoz do vsaj treh najbolj obiskanih turističnih atrakcij na območju delovanja oziroma zagotovljen dostop do teh atrakcij z že obstoječim javnim ali skupinskim prevozom, ta je lahko integriran v skupno </w:t>
            </w:r>
            <w:proofErr w:type="spellStart"/>
            <w:r>
              <w:rPr>
                <w:rFonts w:ascii="Arial" w:eastAsia="Arial" w:hAnsi="Arial" w:cs="Arial"/>
                <w:color w:val="000000"/>
              </w:rPr>
              <w:t>destinacijsko</w:t>
            </w:r>
            <w:proofErr w:type="spellEnd"/>
            <w:r>
              <w:rPr>
                <w:rFonts w:ascii="Arial" w:eastAsia="Arial" w:hAnsi="Arial" w:cs="Arial"/>
                <w:color w:val="000000"/>
              </w:rPr>
              <w:t xml:space="preserve"> kartico ali sistem trajnostne mobilnosti na destinaciji.</w:t>
            </w:r>
          </w:p>
        </w:tc>
        <w:tc>
          <w:tcPr>
            <w:tcW w:w="850" w:type="dxa"/>
          </w:tcPr>
          <w:p w14:paraId="308B7188" w14:textId="0F5C99C7"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4</w:t>
            </w:r>
          </w:p>
        </w:tc>
        <w:tc>
          <w:tcPr>
            <w:tcW w:w="978" w:type="dxa"/>
          </w:tcPr>
          <w:p w14:paraId="708F4BFD" w14:textId="507C09AB"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683F46" w14:paraId="1E283DF0" w14:textId="77777777" w:rsidTr="0004051E">
        <w:tc>
          <w:tcPr>
            <w:tcW w:w="861" w:type="dxa"/>
            <w:shd w:val="clear" w:color="auto" w:fill="D9D9D9" w:themeFill="background1" w:themeFillShade="D9"/>
          </w:tcPr>
          <w:p w14:paraId="2A6C77E0" w14:textId="77777777" w:rsidR="00683F46" w:rsidRDefault="00683F46" w:rsidP="00683F46">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 </w:t>
            </w:r>
          </w:p>
        </w:tc>
        <w:tc>
          <w:tcPr>
            <w:tcW w:w="6379" w:type="dxa"/>
          </w:tcPr>
          <w:p w14:paraId="1E3F86F9" w14:textId="77777777" w:rsidR="00683F46" w:rsidRDefault="00683F46" w:rsidP="00683F4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Prijavitelj bo (sam ali s partnerji, s katerimi ima za ta namen podpisan sporazum o sodelovanju) do zaključka izvedbe operacije na območju delovanja vzpostavil možnost trajnostne mobilnosti, ki vključuje: </w:t>
            </w:r>
          </w:p>
          <w:p w14:paraId="0629B396" w14:textId="77777777" w:rsidR="00683F46" w:rsidRDefault="00683F46" w:rsidP="00683F46">
            <w:pPr>
              <w:numPr>
                <w:ilvl w:val="0"/>
                <w:numId w:val="32"/>
              </w:numPr>
              <w:pBdr>
                <w:top w:val="nil"/>
                <w:left w:val="nil"/>
                <w:bottom w:val="nil"/>
                <w:right w:val="nil"/>
                <w:between w:val="nil"/>
              </w:pBdr>
              <w:spacing w:line="276" w:lineRule="auto"/>
              <w:ind w:left="306" w:hanging="219"/>
              <w:jc w:val="both"/>
              <w:rPr>
                <w:color w:val="000000"/>
              </w:rPr>
            </w:pPr>
            <w:r>
              <w:rPr>
                <w:rFonts w:ascii="Arial" w:eastAsia="Arial" w:hAnsi="Arial" w:cs="Arial"/>
                <w:color w:val="000000"/>
              </w:rPr>
              <w:t xml:space="preserve">možnost izposoje koles (manj kot 5 zagotovljenih koles na vsako občino na območju delovanja), </w:t>
            </w:r>
          </w:p>
          <w:p w14:paraId="08DB2CA8" w14:textId="77777777" w:rsidR="00683F46" w:rsidRDefault="00683F46" w:rsidP="00683F46">
            <w:pPr>
              <w:numPr>
                <w:ilvl w:val="0"/>
                <w:numId w:val="32"/>
              </w:numPr>
              <w:pBdr>
                <w:top w:val="nil"/>
                <w:left w:val="nil"/>
                <w:bottom w:val="nil"/>
                <w:right w:val="nil"/>
                <w:between w:val="nil"/>
              </w:pBdr>
              <w:spacing w:line="276" w:lineRule="auto"/>
              <w:ind w:left="306" w:hanging="219"/>
              <w:jc w:val="both"/>
              <w:rPr>
                <w:color w:val="000000"/>
              </w:rPr>
            </w:pPr>
            <w:r>
              <w:rPr>
                <w:rFonts w:ascii="Arial" w:eastAsia="Arial" w:hAnsi="Arial" w:cs="Arial"/>
                <w:color w:val="000000"/>
              </w:rPr>
              <w:t>polnilne postaje za električna vozila na območju (manj kot 1 na občino delovanja).</w:t>
            </w:r>
          </w:p>
        </w:tc>
        <w:tc>
          <w:tcPr>
            <w:tcW w:w="850" w:type="dxa"/>
          </w:tcPr>
          <w:p w14:paraId="5B4CCE1F" w14:textId="6E843272"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0</w:t>
            </w:r>
          </w:p>
        </w:tc>
        <w:tc>
          <w:tcPr>
            <w:tcW w:w="978" w:type="dxa"/>
          </w:tcPr>
          <w:p w14:paraId="2C8C51BB" w14:textId="418BB88E" w:rsidR="00683F46" w:rsidRDefault="00683F46" w:rsidP="00683F46">
            <w:pPr>
              <w:pBdr>
                <w:top w:val="nil"/>
                <w:left w:val="nil"/>
                <w:bottom w:val="nil"/>
                <w:right w:val="nil"/>
                <w:between w:val="nil"/>
              </w:pBdr>
              <w:spacing w:line="276" w:lineRule="auto"/>
              <w:jc w:val="center"/>
              <w:rPr>
                <w:rFonts w:ascii="Arial" w:eastAsia="Arial" w:hAnsi="Arial" w:cs="Arial"/>
                <w:color w:val="000000"/>
              </w:rPr>
            </w:pPr>
          </w:p>
        </w:tc>
      </w:tr>
      <w:tr w:rsidR="005F73E8" w14:paraId="5688B0E8" w14:textId="77777777" w:rsidTr="0004051E">
        <w:tc>
          <w:tcPr>
            <w:tcW w:w="861" w:type="dxa"/>
            <w:shd w:val="clear" w:color="auto" w:fill="D9D9D9" w:themeFill="background1" w:themeFillShade="D9"/>
          </w:tcPr>
          <w:p w14:paraId="08DCF336" w14:textId="77777777" w:rsidR="005F73E8" w:rsidRDefault="005F73E8" w:rsidP="005F73E8">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5.</w:t>
            </w:r>
          </w:p>
        </w:tc>
        <w:tc>
          <w:tcPr>
            <w:tcW w:w="6379" w:type="dxa"/>
          </w:tcPr>
          <w:p w14:paraId="1F6B1BFC" w14:textId="77777777" w:rsidR="005F73E8" w:rsidRDefault="005F73E8" w:rsidP="005F73E8">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STROŠKOVNA IN EKONOMSKA UČINKOVITOST IN USTREZNOST OPERACIJE</w:t>
            </w:r>
          </w:p>
        </w:tc>
        <w:tc>
          <w:tcPr>
            <w:tcW w:w="850" w:type="dxa"/>
          </w:tcPr>
          <w:p w14:paraId="6B1D6351" w14:textId="77777777" w:rsidR="005F73E8" w:rsidRDefault="005F73E8" w:rsidP="005F73E8">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 </w:t>
            </w:r>
          </w:p>
        </w:tc>
        <w:tc>
          <w:tcPr>
            <w:tcW w:w="978" w:type="dxa"/>
          </w:tcPr>
          <w:p w14:paraId="61781349" w14:textId="77777777" w:rsidR="005F73E8" w:rsidRDefault="005F73E8" w:rsidP="005F73E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10</w:t>
            </w:r>
          </w:p>
        </w:tc>
      </w:tr>
      <w:tr w:rsidR="005F73E8" w14:paraId="124A25BE" w14:textId="77777777" w:rsidTr="0004051E">
        <w:tc>
          <w:tcPr>
            <w:tcW w:w="861" w:type="dxa"/>
            <w:shd w:val="clear" w:color="auto" w:fill="D9D9D9" w:themeFill="background1" w:themeFillShade="D9"/>
          </w:tcPr>
          <w:p w14:paraId="54F7A8DE" w14:textId="77777777" w:rsidR="005F73E8" w:rsidRDefault="005F73E8" w:rsidP="005F73E8">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5.1.</w:t>
            </w:r>
          </w:p>
        </w:tc>
        <w:tc>
          <w:tcPr>
            <w:tcW w:w="6379" w:type="dxa"/>
          </w:tcPr>
          <w:p w14:paraId="3C163EC4" w14:textId="77777777" w:rsidR="005F73E8" w:rsidRDefault="005F73E8" w:rsidP="005F73E8">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Realnost pričakovanih rezultatov operacije</w:t>
            </w:r>
          </w:p>
        </w:tc>
        <w:tc>
          <w:tcPr>
            <w:tcW w:w="850" w:type="dxa"/>
          </w:tcPr>
          <w:p w14:paraId="3C72B12E" w14:textId="77777777" w:rsidR="005F73E8" w:rsidRDefault="005F73E8" w:rsidP="005F73E8">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 </w:t>
            </w:r>
          </w:p>
        </w:tc>
        <w:tc>
          <w:tcPr>
            <w:tcW w:w="978" w:type="dxa"/>
          </w:tcPr>
          <w:p w14:paraId="17041299" w14:textId="428EE97C" w:rsidR="005F73E8" w:rsidRDefault="00644050" w:rsidP="005F73E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5</w:t>
            </w:r>
          </w:p>
        </w:tc>
      </w:tr>
      <w:tr w:rsidR="00644050" w14:paraId="427A4789" w14:textId="77777777" w:rsidTr="0004051E">
        <w:tc>
          <w:tcPr>
            <w:tcW w:w="861" w:type="dxa"/>
            <w:shd w:val="clear" w:color="auto" w:fill="D9D9D9" w:themeFill="background1" w:themeFillShade="D9"/>
          </w:tcPr>
          <w:p w14:paraId="4196994E" w14:textId="77777777" w:rsidR="00644050" w:rsidRDefault="00644050" w:rsidP="00644050">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 </w:t>
            </w:r>
          </w:p>
        </w:tc>
        <w:tc>
          <w:tcPr>
            <w:tcW w:w="6379" w:type="dxa"/>
          </w:tcPr>
          <w:p w14:paraId="4984106A" w14:textId="77777777" w:rsidR="00644050" w:rsidRDefault="00644050" w:rsidP="00644050">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Rezultati so jasno izraženi in utemeljeni ter temeljijo na realnih izhodiščih.</w:t>
            </w:r>
          </w:p>
        </w:tc>
        <w:tc>
          <w:tcPr>
            <w:tcW w:w="850" w:type="dxa"/>
          </w:tcPr>
          <w:p w14:paraId="6A768C7F" w14:textId="2F82AAA5" w:rsidR="00644050" w:rsidRDefault="00644050" w:rsidP="00644050">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5</w:t>
            </w:r>
          </w:p>
        </w:tc>
        <w:tc>
          <w:tcPr>
            <w:tcW w:w="978" w:type="dxa"/>
          </w:tcPr>
          <w:p w14:paraId="60F8C3BE" w14:textId="2A006D80" w:rsidR="00644050" w:rsidRDefault="00644050" w:rsidP="00644050">
            <w:pPr>
              <w:pBdr>
                <w:top w:val="nil"/>
                <w:left w:val="nil"/>
                <w:bottom w:val="nil"/>
                <w:right w:val="nil"/>
                <w:between w:val="nil"/>
              </w:pBdr>
              <w:spacing w:line="276" w:lineRule="auto"/>
              <w:jc w:val="center"/>
              <w:rPr>
                <w:rFonts w:ascii="Arial" w:eastAsia="Arial" w:hAnsi="Arial" w:cs="Arial"/>
                <w:color w:val="000000"/>
              </w:rPr>
            </w:pPr>
          </w:p>
        </w:tc>
      </w:tr>
      <w:tr w:rsidR="00644050" w14:paraId="2E98818E" w14:textId="77777777" w:rsidTr="0004051E">
        <w:tc>
          <w:tcPr>
            <w:tcW w:w="861" w:type="dxa"/>
            <w:shd w:val="clear" w:color="auto" w:fill="D9D9D9" w:themeFill="background1" w:themeFillShade="D9"/>
          </w:tcPr>
          <w:p w14:paraId="681721BE" w14:textId="77777777" w:rsidR="00644050" w:rsidRDefault="00644050" w:rsidP="00644050">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 </w:t>
            </w:r>
          </w:p>
        </w:tc>
        <w:tc>
          <w:tcPr>
            <w:tcW w:w="6379" w:type="dxa"/>
          </w:tcPr>
          <w:p w14:paraId="5A766118" w14:textId="77777777" w:rsidR="00644050" w:rsidRDefault="00644050" w:rsidP="00644050">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Rezultati so pomanjkljivo utemeljeni oz. temeljijo na dvomljivih izhodiščih.</w:t>
            </w:r>
          </w:p>
        </w:tc>
        <w:tc>
          <w:tcPr>
            <w:tcW w:w="850" w:type="dxa"/>
          </w:tcPr>
          <w:p w14:paraId="0A77C537" w14:textId="42D94958" w:rsidR="00644050" w:rsidRDefault="00644050" w:rsidP="00644050">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3</w:t>
            </w:r>
          </w:p>
        </w:tc>
        <w:tc>
          <w:tcPr>
            <w:tcW w:w="978" w:type="dxa"/>
          </w:tcPr>
          <w:p w14:paraId="2FD58D3F" w14:textId="6D7598F2" w:rsidR="00644050" w:rsidRDefault="00644050" w:rsidP="00644050">
            <w:pPr>
              <w:pBdr>
                <w:top w:val="nil"/>
                <w:left w:val="nil"/>
                <w:bottom w:val="nil"/>
                <w:right w:val="nil"/>
                <w:between w:val="nil"/>
              </w:pBdr>
              <w:spacing w:line="276" w:lineRule="auto"/>
              <w:jc w:val="center"/>
              <w:rPr>
                <w:rFonts w:ascii="Arial" w:eastAsia="Arial" w:hAnsi="Arial" w:cs="Arial"/>
                <w:color w:val="000000"/>
              </w:rPr>
            </w:pPr>
          </w:p>
        </w:tc>
      </w:tr>
      <w:tr w:rsidR="00644050" w14:paraId="1023CBC9" w14:textId="77777777" w:rsidTr="0004051E">
        <w:tc>
          <w:tcPr>
            <w:tcW w:w="861" w:type="dxa"/>
            <w:shd w:val="clear" w:color="auto" w:fill="D9D9D9" w:themeFill="background1" w:themeFillShade="D9"/>
          </w:tcPr>
          <w:p w14:paraId="2BAEEBFF" w14:textId="77777777" w:rsidR="00644050" w:rsidRDefault="00644050" w:rsidP="00644050">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 </w:t>
            </w:r>
          </w:p>
        </w:tc>
        <w:tc>
          <w:tcPr>
            <w:tcW w:w="6379" w:type="dxa"/>
          </w:tcPr>
          <w:p w14:paraId="70A04D15" w14:textId="77777777" w:rsidR="00644050" w:rsidRDefault="00644050" w:rsidP="00644050">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Rezultati niso izraženi oz. ne temeljijo na preverljivih izhodiščih.</w:t>
            </w:r>
          </w:p>
        </w:tc>
        <w:tc>
          <w:tcPr>
            <w:tcW w:w="850" w:type="dxa"/>
          </w:tcPr>
          <w:p w14:paraId="50BA085A" w14:textId="24DF80CC" w:rsidR="00644050" w:rsidRDefault="00644050" w:rsidP="00644050">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0</w:t>
            </w:r>
          </w:p>
        </w:tc>
        <w:tc>
          <w:tcPr>
            <w:tcW w:w="978" w:type="dxa"/>
          </w:tcPr>
          <w:p w14:paraId="0BDF49ED" w14:textId="537966C3" w:rsidR="00644050" w:rsidRDefault="00644050" w:rsidP="00644050">
            <w:pPr>
              <w:pBdr>
                <w:top w:val="nil"/>
                <w:left w:val="nil"/>
                <w:bottom w:val="nil"/>
                <w:right w:val="nil"/>
                <w:between w:val="nil"/>
              </w:pBdr>
              <w:spacing w:line="276" w:lineRule="auto"/>
              <w:jc w:val="center"/>
              <w:rPr>
                <w:rFonts w:ascii="Arial" w:eastAsia="Arial" w:hAnsi="Arial" w:cs="Arial"/>
                <w:color w:val="000000"/>
              </w:rPr>
            </w:pPr>
          </w:p>
        </w:tc>
      </w:tr>
      <w:tr w:rsidR="005F73E8" w14:paraId="74EE8B1A" w14:textId="77777777" w:rsidTr="0004051E">
        <w:tc>
          <w:tcPr>
            <w:tcW w:w="861" w:type="dxa"/>
            <w:shd w:val="clear" w:color="auto" w:fill="D9D9D9" w:themeFill="background1" w:themeFillShade="D9"/>
          </w:tcPr>
          <w:p w14:paraId="484DAAD2" w14:textId="77777777" w:rsidR="005F73E8" w:rsidRDefault="005F73E8" w:rsidP="005F73E8">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b/>
                <w:bCs/>
                <w:color w:val="000000"/>
              </w:rPr>
              <w:t>5.2.</w:t>
            </w:r>
          </w:p>
        </w:tc>
        <w:tc>
          <w:tcPr>
            <w:tcW w:w="6379" w:type="dxa"/>
          </w:tcPr>
          <w:p w14:paraId="669F1B18" w14:textId="77777777" w:rsidR="005F73E8" w:rsidRDefault="005F73E8" w:rsidP="005F73E8">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Realnost višine predvidenih stroškov za operacijo in za posamezno aktivnost</w:t>
            </w:r>
          </w:p>
        </w:tc>
        <w:tc>
          <w:tcPr>
            <w:tcW w:w="850" w:type="dxa"/>
          </w:tcPr>
          <w:p w14:paraId="00DF5BA3" w14:textId="224387F9" w:rsidR="005F73E8" w:rsidRDefault="005F73E8" w:rsidP="005F73E8">
            <w:pPr>
              <w:pBdr>
                <w:top w:val="nil"/>
                <w:left w:val="nil"/>
                <w:bottom w:val="nil"/>
                <w:right w:val="nil"/>
                <w:between w:val="nil"/>
              </w:pBdr>
              <w:spacing w:line="276" w:lineRule="auto"/>
              <w:rPr>
                <w:rFonts w:ascii="Arial" w:eastAsia="Arial" w:hAnsi="Arial" w:cs="Arial"/>
                <w:color w:val="000000"/>
              </w:rPr>
            </w:pPr>
          </w:p>
        </w:tc>
        <w:tc>
          <w:tcPr>
            <w:tcW w:w="978" w:type="dxa"/>
          </w:tcPr>
          <w:p w14:paraId="13CB2F9E" w14:textId="2D5CE50E" w:rsidR="005F73E8" w:rsidRPr="00644050" w:rsidRDefault="005F73E8" w:rsidP="005F73E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 </w:t>
            </w:r>
            <w:r w:rsidR="00644050" w:rsidRPr="00644050">
              <w:rPr>
                <w:rFonts w:ascii="Arial" w:eastAsia="Arial" w:hAnsi="Arial" w:cs="Arial"/>
                <w:color w:val="000000"/>
              </w:rPr>
              <w:t>5</w:t>
            </w:r>
          </w:p>
        </w:tc>
      </w:tr>
      <w:tr w:rsidR="00644050" w14:paraId="32A87583" w14:textId="77777777" w:rsidTr="0004051E">
        <w:tc>
          <w:tcPr>
            <w:tcW w:w="861" w:type="dxa"/>
            <w:shd w:val="clear" w:color="auto" w:fill="D9D9D9" w:themeFill="background1" w:themeFillShade="D9"/>
          </w:tcPr>
          <w:p w14:paraId="7E5B4D74" w14:textId="77777777" w:rsidR="00644050" w:rsidRDefault="00644050" w:rsidP="00644050">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 </w:t>
            </w:r>
          </w:p>
        </w:tc>
        <w:tc>
          <w:tcPr>
            <w:tcW w:w="6379" w:type="dxa"/>
          </w:tcPr>
          <w:p w14:paraId="0FB75E0B" w14:textId="77777777" w:rsidR="00644050" w:rsidRDefault="00644050" w:rsidP="00644050">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Stroški operacije so jasno prikazani po posameznih aktivnostih in ustrezno utemeljeni. </w:t>
            </w:r>
          </w:p>
        </w:tc>
        <w:tc>
          <w:tcPr>
            <w:tcW w:w="850" w:type="dxa"/>
          </w:tcPr>
          <w:p w14:paraId="089F8C10" w14:textId="1C5D2D64" w:rsidR="00644050" w:rsidRDefault="00644050" w:rsidP="00644050">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5</w:t>
            </w:r>
          </w:p>
        </w:tc>
        <w:tc>
          <w:tcPr>
            <w:tcW w:w="978" w:type="dxa"/>
          </w:tcPr>
          <w:p w14:paraId="6BCD00E6" w14:textId="2AF200D9" w:rsidR="00644050" w:rsidRDefault="00644050" w:rsidP="00644050">
            <w:pPr>
              <w:pBdr>
                <w:top w:val="nil"/>
                <w:left w:val="nil"/>
                <w:bottom w:val="nil"/>
                <w:right w:val="nil"/>
                <w:between w:val="nil"/>
              </w:pBdr>
              <w:spacing w:line="276" w:lineRule="auto"/>
              <w:jc w:val="center"/>
              <w:rPr>
                <w:rFonts w:ascii="Arial" w:eastAsia="Arial" w:hAnsi="Arial" w:cs="Arial"/>
                <w:color w:val="000000"/>
              </w:rPr>
            </w:pPr>
          </w:p>
        </w:tc>
      </w:tr>
      <w:tr w:rsidR="00644050" w14:paraId="2DC64BC9" w14:textId="77777777" w:rsidTr="0004051E">
        <w:tc>
          <w:tcPr>
            <w:tcW w:w="861" w:type="dxa"/>
            <w:shd w:val="clear" w:color="auto" w:fill="D9D9D9" w:themeFill="background1" w:themeFillShade="D9"/>
          </w:tcPr>
          <w:p w14:paraId="03B0E31B" w14:textId="77777777" w:rsidR="00644050" w:rsidRDefault="00644050" w:rsidP="00644050">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 </w:t>
            </w:r>
          </w:p>
        </w:tc>
        <w:tc>
          <w:tcPr>
            <w:tcW w:w="6379" w:type="dxa"/>
          </w:tcPr>
          <w:p w14:paraId="34054559" w14:textId="77777777" w:rsidR="00644050" w:rsidRDefault="00644050" w:rsidP="00644050">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Stroški operacije so prikazani, vendar so pomanjkljivo utemeljeni oz. temeljijo na dvomljivih izhodiščih.</w:t>
            </w:r>
          </w:p>
        </w:tc>
        <w:tc>
          <w:tcPr>
            <w:tcW w:w="850" w:type="dxa"/>
          </w:tcPr>
          <w:p w14:paraId="49422632" w14:textId="3DA31624" w:rsidR="00644050" w:rsidRDefault="00644050" w:rsidP="00644050">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2</w:t>
            </w:r>
          </w:p>
        </w:tc>
        <w:tc>
          <w:tcPr>
            <w:tcW w:w="978" w:type="dxa"/>
          </w:tcPr>
          <w:p w14:paraId="09C03538" w14:textId="21174D71" w:rsidR="00644050" w:rsidRDefault="00644050" w:rsidP="00644050">
            <w:pPr>
              <w:pBdr>
                <w:top w:val="nil"/>
                <w:left w:val="nil"/>
                <w:bottom w:val="nil"/>
                <w:right w:val="nil"/>
                <w:between w:val="nil"/>
              </w:pBdr>
              <w:spacing w:line="276" w:lineRule="auto"/>
              <w:jc w:val="center"/>
              <w:rPr>
                <w:rFonts w:ascii="Arial" w:eastAsia="Arial" w:hAnsi="Arial" w:cs="Arial"/>
                <w:color w:val="000000"/>
              </w:rPr>
            </w:pPr>
          </w:p>
        </w:tc>
      </w:tr>
      <w:tr w:rsidR="00644050" w14:paraId="6270EDC5" w14:textId="77777777" w:rsidTr="0004051E">
        <w:tc>
          <w:tcPr>
            <w:tcW w:w="861" w:type="dxa"/>
            <w:shd w:val="clear" w:color="auto" w:fill="D9D9D9" w:themeFill="background1" w:themeFillShade="D9"/>
          </w:tcPr>
          <w:p w14:paraId="2B561877" w14:textId="77777777" w:rsidR="00644050" w:rsidRDefault="00644050" w:rsidP="00644050">
            <w:pPr>
              <w:pBdr>
                <w:top w:val="nil"/>
                <w:left w:val="nil"/>
                <w:bottom w:val="nil"/>
                <w:right w:val="nil"/>
                <w:between w:val="nil"/>
              </w:pBdr>
              <w:spacing w:line="276" w:lineRule="auto"/>
              <w:jc w:val="right"/>
              <w:rPr>
                <w:rFonts w:ascii="Arial" w:eastAsia="Arial" w:hAnsi="Arial" w:cs="Arial"/>
                <w:color w:val="000000"/>
              </w:rPr>
            </w:pPr>
            <w:r>
              <w:rPr>
                <w:rFonts w:ascii="Arial" w:eastAsia="Arial" w:hAnsi="Arial" w:cs="Arial"/>
                <w:color w:val="000000"/>
              </w:rPr>
              <w:t> </w:t>
            </w:r>
          </w:p>
        </w:tc>
        <w:tc>
          <w:tcPr>
            <w:tcW w:w="6379" w:type="dxa"/>
          </w:tcPr>
          <w:p w14:paraId="20F55AC9" w14:textId="77777777" w:rsidR="00644050" w:rsidRDefault="00644050" w:rsidP="00644050">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Višina stroškov ni ustrezno utemeljena oz. ni utemeljena.</w:t>
            </w:r>
          </w:p>
        </w:tc>
        <w:tc>
          <w:tcPr>
            <w:tcW w:w="850" w:type="dxa"/>
          </w:tcPr>
          <w:p w14:paraId="7FA8846B" w14:textId="3495417D" w:rsidR="00644050" w:rsidRDefault="00644050" w:rsidP="00644050">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color w:val="000000"/>
              </w:rPr>
              <w:t>0</w:t>
            </w:r>
          </w:p>
        </w:tc>
        <w:tc>
          <w:tcPr>
            <w:tcW w:w="978" w:type="dxa"/>
          </w:tcPr>
          <w:p w14:paraId="7EECEDEF" w14:textId="16029BE7" w:rsidR="00644050" w:rsidRDefault="00644050" w:rsidP="00644050">
            <w:pPr>
              <w:pBdr>
                <w:top w:val="nil"/>
                <w:left w:val="nil"/>
                <w:bottom w:val="nil"/>
                <w:right w:val="nil"/>
                <w:between w:val="nil"/>
              </w:pBdr>
              <w:spacing w:line="276" w:lineRule="auto"/>
              <w:jc w:val="center"/>
              <w:rPr>
                <w:rFonts w:ascii="Arial" w:eastAsia="Arial" w:hAnsi="Arial" w:cs="Arial"/>
                <w:color w:val="000000"/>
              </w:rPr>
            </w:pPr>
          </w:p>
        </w:tc>
      </w:tr>
      <w:tr w:rsidR="005F73E8" w14:paraId="6E1DAA2C" w14:textId="77777777" w:rsidTr="0004051E">
        <w:tc>
          <w:tcPr>
            <w:tcW w:w="861" w:type="dxa"/>
            <w:shd w:val="clear" w:color="auto" w:fill="D9D9D9" w:themeFill="background1" w:themeFillShade="D9"/>
          </w:tcPr>
          <w:p w14:paraId="215E99D3" w14:textId="77777777" w:rsidR="005F73E8" w:rsidRDefault="005F73E8" w:rsidP="005F73E8">
            <w:pPr>
              <w:pBdr>
                <w:top w:val="nil"/>
                <w:left w:val="nil"/>
                <w:bottom w:val="nil"/>
                <w:right w:val="nil"/>
                <w:between w:val="nil"/>
              </w:pBdr>
              <w:spacing w:line="276" w:lineRule="auto"/>
              <w:ind w:left="-61"/>
              <w:jc w:val="right"/>
              <w:rPr>
                <w:rFonts w:ascii="Arial" w:eastAsia="Arial" w:hAnsi="Arial" w:cs="Arial"/>
                <w:color w:val="000000"/>
                <w:sz w:val="18"/>
                <w:szCs w:val="18"/>
              </w:rPr>
            </w:pPr>
            <w:r>
              <w:rPr>
                <w:rFonts w:ascii="Arial" w:eastAsia="Arial" w:hAnsi="Arial" w:cs="Arial"/>
                <w:b/>
                <w:bCs/>
                <w:color w:val="000000"/>
                <w:sz w:val="18"/>
                <w:szCs w:val="18"/>
              </w:rPr>
              <w:t>SKUPAJ</w:t>
            </w:r>
          </w:p>
        </w:tc>
        <w:tc>
          <w:tcPr>
            <w:tcW w:w="6379" w:type="dxa"/>
          </w:tcPr>
          <w:p w14:paraId="454005C6" w14:textId="77777777" w:rsidR="005F73E8" w:rsidRDefault="005F73E8" w:rsidP="005F73E8">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w:t>
            </w:r>
          </w:p>
        </w:tc>
        <w:tc>
          <w:tcPr>
            <w:tcW w:w="850" w:type="dxa"/>
          </w:tcPr>
          <w:p w14:paraId="442A59C4" w14:textId="77777777" w:rsidR="005F73E8" w:rsidRDefault="005F73E8" w:rsidP="005F73E8">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t> </w:t>
            </w:r>
          </w:p>
        </w:tc>
        <w:tc>
          <w:tcPr>
            <w:tcW w:w="978" w:type="dxa"/>
          </w:tcPr>
          <w:p w14:paraId="27C29011" w14:textId="77777777" w:rsidR="005F73E8" w:rsidRDefault="005F73E8" w:rsidP="005F73E8">
            <w:pPr>
              <w:pBdr>
                <w:top w:val="nil"/>
                <w:left w:val="nil"/>
                <w:bottom w:val="nil"/>
                <w:right w:val="nil"/>
                <w:between w:val="nil"/>
              </w:pBdr>
              <w:spacing w:line="276" w:lineRule="auto"/>
              <w:jc w:val="center"/>
              <w:rPr>
                <w:rFonts w:ascii="Arial" w:eastAsia="Arial" w:hAnsi="Arial" w:cs="Arial"/>
                <w:color w:val="000000"/>
              </w:rPr>
            </w:pPr>
            <w:r>
              <w:rPr>
                <w:rFonts w:ascii="Arial" w:eastAsia="Arial" w:hAnsi="Arial" w:cs="Arial"/>
                <w:b/>
                <w:bCs/>
                <w:color w:val="000000"/>
              </w:rPr>
              <w:t>60</w:t>
            </w:r>
          </w:p>
        </w:tc>
      </w:tr>
    </w:tbl>
    <w:p w14:paraId="03165D90"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C100F4B" w14:textId="5CFE2D2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Največje možno število doseženih točk je </w:t>
      </w:r>
      <w:r>
        <w:rPr>
          <w:rFonts w:ascii="Arial" w:eastAsia="Arial" w:hAnsi="Arial" w:cs="Arial"/>
          <w:b/>
          <w:bCs/>
          <w:color w:val="000000"/>
        </w:rPr>
        <w:t>60</w:t>
      </w:r>
      <w:r>
        <w:rPr>
          <w:rFonts w:ascii="Arial" w:eastAsia="Arial" w:hAnsi="Arial" w:cs="Arial"/>
          <w:i/>
          <w:iCs/>
          <w:color w:val="000000"/>
        </w:rPr>
        <w:t xml:space="preserve"> </w:t>
      </w:r>
      <w:r>
        <w:rPr>
          <w:rFonts w:ascii="Arial" w:eastAsia="Arial" w:hAnsi="Arial" w:cs="Arial"/>
          <w:color w:val="000000"/>
        </w:rPr>
        <w:t>točk</w:t>
      </w:r>
      <w:r>
        <w:rPr>
          <w:rFonts w:ascii="Arial" w:eastAsia="Arial" w:hAnsi="Arial" w:cs="Arial"/>
          <w:i/>
          <w:iCs/>
          <w:color w:val="000000"/>
        </w:rPr>
        <w:t>.</w:t>
      </w:r>
    </w:p>
    <w:p w14:paraId="5F2769A4"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Prag števila točk, nad katerim bo odobreno sofinanciranje je </w:t>
      </w:r>
      <w:r>
        <w:rPr>
          <w:rFonts w:ascii="Arial" w:eastAsia="Arial" w:hAnsi="Arial" w:cs="Arial"/>
          <w:b/>
          <w:bCs/>
          <w:color w:val="000000"/>
        </w:rPr>
        <w:t xml:space="preserve">35 točk.  </w:t>
      </w:r>
    </w:p>
    <w:p w14:paraId="060CAEA9"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F9537C7"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bookmarkStart w:id="64" w:name="_lonqq8qmk1t" w:colFirst="0" w:colLast="0"/>
      <w:bookmarkEnd w:id="64"/>
    </w:p>
    <w:p w14:paraId="0FD120C9" w14:textId="77777777" w:rsidR="00652D66" w:rsidRDefault="00652D66">
      <w:pPr>
        <w:pBdr>
          <w:top w:val="nil"/>
          <w:left w:val="nil"/>
          <w:bottom w:val="nil"/>
          <w:right w:val="nil"/>
          <w:between w:val="nil"/>
        </w:pBdr>
        <w:spacing w:line="276" w:lineRule="auto"/>
        <w:jc w:val="both"/>
        <w:rPr>
          <w:rFonts w:ascii="Arial" w:eastAsia="Arial" w:hAnsi="Arial" w:cs="Arial"/>
          <w:color w:val="000000"/>
        </w:rPr>
      </w:pPr>
    </w:p>
    <w:p w14:paraId="07108844" w14:textId="77777777" w:rsidR="00652D66" w:rsidRDefault="00652D66">
      <w:pPr>
        <w:pBdr>
          <w:top w:val="nil"/>
          <w:left w:val="nil"/>
          <w:bottom w:val="nil"/>
          <w:right w:val="nil"/>
          <w:between w:val="nil"/>
        </w:pBdr>
        <w:spacing w:line="276" w:lineRule="auto"/>
        <w:jc w:val="both"/>
        <w:rPr>
          <w:rFonts w:ascii="Arial" w:eastAsia="Arial" w:hAnsi="Arial" w:cs="Arial"/>
          <w:color w:val="000000"/>
        </w:rPr>
      </w:pPr>
    </w:p>
    <w:p w14:paraId="0A89917B" w14:textId="1A69E3A7" w:rsidR="000755BA" w:rsidRDefault="00652D66" w:rsidP="00652D66">
      <w:pPr>
        <w:pStyle w:val="Naslov2"/>
        <w:ind w:left="284"/>
      </w:pPr>
      <w:bookmarkStart w:id="65" w:name="_Toc239072473"/>
      <w:r>
        <w:lastRenderedPageBreak/>
        <w:t xml:space="preserve">14. </w:t>
      </w:r>
      <w:r w:rsidR="00EF1395">
        <w:t>Obveščanje prijaviteljev o izidu javnega razpisa</w:t>
      </w:r>
      <w:bookmarkEnd w:id="65"/>
    </w:p>
    <w:p w14:paraId="5A9EDA66" w14:textId="77777777" w:rsidR="000755BA" w:rsidRDefault="000755BA">
      <w:pPr>
        <w:pBdr>
          <w:top w:val="nil"/>
          <w:left w:val="nil"/>
          <w:bottom w:val="nil"/>
          <w:right w:val="nil"/>
          <w:between w:val="nil"/>
        </w:pBdr>
        <w:spacing w:line="276" w:lineRule="auto"/>
        <w:ind w:left="360"/>
        <w:jc w:val="both"/>
        <w:rPr>
          <w:rFonts w:ascii="Arial" w:eastAsia="Arial" w:hAnsi="Arial" w:cs="Arial"/>
          <w:color w:val="000000"/>
          <w:sz w:val="22"/>
          <w:szCs w:val="22"/>
        </w:rPr>
      </w:pPr>
    </w:p>
    <w:p w14:paraId="1B2D562C"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Prijavitelji bodo o izidu javnega razpisa obveščeni najkasneje v roku devetdesetih (90) dni od datuma odpiranja vlog. </w:t>
      </w:r>
    </w:p>
    <w:p w14:paraId="354F84AA"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46A14DD1" w14:textId="6F075DEF"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Rezultati predmetnega javnega razpisa so informacije javnega značaja in bodo objavljeni na spletni strani ministrstva </w:t>
      </w:r>
      <w:hyperlink r:id="rId41" w:history="1">
        <w:r w:rsidR="007A2EF4" w:rsidRPr="007A2EF4">
          <w:rPr>
            <w:rStyle w:val="Hiperpovezava"/>
            <w:rFonts w:ascii="Arial" w:eastAsia="Arial" w:hAnsi="Arial" w:cs="Arial"/>
          </w:rPr>
          <w:t>Javne objave Ministrstva za gospodarstvo, delo in šport | GOV.SI</w:t>
        </w:r>
      </w:hyperlink>
      <w:r>
        <w:rPr>
          <w:rFonts w:ascii="Arial" w:eastAsia="Arial" w:hAnsi="Arial" w:cs="Arial"/>
          <w:color w:val="000000"/>
        </w:rPr>
        <w:t>.</w:t>
      </w:r>
    </w:p>
    <w:p w14:paraId="35331F85"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54D0DEF"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O dodelitvi sredstev po tem javnem razpisu bo na predlog strokovne komisije s sklepom odločil predstojnik ministrstva. </w:t>
      </w:r>
    </w:p>
    <w:p w14:paraId="781C2A6A"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Prijavitelji bodo na podlagi sklepa o izboru in skladno s pozivom ministrstva pozvani k podpisu pogodbe o dodelitvi sredstev (Priloga št. 1: Vzorec pogodbe). Prijavitelj lahko umakne vlogo za pridobitev sredstev do pravnomočnosti sklepa o izboru. V primeru, da se prijavitelj v roku 8 (osmih) dni od prejema poziva za podpis pogodbe o sofinanciranju nanj ne odzove, se šteje, da je umaknil vlogo za pridobitev sredstev.</w:t>
      </w:r>
    </w:p>
    <w:p w14:paraId="6A680839" w14:textId="6F373EC3"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Zoper sklep o (ne)izboru, lahko prijavitelj v tridesetih (30) dneh od prejema sklepa sproži upravni spor z vložitvijo tožbe na Upravno sodišče Republike Slovenije. Predmet tožbe ne morejo biti postavljena merila za ocenjevanje vlog. Vložena tožba ne zadrži izvršitve sklepa o (ne)izboru oziroma ne zadrži podpisa pogodb o dodelitvi sredstev z ostalimi (izbranimi) upravičenci.</w:t>
      </w:r>
      <w:bookmarkStart w:id="66" w:name="_u3mnx8cjcfiq" w:colFirst="0" w:colLast="0"/>
      <w:bookmarkEnd w:id="66"/>
    </w:p>
    <w:p w14:paraId="34106F2A" w14:textId="557B2A02" w:rsidR="000755BA" w:rsidRDefault="00EF6514" w:rsidP="00EF6514">
      <w:pPr>
        <w:pStyle w:val="Naslov2"/>
        <w:ind w:left="284"/>
      </w:pPr>
      <w:bookmarkStart w:id="67" w:name="_Toc239072474"/>
      <w:r>
        <w:t>1</w:t>
      </w:r>
      <w:r w:rsidR="00652D66">
        <w:t>5</w:t>
      </w:r>
      <w:r>
        <w:t xml:space="preserve">. </w:t>
      </w:r>
      <w:r w:rsidR="00EF1395">
        <w:t>Zahteve glede zagotavljanja prepoznavnosti, preglednosti in komuniciranja</w:t>
      </w:r>
      <w:bookmarkEnd w:id="67"/>
      <w:r w:rsidR="00EF1395">
        <w:t xml:space="preserve"> </w:t>
      </w:r>
    </w:p>
    <w:p w14:paraId="75856CC8" w14:textId="77777777" w:rsidR="000755BA" w:rsidRDefault="000755BA">
      <w:pPr>
        <w:pBdr>
          <w:top w:val="nil"/>
          <w:left w:val="nil"/>
          <w:bottom w:val="nil"/>
          <w:right w:val="nil"/>
          <w:between w:val="nil"/>
        </w:pBdr>
        <w:spacing w:line="276" w:lineRule="auto"/>
        <w:ind w:left="360"/>
        <w:jc w:val="both"/>
        <w:rPr>
          <w:rFonts w:ascii="Arial" w:eastAsia="Arial" w:hAnsi="Arial" w:cs="Arial"/>
          <w:color w:val="000000"/>
          <w:sz w:val="22"/>
          <w:szCs w:val="22"/>
        </w:rPr>
      </w:pPr>
    </w:p>
    <w:p w14:paraId="1AAB1C49"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Upravičenec mora zadostiti zahtevam glede informiranja in obveščanja javnosti skladno s 47. in 50. členom Uredbe 2021/1060/EU, veljavnimi Navodili organa upravljanja na področju zagotavljanja prepoznavnosti, preglednosti in komuniciranja evropske kohezijske politike v obdobju 2021–2027</w:t>
      </w:r>
      <w:r>
        <w:rPr>
          <w:rFonts w:ascii="Arial" w:eastAsia="Arial" w:hAnsi="Arial" w:cs="Arial"/>
          <w:color w:val="000000"/>
          <w:vertAlign w:val="superscript"/>
        </w:rPr>
        <w:footnoteReference w:id="22"/>
      </w:r>
      <w:r>
        <w:rPr>
          <w:rFonts w:ascii="Arial" w:eastAsia="Arial" w:hAnsi="Arial" w:cs="Arial"/>
          <w:color w:val="000000"/>
        </w:rPr>
        <w:t xml:space="preserve"> in Priročnikom celostne grafične podobe evropske kohezijske politike 2021-2027</w:t>
      </w:r>
      <w:r>
        <w:rPr>
          <w:rFonts w:ascii="Arial" w:eastAsia="Arial" w:hAnsi="Arial" w:cs="Arial"/>
          <w:color w:val="000000"/>
          <w:vertAlign w:val="superscript"/>
        </w:rPr>
        <w:footnoteReference w:id="23"/>
      </w:r>
      <w:r>
        <w:rPr>
          <w:rFonts w:ascii="Arial" w:eastAsia="Arial" w:hAnsi="Arial" w:cs="Arial"/>
          <w:color w:val="000000"/>
        </w:rPr>
        <w:t xml:space="preserve">. </w:t>
      </w:r>
    </w:p>
    <w:p w14:paraId="3168D817"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Upravičenec mora najkasneje 14 dni po podpisu pogodbe na svoji spletni strani ali/in družbenih omrežjih objaviti informacijo o operaciji, ki je predmet sofinanciranja (naziv operacije, celotno vrednost operacije ter znesek sofinanciranja, datum pričetka in zaključka operacije). Navesti mora tudi kratko predstavitev operacije, ki mora vsebovati namen in cilje oziroma kazalnike, ki bodo z operacijo doseženi. Ob zaključku operacije se objavijo tudi doseženi rezultati. Pri objavi mora biti na vidnem mestu prikazan logotipa vira financiranja.</w:t>
      </w:r>
    </w:p>
    <w:p w14:paraId="7717597A" w14:textId="65E3CF4F"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Pomembna obveznost upravičenca je tudi pravilen in dobro viden prikaz emblema EU z izjavo o (so)financiranju EU ter logotipa I </w:t>
      </w:r>
      <w:proofErr w:type="spellStart"/>
      <w:r>
        <w:rPr>
          <w:rFonts w:ascii="Arial" w:eastAsia="Arial" w:hAnsi="Arial" w:cs="Arial"/>
          <w:color w:val="000000"/>
        </w:rPr>
        <w:t>feel</w:t>
      </w:r>
      <w:proofErr w:type="spellEnd"/>
      <w:r>
        <w:rPr>
          <w:rFonts w:ascii="Arial" w:eastAsia="Arial" w:hAnsi="Arial" w:cs="Arial"/>
          <w:color w:val="000000"/>
        </w:rPr>
        <w:t xml:space="preserve"> </w:t>
      </w:r>
      <w:proofErr w:type="spellStart"/>
      <w:r>
        <w:rPr>
          <w:rFonts w:ascii="Arial" w:eastAsia="Arial" w:hAnsi="Arial" w:cs="Arial"/>
          <w:color w:val="000000"/>
        </w:rPr>
        <w:t>Slovenia</w:t>
      </w:r>
      <w:proofErr w:type="spellEnd"/>
      <w:r>
        <w:rPr>
          <w:rFonts w:ascii="Arial" w:eastAsia="Arial" w:hAnsi="Arial" w:cs="Arial"/>
          <w:color w:val="000000"/>
        </w:rPr>
        <w:t xml:space="preserve"> za prikaz prispevka Republike Slovenije. Poleg tega je prijavitelj zavezan v dokumente in komunikacijska gradiva, ki zadevajo izvajanje operacije in so namenjeni javnosti in ostalim  deležnikom, vključiti prej omenjene obvezne elemente označevanja, ki so dostopni na: </w:t>
      </w:r>
      <w:hyperlink r:id="rId42">
        <w:r>
          <w:rPr>
            <w:rFonts w:ascii="Arial" w:eastAsia="Arial" w:hAnsi="Arial" w:cs="Arial"/>
            <w:color w:val="0000FF"/>
            <w:u w:val="single"/>
          </w:rPr>
          <w:t>https://evropskasredstva.si/evropska-kohezijska-politika/navodila-in-smernice/</w:t>
        </w:r>
      </w:hyperlink>
      <w:r>
        <w:rPr>
          <w:rFonts w:ascii="Arial" w:eastAsia="Arial" w:hAnsi="Arial" w:cs="Arial"/>
          <w:color w:val="000000"/>
        </w:rPr>
        <w:t>.</w:t>
      </w:r>
      <w:bookmarkStart w:id="68" w:name="_u9aldwtki5gd" w:colFirst="0" w:colLast="0"/>
      <w:bookmarkEnd w:id="68"/>
    </w:p>
    <w:p w14:paraId="68E00F89" w14:textId="77777777" w:rsidR="00652D66" w:rsidRDefault="00652D66">
      <w:pPr>
        <w:pBdr>
          <w:top w:val="nil"/>
          <w:left w:val="nil"/>
          <w:bottom w:val="nil"/>
          <w:right w:val="nil"/>
          <w:between w:val="nil"/>
        </w:pBdr>
        <w:spacing w:line="276" w:lineRule="auto"/>
        <w:jc w:val="both"/>
        <w:rPr>
          <w:rFonts w:ascii="Arial" w:eastAsia="Arial" w:hAnsi="Arial" w:cs="Arial"/>
          <w:color w:val="000000"/>
        </w:rPr>
      </w:pPr>
    </w:p>
    <w:p w14:paraId="55D092BB" w14:textId="4537A95B" w:rsidR="000755BA" w:rsidRDefault="00EF6514" w:rsidP="00EF6514">
      <w:pPr>
        <w:pStyle w:val="Naslov2"/>
        <w:ind w:left="284"/>
      </w:pPr>
      <w:bookmarkStart w:id="69" w:name="_Toc239072475"/>
      <w:r>
        <w:lastRenderedPageBreak/>
        <w:t>1</w:t>
      </w:r>
      <w:r w:rsidR="00652D66">
        <w:t>6</w:t>
      </w:r>
      <w:r>
        <w:t xml:space="preserve">. </w:t>
      </w:r>
      <w:r w:rsidR="00EF1395">
        <w:t>Zahteve glede hranjenja dokumentacije in spremljanja ter evidentiranja</w:t>
      </w:r>
      <w:bookmarkEnd w:id="69"/>
      <w:r w:rsidR="00EF1395">
        <w:t xml:space="preserve"> </w:t>
      </w:r>
    </w:p>
    <w:p w14:paraId="3D9A020D" w14:textId="77777777" w:rsidR="000755BA" w:rsidRDefault="000755BA">
      <w:pPr>
        <w:pBdr>
          <w:top w:val="nil"/>
          <w:left w:val="nil"/>
          <w:bottom w:val="nil"/>
          <w:right w:val="nil"/>
          <w:between w:val="nil"/>
        </w:pBdr>
        <w:spacing w:line="276" w:lineRule="auto"/>
        <w:ind w:left="360"/>
        <w:jc w:val="both"/>
        <w:rPr>
          <w:rFonts w:ascii="Arial" w:eastAsia="Arial" w:hAnsi="Arial" w:cs="Arial"/>
          <w:color w:val="000000"/>
          <w:sz w:val="22"/>
          <w:szCs w:val="22"/>
        </w:rPr>
      </w:pPr>
    </w:p>
    <w:p w14:paraId="584D78B3"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Upravičenec bo dolžan zagotavljati dostopnost in hrambo celotne originalne dokumentacije, vezane na operacijo, in zagotavljati ministrstvu in drugim nadzornim organom vpogled v navedeno dokumentacijo za potrebe prihodnjih preverjanj skladno s pravili Evropske unije in zakonodaje Republike Slovenije še 10 (deset) let po njenem zaključku. V primeru neskladja rokov veljajo določila Uredbe (EU) 2021/1060/EU.</w:t>
      </w:r>
    </w:p>
    <w:p w14:paraId="2F1C4BE9"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137DC9B" w14:textId="05889AB4" w:rsidR="00055D6B" w:rsidRDefault="00EF1395" w:rsidP="00EF6514">
      <w:pPr>
        <w:pBdr>
          <w:top w:val="nil"/>
          <w:left w:val="nil"/>
          <w:bottom w:val="nil"/>
          <w:right w:val="nil"/>
          <w:between w:val="nil"/>
        </w:pBdr>
        <w:tabs>
          <w:tab w:val="left" w:pos="426"/>
        </w:tabs>
        <w:spacing w:line="276" w:lineRule="auto"/>
        <w:jc w:val="both"/>
        <w:rPr>
          <w:rFonts w:ascii="Arial" w:eastAsia="Arial" w:hAnsi="Arial" w:cs="Arial"/>
          <w:color w:val="000000"/>
        </w:rPr>
      </w:pPr>
      <w:r>
        <w:rPr>
          <w:rFonts w:ascii="Arial" w:eastAsia="Arial" w:hAnsi="Arial" w:cs="Arial"/>
          <w:color w:val="000000"/>
        </w:rPr>
        <w:t xml:space="preserve">V skladu s 74. členom Uredbe (EU) 2021/1060/EU mora upravičenec voditi in spremljati porabo sredstev za operacijo računovodsko ločeno na posebnem stroškovnem mestu ali po ustrezni računovodski kodi za vse transakcije v zvezi z operacijo, tako da je v vsakem trenutku zagotovljen pregled nad namensko porabo sredstev, ne glede na računovodska pravila Republike Slovenije. Navedeno ne velja za poenostavljene oblike nepovratnih sredstev, za kar pa bo upravičenec dolžan na istem stroškovnem mestu voditi in spremljati prejeta sredstva za operacijo. </w:t>
      </w:r>
    </w:p>
    <w:p w14:paraId="3FEFCE7F" w14:textId="62D0C67E" w:rsidR="000755BA" w:rsidRDefault="00EF6514" w:rsidP="00EF6514">
      <w:pPr>
        <w:pStyle w:val="Naslov2"/>
        <w:ind w:left="284"/>
      </w:pPr>
      <w:bookmarkStart w:id="70" w:name="_Toc239072476"/>
      <w:r>
        <w:t>1</w:t>
      </w:r>
      <w:r w:rsidR="00652D66">
        <w:t>7</w:t>
      </w:r>
      <w:r>
        <w:t xml:space="preserve">. </w:t>
      </w:r>
      <w:r w:rsidR="00EF1395">
        <w:t>Zahteve glede dostopnosti dokumentacije nadzornim organom</w:t>
      </w:r>
      <w:bookmarkEnd w:id="70"/>
    </w:p>
    <w:p w14:paraId="6DD1B99F" w14:textId="77777777" w:rsidR="000755BA" w:rsidRDefault="000755BA">
      <w:pPr>
        <w:pBdr>
          <w:top w:val="nil"/>
          <w:left w:val="nil"/>
          <w:bottom w:val="nil"/>
          <w:right w:val="nil"/>
          <w:between w:val="nil"/>
        </w:pBdr>
        <w:spacing w:line="276" w:lineRule="auto"/>
        <w:ind w:left="360"/>
        <w:jc w:val="both"/>
        <w:rPr>
          <w:rFonts w:ascii="Arial" w:eastAsia="Arial" w:hAnsi="Arial" w:cs="Arial"/>
          <w:color w:val="000000"/>
          <w:sz w:val="22"/>
          <w:szCs w:val="22"/>
        </w:rPr>
      </w:pPr>
    </w:p>
    <w:p w14:paraId="21CB00A6"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Upravičenec mora omogočiti tehnični, administrativni in finančni nadzor nad izvajanjem operacije. Nadzor se izvaja s strani ministrstva kot posredniškega organa, organa upravljanja, organa za potrjevanje, revizijskega organa ter drugih slovenskih in evropskih nadzornih in revizijskih organov, vključenih v izvajanje, upravljanje, nadzor ali revizijo projekta Programa evropske kohezijske politike v obdobju 2021-2027 v Sloveniji, predstavnikov Evropske komisije, Evropskega računskega sodišča in Računskega sodišča RS ter njihovih pooblaščencev (v nadaljevanju: nadzorni organi).</w:t>
      </w:r>
    </w:p>
    <w:p w14:paraId="3F43ECBC" w14:textId="23366A41" w:rsidR="00652D66"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Upravičenec bo moral nadzornim organom predložiti vse dokumente, ki izkazujejo resničnost, pravilnost in skladnost upravičenih stroškov sofinancirane operacije. V primeru preverjanja na kraju samem bo upravičenec moral omogočiti vpogled v računalniške in računovodske programe, listine in postopke v zvezi z izvajanjem operacije ter v rezultate operacije (iz dokumentarnih in informacijskih sistemov). Upravičenec bo o izvedbi preverjanja na kraju samem predhodno pisno obveščen, ministrstvo ali drug nadzorni organ pa lahko opravi pregled na terenu tudi brez predhodne najave.  Upravičenec bo dolžan ukrepati skladno s priporočili iz končnih poročil nadzornih organov in redno obveščati ministrstvo o izvedenih ukrepih.</w:t>
      </w:r>
      <w:bookmarkStart w:id="71" w:name="_vc4ivqczcrmq" w:colFirst="0" w:colLast="0"/>
      <w:bookmarkEnd w:id="71"/>
    </w:p>
    <w:p w14:paraId="4A549F77" w14:textId="6275EA77" w:rsidR="000755BA" w:rsidRPr="00652D66" w:rsidRDefault="00652D66" w:rsidP="008F1114">
      <w:pPr>
        <w:pStyle w:val="Naslov2"/>
        <w:ind w:left="709" w:hanging="425"/>
      </w:pPr>
      <w:bookmarkStart w:id="72" w:name="_Toc239072477"/>
      <w:r w:rsidRPr="00652D66">
        <w:t xml:space="preserve">18. </w:t>
      </w:r>
      <w:r w:rsidR="00EF1395" w:rsidRPr="00652D66">
        <w:t>Načelo »ne škoduj bistveno« (DNSH) v smislu 17. člena Uredbe (EU) 2020/852 in spodbujanje trajnostnega razvoja</w:t>
      </w:r>
      <w:bookmarkEnd w:id="72"/>
    </w:p>
    <w:p w14:paraId="2B7682EE"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C89B11C"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Javni razpis zaradi svoje narave nima bistvenega škodljivega vpliva na katerega koli od šestih </w:t>
      </w:r>
      <w:proofErr w:type="spellStart"/>
      <w:r>
        <w:rPr>
          <w:rFonts w:ascii="Arial" w:eastAsia="Arial" w:hAnsi="Arial" w:cs="Arial"/>
          <w:color w:val="000000"/>
        </w:rPr>
        <w:t>okoljskih</w:t>
      </w:r>
      <w:proofErr w:type="spellEnd"/>
      <w:r>
        <w:rPr>
          <w:rFonts w:ascii="Arial" w:eastAsia="Arial" w:hAnsi="Arial" w:cs="Arial"/>
          <w:color w:val="000000"/>
        </w:rPr>
        <w:t xml:space="preserve"> ciljev oziroma je ta vpliv nepomemben.</w:t>
      </w:r>
    </w:p>
    <w:p w14:paraId="495C7868"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B8403B8"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Javni razpis, ki podpira vzpostavitev upravljanja turizma na regijski ravni ter na ravni perspektivnih </w:t>
      </w:r>
      <w:proofErr w:type="spellStart"/>
      <w:r>
        <w:rPr>
          <w:rFonts w:ascii="Arial" w:eastAsia="Arial" w:hAnsi="Arial" w:cs="Arial"/>
          <w:color w:val="000000"/>
        </w:rPr>
        <w:t>destinacijskih</w:t>
      </w:r>
      <w:proofErr w:type="spellEnd"/>
      <w:r>
        <w:rPr>
          <w:rFonts w:ascii="Arial" w:eastAsia="Arial" w:hAnsi="Arial" w:cs="Arial"/>
          <w:color w:val="000000"/>
        </w:rPr>
        <w:t xml:space="preserve"> organizacij, ne posega v prostor oz. je poseg v prostor zanemarljiv in nima nikakršnega negativnega vpliva na naravo in bivalno okolje, temveč ravno nasprotno, spodbuja izboljšanje </w:t>
      </w:r>
      <w:proofErr w:type="spellStart"/>
      <w:r>
        <w:rPr>
          <w:rFonts w:ascii="Arial" w:eastAsia="Arial" w:hAnsi="Arial" w:cs="Arial"/>
          <w:color w:val="000000"/>
        </w:rPr>
        <w:t>okoljskih</w:t>
      </w:r>
      <w:proofErr w:type="spellEnd"/>
      <w:r>
        <w:rPr>
          <w:rFonts w:ascii="Arial" w:eastAsia="Arial" w:hAnsi="Arial" w:cs="Arial"/>
          <w:color w:val="000000"/>
        </w:rPr>
        <w:t xml:space="preserve">, družbenih in upravljavskih dejavnikov poslovanja, kar bo pozitivno vplivalo na naravno in bivalno okolje. </w:t>
      </w:r>
    </w:p>
    <w:p w14:paraId="128FB729"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E72698D"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bookmarkStart w:id="73" w:name="_emy9cagw67t" w:colFirst="0" w:colLast="0"/>
      <w:bookmarkEnd w:id="73"/>
      <w:r>
        <w:rPr>
          <w:rFonts w:ascii="Arial" w:eastAsia="Arial" w:hAnsi="Arial" w:cs="Arial"/>
          <w:color w:val="000000"/>
        </w:rPr>
        <w:t xml:space="preserve">Izvajanje javnega razpisa ne spada v področje Zakona o varstvu okolja (Uradni list RS, št. 44/22, 18/23 – ZDU-1O, 78/23 – ZUNPEOVE, 23/24, 21/25 – ZOPVOOV, </w:t>
      </w:r>
      <w:hyperlink r:id="rId43">
        <w:r>
          <w:rPr>
            <w:rFonts w:ascii="Arial" w:eastAsia="Arial" w:hAnsi="Arial" w:cs="Arial"/>
            <w:color w:val="000000"/>
          </w:rPr>
          <w:t>56/25</w:t>
        </w:r>
      </w:hyperlink>
      <w:r>
        <w:rPr>
          <w:rFonts w:ascii="Arial" w:eastAsia="Arial" w:hAnsi="Arial" w:cs="Arial"/>
          <w:color w:val="000000"/>
        </w:rPr>
        <w:t xml:space="preserve"> – </w:t>
      </w:r>
      <w:proofErr w:type="spellStart"/>
      <w:r>
        <w:rPr>
          <w:rFonts w:ascii="Arial" w:eastAsia="Arial" w:hAnsi="Arial" w:cs="Arial"/>
          <w:color w:val="000000"/>
        </w:rPr>
        <w:t>PoZ</w:t>
      </w:r>
      <w:proofErr w:type="spellEnd"/>
      <w:r>
        <w:rPr>
          <w:rFonts w:ascii="Arial" w:eastAsia="Arial" w:hAnsi="Arial" w:cs="Arial"/>
          <w:color w:val="000000"/>
        </w:rPr>
        <w:t xml:space="preserve"> in </w:t>
      </w:r>
      <w:hyperlink r:id="rId44">
        <w:r>
          <w:rPr>
            <w:rFonts w:ascii="Arial" w:eastAsia="Arial" w:hAnsi="Arial" w:cs="Arial"/>
            <w:color w:val="000000"/>
          </w:rPr>
          <w:t>11/26</w:t>
        </w:r>
      </w:hyperlink>
      <w:r>
        <w:rPr>
          <w:rFonts w:ascii="Arial" w:eastAsia="Arial" w:hAnsi="Arial" w:cs="Arial"/>
          <w:color w:val="000000"/>
        </w:rPr>
        <w:t xml:space="preserve"> – </w:t>
      </w:r>
      <w:proofErr w:type="spellStart"/>
      <w:r>
        <w:rPr>
          <w:rFonts w:ascii="Arial" w:eastAsia="Arial" w:hAnsi="Arial" w:cs="Arial"/>
          <w:color w:val="000000"/>
        </w:rPr>
        <w:t>odl</w:t>
      </w:r>
      <w:proofErr w:type="spellEnd"/>
      <w:r>
        <w:rPr>
          <w:rFonts w:ascii="Arial" w:eastAsia="Arial" w:hAnsi="Arial" w:cs="Arial"/>
          <w:color w:val="000000"/>
        </w:rPr>
        <w:t xml:space="preserve">. US) ali drugega okoljskega predpisa, prav tako ni potrebno izvesti presoje vplivov na okolje ali vsebinske ocene  skladnosti ukrepa z načelom »ne škoduj bistveno« (do no </w:t>
      </w:r>
      <w:proofErr w:type="spellStart"/>
      <w:r>
        <w:rPr>
          <w:rFonts w:ascii="Arial" w:eastAsia="Arial" w:hAnsi="Arial" w:cs="Arial"/>
          <w:color w:val="000000"/>
        </w:rPr>
        <w:t>significant</w:t>
      </w:r>
      <w:proofErr w:type="spellEnd"/>
      <w:r>
        <w:rPr>
          <w:rFonts w:ascii="Arial" w:eastAsia="Arial" w:hAnsi="Arial" w:cs="Arial"/>
          <w:color w:val="000000"/>
        </w:rPr>
        <w:t xml:space="preserve"> </w:t>
      </w:r>
      <w:proofErr w:type="spellStart"/>
      <w:r>
        <w:rPr>
          <w:rFonts w:ascii="Arial" w:eastAsia="Arial" w:hAnsi="Arial" w:cs="Arial"/>
          <w:color w:val="000000"/>
        </w:rPr>
        <w:t>harm</w:t>
      </w:r>
      <w:proofErr w:type="spellEnd"/>
      <w:r>
        <w:rPr>
          <w:rFonts w:ascii="Arial" w:eastAsia="Arial" w:hAnsi="Arial" w:cs="Arial"/>
          <w:color w:val="000000"/>
        </w:rPr>
        <w:t xml:space="preserve"> – DNSH). Javni  razpis in z </w:t>
      </w:r>
      <w:r>
        <w:rPr>
          <w:rFonts w:ascii="Arial" w:eastAsia="Arial" w:hAnsi="Arial" w:cs="Arial"/>
          <w:color w:val="000000"/>
        </w:rPr>
        <w:lastRenderedPageBreak/>
        <w:t>njim povezane operacije za razvoj in upravljanje turističnih destinacij skladno z načelom DNSH v smislu 17.  člena Uredbe (EU) 2020/852:</w:t>
      </w:r>
    </w:p>
    <w:p w14:paraId="76480EE6" w14:textId="77777777" w:rsidR="000755BA" w:rsidRDefault="00EF1395">
      <w:pPr>
        <w:numPr>
          <w:ilvl w:val="0"/>
          <w:numId w:val="38"/>
        </w:numPr>
        <w:pBdr>
          <w:top w:val="nil"/>
          <w:left w:val="nil"/>
          <w:bottom w:val="nil"/>
          <w:right w:val="nil"/>
          <w:between w:val="nil"/>
        </w:pBdr>
        <w:spacing w:line="276" w:lineRule="auto"/>
        <w:ind w:left="426" w:hanging="284"/>
        <w:jc w:val="both"/>
        <w:rPr>
          <w:color w:val="000000"/>
        </w:rPr>
      </w:pPr>
      <w:r>
        <w:rPr>
          <w:rFonts w:ascii="Arial" w:eastAsia="Arial" w:hAnsi="Arial" w:cs="Arial"/>
          <w:color w:val="000000"/>
        </w:rPr>
        <w:t>ne bodo povzročile znatnih emisij toplogrednih plinov;</w:t>
      </w:r>
    </w:p>
    <w:p w14:paraId="4570951A" w14:textId="77777777" w:rsidR="000755BA" w:rsidRDefault="00EF1395">
      <w:pPr>
        <w:numPr>
          <w:ilvl w:val="0"/>
          <w:numId w:val="38"/>
        </w:numPr>
        <w:pBdr>
          <w:top w:val="nil"/>
          <w:left w:val="nil"/>
          <w:bottom w:val="nil"/>
          <w:right w:val="nil"/>
          <w:between w:val="nil"/>
        </w:pBdr>
        <w:spacing w:line="276" w:lineRule="auto"/>
        <w:ind w:left="426" w:hanging="284"/>
        <w:jc w:val="both"/>
        <w:rPr>
          <w:color w:val="000000"/>
        </w:rPr>
      </w:pPr>
      <w:r>
        <w:rPr>
          <w:rFonts w:ascii="Arial" w:eastAsia="Arial" w:hAnsi="Arial" w:cs="Arial"/>
          <w:color w:val="000000"/>
        </w:rPr>
        <w:t>ne bodo imele negativnih vplivov na podnebje (na trenutno in pričakovano stanje);</w:t>
      </w:r>
    </w:p>
    <w:p w14:paraId="0B14D08E" w14:textId="77777777" w:rsidR="000755BA" w:rsidRDefault="00EF1395">
      <w:pPr>
        <w:numPr>
          <w:ilvl w:val="0"/>
          <w:numId w:val="38"/>
        </w:numPr>
        <w:pBdr>
          <w:top w:val="nil"/>
          <w:left w:val="nil"/>
          <w:bottom w:val="nil"/>
          <w:right w:val="nil"/>
          <w:between w:val="nil"/>
        </w:pBdr>
        <w:spacing w:line="276" w:lineRule="auto"/>
        <w:ind w:left="426" w:hanging="284"/>
        <w:jc w:val="both"/>
        <w:rPr>
          <w:color w:val="000000"/>
        </w:rPr>
      </w:pPr>
      <w:r>
        <w:rPr>
          <w:rFonts w:ascii="Arial" w:eastAsia="Arial" w:hAnsi="Arial" w:cs="Arial"/>
          <w:color w:val="000000"/>
        </w:rPr>
        <w:t>nimajo negativnih vplivov na trajnostno rabo in varstvo vodnih in morskih virov;</w:t>
      </w:r>
    </w:p>
    <w:p w14:paraId="38917D5A" w14:textId="77777777" w:rsidR="000755BA" w:rsidRDefault="00EF1395">
      <w:pPr>
        <w:numPr>
          <w:ilvl w:val="0"/>
          <w:numId w:val="38"/>
        </w:numPr>
        <w:pBdr>
          <w:top w:val="nil"/>
          <w:left w:val="nil"/>
          <w:bottom w:val="nil"/>
          <w:right w:val="nil"/>
          <w:between w:val="nil"/>
        </w:pBdr>
        <w:spacing w:line="276" w:lineRule="auto"/>
        <w:ind w:left="426" w:hanging="284"/>
        <w:jc w:val="both"/>
        <w:rPr>
          <w:color w:val="000000"/>
        </w:rPr>
      </w:pPr>
      <w:r>
        <w:rPr>
          <w:rFonts w:ascii="Arial" w:eastAsia="Arial" w:hAnsi="Arial" w:cs="Arial"/>
          <w:color w:val="000000"/>
        </w:rPr>
        <w:t>so skladne s konceptom krožnega gospodarstva (zmanjševanje odpadkov, kaskadna raba, daljše kroženje snovnih zank, uporaba najboljših tehnologij itd.);</w:t>
      </w:r>
    </w:p>
    <w:p w14:paraId="4082AE27" w14:textId="77777777" w:rsidR="000755BA" w:rsidRDefault="00EF1395">
      <w:pPr>
        <w:numPr>
          <w:ilvl w:val="0"/>
          <w:numId w:val="38"/>
        </w:numPr>
        <w:pBdr>
          <w:top w:val="nil"/>
          <w:left w:val="nil"/>
          <w:bottom w:val="nil"/>
          <w:right w:val="nil"/>
          <w:between w:val="nil"/>
        </w:pBdr>
        <w:spacing w:line="276" w:lineRule="auto"/>
        <w:ind w:left="426" w:hanging="284"/>
        <w:jc w:val="both"/>
        <w:rPr>
          <w:color w:val="000000"/>
        </w:rPr>
      </w:pPr>
      <w:r>
        <w:rPr>
          <w:rFonts w:ascii="Arial" w:eastAsia="Arial" w:hAnsi="Arial" w:cs="Arial"/>
          <w:color w:val="000000"/>
        </w:rPr>
        <w:t xml:space="preserve">ne bodo znatno povečale emisij, onesnaževale zraka, vode ali tal (izvedba programa je v skladu s prostorskimi načrti, normativi in standard itd.); </w:t>
      </w:r>
    </w:p>
    <w:p w14:paraId="705FDA71" w14:textId="77777777" w:rsidR="000755BA" w:rsidRDefault="00EF1395">
      <w:pPr>
        <w:numPr>
          <w:ilvl w:val="0"/>
          <w:numId w:val="38"/>
        </w:numPr>
        <w:pBdr>
          <w:top w:val="nil"/>
          <w:left w:val="nil"/>
          <w:bottom w:val="nil"/>
          <w:right w:val="nil"/>
          <w:between w:val="nil"/>
        </w:pBdr>
        <w:spacing w:line="276" w:lineRule="auto"/>
        <w:ind w:left="426" w:hanging="284"/>
        <w:jc w:val="both"/>
        <w:rPr>
          <w:color w:val="000000"/>
        </w:rPr>
      </w:pPr>
      <w:r>
        <w:rPr>
          <w:rFonts w:ascii="Arial" w:eastAsia="Arial" w:hAnsi="Arial" w:cs="Arial"/>
          <w:color w:val="000000"/>
        </w:rPr>
        <w:t xml:space="preserve">ne bodo bistveno škodljive za varstvo in ohranjanje biotske raznovrstnosti in ekosistemov. </w:t>
      </w:r>
    </w:p>
    <w:p w14:paraId="284C1DCF"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bookmarkStart w:id="74" w:name="_eos06gg9s3rn" w:colFirst="0" w:colLast="0"/>
      <w:bookmarkEnd w:id="74"/>
    </w:p>
    <w:p w14:paraId="5BA8A959" w14:textId="3F06C8C5" w:rsidR="00652D66" w:rsidRPr="00055D6B" w:rsidRDefault="00EF1395" w:rsidP="00055D6B">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Javni razpis vključuje različne 'mehke' ukrepe, ki po svoji naravi nimajo predvidljivega vpliva na nobenega izmed šestih </w:t>
      </w:r>
      <w:proofErr w:type="spellStart"/>
      <w:r>
        <w:rPr>
          <w:rFonts w:ascii="Arial" w:eastAsia="Arial" w:hAnsi="Arial" w:cs="Arial"/>
          <w:color w:val="000000"/>
        </w:rPr>
        <w:t>okoljskih</w:t>
      </w:r>
      <w:proofErr w:type="spellEnd"/>
      <w:r>
        <w:rPr>
          <w:rFonts w:ascii="Arial" w:eastAsia="Arial" w:hAnsi="Arial" w:cs="Arial"/>
          <w:color w:val="000000"/>
        </w:rPr>
        <w:t xml:space="preserve"> ciljev, ki bi bil povezan z neposrednimi in primarnimi posrednimi učinki ukrepa v življenjskem ciklu, oz. je ta vpliv nepomemben. Gre za sofinanciranje ukrepov, ki so mehke narave (upravljanje na </w:t>
      </w:r>
      <w:proofErr w:type="spellStart"/>
      <w:r>
        <w:rPr>
          <w:rFonts w:ascii="Arial" w:eastAsia="Arial" w:hAnsi="Arial" w:cs="Arial"/>
          <w:color w:val="000000"/>
        </w:rPr>
        <w:t>destinacijski</w:t>
      </w:r>
      <w:proofErr w:type="spellEnd"/>
      <w:r>
        <w:rPr>
          <w:rFonts w:ascii="Arial" w:eastAsia="Arial" w:hAnsi="Arial" w:cs="Arial"/>
          <w:color w:val="000000"/>
        </w:rPr>
        <w:t xml:space="preserve"> ravni, strateško načrtovanje, razvoj turističnih produktov na ravni destinacij), zato ni pričakovati neposrednih vplivov na </w:t>
      </w:r>
      <w:proofErr w:type="spellStart"/>
      <w:r>
        <w:rPr>
          <w:rFonts w:ascii="Arial" w:eastAsia="Arial" w:hAnsi="Arial" w:cs="Arial"/>
          <w:color w:val="000000"/>
        </w:rPr>
        <w:t>okoljske</w:t>
      </w:r>
      <w:proofErr w:type="spellEnd"/>
      <w:r>
        <w:rPr>
          <w:rFonts w:ascii="Arial" w:eastAsia="Arial" w:hAnsi="Arial" w:cs="Arial"/>
          <w:color w:val="000000"/>
        </w:rPr>
        <w:t xml:space="preserve"> cilje.</w:t>
      </w:r>
    </w:p>
    <w:p w14:paraId="5AE23911" w14:textId="481221E3" w:rsidR="000755BA" w:rsidRDefault="00652D66" w:rsidP="008F1114">
      <w:pPr>
        <w:pStyle w:val="Naslov2"/>
        <w:ind w:left="567" w:hanging="283"/>
      </w:pPr>
      <w:bookmarkStart w:id="75" w:name="_Toc239072478"/>
      <w:r>
        <w:t xml:space="preserve">19. </w:t>
      </w:r>
      <w:r w:rsidR="00EF1395">
        <w:t>Zagotavljanje skladnosti s horizontalnimi načeli (skladnost z načeli spoštovanja temeljnih pravic, spodbujanja enakih možnosti moških in žensk, preprečevanja diskriminacije in trajnostnega razvoja)</w:t>
      </w:r>
      <w:bookmarkEnd w:id="75"/>
    </w:p>
    <w:p w14:paraId="33B42BBA" w14:textId="77777777" w:rsidR="000755BA" w:rsidRDefault="000755BA">
      <w:pPr>
        <w:pBdr>
          <w:top w:val="nil"/>
          <w:left w:val="nil"/>
          <w:bottom w:val="nil"/>
          <w:right w:val="nil"/>
          <w:between w:val="nil"/>
        </w:pBdr>
        <w:spacing w:line="276" w:lineRule="auto"/>
        <w:ind w:left="360"/>
        <w:jc w:val="both"/>
        <w:rPr>
          <w:rFonts w:ascii="Arial" w:eastAsia="Arial" w:hAnsi="Arial" w:cs="Arial"/>
          <w:color w:val="000000"/>
          <w:sz w:val="22"/>
          <w:szCs w:val="22"/>
        </w:rPr>
      </w:pPr>
    </w:p>
    <w:p w14:paraId="21FE3D4A"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Upravičenec bo moral zagotoviti spoštovanje temeljnih pravic in skladnost z Listino Evropske unije o temeljnih pravicah, zagotoviti upoštevanje in spodbujanje enakih možnosti moških in žensk ter preprečiti vsako diskriminacijo na podlagi spola, rase ali narodnosti, vere ali prepričanja, starosti ali spolne usmerjenosti, zlasti v povezavi z dostopnostjo za invalide, med osebami, ki so, oziroma bodo vključene v izvajanje aktivnosti v okviru tega javnega razpisa, v skladu z zakonodajo, ki ureja področje zagotavljanja enakih možnosti, in Uredbo 2021/1060/EU.</w:t>
      </w:r>
    </w:p>
    <w:p w14:paraId="3181F4A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4793DDE6" w14:textId="7AF912A8" w:rsidR="00652D66"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Prijavitelj bo moral cilje operacije uresničevati v skladu z načelom trajnostnega razvoja in ob spodbujanju cilja Evropske unije o ohranjanju, varovanju in izboljšanju kakovosti okolja, ob upoštevanju načela onesnaževalec plača, v skladu z Uredbo (EU) 2021/1060/EU in ob upoštevanju ciljev ZN glede trajnostnega razvoja in Pariškega sporazuma.</w:t>
      </w:r>
    </w:p>
    <w:p w14:paraId="7E844E14" w14:textId="161A7111" w:rsidR="000755BA" w:rsidRDefault="00652D66" w:rsidP="00652D66">
      <w:pPr>
        <w:pStyle w:val="Naslov2"/>
        <w:ind w:left="284"/>
      </w:pPr>
      <w:bookmarkStart w:id="76" w:name="_Toc239072479"/>
      <w:r>
        <w:t xml:space="preserve">20. </w:t>
      </w:r>
      <w:r w:rsidR="00EF1395">
        <w:t>Varovanje osebnih podatkov in poslovna skrivnost</w:t>
      </w:r>
      <w:bookmarkEnd w:id="76"/>
      <w:r w:rsidR="00EF1395">
        <w:t xml:space="preserve"> </w:t>
      </w:r>
    </w:p>
    <w:p w14:paraId="34B44296" w14:textId="77777777" w:rsidR="000755BA" w:rsidRDefault="000755BA">
      <w:pPr>
        <w:pBdr>
          <w:top w:val="nil"/>
          <w:left w:val="nil"/>
          <w:bottom w:val="nil"/>
          <w:right w:val="nil"/>
          <w:between w:val="nil"/>
        </w:pBdr>
        <w:spacing w:line="276" w:lineRule="auto"/>
        <w:ind w:left="360"/>
        <w:jc w:val="both"/>
        <w:rPr>
          <w:rFonts w:ascii="Arial" w:eastAsia="Arial" w:hAnsi="Arial" w:cs="Arial"/>
          <w:color w:val="000000"/>
          <w:sz w:val="22"/>
          <w:szCs w:val="22"/>
        </w:rPr>
      </w:pPr>
    </w:p>
    <w:p w14:paraId="69BFE384" w14:textId="51F6AB7E" w:rsidR="000755BA" w:rsidRPr="002D0580" w:rsidRDefault="00EF1395">
      <w:pPr>
        <w:pBdr>
          <w:top w:val="nil"/>
          <w:left w:val="nil"/>
          <w:bottom w:val="nil"/>
          <w:right w:val="nil"/>
          <w:between w:val="nil"/>
        </w:pBdr>
        <w:spacing w:line="276" w:lineRule="auto"/>
        <w:jc w:val="both"/>
        <w:rPr>
          <w:rFonts w:ascii="Arial" w:hAnsi="Arial" w:cs="Arial"/>
        </w:rPr>
      </w:pPr>
      <w:bookmarkStart w:id="77" w:name="_wuob3olz60yb" w:colFirst="0" w:colLast="0"/>
      <w:bookmarkEnd w:id="77"/>
      <w:r>
        <w:rPr>
          <w:rFonts w:ascii="Arial" w:eastAsia="Arial" w:hAnsi="Arial" w:cs="Arial"/>
          <w:color w:val="000000"/>
        </w:rPr>
        <w:t xml:space="preserve">Obdelujejo se le tisti osebni podatki, ki jih je potrebno obdelovati za izpolnjevanje zadevnih obveznosti, navedenih v Uredbi 2021/1060/EU, zlasti za spremljanje, poročanje, komuniciranje, objavljanje, vrednotenje, finančno poslovanje, preverjanje in revizije ter po potrebi za določanje upravičenosti udeležencev. Osebni podatki se obdelujejo v skladu z Uredbo (EU) 2016/679 oziroma Uredbo (EU) 2018/1725 Evropskega parlamenta in Sveta ter v skladu s Splošno uredbo o varstvu podatkov in z Zakonom o varstvu osebnih podatkov. Več v Obvestilu Ministrstva za gospodarstvo, </w:t>
      </w:r>
      <w:r w:rsidR="002D0580">
        <w:rPr>
          <w:rFonts w:ascii="Arial" w:eastAsia="Arial" w:hAnsi="Arial" w:cs="Arial"/>
          <w:color w:val="000000"/>
        </w:rPr>
        <w:t>delo</w:t>
      </w:r>
      <w:r>
        <w:rPr>
          <w:rFonts w:ascii="Arial" w:eastAsia="Arial" w:hAnsi="Arial" w:cs="Arial"/>
          <w:color w:val="000000"/>
        </w:rPr>
        <w:t xml:space="preserve"> in šport o varstvu osebnih podatkov, ki je dostopno na spletni strani ministrstva: </w:t>
      </w:r>
      <w:hyperlink r:id="rId45" w:history="1">
        <w:r w:rsidR="002D0580" w:rsidRPr="002D0580">
          <w:rPr>
            <w:rFonts w:ascii="Arial" w:hAnsi="Arial" w:cs="Arial"/>
            <w:color w:val="0000FF"/>
            <w:u w:val="single"/>
          </w:rPr>
          <w:t>Obvestilo Ministrstva za gospodarstvo, delo in šport o varstvu osebnih podatkov | GOV.SI</w:t>
        </w:r>
      </w:hyperlink>
      <w:r w:rsidR="002D0580" w:rsidRPr="002D0580">
        <w:rPr>
          <w:rFonts w:ascii="Arial" w:hAnsi="Arial" w:cs="Arial"/>
        </w:rPr>
        <w:t>.</w:t>
      </w:r>
    </w:p>
    <w:p w14:paraId="7A00B8AB" w14:textId="77777777" w:rsidR="002D0580" w:rsidRDefault="002D0580">
      <w:pPr>
        <w:pBdr>
          <w:top w:val="nil"/>
          <w:left w:val="nil"/>
          <w:bottom w:val="nil"/>
          <w:right w:val="nil"/>
          <w:between w:val="nil"/>
        </w:pBdr>
        <w:spacing w:line="276" w:lineRule="auto"/>
        <w:jc w:val="both"/>
        <w:rPr>
          <w:rFonts w:ascii="Arial" w:eastAsia="Arial" w:hAnsi="Arial" w:cs="Arial"/>
          <w:color w:val="000000"/>
        </w:rPr>
      </w:pPr>
    </w:p>
    <w:p w14:paraId="01881DBE"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K varovanju osebnih podatkov in poslovnih skrivnosti v skladu z vsakokratno veljavnim predpisom, ki ureja varstvo osebnih podatkov in poslovnih skrivnosti, predvsem z Zakonom o varstvu osebnih podatkov (Uradni list RS, št. 163/22,  </w:t>
      </w:r>
      <w:hyperlink r:id="rId46">
        <w:r>
          <w:rPr>
            <w:rFonts w:ascii="Arial" w:eastAsia="Arial" w:hAnsi="Arial" w:cs="Arial"/>
            <w:color w:val="000000"/>
          </w:rPr>
          <w:t>40/25</w:t>
        </w:r>
      </w:hyperlink>
      <w:r>
        <w:rPr>
          <w:rFonts w:ascii="Arial" w:eastAsia="Arial" w:hAnsi="Arial" w:cs="Arial"/>
          <w:color w:val="000000"/>
        </w:rPr>
        <w:t> – ZInfV-1 in </w:t>
      </w:r>
      <w:hyperlink r:id="rId47">
        <w:r>
          <w:rPr>
            <w:rFonts w:ascii="Arial" w:eastAsia="Arial" w:hAnsi="Arial" w:cs="Arial"/>
            <w:color w:val="000000"/>
          </w:rPr>
          <w:t>10/26</w:t>
        </w:r>
      </w:hyperlink>
      <w:r>
        <w:rPr>
          <w:rFonts w:ascii="Arial" w:eastAsia="Arial" w:hAnsi="Arial" w:cs="Arial"/>
          <w:color w:val="000000"/>
        </w:rPr>
        <w:t xml:space="preserve"> – ZP-1L), Zakonom o poslovni skrivnosti (Uradni list RS, št. 22/2019 – </w:t>
      </w:r>
      <w:proofErr w:type="spellStart"/>
      <w:r>
        <w:rPr>
          <w:rFonts w:ascii="Arial" w:eastAsia="Arial" w:hAnsi="Arial" w:cs="Arial"/>
          <w:color w:val="000000"/>
        </w:rPr>
        <w:t>ZposS</w:t>
      </w:r>
      <w:proofErr w:type="spellEnd"/>
      <w:r>
        <w:rPr>
          <w:rFonts w:ascii="Arial" w:eastAsia="Arial" w:hAnsi="Arial" w:cs="Arial"/>
          <w:color w:val="000000"/>
        </w:rPr>
        <w:t xml:space="preserve">) bo zavezan tudi prijavitelj, če bo vloga na javnem razpisu izbrana in podpisana pogodba. Dolžan bo zagotoviti podpisano izjavo o varovanju osebnih podatkov za vsako </w:t>
      </w:r>
      <w:r>
        <w:rPr>
          <w:rFonts w:ascii="Arial" w:eastAsia="Arial" w:hAnsi="Arial" w:cs="Arial"/>
          <w:color w:val="000000"/>
        </w:rPr>
        <w:lastRenderedPageBreak/>
        <w:t>osebo, ki bo pri njem zbirala, obdelovala ali kako drugače dostopala do osebnih podatkov (vključno pri delu z informacijskim sistemom organa upravljanja).</w:t>
      </w:r>
    </w:p>
    <w:p w14:paraId="5DE9C3E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C0CA857"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Vsi podatki iz vlog, ki jih komisija odpre, so informacije javnega značaja, razen tistih podatkov, ki jih prijavitelj posebej označi, in sicer poslovne skrivnosti, osebni podatki in druge izjeme iz 6. člena Zakona o dostopu do informacij javnega značaja (Uradni list RS, št. 51/06 – uradno prečiščeno besedilo, 117/06-ZdavP-2, 23/14, 50/14, 19/15 – </w:t>
      </w:r>
      <w:proofErr w:type="spellStart"/>
      <w:r>
        <w:rPr>
          <w:rFonts w:ascii="Arial" w:eastAsia="Arial" w:hAnsi="Arial" w:cs="Arial"/>
          <w:color w:val="000000"/>
        </w:rPr>
        <w:t>odl</w:t>
      </w:r>
      <w:proofErr w:type="spellEnd"/>
      <w:r>
        <w:rPr>
          <w:rFonts w:ascii="Arial" w:eastAsia="Arial" w:hAnsi="Arial" w:cs="Arial"/>
          <w:color w:val="000000"/>
        </w:rPr>
        <w:t>. US, 7/18, 141/22 in </w:t>
      </w:r>
      <w:hyperlink r:id="rId48">
        <w:r>
          <w:rPr>
            <w:rFonts w:ascii="Arial" w:eastAsia="Arial" w:hAnsi="Arial" w:cs="Arial"/>
            <w:color w:val="000000"/>
          </w:rPr>
          <w:t>40/25</w:t>
        </w:r>
      </w:hyperlink>
      <w:r>
        <w:rPr>
          <w:rFonts w:ascii="Arial" w:eastAsia="Arial" w:hAnsi="Arial" w:cs="Arial"/>
          <w:color w:val="000000"/>
        </w:rPr>
        <w:t xml:space="preserve"> – ZInfV-1, v nadaljevanju: ZDIJZ), ki niso javno dostopne in tako ne smejo biti razkrite oz. dostopne javnosti. Poslovna skrivnost se lahko nanaša na posamezen podatek ali na del vloge, ne more pa se nanašati na celotno vlogo. Prijavitelj mora pojasniti, zakaj posamezen podatek ne sme biti dostopen javnosti kot informacija javnega značaja. Če prijavitelj ne označi in razloži takšnih podatkov v vlogi, bo ministrstvo lahko domnevalo, da vloga po stališču prijavitelja ne vsebuje poslovnih skrivnosti in drugih izjem iz 6. člena ZDIJZ. </w:t>
      </w:r>
    </w:p>
    <w:p w14:paraId="3CA304D9"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4FDBA65"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Namen obdelave osebnih podatkov, ki jih ministrstvu posredujejo prijavitelji oziroma upravičenci je izvedba javnega razpisa, vodenje podatkov, evidenc, analiz in drugih zbirk za ministrstvo in nadzorne organe in sicer o izidu javnega razpisa in o izvajanju pogodbe o dodelitvi sredstev. Nadalje je namen obdelave osebnih podatkov tudi izdelava študij in vrednotenj, sodelovanje in priprava oziroma izdelava vlog v postopkih pred pristojnimi organi (postopki pred sodnimi, preiskovalnimi ali drugimi pristojnimi organi). Osebni podatki se bodo obdelovali tudi za namene učinkovitega delovanja informacijskih sistemov ali pripomočkov, ki jih uporablja ali jih je dolžno uporabljati ministrstvo.</w:t>
      </w:r>
    </w:p>
    <w:p w14:paraId="24E48C0F" w14:textId="7AC3E9F5"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Podatki o sofinanciranih projektih, za katere je tako določeno s predpisi, ali, ki so javnega značaja, se bodo objavili. Objavljen bo seznam upravičencev, ki bo obsegal navedbo upravičenca, naziv operacije, </w:t>
      </w:r>
      <w:r w:rsidR="00671709">
        <w:rPr>
          <w:rFonts w:ascii="Arial" w:eastAsia="Arial" w:hAnsi="Arial" w:cs="Arial"/>
          <w:color w:val="000000"/>
        </w:rPr>
        <w:t>kohezijsko regijo</w:t>
      </w:r>
      <w:r>
        <w:rPr>
          <w:rFonts w:ascii="Arial" w:eastAsia="Arial" w:hAnsi="Arial" w:cs="Arial"/>
          <w:color w:val="000000"/>
        </w:rPr>
        <w:t xml:space="preserve"> upravičenca in znesek javnih virov financiranja projekta. Objave podatkov o projektu in upravičencih do sredstev bodo izvedene v skladu z ZDIJZ.</w:t>
      </w:r>
    </w:p>
    <w:p w14:paraId="6EDDED58"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2E73743"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Skladno z drugim odstavkom 69. člena Uredbe 2021/1060/EU je potrebno zagotavljati podatke o dejanskih lastnikih upravičenca in </w:t>
      </w:r>
      <w:proofErr w:type="spellStart"/>
      <w:r>
        <w:rPr>
          <w:rFonts w:ascii="Arial" w:eastAsia="Arial" w:hAnsi="Arial" w:cs="Arial"/>
          <w:color w:val="000000"/>
        </w:rPr>
        <w:t>konzorcijskih</w:t>
      </w:r>
      <w:proofErr w:type="spellEnd"/>
      <w:r>
        <w:rPr>
          <w:rFonts w:ascii="Arial" w:eastAsia="Arial" w:hAnsi="Arial" w:cs="Arial"/>
          <w:color w:val="000000"/>
        </w:rPr>
        <w:t xml:space="preserve"> partnerjev, pa tudi podatke o dejanskih lastnikih izvajalca/cev in podizvajalca/cev, kadar je upravičenec ali </w:t>
      </w:r>
      <w:proofErr w:type="spellStart"/>
      <w:r>
        <w:rPr>
          <w:rFonts w:ascii="Arial" w:eastAsia="Arial" w:hAnsi="Arial" w:cs="Arial"/>
          <w:color w:val="000000"/>
        </w:rPr>
        <w:t>konzorcijski</w:t>
      </w:r>
      <w:proofErr w:type="spellEnd"/>
      <w:r>
        <w:rPr>
          <w:rFonts w:ascii="Arial" w:eastAsia="Arial" w:hAnsi="Arial" w:cs="Arial"/>
          <w:color w:val="000000"/>
        </w:rPr>
        <w:t xml:space="preserve"> partner javni naročnik v skladu z ZJN-3. Dejanski lastniki so opredeljeni v Zakonu o preprečevanju pranja denarja in financiranja terorizma. Kadar je upravičenec ali </w:t>
      </w:r>
      <w:proofErr w:type="spellStart"/>
      <w:r>
        <w:rPr>
          <w:rFonts w:ascii="Arial" w:eastAsia="Arial" w:hAnsi="Arial" w:cs="Arial"/>
          <w:color w:val="000000"/>
        </w:rPr>
        <w:t>konzorcijski</w:t>
      </w:r>
      <w:proofErr w:type="spellEnd"/>
      <w:r>
        <w:rPr>
          <w:rFonts w:ascii="Arial" w:eastAsia="Arial" w:hAnsi="Arial" w:cs="Arial"/>
          <w:color w:val="000000"/>
        </w:rPr>
        <w:t xml:space="preserve"> partner zavezan k vpisu podatkov v Register dejanskih lastnikov, ki ga vzdržuje in upravlja Agencija Republike Slovenije za javnopravne evidence in storitve (AJPES), se šteje, da so podatki o njegovih dejanskih lastnikih razvidni iz omenjenega registra. Za ostale primere pa bo upravičenec s podpisom pogodbe o dodelitvi sredstev zavezan, da na poziv ministrstva in v roku, postavljenem v pozivu, ministrstvu posreduje te podatke. Potrebno je zagotavljati naslednje podatke dejanskih lastnikov: ime, priimek, datum rojstva in ID za DDV oziroma davčno številko.</w:t>
      </w:r>
    </w:p>
    <w:p w14:paraId="0B3FED92"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E89A08E"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S prijavo na javni razpis se prijavitelj strinja, da javni uslužbenci z namenom preverjanja vloge in odločitve o sofinanciranju </w:t>
      </w:r>
      <w:proofErr w:type="spellStart"/>
      <w:r>
        <w:rPr>
          <w:rFonts w:ascii="Arial" w:eastAsia="Arial" w:hAnsi="Arial" w:cs="Arial"/>
          <w:color w:val="000000"/>
        </w:rPr>
        <w:t>vpogledajo</w:t>
      </w:r>
      <w:proofErr w:type="spellEnd"/>
      <w:r>
        <w:rPr>
          <w:rFonts w:ascii="Arial" w:eastAsia="Arial" w:hAnsi="Arial" w:cs="Arial"/>
          <w:color w:val="000000"/>
        </w:rPr>
        <w:t xml:space="preserve"> v vlogo vključno z deli, ki so označeni kot poslovna skrivnost, saj je vpogled v te dele potreben za izdelavo ocene vloge in izpolnjenosti pogojev s strani ministrstva.</w:t>
      </w:r>
    </w:p>
    <w:p w14:paraId="70E128FF"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bookmarkStart w:id="78" w:name="_zcqpas75x2n2" w:colFirst="0" w:colLast="0"/>
      <w:bookmarkEnd w:id="78"/>
    </w:p>
    <w:p w14:paraId="47A68C19" w14:textId="26D53223"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Več o varstvu osebnih podatkov in varovanju poslovnih skrivnosti je navedeno v Prilogi št. 4:  Varovanje osebnih podatkov in poslovnih skrivnosti kot delu razpisne dokumentacije.</w:t>
      </w:r>
    </w:p>
    <w:p w14:paraId="3DDD14E6" w14:textId="77777777" w:rsidR="008F1114" w:rsidRDefault="008F1114">
      <w:pPr>
        <w:pBdr>
          <w:top w:val="nil"/>
          <w:left w:val="nil"/>
          <w:bottom w:val="nil"/>
          <w:right w:val="nil"/>
          <w:between w:val="nil"/>
        </w:pBdr>
        <w:spacing w:line="276" w:lineRule="auto"/>
        <w:jc w:val="both"/>
        <w:rPr>
          <w:rFonts w:ascii="Arial" w:eastAsia="Arial" w:hAnsi="Arial" w:cs="Arial"/>
          <w:color w:val="000000"/>
        </w:rPr>
      </w:pPr>
    </w:p>
    <w:p w14:paraId="34275DD8" w14:textId="77777777" w:rsidR="008F1114" w:rsidRDefault="008F1114">
      <w:pPr>
        <w:pBdr>
          <w:top w:val="nil"/>
          <w:left w:val="nil"/>
          <w:bottom w:val="nil"/>
          <w:right w:val="nil"/>
          <w:between w:val="nil"/>
        </w:pBdr>
        <w:spacing w:line="276" w:lineRule="auto"/>
        <w:jc w:val="both"/>
        <w:rPr>
          <w:rFonts w:ascii="Arial" w:eastAsia="Arial" w:hAnsi="Arial" w:cs="Arial"/>
          <w:color w:val="000000"/>
        </w:rPr>
      </w:pPr>
    </w:p>
    <w:p w14:paraId="23D6EDA5" w14:textId="77777777" w:rsidR="008F1114" w:rsidRDefault="008F1114">
      <w:pPr>
        <w:pBdr>
          <w:top w:val="nil"/>
          <w:left w:val="nil"/>
          <w:bottom w:val="nil"/>
          <w:right w:val="nil"/>
          <w:between w:val="nil"/>
        </w:pBdr>
        <w:spacing w:line="276" w:lineRule="auto"/>
        <w:jc w:val="both"/>
        <w:rPr>
          <w:rFonts w:ascii="Arial" w:eastAsia="Arial" w:hAnsi="Arial" w:cs="Arial"/>
          <w:color w:val="000000"/>
        </w:rPr>
      </w:pPr>
    </w:p>
    <w:p w14:paraId="7942420E" w14:textId="77777777" w:rsidR="008F1114" w:rsidRDefault="008F1114">
      <w:pPr>
        <w:pBdr>
          <w:top w:val="nil"/>
          <w:left w:val="nil"/>
          <w:bottom w:val="nil"/>
          <w:right w:val="nil"/>
          <w:between w:val="nil"/>
        </w:pBdr>
        <w:spacing w:line="276" w:lineRule="auto"/>
        <w:jc w:val="both"/>
        <w:rPr>
          <w:rFonts w:ascii="Arial" w:eastAsia="Arial" w:hAnsi="Arial" w:cs="Arial"/>
          <w:color w:val="000000"/>
        </w:rPr>
      </w:pPr>
    </w:p>
    <w:p w14:paraId="6FDA3F21" w14:textId="77777777" w:rsidR="008F1114" w:rsidRDefault="008F1114">
      <w:pPr>
        <w:pBdr>
          <w:top w:val="nil"/>
          <w:left w:val="nil"/>
          <w:bottom w:val="nil"/>
          <w:right w:val="nil"/>
          <w:between w:val="nil"/>
        </w:pBdr>
        <w:spacing w:line="276" w:lineRule="auto"/>
        <w:jc w:val="both"/>
        <w:rPr>
          <w:rFonts w:ascii="Arial" w:eastAsia="Arial" w:hAnsi="Arial" w:cs="Arial"/>
          <w:color w:val="000000"/>
        </w:rPr>
      </w:pPr>
    </w:p>
    <w:p w14:paraId="14DB5165" w14:textId="2FBD1D64" w:rsidR="000755BA" w:rsidRDefault="00652D66" w:rsidP="008F1114">
      <w:pPr>
        <w:pStyle w:val="Naslov2"/>
        <w:ind w:left="851" w:hanging="425"/>
      </w:pPr>
      <w:bookmarkStart w:id="79" w:name="_w2zi5y9md5b" w:colFirst="0" w:colLast="0"/>
      <w:bookmarkStart w:id="80" w:name="_Toc239072480"/>
      <w:bookmarkEnd w:id="79"/>
      <w:r>
        <w:lastRenderedPageBreak/>
        <w:t xml:space="preserve">21. </w:t>
      </w:r>
      <w:r w:rsidR="00EF1395">
        <w:t>Zahteve glede spremljanja in vrednotenja doseganja mejnikov, rezultatov in kazalnikov operacije</w:t>
      </w:r>
      <w:bookmarkEnd w:id="80"/>
    </w:p>
    <w:p w14:paraId="3CCE5F6A" w14:textId="77777777" w:rsidR="000755BA" w:rsidRDefault="000755BA">
      <w:pPr>
        <w:pBdr>
          <w:top w:val="nil"/>
          <w:left w:val="nil"/>
          <w:bottom w:val="nil"/>
          <w:right w:val="nil"/>
          <w:between w:val="nil"/>
        </w:pBdr>
        <w:spacing w:line="276" w:lineRule="auto"/>
        <w:ind w:left="360"/>
        <w:jc w:val="both"/>
        <w:rPr>
          <w:rFonts w:ascii="Arial" w:eastAsia="Arial" w:hAnsi="Arial" w:cs="Arial"/>
          <w:color w:val="000000"/>
          <w:sz w:val="22"/>
          <w:szCs w:val="22"/>
        </w:rPr>
      </w:pPr>
    </w:p>
    <w:p w14:paraId="542F4989"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Upravičenec bo za namen spremljanja in vrednotenja projekta dolžan spremljati in ministrstvu zagotavljati podatke o doseganju kazalnikov, ciljev in rezultatov operacije. </w:t>
      </w:r>
    </w:p>
    <w:p w14:paraId="3524F96B"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6813FE2"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Prijavitelj mora v vlogi realno prikazati načrtovane cilje, rezultate in kazalnike operacije. Preveč optimistična načrtovanja lahko privedejo do nedoseganja zastavljenih vrednosti ciljev, rezultatov in kazalnikov ter so lahko podlaga za zahtevo za vračilo prejetih sredstev. Podatki iz vloge na javni razpis (prejete dokumentacije) bodo osnova za spremljanje pričakovanih rezultatov in bodo kot takšni tudi priloga pogodbe o dodelitvi sredstev.</w:t>
      </w:r>
    </w:p>
    <w:p w14:paraId="077C9BEB"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2763F8A"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 primeru, da med izvajanjem operacije pride do sprememb, ki bi vplivale na oceno vloge tako, da bi se ocena znižala pod prag sofinanciranih operacij, ministrstvo lahko odstopi od pogodbe o dodelitvi sredstev ter zahteva vrnitev izplačanih sredstev skupaj z zakonskimi zamudnimi obrestmi od dneva nakazila sredstev na transakcijski račun upravičenca do dneva vračila sredstev v proračun Republike Slovenije. </w:t>
      </w:r>
    </w:p>
    <w:p w14:paraId="1D7081AD"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02B9CF3"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V primeru, da  upravičenec ob zaključku operacije ne bo dokazal uresničitve načrtovanih ciljev v celoti, lahko ministrstvo zahteva vračilo že izplačanih sredstev oziroma sorazmernega dela sredstev za nerealizirane aktivnosti, skupaj z zakonskimi zamudnimi obrestmi od dneva nakazila sredstev na transakcijski račun upravičenca do dneva vračila sredstev v proračun Republike Slovenije.</w:t>
      </w:r>
    </w:p>
    <w:p w14:paraId="2430B440"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B7FC7E6"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Prijavitelj je dolžan, tudi po zaključku operacije, posredovati vse potrebne podatke, ki jih bodo od njega zahtevali nadzorni organi. V primeru, da takšno sodelovanje odkloni ali na poziv ne odgovori, lahko ministrstvo zahteva vračilo deleža ali celote prejetih sredstev skupaj z zakonitimi zamudnimi obrestmi od dneva nakazila sredstev na transakcijski račun izbranega prijavitelja do dneva vračila sredstev v državni proračun Republike Slovenije.</w:t>
      </w:r>
    </w:p>
    <w:p w14:paraId="11883056" w14:textId="1764EE89" w:rsidR="00055D6B"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Za spremljanje kazalnikov, ciljev in rezultatov operacije se uporablja informacijski sistem eMA2. Spremljanje traja še 5 let po zaključku operacije.</w:t>
      </w:r>
    </w:p>
    <w:p w14:paraId="0005511F" w14:textId="512A3F09" w:rsidR="000755BA" w:rsidRDefault="00652D66" w:rsidP="008F1114">
      <w:pPr>
        <w:pStyle w:val="Naslov2"/>
        <w:ind w:left="709" w:hanging="425"/>
      </w:pPr>
      <w:bookmarkStart w:id="81" w:name="_Toc239072481"/>
      <w:r>
        <w:t xml:space="preserve">22. </w:t>
      </w:r>
      <w:r w:rsidR="00EF1395">
        <w:t>Omejitve glede sprememb operacije v skladu s 65. členom Uredbe (EU) 2021/1060 /EU</w:t>
      </w:r>
      <w:bookmarkEnd w:id="81"/>
    </w:p>
    <w:p w14:paraId="6705B0E8" w14:textId="77777777" w:rsidR="000755BA" w:rsidRDefault="000755BA">
      <w:pPr>
        <w:keepNext/>
        <w:pBdr>
          <w:top w:val="nil"/>
          <w:left w:val="nil"/>
          <w:bottom w:val="nil"/>
          <w:right w:val="nil"/>
          <w:between w:val="nil"/>
        </w:pBdr>
        <w:spacing w:line="276" w:lineRule="auto"/>
        <w:ind w:left="360"/>
        <w:rPr>
          <w:rFonts w:ascii="Arial" w:eastAsia="Arial" w:hAnsi="Arial" w:cs="Arial"/>
          <w:color w:val="000000"/>
          <w:sz w:val="22"/>
          <w:szCs w:val="22"/>
        </w:rPr>
      </w:pPr>
    </w:p>
    <w:p w14:paraId="60609949"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Upravičenec bo moral smiselno upoštevati omejitve glede sprememb operacije v skladu s 65. členom Uredbe (EU) 2021/1060/EU. Če v petih letih od datuma končnega izplačila pri upravičencu nastopi karkoli od naslednjega: </w:t>
      </w:r>
    </w:p>
    <w:p w14:paraId="74E56786" w14:textId="3529B284"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(a)   prenehanje ali premestitev proizvodne dejavnosti iz </w:t>
      </w:r>
      <w:r w:rsidR="00671709" w:rsidRPr="00671709">
        <w:rPr>
          <w:rFonts w:ascii="Arial" w:eastAsia="Arial" w:hAnsi="Arial" w:cs="Arial"/>
          <w:color w:val="000000"/>
        </w:rPr>
        <w:t>kohezijske regije, v kateri je imel upravičenec sedež na dan oddaje vloge</w:t>
      </w:r>
      <w:r w:rsidR="00671709" w:rsidRPr="00671709" w:rsidDel="00671709">
        <w:rPr>
          <w:rFonts w:ascii="Arial" w:eastAsia="Arial" w:hAnsi="Arial" w:cs="Arial"/>
          <w:color w:val="000000"/>
        </w:rPr>
        <w:t xml:space="preserve"> </w:t>
      </w:r>
      <w:r>
        <w:rPr>
          <w:rFonts w:ascii="Arial" w:eastAsia="Arial" w:hAnsi="Arial" w:cs="Arial"/>
          <w:color w:val="000000"/>
        </w:rPr>
        <w:t xml:space="preserve">; </w:t>
      </w:r>
    </w:p>
    <w:p w14:paraId="1FC17000"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(b) sprememba lastništva postavke infrastrukture, ki daje upravičencu ali javnemu organu neupravičeno prednost; ali </w:t>
      </w:r>
    </w:p>
    <w:p w14:paraId="5AF26E44"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(c)   bistvena sprememba, ki vpliva na značaj, cilje ali pogoje izvajanja, zaradi česar bi se razvrednotili njeni prvotni cilji, </w:t>
      </w:r>
    </w:p>
    <w:p w14:paraId="0B1B9A2F" w14:textId="09CBC36A" w:rsidR="000755BA" w:rsidRPr="00652D66" w:rsidRDefault="00EF1395">
      <w:pPr>
        <w:pBdr>
          <w:top w:val="nil"/>
          <w:left w:val="nil"/>
          <w:bottom w:val="nil"/>
          <w:right w:val="nil"/>
          <w:between w:val="nil"/>
        </w:pBdr>
        <w:spacing w:line="276" w:lineRule="auto"/>
        <w:jc w:val="both"/>
        <w:rPr>
          <w:rFonts w:ascii="Arial" w:eastAsia="Arial" w:hAnsi="Arial" w:cs="Arial"/>
          <w:color w:val="000000"/>
          <w:sz w:val="22"/>
          <w:szCs w:val="22"/>
        </w:rPr>
      </w:pPr>
      <w:r>
        <w:rPr>
          <w:rFonts w:ascii="Arial" w:eastAsia="Arial" w:hAnsi="Arial" w:cs="Arial"/>
          <w:color w:val="000000"/>
        </w:rPr>
        <w:t>je upravičenec dolžan vrniti neupravičeno prejeta sredstva skupaj z zakonskimi zamudnimi obrestmi od dneva nakazila na transakcijski račun upravičenca do dneva vračila sredstev v proračun Republike Slovenije sorazmerno z obdobjem, v katerem ustrezne zahteve niso bile izpolnjene.</w:t>
      </w:r>
      <w:bookmarkStart w:id="82" w:name="_n97jnotkcaot" w:colFirst="0" w:colLast="0"/>
      <w:bookmarkEnd w:id="82"/>
    </w:p>
    <w:p w14:paraId="3CF6C06F" w14:textId="50DC4340" w:rsidR="000755BA" w:rsidRDefault="00652D66" w:rsidP="008F1114">
      <w:pPr>
        <w:pStyle w:val="Naslov2"/>
        <w:ind w:left="567" w:hanging="283"/>
      </w:pPr>
      <w:bookmarkStart w:id="83" w:name="_Toc239072482"/>
      <w:r>
        <w:lastRenderedPageBreak/>
        <w:t xml:space="preserve">23. </w:t>
      </w:r>
      <w:r w:rsidR="00EF1395">
        <w:t>Posledice, če se ugotovi, da je v postopku potrjevanja operacij ali izvrševanja operacij prišlo do resnih napak, nepravilnosti, goljufije ali kršitve obveznosti</w:t>
      </w:r>
      <w:bookmarkEnd w:id="83"/>
    </w:p>
    <w:p w14:paraId="6141477A" w14:textId="77777777" w:rsidR="000755BA" w:rsidRDefault="000755BA">
      <w:pPr>
        <w:pBdr>
          <w:top w:val="nil"/>
          <w:left w:val="nil"/>
          <w:bottom w:val="nil"/>
          <w:right w:val="nil"/>
          <w:between w:val="nil"/>
        </w:pBdr>
        <w:spacing w:line="276" w:lineRule="auto"/>
        <w:ind w:left="360"/>
        <w:jc w:val="both"/>
        <w:rPr>
          <w:rFonts w:ascii="Arial" w:eastAsia="Arial" w:hAnsi="Arial" w:cs="Arial"/>
          <w:color w:val="000000"/>
          <w:sz w:val="22"/>
          <w:szCs w:val="22"/>
        </w:rPr>
      </w:pPr>
    </w:p>
    <w:p w14:paraId="205FF567"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Če se ugotovi, da je v postopku potrjevanja operacij ali izvajanja operacij prišlo do resnih napak, nepravilnosti, suma goljufij,</w:t>
      </w:r>
      <w:r>
        <w:rPr>
          <w:rFonts w:ascii="Arial" w:eastAsia="Arial" w:hAnsi="Arial" w:cs="Arial"/>
          <w:i/>
          <w:iCs/>
          <w:color w:val="000000"/>
        </w:rPr>
        <w:t xml:space="preserve"> </w:t>
      </w:r>
      <w:r>
        <w:rPr>
          <w:rFonts w:ascii="Arial" w:eastAsia="Arial" w:hAnsi="Arial" w:cs="Arial"/>
          <w:color w:val="000000"/>
        </w:rPr>
        <w:t>nasprotja interesov, pojava korupcije ali kršitve drugih obveznosti, ali pa  upravičenec ministrstva ni seznanil z vsemi dejstvi in podatki, ki so mu bili znani ali bi mu morali biti znani oziroma, da je posredoval neresnične, nepopolne podatke oziroma dokumente ali prikril informacije, ki bi jih bil v skladu s tem javnim razpisom dolžan razkriti, ker bi lahko vplivali na odločitev ministrstva o dodelitvi sredstev, ali da je neupravičeno pridobil sredstva po tem javnem razpisu na podlagi ponarejene listine ali kaznivega dejanja, bo ministrstvo odstopilo od pogodbe, upravičenec pa bo dolžan vrniti neupravičeno prejeta sredstva skupaj z zakonskimi zamudnimi obrestmi od dneva nakazila sredstev na transakcijski račun upravičenca do dneva vračila sredstev v proračun Republike Slovenije. Če je takšno ravnanje namerno, se bo obravnavalo kot goljufija.</w:t>
      </w:r>
    </w:p>
    <w:p w14:paraId="1C564158"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94812AB" w14:textId="1191A39C" w:rsidR="0004051E" w:rsidRPr="00652D66" w:rsidRDefault="00EF1395" w:rsidP="00652D6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V primeru, da pri izvajanju operacije ministrstvo ali drug organ, pristojen za nadzor nad operacijo, ugotovi sum storitve kaznivega dejanja zoper gospodarstvo, lahko zadrži izplačilo sredstev do odločitve pristojnega organa glede obstoja kaznivega dejanja na škodo gospodarstva. V času zadržanja sredstev ministrstvo ni v zamudi z izpolnitvijo obveznosti po pogodbi o dodelitvi sredstev. Obresti v tem času ne tečejo.</w:t>
      </w:r>
    </w:p>
    <w:p w14:paraId="023A9664" w14:textId="3FBA2433" w:rsidR="000755BA" w:rsidRPr="008F1114" w:rsidRDefault="00652D66" w:rsidP="008F1114">
      <w:pPr>
        <w:pStyle w:val="Naslov2"/>
        <w:ind w:left="567" w:hanging="283"/>
      </w:pPr>
      <w:bookmarkStart w:id="84" w:name="_Toc239072483"/>
      <w:r w:rsidRPr="008F1114">
        <w:rPr>
          <w:szCs w:val="22"/>
        </w:rPr>
        <w:t xml:space="preserve">24. </w:t>
      </w:r>
      <w:r w:rsidR="00EF1395" w:rsidRPr="008F1114">
        <w:rPr>
          <w:szCs w:val="22"/>
        </w:rPr>
        <w:t>Posledice, če se ugotovi, da aktivnosti na operaciji niso bile skladne s pravom Unije in pravom Republike Slovenije</w:t>
      </w:r>
      <w:bookmarkEnd w:id="84"/>
    </w:p>
    <w:p w14:paraId="1CA820D8" w14:textId="77777777" w:rsidR="000755BA" w:rsidRDefault="000755BA">
      <w:pPr>
        <w:pBdr>
          <w:top w:val="nil"/>
          <w:left w:val="nil"/>
          <w:bottom w:val="nil"/>
          <w:right w:val="nil"/>
          <w:between w:val="nil"/>
        </w:pBdr>
        <w:spacing w:line="276" w:lineRule="auto"/>
        <w:ind w:left="360"/>
        <w:jc w:val="both"/>
        <w:rPr>
          <w:rFonts w:ascii="Arial" w:eastAsia="Arial" w:hAnsi="Arial" w:cs="Arial"/>
          <w:color w:val="000000"/>
          <w:sz w:val="22"/>
          <w:szCs w:val="22"/>
        </w:rPr>
      </w:pPr>
    </w:p>
    <w:p w14:paraId="424E2606" w14:textId="7F83160C" w:rsidR="00652D66" w:rsidRDefault="00EF1395" w:rsidP="00652D66">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Če se ugotovi, da aktivnosti na operaciji niso bile skladne s pravom Unije in pravom Republike Slovenije, bo ministrstvo odstopilo od pogodbe, upravičenec pa bo dolžan vrniti neupravičeno prejeta sredstva skupaj z zakonskimi zamudnimi obrestmi od dneva nakazila sredstev na transakcijski račun upravičenca do dneva vračila sredstev v proračun Republike Slovenije.</w:t>
      </w:r>
    </w:p>
    <w:p w14:paraId="6491E758" w14:textId="79B5AC9A" w:rsidR="000755BA" w:rsidRDefault="00652D66" w:rsidP="008F1114">
      <w:pPr>
        <w:pStyle w:val="Naslov2"/>
        <w:ind w:left="709" w:hanging="425"/>
      </w:pPr>
      <w:bookmarkStart w:id="85" w:name="_Toc239072484"/>
      <w:r>
        <w:t xml:space="preserve">25. </w:t>
      </w:r>
      <w:r w:rsidR="00EF1395">
        <w:t>Posledice, če se ugotovi dvojno financiranje posamezne operacije ali, da je višina financiranja operacije presegla maksimalno dovoljeno stopnjo oz. znesek pomoči</w:t>
      </w:r>
      <w:bookmarkEnd w:id="85"/>
    </w:p>
    <w:p w14:paraId="4C650631" w14:textId="77777777" w:rsidR="000755BA" w:rsidRDefault="000755BA">
      <w:pPr>
        <w:pBdr>
          <w:top w:val="nil"/>
          <w:left w:val="nil"/>
          <w:bottom w:val="nil"/>
          <w:right w:val="nil"/>
          <w:between w:val="nil"/>
        </w:pBdr>
        <w:spacing w:line="276" w:lineRule="auto"/>
        <w:ind w:left="360"/>
        <w:jc w:val="both"/>
        <w:rPr>
          <w:rFonts w:ascii="Arial" w:eastAsia="Arial" w:hAnsi="Arial" w:cs="Arial"/>
          <w:color w:val="000000"/>
          <w:sz w:val="22"/>
          <w:szCs w:val="22"/>
        </w:rPr>
      </w:pPr>
    </w:p>
    <w:p w14:paraId="2B2D6AB0" w14:textId="72EE3811"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V kolikor se ugotovi dvojno uveljavljanje stroškov in izdatkov, ki so že bili povrnjeni iz katerega koli drugega vira, ali da je višina sofinanciranja operacije presegla maksimalne dovoljene stopnje oz. najvišje dovoljene intenzivnosti ali znesek pomoči, ministrstvo odstopi od pogodbe in zahteva vračilo preveč oz. neustrezno izplačanega zneska sofinanciranja skupaj z zakonskimi zamudnimi obrestmi od dneva nakazila sredstev na transakcijski račun upravičenca do dneva vračila sredstev v državni proračun Republike Slovenije. Če je dvojno uveljavljanje stroškov in izdatkov namerno, se bo obravnavalo kot goljufija.</w:t>
      </w:r>
    </w:p>
    <w:p w14:paraId="0862A24E" w14:textId="58FE177F" w:rsidR="000755BA" w:rsidRDefault="00652D66" w:rsidP="00652D66">
      <w:pPr>
        <w:pStyle w:val="Naslov2"/>
        <w:ind w:left="284"/>
      </w:pPr>
      <w:bookmarkStart w:id="86" w:name="_Toc239072485"/>
      <w:r>
        <w:t xml:space="preserve">26. </w:t>
      </w:r>
      <w:r w:rsidR="00EF1395">
        <w:t>Razpisna dokumentacija in dodatne informacije</w:t>
      </w:r>
      <w:bookmarkEnd w:id="86"/>
    </w:p>
    <w:p w14:paraId="4AF93EEF" w14:textId="77777777" w:rsidR="000755BA" w:rsidRDefault="000755BA">
      <w:pPr>
        <w:pBdr>
          <w:top w:val="nil"/>
          <w:left w:val="nil"/>
          <w:bottom w:val="nil"/>
          <w:right w:val="nil"/>
          <w:between w:val="nil"/>
        </w:pBdr>
        <w:spacing w:line="276" w:lineRule="auto"/>
        <w:ind w:left="360"/>
        <w:jc w:val="both"/>
        <w:rPr>
          <w:rFonts w:ascii="Arial" w:eastAsia="Arial" w:hAnsi="Arial" w:cs="Arial"/>
          <w:color w:val="000000"/>
          <w:sz w:val="22"/>
          <w:szCs w:val="22"/>
        </w:rPr>
      </w:pPr>
    </w:p>
    <w:p w14:paraId="56F0444B" w14:textId="58EF39AF" w:rsidR="000755BA" w:rsidRPr="002D0580" w:rsidRDefault="00EF1395">
      <w:pPr>
        <w:pBdr>
          <w:top w:val="nil"/>
          <w:left w:val="nil"/>
          <w:bottom w:val="nil"/>
          <w:right w:val="nil"/>
          <w:between w:val="nil"/>
        </w:pBdr>
        <w:spacing w:line="276" w:lineRule="auto"/>
        <w:jc w:val="both"/>
        <w:rPr>
          <w:rFonts w:ascii="Arial" w:eastAsia="Arial" w:hAnsi="Arial" w:cs="Arial"/>
          <w:color w:val="000000"/>
        </w:rPr>
      </w:pPr>
      <w:bookmarkStart w:id="87" w:name="_brzt2889na39" w:colFirst="0" w:colLast="0"/>
      <w:bookmarkEnd w:id="87"/>
      <w:r>
        <w:rPr>
          <w:rFonts w:ascii="Arial" w:eastAsia="Arial" w:hAnsi="Arial" w:cs="Arial"/>
          <w:color w:val="000000"/>
        </w:rPr>
        <w:t>Vsi potrebni podatki in navodila ki bodo omogočila izdelavo popolne in pravilne vloge za dodelitev sredstev</w:t>
      </w:r>
      <w:r>
        <w:rPr>
          <w:rFonts w:ascii="Arial" w:eastAsia="Arial" w:hAnsi="Arial" w:cs="Arial"/>
          <w:smallCaps/>
          <w:color w:val="000000"/>
        </w:rPr>
        <w:t xml:space="preserve"> </w:t>
      </w:r>
      <w:r>
        <w:rPr>
          <w:rFonts w:ascii="Arial" w:eastAsia="Arial" w:hAnsi="Arial" w:cs="Arial"/>
          <w:color w:val="000000"/>
        </w:rPr>
        <w:t>so navedeni v razpisni dokumentaciji, objavljeni na spletni strani ministrstva</w:t>
      </w:r>
      <w:r w:rsidRPr="002D0580">
        <w:rPr>
          <w:rFonts w:ascii="Arial" w:eastAsia="Arial" w:hAnsi="Arial" w:cs="Arial"/>
          <w:color w:val="000000"/>
        </w:rPr>
        <w:t xml:space="preserve">: </w:t>
      </w:r>
      <w:hyperlink r:id="rId49" w:history="1">
        <w:r w:rsidR="002D0580" w:rsidRPr="002D0580">
          <w:rPr>
            <w:rStyle w:val="Hiperpovezava"/>
            <w:rFonts w:ascii="Arial" w:hAnsi="Arial" w:cs="Arial"/>
          </w:rPr>
          <w:t>Javne objave Ministrstva za gospodarstvo, delo in šport | GOV.SI</w:t>
        </w:r>
      </w:hyperlink>
      <w:r w:rsidRPr="002D0580">
        <w:rPr>
          <w:rFonts w:ascii="Arial" w:eastAsia="Arial" w:hAnsi="Arial" w:cs="Arial"/>
          <w:color w:val="000000"/>
        </w:rPr>
        <w:t>.</w:t>
      </w:r>
    </w:p>
    <w:p w14:paraId="5A78D98C"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93EA3B4" w14:textId="4E31461A"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lastRenderedPageBreak/>
        <w:t xml:space="preserve">Dodatne informacije v zvezi s pripravo prijav in pojasnila k razpisni dokumentaciji so prijavitelju dosegljive na podlagi pisnega zaprosila, posredovanega na elektronski naslov </w:t>
      </w:r>
      <w:hyperlink r:id="rId50" w:history="1">
        <w:r w:rsidR="002D0580" w:rsidRPr="00035FE9">
          <w:rPr>
            <w:rStyle w:val="Hiperpovezava"/>
            <w:rFonts w:ascii="Arial" w:eastAsia="Arial" w:hAnsi="Arial" w:cs="Arial"/>
          </w:rPr>
          <w:t>gp.mgds@gov.si</w:t>
        </w:r>
      </w:hyperlink>
      <w:r>
        <w:rPr>
          <w:rFonts w:ascii="Arial" w:eastAsia="Arial" w:hAnsi="Arial" w:cs="Arial"/>
          <w:color w:val="000000"/>
        </w:rPr>
        <w:t xml:space="preserve"> s pripisom JR turistične destinacije.</w:t>
      </w:r>
    </w:p>
    <w:p w14:paraId="231B140C"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60DCDA29" w14:textId="14B1850C"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Vprašanja morajo prispeti na zgornji naslov najkasneje tri delovne dni pred iztekom posameznega roka za oddajo vloge. Ministrstvo bo objavilo odgovore na vprašanja najkasneje en delovni dan pred iztekom posameznega roka za oddajo vloge, pod pogojem, da je bilo vprašanje posredovano pravočasno. Vprašanja, ki ne bodo pravočasna, ne bodo obravnavana. Objavljeni odgovori na vprašanja postanejo sestavni del razpisne dokumentacije in bodo javno objavljeni na spletnem </w:t>
      </w:r>
      <w:r w:rsidRPr="002D0580">
        <w:rPr>
          <w:rFonts w:ascii="Arial" w:eastAsia="Arial" w:hAnsi="Arial" w:cs="Arial"/>
          <w:color w:val="000000"/>
        </w:rPr>
        <w:t xml:space="preserve">naslovu </w:t>
      </w:r>
      <w:hyperlink r:id="rId51" w:history="1">
        <w:r w:rsidR="002D0580" w:rsidRPr="002D0580">
          <w:rPr>
            <w:rFonts w:ascii="Arial" w:hAnsi="Arial" w:cs="Arial"/>
            <w:color w:val="0000FF"/>
            <w:u w:val="single"/>
          </w:rPr>
          <w:t>Javne objave Ministrstva za gospodarstvo, delo in šport | GOV.SI</w:t>
        </w:r>
      </w:hyperlink>
      <w:r w:rsidRPr="002D0580">
        <w:rPr>
          <w:rFonts w:ascii="Arial" w:eastAsia="Arial" w:hAnsi="Arial" w:cs="Arial"/>
          <w:color w:val="000000"/>
        </w:rPr>
        <w:t>, zato je pri postavljanju vprašanj potrebna</w:t>
      </w:r>
      <w:r>
        <w:rPr>
          <w:rFonts w:ascii="Arial" w:eastAsia="Arial" w:hAnsi="Arial" w:cs="Arial"/>
          <w:color w:val="000000"/>
        </w:rPr>
        <w:t xml:space="preserve"> previdnost, da se v njih ne razkriva morebitnih osebnih podatkov, poslovnih skrivnosti in drugih podatkov, ki ne smejo biti javno objavljeni.</w:t>
      </w:r>
    </w:p>
    <w:p w14:paraId="13AA53E1"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455FE5F" w14:textId="7379C05C"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Potencialni prijavitelji bodo o vseh novostih sproti obveščeni preko spletne </w:t>
      </w:r>
      <w:r w:rsidRPr="002D0580">
        <w:rPr>
          <w:rFonts w:ascii="Arial" w:eastAsia="Arial" w:hAnsi="Arial" w:cs="Arial"/>
          <w:color w:val="000000"/>
        </w:rPr>
        <w:t xml:space="preserve">strani </w:t>
      </w:r>
      <w:hyperlink r:id="rId52" w:history="1">
        <w:r w:rsidR="002D0580" w:rsidRPr="002D0580">
          <w:rPr>
            <w:rFonts w:ascii="Arial" w:hAnsi="Arial" w:cs="Arial"/>
            <w:color w:val="0000FF"/>
            <w:u w:val="single"/>
          </w:rPr>
          <w:t>Javne objave Ministrstva za gospodarstvo, delo in šport | GOV.SI</w:t>
        </w:r>
      </w:hyperlink>
      <w:r w:rsidRPr="002D0580">
        <w:rPr>
          <w:rFonts w:ascii="Arial" w:eastAsia="Arial" w:hAnsi="Arial" w:cs="Arial"/>
          <w:color w:val="000000"/>
        </w:rPr>
        <w:t xml:space="preserve">. </w:t>
      </w:r>
    </w:p>
    <w:p w14:paraId="6C00FCEF" w14:textId="214F02ED" w:rsidR="000755BA" w:rsidRDefault="00652D66" w:rsidP="00652D66">
      <w:pPr>
        <w:pStyle w:val="Naslov2"/>
        <w:ind w:left="284"/>
      </w:pPr>
      <w:bookmarkStart w:id="88" w:name="_uv61zx2xl59j" w:colFirst="0" w:colLast="0"/>
      <w:bookmarkStart w:id="89" w:name="_Toc239072486"/>
      <w:bookmarkEnd w:id="88"/>
      <w:r>
        <w:t xml:space="preserve">27. </w:t>
      </w:r>
      <w:r w:rsidR="00EF1395">
        <w:t>Navodila za izpolnjevanje</w:t>
      </w:r>
      <w:bookmarkEnd w:id="89"/>
    </w:p>
    <w:p w14:paraId="7CF44DF6" w14:textId="77777777" w:rsidR="000755BA" w:rsidRDefault="000755BA">
      <w:pPr>
        <w:pBdr>
          <w:top w:val="nil"/>
          <w:left w:val="nil"/>
          <w:bottom w:val="nil"/>
          <w:right w:val="nil"/>
          <w:between w:val="nil"/>
        </w:pBdr>
        <w:spacing w:line="276" w:lineRule="auto"/>
        <w:jc w:val="both"/>
        <w:rPr>
          <w:rFonts w:ascii="Arial" w:eastAsia="Arial" w:hAnsi="Arial" w:cs="Arial"/>
          <w:color w:val="000000"/>
          <w:sz w:val="22"/>
          <w:szCs w:val="22"/>
        </w:rPr>
      </w:pPr>
    </w:p>
    <w:p w14:paraId="435FE15C"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bookmarkStart w:id="90" w:name="_owmdn2uqmyxt" w:colFirst="0" w:colLast="0"/>
      <w:bookmarkEnd w:id="90"/>
      <w:r>
        <w:rPr>
          <w:rFonts w:ascii="Arial" w:eastAsia="Arial" w:hAnsi="Arial" w:cs="Arial"/>
          <w:color w:val="000000"/>
        </w:rPr>
        <w:t xml:space="preserve">Prijavitelj v zaprti in pravilno označeni ovojnici (Priloga št. 5: Oprema ovojnice) do predpisanega roka za oddajo vlog v javnem razpisu predloži vlogo, ki mora vsebovati v celoti, skladno z navodili, izpolnjene ter med seboj vsebinsko in vrednostno usklajene obrazce in drugo spremljajočo dokumentacijo. </w:t>
      </w:r>
    </w:p>
    <w:p w14:paraId="50555E2A"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60A3FA1"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 xml:space="preserve">Obrazci morajo vsebovati vse elemente v skladu s podanimi zahtevami in pojasnili. Obrazce je potrebno podpisati in ožigosati, kjer je potrebno, pa tudi parafirati. Obrazci so sestavni del vloge prijavitelja in jih je potrebno priložiti k vlogi po vrstnem redu v skladu seznamom, navedenim v spodnjem kontrolnem listu. Drugo dokumentacijo, ki jo je potrebno priložiti vlogi, prijavitelj pripravi ali pridobi sam in je obvezni sestavni del vloge. </w:t>
      </w:r>
    </w:p>
    <w:p w14:paraId="0238038B"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Brisanje in dodajanje vsebine obrazcev (že vnesenih navodil in usmeritev) ni dovoljeno. V preglednicah obrazcev se lahko po potrebi dodajo in odstranijo vrstice (kjer je to potrebno).</w:t>
      </w:r>
    </w:p>
    <w:p w14:paraId="39ECAF4F"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480E2BF0"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Obseg posameznih rubrik v obrazcih se lahko razširi v primeru, kjer zahtevane vsebine dejansko ni možno podati v predpisanem obsegu.</w:t>
      </w:r>
    </w:p>
    <w:p w14:paraId="62B8768B"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59A8A2F6"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V primeru dodatnih utemeljitev posameznih zahtevanih vsebin, za katere prijavitelj meni, da so nujno potrebne za popolno predstavitev operacije, se le-te lahko podajo kot priloga k Obrazcu št. 4: Predstavitev operacije.</w:t>
      </w:r>
    </w:p>
    <w:p w14:paraId="3580A9DC"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4012561"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 izpolnjevanju obrazcev je pomembno, da se prijavitelj </w:t>
      </w:r>
      <w:r>
        <w:rPr>
          <w:rFonts w:ascii="Arial" w:eastAsia="Arial" w:hAnsi="Arial" w:cs="Arial"/>
          <w:b/>
          <w:bCs/>
          <w:color w:val="000000"/>
        </w:rPr>
        <w:t>osredotoči na podajanje informacij, ki omogočajo objektivno ocenjevanje</w:t>
      </w:r>
      <w:r>
        <w:rPr>
          <w:rFonts w:ascii="Arial" w:eastAsia="Arial" w:hAnsi="Arial" w:cs="Arial"/>
          <w:color w:val="000000"/>
        </w:rPr>
        <w:t xml:space="preserve"> ter podpirajo odločitev za izbor operacije v skladu z namenom in cilji javnega razpisa, in ne na aktivnosti, ki s tem niso neposredno povezane. </w:t>
      </w:r>
      <w:r>
        <w:rPr>
          <w:rFonts w:ascii="Arial" w:eastAsia="Arial" w:hAnsi="Arial" w:cs="Arial"/>
          <w:b/>
          <w:bCs/>
          <w:color w:val="000000"/>
        </w:rPr>
        <w:t>Vaši opisi in utemeljitve naj bodo jasne, razumljive in naj se nanašajo le na posamezno rubriko (točko, vprašanje,…).</w:t>
      </w:r>
    </w:p>
    <w:p w14:paraId="5B03C684"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3AE38C59"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Stroški operacije in ostali finančni izračuni morajo biti </w:t>
      </w:r>
      <w:r>
        <w:rPr>
          <w:rFonts w:ascii="Arial" w:eastAsia="Arial" w:hAnsi="Arial" w:cs="Arial"/>
          <w:b/>
          <w:bCs/>
          <w:color w:val="000000"/>
        </w:rPr>
        <w:t>v evrih (EUR), prikazani na dve decimalni mesti</w:t>
      </w:r>
      <w:r>
        <w:rPr>
          <w:rFonts w:ascii="Arial" w:eastAsia="Arial" w:hAnsi="Arial" w:cs="Arial"/>
          <w:color w:val="000000"/>
        </w:rPr>
        <w:t>.</w:t>
      </w:r>
    </w:p>
    <w:p w14:paraId="468BF65E"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02774B4B"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Pri izpolnjevanju obrazcev je potrebno biti pozoren oz. izhajati tudi iz vsebine podrobnejših meril za ocenjevanje!</w:t>
      </w:r>
    </w:p>
    <w:p w14:paraId="3590393D"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8F0AD74"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 xml:space="preserve">V primeru, če obrazce vloge podpiše oseba po pooblastilu zakonitega zastopnika, priložite tudi pooblastilo. </w:t>
      </w:r>
    </w:p>
    <w:p w14:paraId="443B393F"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F0FF457"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Prijavitelj mora sestaviti en izvod popolne vloge v fizični obliki. Poleg tega je potrebno, skupaj s prijavo, na USB nosilcu posredovati  kopijo celotne dokumentacije, tako v </w:t>
      </w:r>
      <w:proofErr w:type="spellStart"/>
      <w:r>
        <w:rPr>
          <w:rFonts w:ascii="Arial" w:eastAsia="Arial" w:hAnsi="Arial" w:cs="Arial"/>
          <w:color w:val="000000"/>
        </w:rPr>
        <w:t>word</w:t>
      </w:r>
      <w:proofErr w:type="spellEnd"/>
      <w:r>
        <w:rPr>
          <w:rFonts w:ascii="Arial" w:eastAsia="Arial" w:hAnsi="Arial" w:cs="Arial"/>
          <w:color w:val="000000"/>
        </w:rPr>
        <w:t xml:space="preserve"> kot </w:t>
      </w:r>
      <w:proofErr w:type="spellStart"/>
      <w:r>
        <w:rPr>
          <w:rFonts w:ascii="Arial" w:eastAsia="Arial" w:hAnsi="Arial" w:cs="Arial"/>
          <w:color w:val="000000"/>
        </w:rPr>
        <w:t>pdf</w:t>
      </w:r>
      <w:proofErr w:type="spellEnd"/>
      <w:r>
        <w:rPr>
          <w:rFonts w:ascii="Arial" w:eastAsia="Arial" w:hAnsi="Arial" w:cs="Arial"/>
          <w:color w:val="000000"/>
        </w:rPr>
        <w:t>. obliki.</w:t>
      </w:r>
    </w:p>
    <w:p w14:paraId="121D67E7"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D27C889"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Vloga je formalno popolna v primeru, da vsebuje vse v celoti izpolnjene obrazce in priloge ter drugo spremljajočo dokumentacijo, navedeno v točki 12.2 in 27.1 razpisne dokumentacije. V kolikor vloga ni formalno popolna oz. le-ta tudi po pozivu za dopolnitev vloge ne bo obsegala vseh navedenih sestavin (obrazcev in drugo spremljajočo dokumentacijo), bo vloga zavržena in se vsebinsko ne bo obravnavala.</w:t>
      </w:r>
    </w:p>
    <w:p w14:paraId="4A44EB6A"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437A09EF" w14:textId="24308494" w:rsidR="000755BA" w:rsidRDefault="00EF1395">
      <w:pPr>
        <w:pBdr>
          <w:top w:val="nil"/>
          <w:left w:val="nil"/>
          <w:bottom w:val="nil"/>
          <w:right w:val="nil"/>
          <w:between w:val="nil"/>
        </w:pBdr>
        <w:spacing w:line="276" w:lineRule="auto"/>
        <w:jc w:val="both"/>
        <w:rPr>
          <w:rFonts w:ascii="Arial" w:eastAsia="Arial" w:hAnsi="Arial" w:cs="Arial"/>
          <w:color w:val="000000"/>
        </w:rPr>
      </w:pPr>
      <w:bookmarkStart w:id="91" w:name="_30j923puw4pq" w:colFirst="0" w:colLast="0"/>
      <w:bookmarkEnd w:id="91"/>
      <w:r>
        <w:rPr>
          <w:rFonts w:ascii="Arial" w:eastAsia="Arial" w:hAnsi="Arial" w:cs="Arial"/>
          <w:color w:val="000000"/>
        </w:rPr>
        <w:t>Prijavitelje na javni razpis opozarjamo, naj tiste dele vloge, v katerih se nahajajo zaupni podatki, posebej označijo kot poslovno skrivnost. Vsi tisti deli vloge, ki ne bodo posebej označeni kot poslovna skrivnost, bodo ob morebitni zahtevi po vpogledu s strani drugih prijaviteljev posredovani v pregled drugim prijaviteljem, skladno z Zakonom o dostopu do informacij javnega značaja. Poslovno skrivnost se označi tako, da se v primeru krajše vsebine na začetku le-te jasno navede »POSLOVNA SKRIVNOST«, v primeru daljše vsebine celotne strani pa se navede »POSLOVNA SKRIVNOST« na vrhu strani. Napis »POSLOVNA SKRIVNOST« naj bo označen z dovolj velikimi črkami in izstopajočo barvo, da bo ob pregledu vloge takoj opazen. V Obrazcu št. 1 mora prijavitelj tudi pojasniti, zakaj je določena vsebina vloge označena kot poslovna skrivnost.</w:t>
      </w:r>
    </w:p>
    <w:p w14:paraId="3BDBE15A" w14:textId="77777777" w:rsidR="000755BA" w:rsidRDefault="00EF1395" w:rsidP="000C6D93">
      <w:pPr>
        <w:pStyle w:val="Naslov2"/>
        <w:ind w:left="284"/>
      </w:pPr>
      <w:bookmarkStart w:id="92" w:name="_Toc239072487"/>
      <w:r>
        <w:t>27.1 Seznam prijavnih obrazcev in prilog</w:t>
      </w:r>
      <w:bookmarkEnd w:id="92"/>
    </w:p>
    <w:p w14:paraId="7D611721" w14:textId="77777777" w:rsidR="000755BA" w:rsidRDefault="000755BA">
      <w:pPr>
        <w:pBdr>
          <w:top w:val="nil"/>
          <w:left w:val="nil"/>
          <w:bottom w:val="nil"/>
          <w:right w:val="nil"/>
          <w:between w:val="nil"/>
        </w:pBdr>
        <w:spacing w:line="276" w:lineRule="auto"/>
        <w:rPr>
          <w:color w:val="000000"/>
          <w:sz w:val="22"/>
          <w:szCs w:val="22"/>
        </w:rPr>
      </w:pPr>
    </w:p>
    <w:p w14:paraId="10C13A3D"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Pred oddajo vloge prijavitelj preveri popolnost dokumentacije s spodaj navedenim seznamom obrazcev in prilog, ki jih je potrebno priložiti vlogi.</w:t>
      </w:r>
    </w:p>
    <w:p w14:paraId="5FE3E357"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44956EC0" w14:textId="77777777" w:rsidR="000755BA" w:rsidRDefault="00EF1395">
      <w:pPr>
        <w:pBdr>
          <w:top w:val="nil"/>
          <w:left w:val="nil"/>
          <w:bottom w:val="nil"/>
          <w:right w:val="nil"/>
          <w:between w:val="nil"/>
        </w:pBdr>
        <w:spacing w:line="276" w:lineRule="auto"/>
        <w:rPr>
          <w:rFonts w:ascii="Arial" w:eastAsia="Arial" w:hAnsi="Arial" w:cs="Arial"/>
          <w:color w:val="000000"/>
        </w:rPr>
      </w:pPr>
      <w:bookmarkStart w:id="93" w:name="_72esrmfrgmf" w:colFirst="0" w:colLast="0"/>
      <w:bookmarkEnd w:id="93"/>
      <w:r>
        <w:rPr>
          <w:rFonts w:ascii="Arial" w:eastAsia="Arial" w:hAnsi="Arial" w:cs="Arial"/>
          <w:color w:val="000000"/>
        </w:rPr>
        <w:t>a.) Obrazci, ki so del razpisne dokumentacije (izpolni jih prijavitelj):</w:t>
      </w:r>
    </w:p>
    <w:p w14:paraId="33C6960A" w14:textId="77777777" w:rsidR="000755BA" w:rsidRDefault="00EF1395">
      <w:pPr>
        <w:numPr>
          <w:ilvl w:val="0"/>
          <w:numId w:val="13"/>
        </w:numPr>
        <w:pBdr>
          <w:top w:val="nil"/>
          <w:left w:val="nil"/>
          <w:bottom w:val="nil"/>
          <w:right w:val="nil"/>
          <w:between w:val="nil"/>
        </w:pBdr>
        <w:spacing w:line="276" w:lineRule="auto"/>
        <w:jc w:val="both"/>
        <w:rPr>
          <w:color w:val="000000"/>
        </w:rPr>
      </w:pPr>
      <w:bookmarkStart w:id="94" w:name="_5duukd6fuctc" w:colFirst="0" w:colLast="0"/>
      <w:bookmarkEnd w:id="94"/>
      <w:r>
        <w:rPr>
          <w:rFonts w:ascii="Arial" w:eastAsia="Arial" w:hAnsi="Arial" w:cs="Arial"/>
          <w:color w:val="000000"/>
        </w:rPr>
        <w:t xml:space="preserve">Obrazec št. 1: Prijavni obrazec, </w:t>
      </w:r>
    </w:p>
    <w:p w14:paraId="6476D2C0" w14:textId="77777777" w:rsidR="000755BA" w:rsidRDefault="00EF1395">
      <w:pPr>
        <w:numPr>
          <w:ilvl w:val="0"/>
          <w:numId w:val="13"/>
        </w:numPr>
        <w:pBdr>
          <w:top w:val="nil"/>
          <w:left w:val="nil"/>
          <w:bottom w:val="nil"/>
          <w:right w:val="nil"/>
          <w:between w:val="nil"/>
        </w:pBdr>
        <w:spacing w:line="276" w:lineRule="auto"/>
        <w:jc w:val="both"/>
        <w:rPr>
          <w:color w:val="000000"/>
        </w:rPr>
      </w:pPr>
      <w:r>
        <w:rPr>
          <w:rFonts w:ascii="Arial" w:eastAsia="Arial" w:hAnsi="Arial" w:cs="Arial"/>
          <w:color w:val="000000"/>
        </w:rPr>
        <w:t>Obrazec št. 2: Izjava prijavitelja o izpolnjevanju in sprejemanju razpisnih pogojev,</w:t>
      </w:r>
    </w:p>
    <w:p w14:paraId="3D7FF6C7" w14:textId="77777777" w:rsidR="000755BA" w:rsidRDefault="00EF1395">
      <w:pPr>
        <w:numPr>
          <w:ilvl w:val="0"/>
          <w:numId w:val="13"/>
        </w:numPr>
        <w:pBdr>
          <w:top w:val="nil"/>
          <w:left w:val="nil"/>
          <w:bottom w:val="nil"/>
          <w:right w:val="nil"/>
          <w:between w:val="nil"/>
        </w:pBdr>
        <w:spacing w:line="276" w:lineRule="auto"/>
        <w:jc w:val="both"/>
        <w:rPr>
          <w:color w:val="000000"/>
        </w:rPr>
      </w:pPr>
      <w:r>
        <w:rPr>
          <w:rFonts w:ascii="Arial" w:eastAsia="Arial" w:hAnsi="Arial" w:cs="Arial"/>
          <w:color w:val="000000"/>
        </w:rPr>
        <w:t>Obrazec št. 3: Pooblastilo za pridobitev podatkov od Finančne uprave Republike Slovenije,</w:t>
      </w:r>
    </w:p>
    <w:p w14:paraId="712B00C3" w14:textId="77777777" w:rsidR="000755BA" w:rsidRDefault="00EF1395">
      <w:pPr>
        <w:numPr>
          <w:ilvl w:val="0"/>
          <w:numId w:val="13"/>
        </w:numPr>
        <w:pBdr>
          <w:top w:val="nil"/>
          <w:left w:val="nil"/>
          <w:bottom w:val="nil"/>
          <w:right w:val="nil"/>
          <w:between w:val="nil"/>
        </w:pBdr>
        <w:spacing w:line="276" w:lineRule="auto"/>
        <w:jc w:val="both"/>
        <w:rPr>
          <w:color w:val="000000"/>
        </w:rPr>
      </w:pPr>
      <w:r>
        <w:rPr>
          <w:rFonts w:ascii="Arial" w:eastAsia="Arial" w:hAnsi="Arial" w:cs="Arial"/>
          <w:color w:val="000000"/>
        </w:rPr>
        <w:t>Obrazec št. 4: Predstavitev operacije,</w:t>
      </w:r>
    </w:p>
    <w:p w14:paraId="19C93C31" w14:textId="465C7A7C" w:rsidR="000755BA" w:rsidRPr="00055D6B" w:rsidRDefault="006212F2">
      <w:pPr>
        <w:numPr>
          <w:ilvl w:val="0"/>
          <w:numId w:val="13"/>
        </w:numPr>
        <w:pBdr>
          <w:top w:val="nil"/>
          <w:left w:val="nil"/>
          <w:bottom w:val="nil"/>
          <w:right w:val="nil"/>
          <w:between w:val="nil"/>
        </w:pBdr>
        <w:spacing w:line="276" w:lineRule="auto"/>
        <w:jc w:val="both"/>
        <w:rPr>
          <w:color w:val="000000"/>
        </w:rPr>
      </w:pPr>
      <w:r w:rsidRPr="006212F2">
        <w:rPr>
          <w:rFonts w:ascii="Arial" w:eastAsia="Arial" w:hAnsi="Arial" w:cs="Arial"/>
          <w:color w:val="000000"/>
        </w:rPr>
        <w:t xml:space="preserve">Obrazec št. 5.1_Terminski in finančni </w:t>
      </w:r>
      <w:proofErr w:type="spellStart"/>
      <w:r w:rsidRPr="006212F2">
        <w:rPr>
          <w:rFonts w:ascii="Arial" w:eastAsia="Arial" w:hAnsi="Arial" w:cs="Arial"/>
          <w:color w:val="000000"/>
        </w:rPr>
        <w:t>načrt_SKLOP</w:t>
      </w:r>
      <w:proofErr w:type="spellEnd"/>
      <w:r w:rsidRPr="006212F2">
        <w:rPr>
          <w:rFonts w:ascii="Arial" w:eastAsia="Arial" w:hAnsi="Arial" w:cs="Arial"/>
          <w:color w:val="000000"/>
        </w:rPr>
        <w:t xml:space="preserve"> 1_RDO</w:t>
      </w:r>
      <w:r w:rsidR="00EF1395">
        <w:rPr>
          <w:rFonts w:ascii="Arial" w:eastAsia="Arial" w:hAnsi="Arial" w:cs="Arial"/>
          <w:color w:val="000000"/>
        </w:rPr>
        <w:t>,</w:t>
      </w:r>
    </w:p>
    <w:p w14:paraId="0934093F" w14:textId="26E53CA9" w:rsidR="006212F2" w:rsidRPr="00055D6B" w:rsidRDefault="006212F2">
      <w:pPr>
        <w:numPr>
          <w:ilvl w:val="0"/>
          <w:numId w:val="13"/>
        </w:numPr>
        <w:pBdr>
          <w:top w:val="nil"/>
          <w:left w:val="nil"/>
          <w:bottom w:val="nil"/>
          <w:right w:val="nil"/>
          <w:between w:val="nil"/>
        </w:pBdr>
        <w:spacing w:line="276" w:lineRule="auto"/>
        <w:jc w:val="both"/>
        <w:rPr>
          <w:rFonts w:ascii="Arial" w:eastAsia="Arial" w:hAnsi="Arial" w:cs="Arial"/>
          <w:color w:val="000000"/>
        </w:rPr>
      </w:pPr>
      <w:r w:rsidRPr="00055D6B">
        <w:rPr>
          <w:rFonts w:ascii="Arial" w:eastAsia="Arial" w:hAnsi="Arial" w:cs="Arial"/>
          <w:color w:val="000000"/>
        </w:rPr>
        <w:t>Obrazec št. 5.2_Terminski in finančni načrt _SKLOP 2_PD</w:t>
      </w:r>
    </w:p>
    <w:p w14:paraId="5816E74F" w14:textId="77777777" w:rsidR="000755BA" w:rsidRPr="00055D6B" w:rsidRDefault="00EF1395">
      <w:pPr>
        <w:numPr>
          <w:ilvl w:val="0"/>
          <w:numId w:val="13"/>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Obrazec št. 6: Izjava o zaprti finančni konstrukciji,</w:t>
      </w:r>
    </w:p>
    <w:p w14:paraId="01B4B4CB" w14:textId="77777777" w:rsidR="000755BA" w:rsidRDefault="00EF1395">
      <w:pPr>
        <w:numPr>
          <w:ilvl w:val="0"/>
          <w:numId w:val="13"/>
        </w:numPr>
        <w:pBdr>
          <w:top w:val="nil"/>
          <w:left w:val="nil"/>
          <w:bottom w:val="nil"/>
          <w:right w:val="nil"/>
          <w:between w:val="nil"/>
        </w:pBdr>
        <w:spacing w:line="276" w:lineRule="auto"/>
        <w:jc w:val="both"/>
        <w:rPr>
          <w:color w:val="000000"/>
        </w:rPr>
      </w:pPr>
      <w:r>
        <w:rPr>
          <w:rFonts w:ascii="Arial" w:eastAsia="Arial" w:hAnsi="Arial" w:cs="Arial"/>
          <w:color w:val="000000"/>
        </w:rPr>
        <w:t>Obrazec št. 7: Soglasje občine</w:t>
      </w:r>
      <w:r>
        <w:rPr>
          <w:rFonts w:ascii="Arial" w:eastAsia="Arial" w:hAnsi="Arial" w:cs="Arial"/>
          <w:color w:val="000000"/>
          <w:vertAlign w:val="superscript"/>
        </w:rPr>
        <w:footnoteReference w:id="24"/>
      </w:r>
      <w:r>
        <w:rPr>
          <w:rFonts w:ascii="Arial" w:eastAsia="Arial" w:hAnsi="Arial" w:cs="Arial"/>
          <w:color w:val="000000"/>
        </w:rPr>
        <w:t xml:space="preserve"> ,</w:t>
      </w:r>
    </w:p>
    <w:p w14:paraId="0C88833A" w14:textId="77777777" w:rsidR="000755BA" w:rsidRDefault="00EF1395">
      <w:pPr>
        <w:numPr>
          <w:ilvl w:val="0"/>
          <w:numId w:val="13"/>
        </w:numPr>
        <w:pBdr>
          <w:top w:val="nil"/>
          <w:left w:val="nil"/>
          <w:bottom w:val="nil"/>
          <w:right w:val="nil"/>
          <w:between w:val="nil"/>
        </w:pBdr>
        <w:spacing w:line="276" w:lineRule="auto"/>
        <w:jc w:val="both"/>
        <w:rPr>
          <w:color w:val="000000"/>
        </w:rPr>
      </w:pPr>
      <w:r>
        <w:rPr>
          <w:rFonts w:ascii="Arial" w:eastAsia="Arial" w:hAnsi="Arial" w:cs="Arial"/>
          <w:color w:val="000000"/>
        </w:rPr>
        <w:t>Obrazec št. 8: Izjava o priznavanju DDV kot upravičenega stroška.</w:t>
      </w:r>
    </w:p>
    <w:p w14:paraId="6C1EF361"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7A6BC09E"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b.) Priloge, ki so del razpisne dokumentacije (izpolni jih prijavitelj):</w:t>
      </w:r>
    </w:p>
    <w:p w14:paraId="12C97027" w14:textId="77777777" w:rsidR="000755BA" w:rsidRDefault="00EF1395">
      <w:pPr>
        <w:numPr>
          <w:ilvl w:val="0"/>
          <w:numId w:val="14"/>
        </w:numPr>
        <w:pBdr>
          <w:top w:val="nil"/>
          <w:left w:val="nil"/>
          <w:bottom w:val="nil"/>
          <w:right w:val="nil"/>
          <w:between w:val="nil"/>
        </w:pBdr>
        <w:spacing w:line="276" w:lineRule="auto"/>
        <w:rPr>
          <w:color w:val="000000"/>
        </w:rPr>
      </w:pPr>
      <w:r>
        <w:rPr>
          <w:rFonts w:ascii="Arial" w:eastAsia="Arial" w:hAnsi="Arial" w:cs="Arial"/>
          <w:color w:val="000000"/>
        </w:rPr>
        <w:t>Priloga št. 5: Oprema ovojnice.</w:t>
      </w:r>
    </w:p>
    <w:p w14:paraId="54E03A4B" w14:textId="77777777" w:rsidR="000755BA" w:rsidRDefault="000755BA">
      <w:pPr>
        <w:pBdr>
          <w:top w:val="nil"/>
          <w:left w:val="nil"/>
          <w:bottom w:val="nil"/>
          <w:right w:val="nil"/>
          <w:between w:val="nil"/>
        </w:pBdr>
        <w:spacing w:line="276" w:lineRule="auto"/>
        <w:ind w:left="720"/>
        <w:rPr>
          <w:rFonts w:ascii="Arial" w:eastAsia="Arial" w:hAnsi="Arial" w:cs="Arial"/>
          <w:color w:val="000000"/>
        </w:rPr>
      </w:pPr>
    </w:p>
    <w:p w14:paraId="39293CF1"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c.) Priloge, ki niso del razpisne dokumentacije in jih morajo prijavitelji priložiti sami:</w:t>
      </w:r>
    </w:p>
    <w:p w14:paraId="7E13C064" w14:textId="77777777" w:rsidR="000755BA" w:rsidRDefault="00EF1395">
      <w:pPr>
        <w:numPr>
          <w:ilvl w:val="0"/>
          <w:numId w:val="15"/>
        </w:numPr>
        <w:pBdr>
          <w:top w:val="nil"/>
          <w:left w:val="nil"/>
          <w:bottom w:val="nil"/>
          <w:right w:val="nil"/>
          <w:between w:val="nil"/>
        </w:pBdr>
        <w:spacing w:line="276" w:lineRule="auto"/>
        <w:jc w:val="both"/>
        <w:rPr>
          <w:color w:val="000000"/>
        </w:rPr>
      </w:pPr>
      <w:proofErr w:type="spellStart"/>
      <w:r>
        <w:rPr>
          <w:rFonts w:ascii="Arial" w:eastAsia="Arial" w:hAnsi="Arial" w:cs="Arial"/>
          <w:color w:val="000000"/>
        </w:rPr>
        <w:t>konzorcijska</w:t>
      </w:r>
      <w:proofErr w:type="spellEnd"/>
      <w:r>
        <w:rPr>
          <w:rFonts w:ascii="Arial" w:eastAsia="Arial" w:hAnsi="Arial" w:cs="Arial"/>
          <w:color w:val="000000"/>
        </w:rPr>
        <w:t xml:space="preserve"> pogodba vseh predstavnikov destinacij na območju RDO oz. PD,</w:t>
      </w:r>
    </w:p>
    <w:p w14:paraId="56C8AA2C"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lastRenderedPageBreak/>
        <w:t>sporazum o sodelovanju z bližnjo RDO z veljavnostjo vsaj do konca leta 2028  – velja za prijavitelje na Sklop 2,</w:t>
      </w:r>
    </w:p>
    <w:p w14:paraId="6B353EE9"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 xml:space="preserve">program dela </w:t>
      </w:r>
      <w:proofErr w:type="spellStart"/>
      <w:r>
        <w:rPr>
          <w:rFonts w:ascii="Arial" w:eastAsia="Arial" w:hAnsi="Arial" w:cs="Arial"/>
          <w:color w:val="000000"/>
        </w:rPr>
        <w:t>destinacijske</w:t>
      </w:r>
      <w:proofErr w:type="spellEnd"/>
      <w:r>
        <w:rPr>
          <w:rFonts w:ascii="Arial" w:eastAsia="Arial" w:hAnsi="Arial" w:cs="Arial"/>
          <w:color w:val="000000"/>
        </w:rPr>
        <w:t xml:space="preserve"> organizacije za obdobje od leta prijave na javni razpis do konca leta 2028,</w:t>
      </w:r>
    </w:p>
    <w:p w14:paraId="74BB642E"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ustanovni akt prijavitelja,</w:t>
      </w:r>
    </w:p>
    <w:p w14:paraId="53FF3C82"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strategija razvoja turizma na območju delovanja RDO oz. PD za obdobje petih let, z veljavnostjo vsaj do konca leta 2028 – prijavitelj strategijo priloži v kolikor z njo že razpolaga, v nasprotnem primeru jo mora pripraviti tekom izvajanja operacije in jo najkasneje do izstavitve zadnjega zahtevka za izplačilo predložiti ministrstvu,</w:t>
      </w:r>
    </w:p>
    <w:p w14:paraId="01C1348D"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sporazumi o sodelovanju z gospodarskimi družbami in podjetniki posamezniki, ki opravljajo turistično dejavnost, ki skupaj predstavljajo vsaj dve tretjini razpoložljivih turističnih nastanitvenih zmogljivosti na področju delovanja RDO oz. PD (sporazume o sodelovanju je potrebno priložiti k vlogi na javni razpis za vsakega deležnika, ki izkazuje podporo operaciji, posebej),</w:t>
      </w:r>
    </w:p>
    <w:p w14:paraId="6C09B938"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za manjše gradbene posege ali investicije v opremo, vso dokumentacijo, ki izkazuje, da je načrtovani poseg skladen z veljavno zakonodajo in ga je dopustno izvesti, vključno z gradbenim dovoljenjem (če je to potrebno) oziroma izjavo projektanta, da to ni potrebno, razširjeno lokacijsko informacijo ter vsemi potrebnimi soglasji in mnenji pristojnih organov (npr. upravljavcev infrastrukture, občine ipd.); v primeru posegov na območjih kulturne dediščine tudi soglasje ZVKDS oz. ostala soglasja in dovoljenja v kolikor so le-ta potrebna,</w:t>
      </w:r>
    </w:p>
    <w:p w14:paraId="4C139BCC" w14:textId="77777777" w:rsidR="000755BA" w:rsidRDefault="00EF1395">
      <w:pPr>
        <w:numPr>
          <w:ilvl w:val="0"/>
          <w:numId w:val="15"/>
        </w:numPr>
        <w:pBdr>
          <w:top w:val="nil"/>
          <w:left w:val="nil"/>
          <w:bottom w:val="nil"/>
          <w:right w:val="nil"/>
          <w:between w:val="nil"/>
        </w:pBdr>
        <w:spacing w:line="276" w:lineRule="auto"/>
        <w:jc w:val="both"/>
        <w:rPr>
          <w:color w:val="000000"/>
        </w:rPr>
      </w:pPr>
      <w:r>
        <w:rPr>
          <w:rFonts w:ascii="Arial" w:eastAsia="Arial" w:hAnsi="Arial" w:cs="Arial"/>
          <w:color w:val="000000"/>
        </w:rPr>
        <w:t xml:space="preserve">USB nosilec, na katerem mora biti kopija celotne dokumentacije, tako v </w:t>
      </w:r>
      <w:proofErr w:type="spellStart"/>
      <w:r>
        <w:rPr>
          <w:rFonts w:ascii="Arial" w:eastAsia="Arial" w:hAnsi="Arial" w:cs="Arial"/>
          <w:color w:val="000000"/>
        </w:rPr>
        <w:t>word</w:t>
      </w:r>
      <w:proofErr w:type="spellEnd"/>
      <w:r>
        <w:rPr>
          <w:rFonts w:ascii="Arial" w:eastAsia="Arial" w:hAnsi="Arial" w:cs="Arial"/>
          <w:color w:val="000000"/>
        </w:rPr>
        <w:t xml:space="preserve"> kot </w:t>
      </w:r>
      <w:proofErr w:type="spellStart"/>
      <w:r>
        <w:rPr>
          <w:rFonts w:ascii="Arial" w:eastAsia="Arial" w:hAnsi="Arial" w:cs="Arial"/>
          <w:color w:val="000000"/>
        </w:rPr>
        <w:t>pdf</w:t>
      </w:r>
      <w:proofErr w:type="spellEnd"/>
      <w:r>
        <w:rPr>
          <w:rFonts w:ascii="Arial" w:eastAsia="Arial" w:hAnsi="Arial" w:cs="Arial"/>
          <w:color w:val="000000"/>
        </w:rPr>
        <w:t>. obliki (podpisana).</w:t>
      </w:r>
    </w:p>
    <w:p w14:paraId="274CB4A8" w14:textId="77777777" w:rsidR="000755BA" w:rsidRDefault="000755BA">
      <w:pPr>
        <w:pBdr>
          <w:top w:val="nil"/>
          <w:left w:val="nil"/>
          <w:bottom w:val="nil"/>
          <w:right w:val="nil"/>
          <w:between w:val="nil"/>
        </w:pBdr>
        <w:spacing w:line="276" w:lineRule="auto"/>
        <w:ind w:left="720"/>
        <w:jc w:val="both"/>
        <w:rPr>
          <w:rFonts w:ascii="Arial" w:eastAsia="Arial" w:hAnsi="Arial" w:cs="Arial"/>
          <w:color w:val="000000"/>
        </w:rPr>
      </w:pPr>
    </w:p>
    <w:p w14:paraId="44BB58D0"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d.) Priloge, ki so del razpisne dokumentacije in jih ni potrebno priložiti:</w:t>
      </w:r>
    </w:p>
    <w:p w14:paraId="624AFDD9" w14:textId="77777777" w:rsidR="000755BA" w:rsidRDefault="00EF1395">
      <w:pPr>
        <w:numPr>
          <w:ilvl w:val="0"/>
          <w:numId w:val="16"/>
        </w:numPr>
        <w:pBdr>
          <w:top w:val="nil"/>
          <w:left w:val="nil"/>
          <w:bottom w:val="nil"/>
          <w:right w:val="nil"/>
          <w:between w:val="nil"/>
        </w:pBdr>
        <w:spacing w:line="276" w:lineRule="auto"/>
        <w:jc w:val="both"/>
        <w:rPr>
          <w:color w:val="000000"/>
        </w:rPr>
      </w:pPr>
      <w:r>
        <w:rPr>
          <w:rFonts w:ascii="Arial" w:eastAsia="Arial" w:hAnsi="Arial" w:cs="Arial"/>
          <w:color w:val="000000"/>
        </w:rPr>
        <w:t>Priloga št. 1: Vzorec pogodbe,</w:t>
      </w:r>
    </w:p>
    <w:p w14:paraId="71F96950" w14:textId="77777777" w:rsidR="000755BA" w:rsidRDefault="00EF1395">
      <w:pPr>
        <w:numPr>
          <w:ilvl w:val="0"/>
          <w:numId w:val="16"/>
        </w:numPr>
        <w:pBdr>
          <w:top w:val="nil"/>
          <w:left w:val="nil"/>
          <w:bottom w:val="nil"/>
          <w:right w:val="nil"/>
          <w:between w:val="nil"/>
        </w:pBdr>
        <w:spacing w:line="276" w:lineRule="auto"/>
        <w:jc w:val="both"/>
        <w:rPr>
          <w:color w:val="000000"/>
        </w:rPr>
      </w:pPr>
      <w:r>
        <w:rPr>
          <w:rFonts w:ascii="Arial" w:eastAsia="Arial" w:hAnsi="Arial" w:cs="Arial"/>
          <w:color w:val="000000"/>
        </w:rPr>
        <w:t>Priloga št. 2: Analiza implementacije Strategije razvoja turizma 2022 – 2028, ukrepa Nadgradnja modela vodilnih destinacij,</w:t>
      </w:r>
    </w:p>
    <w:p w14:paraId="084A0918" w14:textId="77777777" w:rsidR="000755BA" w:rsidRDefault="00EF1395">
      <w:pPr>
        <w:numPr>
          <w:ilvl w:val="0"/>
          <w:numId w:val="16"/>
        </w:numPr>
        <w:pBdr>
          <w:top w:val="nil"/>
          <w:left w:val="nil"/>
          <w:bottom w:val="nil"/>
          <w:right w:val="nil"/>
          <w:between w:val="nil"/>
        </w:pBdr>
        <w:spacing w:line="276" w:lineRule="auto"/>
        <w:jc w:val="both"/>
        <w:rPr>
          <w:color w:val="000000"/>
        </w:rPr>
      </w:pPr>
      <w:bookmarkStart w:id="95" w:name="_q7lztz4oj8ih" w:colFirst="0" w:colLast="0"/>
      <w:bookmarkEnd w:id="95"/>
      <w:r>
        <w:rPr>
          <w:rFonts w:ascii="Arial" w:eastAsia="Arial" w:hAnsi="Arial" w:cs="Arial"/>
          <w:color w:val="000000"/>
        </w:rPr>
        <w:t>Priloga št. 3: Metodologija za izračun stroška na enoto za stroške plač in povračil stroškov v zvezi z delom (SE),</w:t>
      </w:r>
    </w:p>
    <w:p w14:paraId="1B4B87E8" w14:textId="77777777" w:rsidR="000755BA" w:rsidRDefault="00EF1395">
      <w:pPr>
        <w:numPr>
          <w:ilvl w:val="0"/>
          <w:numId w:val="16"/>
        </w:numPr>
        <w:pBdr>
          <w:top w:val="nil"/>
          <w:left w:val="nil"/>
          <w:bottom w:val="nil"/>
          <w:right w:val="nil"/>
          <w:between w:val="nil"/>
        </w:pBdr>
        <w:spacing w:line="276" w:lineRule="auto"/>
        <w:jc w:val="both"/>
        <w:rPr>
          <w:color w:val="000000"/>
        </w:rPr>
      </w:pPr>
      <w:r>
        <w:rPr>
          <w:rFonts w:ascii="Arial" w:eastAsia="Arial" w:hAnsi="Arial" w:cs="Arial"/>
          <w:color w:val="000000"/>
        </w:rPr>
        <w:t>Priloga št. 4: Varovanje osebnih podatkov in poslovnih skrivnosti.</w:t>
      </w:r>
    </w:p>
    <w:p w14:paraId="3BA98CDF" w14:textId="77777777" w:rsidR="000755BA" w:rsidRDefault="000755BA">
      <w:pPr>
        <w:pBdr>
          <w:top w:val="nil"/>
          <w:left w:val="nil"/>
          <w:bottom w:val="nil"/>
          <w:right w:val="nil"/>
          <w:between w:val="nil"/>
        </w:pBdr>
        <w:spacing w:line="276" w:lineRule="auto"/>
        <w:ind w:left="720"/>
        <w:jc w:val="both"/>
        <w:rPr>
          <w:rFonts w:ascii="Arial" w:eastAsia="Arial" w:hAnsi="Arial" w:cs="Arial"/>
          <w:color w:val="000000"/>
        </w:rPr>
      </w:pPr>
    </w:p>
    <w:p w14:paraId="728E2CB0" w14:textId="77777777" w:rsidR="000755BA" w:rsidRDefault="000755BA">
      <w:pPr>
        <w:pBdr>
          <w:top w:val="nil"/>
          <w:left w:val="nil"/>
          <w:bottom w:val="nil"/>
          <w:right w:val="nil"/>
          <w:between w:val="nil"/>
        </w:pBdr>
        <w:spacing w:after="200" w:line="276" w:lineRule="auto"/>
        <w:jc w:val="right"/>
        <w:rPr>
          <w:rFonts w:ascii="Arial" w:eastAsia="Arial" w:hAnsi="Arial" w:cs="Arial"/>
          <w:color w:val="000000"/>
          <w:highlight w:val="yellow"/>
        </w:rPr>
      </w:pPr>
    </w:p>
    <w:p w14:paraId="5355486F" w14:textId="77777777" w:rsidR="000755BA" w:rsidRDefault="00EF1395">
      <w:pPr>
        <w:pBdr>
          <w:top w:val="nil"/>
          <w:left w:val="nil"/>
          <w:bottom w:val="nil"/>
          <w:right w:val="nil"/>
          <w:between w:val="nil"/>
        </w:pBdr>
        <w:spacing w:after="200" w:line="276" w:lineRule="auto"/>
        <w:jc w:val="center"/>
        <w:rPr>
          <w:rFonts w:ascii="Arial" w:eastAsia="Arial" w:hAnsi="Arial" w:cs="Arial"/>
          <w:color w:val="000000"/>
        </w:rPr>
      </w:pP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r>
        <w:rPr>
          <w:rFonts w:ascii="Arial" w:eastAsia="Arial" w:hAnsi="Arial" w:cs="Arial"/>
          <w:color w:val="000000"/>
        </w:rPr>
        <w:tab/>
      </w:r>
    </w:p>
    <w:p w14:paraId="1678D5D0" w14:textId="3FC2C6E1" w:rsidR="000755BA" w:rsidRDefault="00EF1395" w:rsidP="001F501F">
      <w:pPr>
        <w:pBdr>
          <w:top w:val="nil"/>
          <w:left w:val="nil"/>
          <w:bottom w:val="nil"/>
          <w:right w:val="nil"/>
          <w:between w:val="nil"/>
        </w:pBdr>
        <w:spacing w:after="200" w:line="276" w:lineRule="auto"/>
        <w:jc w:val="right"/>
        <w:rPr>
          <w:color w:val="000000"/>
          <w:sz w:val="22"/>
          <w:szCs w:val="22"/>
        </w:rPr>
      </w:pPr>
      <w:bookmarkStart w:id="96" w:name="_6oo3ts7o4mnc" w:colFirst="0" w:colLast="0"/>
      <w:bookmarkEnd w:id="96"/>
      <w:r>
        <w:rPr>
          <w:rFonts w:ascii="Arial" w:eastAsia="Arial" w:hAnsi="Arial" w:cs="Arial"/>
          <w:color w:val="000000"/>
        </w:rPr>
        <w:t xml:space="preserve">Ministrstvo za gospodarstvo, </w:t>
      </w:r>
      <w:r w:rsidR="002406AC">
        <w:rPr>
          <w:rFonts w:ascii="Arial" w:eastAsia="Arial" w:hAnsi="Arial" w:cs="Arial"/>
          <w:color w:val="000000"/>
        </w:rPr>
        <w:t>delo</w:t>
      </w:r>
      <w:r>
        <w:rPr>
          <w:rFonts w:ascii="Arial" w:eastAsia="Arial" w:hAnsi="Arial" w:cs="Arial"/>
          <w:color w:val="000000"/>
        </w:rPr>
        <w:t xml:space="preserve"> in šport</w:t>
      </w:r>
      <w:bookmarkStart w:id="97" w:name="_5f8jx4elk8ff" w:colFirst="0" w:colLast="0"/>
      <w:bookmarkStart w:id="98" w:name="_q33llghg0crl" w:colFirst="0" w:colLast="0"/>
      <w:bookmarkStart w:id="99" w:name="_x3yn2llh40ab" w:colFirst="0" w:colLast="0"/>
      <w:bookmarkStart w:id="100" w:name="_bbeq367hfki" w:colFirst="0" w:colLast="0"/>
      <w:bookmarkEnd w:id="97"/>
      <w:bookmarkEnd w:id="98"/>
      <w:bookmarkEnd w:id="99"/>
      <w:bookmarkEnd w:id="100"/>
    </w:p>
    <w:p w14:paraId="355F50DF" w14:textId="77777777" w:rsidR="000755BA" w:rsidRDefault="000755BA" w:rsidP="000C6D93">
      <w:pPr>
        <w:keepNext/>
        <w:pBdr>
          <w:top w:val="nil"/>
          <w:left w:val="nil"/>
          <w:bottom w:val="nil"/>
          <w:right w:val="nil"/>
          <w:between w:val="nil"/>
        </w:pBdr>
        <w:spacing w:before="240"/>
        <w:rPr>
          <w:color w:val="000000"/>
          <w:sz w:val="22"/>
          <w:szCs w:val="22"/>
        </w:rPr>
      </w:pPr>
      <w:bookmarkStart w:id="101" w:name="_ftg4oxuwun3n" w:colFirst="0" w:colLast="0"/>
      <w:bookmarkStart w:id="102" w:name="_kvm5ykaqcyz8" w:colFirst="0" w:colLast="0"/>
      <w:bookmarkStart w:id="103" w:name="_kg8zx3iklvbj" w:colFirst="0" w:colLast="0"/>
      <w:bookmarkStart w:id="104" w:name="_l19m5zo4ccl6" w:colFirst="0" w:colLast="0"/>
      <w:bookmarkStart w:id="105" w:name="_gchxlt1lw2t0" w:colFirst="0" w:colLast="0"/>
      <w:bookmarkStart w:id="106" w:name="_l9uqcbhkxajn" w:colFirst="0" w:colLast="0"/>
      <w:bookmarkStart w:id="107" w:name="_xd3mdiy5xez3" w:colFirst="0" w:colLast="0"/>
      <w:bookmarkStart w:id="108" w:name="_krh6b978wt5h" w:colFirst="0" w:colLast="0"/>
      <w:bookmarkStart w:id="109" w:name="_emp6ihmg59ti" w:colFirst="0" w:colLast="0"/>
      <w:bookmarkStart w:id="110" w:name="_yu1qoc3oyk8p" w:colFirst="0" w:colLast="0"/>
      <w:bookmarkStart w:id="111" w:name="_ooostln50cv3" w:colFirst="0" w:colLast="0"/>
      <w:bookmarkStart w:id="112" w:name="_82fwzxtdvynw" w:colFirst="0" w:colLast="0"/>
      <w:bookmarkEnd w:id="101"/>
      <w:bookmarkEnd w:id="102"/>
      <w:bookmarkEnd w:id="103"/>
      <w:bookmarkEnd w:id="104"/>
      <w:bookmarkEnd w:id="105"/>
      <w:bookmarkEnd w:id="106"/>
      <w:bookmarkEnd w:id="107"/>
      <w:bookmarkEnd w:id="108"/>
      <w:bookmarkEnd w:id="109"/>
      <w:bookmarkEnd w:id="110"/>
      <w:bookmarkEnd w:id="111"/>
      <w:bookmarkEnd w:id="112"/>
    </w:p>
    <w:p w14:paraId="003F4DD9" w14:textId="19A8EE2F" w:rsidR="000755BA" w:rsidRPr="000C6D93" w:rsidRDefault="00EF1395" w:rsidP="000C6D93">
      <w:pPr>
        <w:pStyle w:val="Naslov1"/>
      </w:pPr>
      <w:bookmarkStart w:id="113" w:name="_fp48dtswwxix" w:colFirst="0" w:colLast="0"/>
      <w:bookmarkStart w:id="114" w:name="_1kcoxe40e3eh" w:colFirst="0" w:colLast="0"/>
      <w:bookmarkEnd w:id="113"/>
      <w:bookmarkEnd w:id="114"/>
      <w:r>
        <w:br w:type="page"/>
      </w:r>
      <w:bookmarkStart w:id="115" w:name="_Toc239072488"/>
      <w:r>
        <w:lastRenderedPageBreak/>
        <w:t>DEFINICIJE OZ. POJASNITEV POJMOV</w:t>
      </w:r>
      <w:bookmarkEnd w:id="115"/>
    </w:p>
    <w:p w14:paraId="179A32CF" w14:textId="6F285DB9" w:rsidR="000755BA" w:rsidRDefault="000C6D93" w:rsidP="000C6D93">
      <w:pPr>
        <w:pStyle w:val="Naslov2"/>
        <w:ind w:left="284"/>
      </w:pPr>
      <w:bookmarkStart w:id="116" w:name="_Toc239072489"/>
      <w:r>
        <w:t xml:space="preserve">1. </w:t>
      </w:r>
      <w:r w:rsidR="00EF1395">
        <w:t>REGIONALNA DESTINACIJSKA ORGANIZACIJA (RDO)</w:t>
      </w:r>
      <w:bookmarkEnd w:id="116"/>
      <w:r w:rsidR="00EF1395">
        <w:t xml:space="preserve">  </w:t>
      </w:r>
    </w:p>
    <w:p w14:paraId="119BF2CA" w14:textId="77777777" w:rsidR="000755BA" w:rsidRDefault="000755BA">
      <w:pPr>
        <w:pBdr>
          <w:top w:val="nil"/>
          <w:left w:val="nil"/>
          <w:bottom w:val="nil"/>
          <w:right w:val="nil"/>
          <w:between w:val="nil"/>
        </w:pBdr>
        <w:tabs>
          <w:tab w:val="left" w:pos="851"/>
        </w:tabs>
        <w:spacing w:line="276" w:lineRule="auto"/>
        <w:ind w:left="851"/>
        <w:jc w:val="both"/>
        <w:rPr>
          <w:rFonts w:ascii="Arial" w:eastAsia="Arial" w:hAnsi="Arial" w:cs="Arial"/>
          <w:color w:val="000000"/>
        </w:rPr>
      </w:pPr>
    </w:p>
    <w:p w14:paraId="26BDEB15" w14:textId="28D9A50A"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b/>
          <w:bCs/>
          <w:color w:val="000000"/>
        </w:rPr>
        <w:t>RDO</w:t>
      </w:r>
      <w:r>
        <w:rPr>
          <w:rFonts w:ascii="Arial" w:eastAsia="Arial" w:hAnsi="Arial" w:cs="Arial"/>
          <w:b/>
          <w:bCs/>
          <w:color w:val="000000"/>
          <w:vertAlign w:val="superscript"/>
        </w:rPr>
        <w:footnoteReference w:id="25"/>
      </w:r>
      <w:r>
        <w:rPr>
          <w:rFonts w:ascii="Arial" w:eastAsia="Arial" w:hAnsi="Arial" w:cs="Arial"/>
          <w:b/>
          <w:bCs/>
          <w:color w:val="000000"/>
        </w:rPr>
        <w:t xml:space="preserve"> </w:t>
      </w:r>
      <w:r>
        <w:rPr>
          <w:rFonts w:ascii="Arial" w:eastAsia="Arial" w:hAnsi="Arial" w:cs="Arial"/>
          <w:color w:val="000000"/>
        </w:rPr>
        <w:t>deluje na</w:t>
      </w:r>
      <w:r>
        <w:rPr>
          <w:rFonts w:ascii="Arial" w:eastAsia="Arial" w:hAnsi="Arial" w:cs="Arial"/>
          <w:b/>
          <w:bCs/>
          <w:color w:val="000000"/>
        </w:rPr>
        <w:t xml:space="preserve"> </w:t>
      </w:r>
      <w:r>
        <w:rPr>
          <w:rFonts w:ascii="Arial" w:eastAsia="Arial" w:hAnsi="Arial" w:cs="Arial"/>
          <w:color w:val="000000"/>
        </w:rPr>
        <w:t>zaokroženem geografskem območju, ki zajema območje vsaj štirih samoupravnih lokalnih skupnosti (občin), ki so imele v letu 202</w:t>
      </w:r>
      <w:r w:rsidR="00344AAE">
        <w:rPr>
          <w:rFonts w:ascii="Arial" w:eastAsia="Arial" w:hAnsi="Arial" w:cs="Arial"/>
          <w:color w:val="000000"/>
        </w:rPr>
        <w:t>5</w:t>
      </w:r>
      <w:r>
        <w:rPr>
          <w:rFonts w:ascii="Arial" w:eastAsia="Arial" w:hAnsi="Arial" w:cs="Arial"/>
          <w:color w:val="000000"/>
        </w:rPr>
        <w:t xml:space="preserve"> skupaj ustvarjenih vsaj 500.000</w:t>
      </w:r>
      <w:r>
        <w:rPr>
          <w:rFonts w:ascii="Arial" w:eastAsia="Arial" w:hAnsi="Arial" w:cs="Arial"/>
          <w:color w:val="000000"/>
          <w:vertAlign w:val="superscript"/>
        </w:rPr>
        <w:footnoteReference w:id="26"/>
      </w:r>
      <w:r>
        <w:rPr>
          <w:rFonts w:ascii="Arial" w:eastAsia="Arial" w:hAnsi="Arial" w:cs="Arial"/>
          <w:color w:val="000000"/>
        </w:rPr>
        <w:t xml:space="preserve"> prenočitev turistov na ravni RDO (po podatkih SURS) in je identificirano v Analizi implementacije Strategije razvoja turizma 2022 – 2028, ukrepa Nadgradnja modela vodilnih destinacij. Poleg tega ima RDO mednarodno/globalno prepoznane naravne in/ali kulturne znamenitosti in/ali turistične atrakcije, je dostopna, ima bogato, razvito in povezano turistično ponudbo in oblikovano izjemno podobo na trgu. RDO opravlja funkcije </w:t>
      </w:r>
      <w:proofErr w:type="spellStart"/>
      <w:r>
        <w:rPr>
          <w:rFonts w:ascii="Arial" w:eastAsia="Arial" w:hAnsi="Arial" w:cs="Arial"/>
          <w:color w:val="000000"/>
        </w:rPr>
        <w:t>destinacijskega</w:t>
      </w:r>
      <w:proofErr w:type="spellEnd"/>
      <w:r>
        <w:rPr>
          <w:rFonts w:ascii="Arial" w:eastAsia="Arial" w:hAnsi="Arial" w:cs="Arial"/>
          <w:color w:val="000000"/>
        </w:rPr>
        <w:t xml:space="preserve"> managementa na ravni RDO, ki zajema: strateško vodenje, učinkovito upravljanje, razvoj turistične ponudbe, globalno trženje in učinkovito izvedbo drugih aktivnosti na ravni RDO. </w:t>
      </w:r>
    </w:p>
    <w:p w14:paraId="5EF05D66"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Analiza implementacije Strategije razvoja turizma 2022 – 2028, ukrepa Nadgradnja modela vodilnih destinacij, definira naslednja potencialna območja RDO:</w:t>
      </w:r>
    </w:p>
    <w:p w14:paraId="463BFD21" w14:textId="77777777" w:rsidR="000755BA" w:rsidRDefault="00EF1395">
      <w:pPr>
        <w:numPr>
          <w:ilvl w:val="2"/>
          <w:numId w:val="33"/>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Slovenska Istra</w:t>
      </w:r>
    </w:p>
    <w:p w14:paraId="066AA41F" w14:textId="77777777" w:rsidR="000755BA" w:rsidRDefault="00EF1395">
      <w:pPr>
        <w:numPr>
          <w:ilvl w:val="2"/>
          <w:numId w:val="33"/>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Julijske Alpe</w:t>
      </w:r>
    </w:p>
    <w:p w14:paraId="4426F787" w14:textId="77777777" w:rsidR="000755BA" w:rsidRDefault="00EF1395">
      <w:pPr>
        <w:numPr>
          <w:ilvl w:val="2"/>
          <w:numId w:val="33"/>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Gorenjska</w:t>
      </w:r>
    </w:p>
    <w:p w14:paraId="25F2CDB6" w14:textId="77777777" w:rsidR="000755BA" w:rsidRDefault="00EF1395">
      <w:pPr>
        <w:numPr>
          <w:ilvl w:val="2"/>
          <w:numId w:val="33"/>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Goriška, Vipava, Kras</w:t>
      </w:r>
    </w:p>
    <w:p w14:paraId="6ECA8685" w14:textId="77777777" w:rsidR="000755BA" w:rsidRDefault="00EF1395">
      <w:pPr>
        <w:numPr>
          <w:ilvl w:val="2"/>
          <w:numId w:val="33"/>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Savinjska, Celje, Obsotelje in Kozjansko</w:t>
      </w:r>
    </w:p>
    <w:p w14:paraId="6A97A07D" w14:textId="77777777" w:rsidR="000755BA" w:rsidRDefault="00EF1395">
      <w:pPr>
        <w:numPr>
          <w:ilvl w:val="2"/>
          <w:numId w:val="33"/>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Dolenjska, Bela Krajina in Kočevsko</w:t>
      </w:r>
    </w:p>
    <w:p w14:paraId="55F4C522" w14:textId="77777777" w:rsidR="000755BA" w:rsidRDefault="00EF1395">
      <w:pPr>
        <w:numPr>
          <w:ilvl w:val="2"/>
          <w:numId w:val="33"/>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Ljubljana in Osrednja Slovenija</w:t>
      </w:r>
    </w:p>
    <w:p w14:paraId="2A3B8E82" w14:textId="77777777" w:rsidR="000755BA" w:rsidRDefault="00EF1395">
      <w:pPr>
        <w:numPr>
          <w:ilvl w:val="2"/>
          <w:numId w:val="33"/>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Štajerska (Maribor, Pohorje, Ptuj)</w:t>
      </w:r>
    </w:p>
    <w:p w14:paraId="49D6CCF2" w14:textId="77777777" w:rsidR="000755BA" w:rsidRDefault="00EF1395">
      <w:pPr>
        <w:numPr>
          <w:ilvl w:val="2"/>
          <w:numId w:val="33"/>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Zgornje Savinska, Šaleška in Koroška</w:t>
      </w:r>
    </w:p>
    <w:p w14:paraId="508130D6" w14:textId="77777777" w:rsidR="000755BA" w:rsidRDefault="00EF1395">
      <w:pPr>
        <w:numPr>
          <w:ilvl w:val="2"/>
          <w:numId w:val="33"/>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Pomurje</w:t>
      </w:r>
    </w:p>
    <w:p w14:paraId="44AEE7AF" w14:textId="077BAD01" w:rsidR="000C6D93" w:rsidRPr="000C6D93" w:rsidRDefault="00EF1395" w:rsidP="000C6D93">
      <w:pPr>
        <w:numPr>
          <w:ilvl w:val="2"/>
          <w:numId w:val="33"/>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Posavje.</w:t>
      </w:r>
    </w:p>
    <w:p w14:paraId="73ECFF5A" w14:textId="7F842509" w:rsidR="000755BA" w:rsidRDefault="000C6D93" w:rsidP="000C6D93">
      <w:pPr>
        <w:pStyle w:val="Naslov2"/>
        <w:ind w:left="284"/>
      </w:pPr>
      <w:bookmarkStart w:id="117" w:name="_Toc239072490"/>
      <w:r>
        <w:t xml:space="preserve">2. </w:t>
      </w:r>
      <w:r w:rsidR="00EF1395">
        <w:t>VODILNA DESTINACIJSKA ORGANIZACIJA  (VD)</w:t>
      </w:r>
      <w:bookmarkEnd w:id="117"/>
    </w:p>
    <w:p w14:paraId="210640D2" w14:textId="77777777" w:rsidR="000C6D93" w:rsidRPr="000C6D93" w:rsidRDefault="000C6D93" w:rsidP="000C6D93"/>
    <w:p w14:paraId="660D0ED0"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Vodilna </w:t>
      </w:r>
      <w:proofErr w:type="spellStart"/>
      <w:r>
        <w:rPr>
          <w:rFonts w:ascii="Arial" w:eastAsia="Arial" w:hAnsi="Arial" w:cs="Arial"/>
          <w:color w:val="000000"/>
        </w:rPr>
        <w:t>destinacijska</w:t>
      </w:r>
      <w:proofErr w:type="spellEnd"/>
      <w:r>
        <w:rPr>
          <w:rFonts w:ascii="Arial" w:eastAsia="Arial" w:hAnsi="Arial" w:cs="Arial"/>
          <w:color w:val="000000"/>
        </w:rPr>
        <w:t xml:space="preserve"> organizacija (VD)</w:t>
      </w:r>
      <w:r>
        <w:rPr>
          <w:rFonts w:ascii="Arial" w:eastAsia="Arial" w:hAnsi="Arial" w:cs="Arial"/>
          <w:color w:val="000000"/>
          <w:vertAlign w:val="superscript"/>
        </w:rPr>
        <w:footnoteReference w:id="27"/>
      </w:r>
      <w:r>
        <w:rPr>
          <w:rFonts w:ascii="Arial" w:eastAsia="Arial" w:hAnsi="Arial" w:cs="Arial"/>
          <w:b/>
          <w:bCs/>
          <w:color w:val="000000"/>
        </w:rPr>
        <w:t xml:space="preserve"> </w:t>
      </w:r>
      <w:r>
        <w:rPr>
          <w:rFonts w:ascii="Arial" w:eastAsia="Arial" w:hAnsi="Arial" w:cs="Arial"/>
          <w:color w:val="000000"/>
        </w:rPr>
        <w:t>predstavlja</w:t>
      </w:r>
      <w:r>
        <w:rPr>
          <w:rFonts w:ascii="Arial" w:eastAsia="Arial" w:hAnsi="Arial" w:cs="Arial"/>
          <w:b/>
          <w:bCs/>
          <w:color w:val="000000"/>
        </w:rPr>
        <w:t xml:space="preserve"> </w:t>
      </w:r>
      <w:r>
        <w:rPr>
          <w:rFonts w:ascii="Arial" w:eastAsia="Arial" w:hAnsi="Arial" w:cs="Arial"/>
          <w:color w:val="000000"/>
        </w:rPr>
        <w:t xml:space="preserve">zaokroženo geografsko območje ene ali več samoupravnih lokalnih skupnosti (občin), kot jih navaja Strategija trajnostne rasti slovenskega turizma 2017 – 2021. Aktivnosti VD se sofinancirajo preko ukrepov Slovenske turistične organizacije. </w:t>
      </w:r>
    </w:p>
    <w:p w14:paraId="1DFE29CA"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10A4C532" w14:textId="77777777" w:rsidR="0004051E" w:rsidRDefault="0004051E">
      <w:pPr>
        <w:pBdr>
          <w:top w:val="nil"/>
          <w:left w:val="nil"/>
          <w:bottom w:val="nil"/>
          <w:right w:val="nil"/>
          <w:between w:val="nil"/>
        </w:pBdr>
        <w:spacing w:line="276" w:lineRule="auto"/>
        <w:jc w:val="both"/>
        <w:rPr>
          <w:rFonts w:ascii="Arial" w:eastAsia="Arial" w:hAnsi="Arial" w:cs="Arial"/>
          <w:color w:val="000000"/>
        </w:rPr>
      </w:pPr>
    </w:p>
    <w:p w14:paraId="5C915226" w14:textId="77777777" w:rsidR="0004051E" w:rsidRDefault="0004051E">
      <w:pPr>
        <w:pBdr>
          <w:top w:val="nil"/>
          <w:left w:val="nil"/>
          <w:bottom w:val="nil"/>
          <w:right w:val="nil"/>
          <w:between w:val="nil"/>
        </w:pBdr>
        <w:spacing w:line="276" w:lineRule="auto"/>
        <w:jc w:val="both"/>
        <w:rPr>
          <w:rFonts w:ascii="Arial" w:eastAsia="Arial" w:hAnsi="Arial" w:cs="Arial"/>
          <w:color w:val="000000"/>
        </w:rPr>
      </w:pPr>
    </w:p>
    <w:p w14:paraId="1AD0A5A3" w14:textId="6B9568C4"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lastRenderedPageBreak/>
        <w:t>Vodilne destinacije so (</w:t>
      </w:r>
      <w:proofErr w:type="spellStart"/>
      <w:r>
        <w:rPr>
          <w:rFonts w:ascii="Arial" w:eastAsia="Arial" w:hAnsi="Arial" w:cs="Arial"/>
          <w:color w:val="000000"/>
        </w:rPr>
        <w:t>rangirane</w:t>
      </w:r>
      <w:proofErr w:type="spellEnd"/>
      <w:r>
        <w:rPr>
          <w:rFonts w:ascii="Arial" w:eastAsia="Arial" w:hAnsi="Arial" w:cs="Arial"/>
          <w:color w:val="000000"/>
        </w:rPr>
        <w:t xml:space="preserve"> po številu prenočitev, 202</w:t>
      </w:r>
      <w:r w:rsidR="00344AAE">
        <w:rPr>
          <w:rFonts w:ascii="Arial" w:eastAsia="Arial" w:hAnsi="Arial" w:cs="Arial"/>
          <w:color w:val="000000"/>
        </w:rPr>
        <w:t>5</w:t>
      </w:r>
      <w:r>
        <w:rPr>
          <w:rFonts w:ascii="Arial" w:eastAsia="Arial" w:hAnsi="Arial" w:cs="Arial"/>
          <w:color w:val="000000"/>
        </w:rPr>
        <w:t>):</w:t>
      </w:r>
    </w:p>
    <w:p w14:paraId="516F2565"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FFA82F6"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Ljubljana</w:t>
      </w:r>
    </w:p>
    <w:p w14:paraId="387EE717"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Portorož – Piran</w:t>
      </w:r>
    </w:p>
    <w:p w14:paraId="77744162"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Bled</w:t>
      </w:r>
    </w:p>
    <w:p w14:paraId="41FD393F"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Pomurje</w:t>
      </w:r>
    </w:p>
    <w:p w14:paraId="2A8A0E6A"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Dolina Soče</w:t>
      </w:r>
    </w:p>
    <w:p w14:paraId="0D57BAE6"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Kranjska Gora</w:t>
      </w:r>
    </w:p>
    <w:p w14:paraId="79A9BA7B"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Bohinj</w:t>
      </w:r>
    </w:p>
    <w:p w14:paraId="7F63F1F9"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Čatež in Posavje</w:t>
      </w:r>
    </w:p>
    <w:p w14:paraId="3846CFE0"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 xml:space="preserve">Maribor – Pohorje </w:t>
      </w:r>
    </w:p>
    <w:p w14:paraId="0FA185F1"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Izola</w:t>
      </w:r>
    </w:p>
    <w:p w14:paraId="429C1F8E"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Radovljica</w:t>
      </w:r>
    </w:p>
    <w:p w14:paraId="7A735C7B"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Podčetrtek</w:t>
      </w:r>
    </w:p>
    <w:p w14:paraId="36AFC8FB"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Koper</w:t>
      </w:r>
    </w:p>
    <w:p w14:paraId="10BE070C"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Ankaran</w:t>
      </w:r>
    </w:p>
    <w:p w14:paraId="6521243C"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Dolenjska</w:t>
      </w:r>
    </w:p>
    <w:p w14:paraId="4377F993"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Laško</w:t>
      </w:r>
    </w:p>
    <w:p w14:paraId="6CAE45D4"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Rogla – Pohorje</w:t>
      </w:r>
    </w:p>
    <w:p w14:paraId="74B9D684"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Nova Gorica in Vipavska dolina</w:t>
      </w:r>
    </w:p>
    <w:p w14:paraId="18677393"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Zeleni Kras</w:t>
      </w:r>
    </w:p>
    <w:p w14:paraId="53C99E5A"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Rogaška Slatina</w:t>
      </w:r>
    </w:p>
    <w:p w14:paraId="78CCB543"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Kras</w:t>
      </w:r>
    </w:p>
    <w:p w14:paraId="6052D1FC"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Zgornja Savinjska dolina</w:t>
      </w:r>
    </w:p>
    <w:p w14:paraId="644E9A1E"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Ptuj</w:t>
      </w:r>
    </w:p>
    <w:p w14:paraId="367B6E7B"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Koroška</w:t>
      </w:r>
    </w:p>
    <w:p w14:paraId="384A28A5"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Kranj</w:t>
      </w:r>
    </w:p>
    <w:p w14:paraId="1006121E"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Dobrna</w:t>
      </w:r>
    </w:p>
    <w:p w14:paraId="53F1CA03"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Velenje – Topolšica</w:t>
      </w:r>
    </w:p>
    <w:p w14:paraId="7DDFA902"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Bela Krajina</w:t>
      </w:r>
    </w:p>
    <w:p w14:paraId="08639C5A"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Kamnik</w:t>
      </w:r>
    </w:p>
    <w:p w14:paraId="7071EE73"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Škofja Loka in  Idrija</w:t>
      </w:r>
    </w:p>
    <w:p w14:paraId="5DD5B619"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 xml:space="preserve">Cerklje </w:t>
      </w:r>
    </w:p>
    <w:p w14:paraId="6AB7D4E4"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Celje</w:t>
      </w:r>
    </w:p>
    <w:p w14:paraId="296F19AD"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Brda</w:t>
      </w:r>
    </w:p>
    <w:p w14:paraId="2638DC70" w14:textId="77777777" w:rsidR="000755BA" w:rsidRDefault="00EF1395">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Kočevsko</w:t>
      </w:r>
    </w:p>
    <w:p w14:paraId="73F62823" w14:textId="2944CF64" w:rsidR="000755BA" w:rsidRPr="000C6D93" w:rsidRDefault="00EF1395" w:rsidP="000C6D93">
      <w:pPr>
        <w:numPr>
          <w:ilvl w:val="0"/>
          <w:numId w:val="25"/>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Cerkno</w:t>
      </w:r>
    </w:p>
    <w:p w14:paraId="456EC305" w14:textId="31624548" w:rsidR="000755BA" w:rsidRDefault="000C6D93" w:rsidP="000C6D93">
      <w:pPr>
        <w:pStyle w:val="Naslov2"/>
        <w:ind w:left="426"/>
      </w:pPr>
      <w:bookmarkStart w:id="118" w:name="_Toc239072491"/>
      <w:r>
        <w:t xml:space="preserve">3. </w:t>
      </w:r>
      <w:r w:rsidR="00EF1395">
        <w:t>PERSPEKTINA DESTINACIJSKA ORGANIZACIJA (PD)</w:t>
      </w:r>
      <w:bookmarkEnd w:id="118"/>
      <w:r w:rsidR="00EF1395">
        <w:t xml:space="preserve"> </w:t>
      </w:r>
    </w:p>
    <w:p w14:paraId="453C7DD8"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CB497F1" w14:textId="210ADA08"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b/>
          <w:bCs/>
          <w:color w:val="000000"/>
        </w:rPr>
        <w:t>PD</w:t>
      </w:r>
      <w:r>
        <w:rPr>
          <w:rFonts w:ascii="Arial" w:eastAsia="Arial" w:hAnsi="Arial" w:cs="Arial"/>
          <w:b/>
          <w:bCs/>
          <w:color w:val="000000"/>
          <w:vertAlign w:val="superscript"/>
        </w:rPr>
        <w:footnoteReference w:id="28"/>
      </w:r>
      <w:r>
        <w:rPr>
          <w:rFonts w:ascii="Arial" w:eastAsia="Arial" w:hAnsi="Arial" w:cs="Arial"/>
          <w:b/>
          <w:bCs/>
          <w:color w:val="000000"/>
        </w:rPr>
        <w:t xml:space="preserve"> </w:t>
      </w:r>
      <w:r>
        <w:rPr>
          <w:rFonts w:ascii="Arial" w:eastAsia="Arial" w:hAnsi="Arial" w:cs="Arial"/>
          <w:color w:val="000000"/>
        </w:rPr>
        <w:t>deluje na</w:t>
      </w:r>
      <w:r>
        <w:rPr>
          <w:rFonts w:ascii="Arial" w:eastAsia="Arial" w:hAnsi="Arial" w:cs="Arial"/>
          <w:b/>
          <w:bCs/>
          <w:color w:val="000000"/>
        </w:rPr>
        <w:t xml:space="preserve"> </w:t>
      </w:r>
      <w:r>
        <w:rPr>
          <w:rFonts w:ascii="Arial" w:eastAsia="Arial" w:hAnsi="Arial" w:cs="Arial"/>
          <w:color w:val="000000"/>
        </w:rPr>
        <w:t>zaokroženem geografskem območju treh ali več samoupravnih lokalnih skupnosti (občin), ki so imele v letu 202</w:t>
      </w:r>
      <w:r w:rsidR="00344AAE">
        <w:rPr>
          <w:rFonts w:ascii="Arial" w:eastAsia="Arial" w:hAnsi="Arial" w:cs="Arial"/>
          <w:color w:val="000000"/>
        </w:rPr>
        <w:t>5</w:t>
      </w:r>
      <w:r>
        <w:rPr>
          <w:rFonts w:ascii="Arial" w:eastAsia="Arial" w:hAnsi="Arial" w:cs="Arial"/>
          <w:color w:val="000000"/>
        </w:rPr>
        <w:t xml:space="preserve"> skupaj ustvarjenih vsaj 6.000 prenočitev (po podatkih SURS). V Strategiji trajnostne rasti slovenskega turizma 2017 – 2021 ni opredeljena kot vodilna destinacija (v celoti ali delno). Kot perspektivna destinacija je identificirana v Analizi implementacije Strategije razvoja turizma 2022 – 2028, ukrepu Nadgradnja modela vodilnih destinacij. Vzpostavljen ima vsaj en integralni turistični </w:t>
      </w:r>
      <w:r>
        <w:rPr>
          <w:rFonts w:ascii="Arial" w:eastAsia="Arial" w:hAnsi="Arial" w:cs="Arial"/>
          <w:color w:val="000000"/>
        </w:rPr>
        <w:lastRenderedPageBreak/>
        <w:t>produkt, ki pokriva območje PD in temelji na kulturni ali naravni dediščini ali atrakciji/doživetju, ki je je značilno za to PD.</w:t>
      </w:r>
      <w:r>
        <w:rPr>
          <w:rFonts w:ascii="Arial" w:eastAsia="Arial" w:hAnsi="Arial" w:cs="Arial"/>
          <w:b/>
          <w:bCs/>
          <w:color w:val="000000"/>
        </w:rPr>
        <w:t xml:space="preserve"> </w:t>
      </w:r>
    </w:p>
    <w:p w14:paraId="7735D589"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rPr>
      </w:pPr>
      <w:r>
        <w:rPr>
          <w:rFonts w:ascii="Arial" w:eastAsia="Arial" w:hAnsi="Arial" w:cs="Arial"/>
          <w:color w:val="000000"/>
        </w:rPr>
        <w:t>V Analizi implementacije Strategije razvoja turizma 2022 – 2028, ukrepu Nadgradnja modela vodilnih destinacij, so definirana naslednja potencialna območja PD:</w:t>
      </w:r>
    </w:p>
    <w:p w14:paraId="674DD291" w14:textId="77777777" w:rsidR="000755BA" w:rsidRDefault="00EF1395">
      <w:pPr>
        <w:numPr>
          <w:ilvl w:val="0"/>
          <w:numId w:val="4"/>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Zasavje</w:t>
      </w:r>
    </w:p>
    <w:p w14:paraId="2F93F0CC" w14:textId="77777777" w:rsidR="000755BA" w:rsidRDefault="00EF1395">
      <w:pPr>
        <w:numPr>
          <w:ilvl w:val="0"/>
          <w:numId w:val="4"/>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Dežela pod Karavankami</w:t>
      </w:r>
    </w:p>
    <w:p w14:paraId="5989A011" w14:textId="77777777" w:rsidR="000755BA" w:rsidRDefault="00EF1395">
      <w:pPr>
        <w:numPr>
          <w:ilvl w:val="0"/>
          <w:numId w:val="4"/>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Dežela pod Storžičem – Jezersko</w:t>
      </w:r>
    </w:p>
    <w:p w14:paraId="0FCEA3D7" w14:textId="77777777" w:rsidR="000755BA" w:rsidRDefault="00EF1395">
      <w:pPr>
        <w:numPr>
          <w:ilvl w:val="0"/>
          <w:numId w:val="4"/>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Dežela suhe robe</w:t>
      </w:r>
    </w:p>
    <w:p w14:paraId="057025A8" w14:textId="77777777" w:rsidR="000755BA" w:rsidRDefault="00EF1395">
      <w:pPr>
        <w:numPr>
          <w:ilvl w:val="0"/>
          <w:numId w:val="4"/>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Haloze</w:t>
      </w:r>
    </w:p>
    <w:p w14:paraId="3A615A80" w14:textId="77777777" w:rsidR="000755BA" w:rsidRDefault="00EF1395">
      <w:pPr>
        <w:numPr>
          <w:ilvl w:val="0"/>
          <w:numId w:val="4"/>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Jeruzalem – Ormož</w:t>
      </w:r>
    </w:p>
    <w:p w14:paraId="43D9AA61" w14:textId="77777777" w:rsidR="000755BA" w:rsidRDefault="00EF1395">
      <w:pPr>
        <w:numPr>
          <w:ilvl w:val="0"/>
          <w:numId w:val="4"/>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Dolina Voglajne</w:t>
      </w:r>
    </w:p>
    <w:p w14:paraId="53ACFB78" w14:textId="2035D256" w:rsidR="000755BA" w:rsidRPr="000C6D93" w:rsidRDefault="00EF1395" w:rsidP="000C6D93">
      <w:pPr>
        <w:numPr>
          <w:ilvl w:val="0"/>
          <w:numId w:val="4"/>
        </w:numPr>
        <w:pBdr>
          <w:top w:val="nil"/>
          <w:left w:val="nil"/>
          <w:bottom w:val="nil"/>
          <w:right w:val="nil"/>
          <w:between w:val="nil"/>
        </w:pBdr>
        <w:spacing w:line="276" w:lineRule="auto"/>
        <w:ind w:left="709"/>
        <w:jc w:val="both"/>
        <w:rPr>
          <w:rFonts w:ascii="Arial" w:eastAsia="Arial" w:hAnsi="Arial" w:cs="Arial"/>
          <w:color w:val="000000"/>
        </w:rPr>
      </w:pPr>
      <w:r>
        <w:rPr>
          <w:rFonts w:ascii="Arial" w:eastAsia="Arial" w:hAnsi="Arial" w:cs="Arial"/>
          <w:color w:val="000000"/>
        </w:rPr>
        <w:t>Spodnja Savinjska Dolina.</w:t>
      </w:r>
    </w:p>
    <w:p w14:paraId="2E381C1D" w14:textId="4A91009B" w:rsidR="000755BA" w:rsidRDefault="000C6D93" w:rsidP="000C6D93">
      <w:pPr>
        <w:pStyle w:val="Naslov2"/>
        <w:ind w:left="426"/>
      </w:pPr>
      <w:bookmarkStart w:id="119" w:name="_Toc239072492"/>
      <w:r>
        <w:t>4. Program dela RDO</w:t>
      </w:r>
      <w:bookmarkEnd w:id="119"/>
    </w:p>
    <w:p w14:paraId="399B3F21"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13D1B07B"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Program dela RDO mora biti pripravljen v skladu s Priročnikom za delo </w:t>
      </w:r>
      <w:proofErr w:type="spellStart"/>
      <w:r>
        <w:rPr>
          <w:rFonts w:ascii="Arial" w:eastAsia="Arial" w:hAnsi="Arial" w:cs="Arial"/>
          <w:color w:val="000000"/>
        </w:rPr>
        <w:t>destinacijskih</w:t>
      </w:r>
      <w:proofErr w:type="spellEnd"/>
      <w:r>
        <w:rPr>
          <w:rFonts w:ascii="Arial" w:eastAsia="Arial" w:hAnsi="Arial" w:cs="Arial"/>
          <w:color w:val="000000"/>
        </w:rPr>
        <w:t xml:space="preserve"> organizacij, dostopnem na </w:t>
      </w:r>
      <w:hyperlink r:id="rId53">
        <w:r>
          <w:rPr>
            <w:rFonts w:ascii="Arial" w:eastAsia="Arial" w:hAnsi="Arial" w:cs="Arial"/>
            <w:color w:val="0000FF"/>
            <w:u w:val="single"/>
          </w:rPr>
          <w:t xml:space="preserve">2025 11 STO </w:t>
        </w:r>
        <w:proofErr w:type="spellStart"/>
        <w:r>
          <w:rPr>
            <w:rFonts w:ascii="Arial" w:eastAsia="Arial" w:hAnsi="Arial" w:cs="Arial"/>
            <w:color w:val="0000FF"/>
            <w:u w:val="single"/>
          </w:rPr>
          <w:t>Prirocnik</w:t>
        </w:r>
        <w:proofErr w:type="spellEnd"/>
        <w:r>
          <w:rPr>
            <w:rFonts w:ascii="Arial" w:eastAsia="Arial" w:hAnsi="Arial" w:cs="Arial"/>
            <w:color w:val="0000FF"/>
            <w:u w:val="single"/>
          </w:rPr>
          <w:t xml:space="preserve"> </w:t>
        </w:r>
        <w:proofErr w:type="spellStart"/>
        <w:r>
          <w:rPr>
            <w:rFonts w:ascii="Arial" w:eastAsia="Arial" w:hAnsi="Arial" w:cs="Arial"/>
            <w:color w:val="0000FF"/>
            <w:u w:val="single"/>
          </w:rPr>
          <w:t>destinacijske</w:t>
        </w:r>
        <w:proofErr w:type="spellEnd"/>
        <w:r>
          <w:rPr>
            <w:rFonts w:ascii="Arial" w:eastAsia="Arial" w:hAnsi="Arial" w:cs="Arial"/>
            <w:color w:val="0000FF"/>
            <w:u w:val="single"/>
          </w:rPr>
          <w:t xml:space="preserve"> </w:t>
        </w:r>
        <w:proofErr w:type="spellStart"/>
        <w:r>
          <w:rPr>
            <w:rFonts w:ascii="Arial" w:eastAsia="Arial" w:hAnsi="Arial" w:cs="Arial"/>
            <w:color w:val="0000FF"/>
            <w:u w:val="single"/>
          </w:rPr>
          <w:t>organizacije.indd</w:t>
        </w:r>
        <w:proofErr w:type="spellEnd"/>
      </w:hyperlink>
      <w:r>
        <w:rPr>
          <w:rFonts w:ascii="Arial" w:eastAsia="Arial" w:hAnsi="Arial" w:cs="Arial"/>
          <w:color w:val="000000"/>
        </w:rPr>
        <w:t xml:space="preserve">, pri čemer mora zajemati vsaj naslednje aktivnosti: </w:t>
      </w:r>
    </w:p>
    <w:p w14:paraId="6E6C09D7" w14:textId="77777777" w:rsidR="000755BA" w:rsidRDefault="00EF1395">
      <w:pPr>
        <w:numPr>
          <w:ilvl w:val="2"/>
          <w:numId w:val="40"/>
        </w:numPr>
        <w:pBdr>
          <w:top w:val="nil"/>
          <w:left w:val="nil"/>
          <w:bottom w:val="nil"/>
          <w:right w:val="nil"/>
          <w:between w:val="nil"/>
        </w:pBdr>
        <w:spacing w:line="276" w:lineRule="auto"/>
        <w:ind w:left="709" w:hanging="357"/>
        <w:jc w:val="both"/>
        <w:rPr>
          <w:color w:val="000000"/>
        </w:rPr>
      </w:pPr>
      <w:r>
        <w:rPr>
          <w:rFonts w:ascii="Arial" w:eastAsia="Arial" w:hAnsi="Arial" w:cs="Arial"/>
          <w:color w:val="000000"/>
        </w:rPr>
        <w:t xml:space="preserve">strateško vodenje in povezovanje vseh deležnikov turizma na ravni turistične regije preko partnerstva obstoječih vodilnih destinacij in prihodnjih perspektivnih destinacij na območju regije, </w:t>
      </w:r>
    </w:p>
    <w:p w14:paraId="41C26EEC" w14:textId="77777777" w:rsidR="000755BA" w:rsidRDefault="00EF1395">
      <w:pPr>
        <w:numPr>
          <w:ilvl w:val="2"/>
          <w:numId w:val="40"/>
        </w:numPr>
        <w:pBdr>
          <w:top w:val="nil"/>
          <w:left w:val="nil"/>
          <w:bottom w:val="nil"/>
          <w:right w:val="nil"/>
          <w:between w:val="nil"/>
        </w:pBdr>
        <w:spacing w:line="276" w:lineRule="auto"/>
        <w:ind w:left="709" w:hanging="357"/>
        <w:jc w:val="both"/>
        <w:rPr>
          <w:color w:val="000000"/>
        </w:rPr>
      </w:pPr>
      <w:r>
        <w:rPr>
          <w:rFonts w:ascii="Arial" w:eastAsia="Arial" w:hAnsi="Arial" w:cs="Arial"/>
          <w:color w:val="000000"/>
        </w:rPr>
        <w:t xml:space="preserve">povezanost in partnerstvo s turističnim gospodarstvom in podjetniki na področju turizma na območju regije, </w:t>
      </w:r>
    </w:p>
    <w:p w14:paraId="5B262A46" w14:textId="77777777" w:rsidR="000755BA" w:rsidRDefault="00EF1395">
      <w:pPr>
        <w:numPr>
          <w:ilvl w:val="2"/>
          <w:numId w:val="40"/>
        </w:numPr>
        <w:pBdr>
          <w:top w:val="nil"/>
          <w:left w:val="nil"/>
          <w:bottom w:val="nil"/>
          <w:right w:val="nil"/>
          <w:between w:val="nil"/>
        </w:pBdr>
        <w:spacing w:line="276" w:lineRule="auto"/>
        <w:ind w:left="709" w:hanging="357"/>
        <w:jc w:val="both"/>
        <w:rPr>
          <w:color w:val="000000"/>
        </w:rPr>
      </w:pPr>
      <w:r>
        <w:rPr>
          <w:rFonts w:ascii="Arial" w:eastAsia="Arial" w:hAnsi="Arial" w:cs="Arial"/>
          <w:color w:val="000000"/>
        </w:rPr>
        <w:t>učinkovito pospeševanje prodaje v usklajenem sodelovanju vodilnih in perspektivnih destinacij z zasebnimi ponudniki iz turističnega gospodarstva v regiji,</w:t>
      </w:r>
    </w:p>
    <w:p w14:paraId="6230B7C3" w14:textId="77777777" w:rsidR="000755BA" w:rsidRDefault="00EF1395">
      <w:pPr>
        <w:numPr>
          <w:ilvl w:val="2"/>
          <w:numId w:val="40"/>
        </w:numPr>
        <w:pBdr>
          <w:top w:val="nil"/>
          <w:left w:val="nil"/>
          <w:bottom w:val="nil"/>
          <w:right w:val="nil"/>
          <w:between w:val="nil"/>
        </w:pBdr>
        <w:spacing w:line="276" w:lineRule="auto"/>
        <w:ind w:left="709" w:hanging="357"/>
        <w:jc w:val="both"/>
        <w:rPr>
          <w:color w:val="000000"/>
        </w:rPr>
      </w:pPr>
      <w:r>
        <w:rPr>
          <w:rFonts w:ascii="Arial" w:eastAsia="Arial" w:hAnsi="Arial" w:cs="Arial"/>
          <w:color w:val="000000"/>
        </w:rPr>
        <w:t xml:space="preserve">učinkovito upravljanje turizma na ponudbeni strani in dvigovanje kakovosti ter dodane vrednosti v turizmu, oblikovanje turističnih produktov, usklajeno informiranje turistov in mednarodno trženje turistične ponudbe regije, </w:t>
      </w:r>
    </w:p>
    <w:p w14:paraId="0206A91B" w14:textId="77777777" w:rsidR="000755BA" w:rsidRDefault="00EF1395">
      <w:pPr>
        <w:numPr>
          <w:ilvl w:val="2"/>
          <w:numId w:val="40"/>
        </w:numPr>
        <w:pBdr>
          <w:top w:val="nil"/>
          <w:left w:val="nil"/>
          <w:bottom w:val="nil"/>
          <w:right w:val="nil"/>
          <w:between w:val="nil"/>
        </w:pBdr>
        <w:spacing w:line="276" w:lineRule="auto"/>
        <w:ind w:left="709" w:hanging="357"/>
        <w:jc w:val="both"/>
        <w:rPr>
          <w:color w:val="000000"/>
        </w:rPr>
      </w:pPr>
      <w:r>
        <w:rPr>
          <w:rFonts w:ascii="Arial" w:eastAsia="Arial" w:hAnsi="Arial" w:cs="Arial"/>
          <w:color w:val="000000"/>
        </w:rPr>
        <w:t xml:space="preserve">usmerjanje turističnih tokov na območju regije in </w:t>
      </w:r>
      <w:proofErr w:type="spellStart"/>
      <w:r>
        <w:rPr>
          <w:rFonts w:ascii="Arial" w:eastAsia="Arial" w:hAnsi="Arial" w:cs="Arial"/>
          <w:color w:val="000000"/>
        </w:rPr>
        <w:t>medregijskega</w:t>
      </w:r>
      <w:proofErr w:type="spellEnd"/>
      <w:r>
        <w:rPr>
          <w:rFonts w:ascii="Arial" w:eastAsia="Arial" w:hAnsi="Arial" w:cs="Arial"/>
          <w:color w:val="000000"/>
        </w:rPr>
        <w:t xml:space="preserve"> sodelovanja,</w:t>
      </w:r>
    </w:p>
    <w:p w14:paraId="54922E8C" w14:textId="77777777" w:rsidR="000755BA" w:rsidRDefault="00EF1395">
      <w:pPr>
        <w:numPr>
          <w:ilvl w:val="2"/>
          <w:numId w:val="40"/>
        </w:numPr>
        <w:pBdr>
          <w:top w:val="nil"/>
          <w:left w:val="nil"/>
          <w:bottom w:val="nil"/>
          <w:right w:val="nil"/>
          <w:between w:val="nil"/>
        </w:pBdr>
        <w:spacing w:line="276" w:lineRule="auto"/>
        <w:ind w:left="709" w:hanging="357"/>
        <w:jc w:val="both"/>
        <w:rPr>
          <w:color w:val="000000"/>
        </w:rPr>
      </w:pPr>
      <w:r>
        <w:rPr>
          <w:rFonts w:ascii="Arial" w:eastAsia="Arial" w:hAnsi="Arial" w:cs="Arial"/>
          <w:color w:val="000000"/>
        </w:rPr>
        <w:t xml:space="preserve">sprejemanje in upravljavsko spremljanje (7 letnih) strategij in akcijskih načrtov razvoja turizma na zaokroženem območju regije, </w:t>
      </w:r>
    </w:p>
    <w:p w14:paraId="0710A47B" w14:textId="77777777" w:rsidR="000755BA" w:rsidRDefault="00EF1395">
      <w:pPr>
        <w:numPr>
          <w:ilvl w:val="2"/>
          <w:numId w:val="40"/>
        </w:numPr>
        <w:pBdr>
          <w:top w:val="nil"/>
          <w:left w:val="nil"/>
          <w:bottom w:val="nil"/>
          <w:right w:val="nil"/>
          <w:between w:val="nil"/>
        </w:pBdr>
        <w:spacing w:line="276" w:lineRule="auto"/>
        <w:ind w:left="709" w:hanging="357"/>
        <w:jc w:val="both"/>
        <w:rPr>
          <w:color w:val="000000"/>
        </w:rPr>
      </w:pPr>
      <w:r>
        <w:rPr>
          <w:rFonts w:ascii="Arial" w:eastAsia="Arial" w:hAnsi="Arial" w:cs="Arial"/>
          <w:color w:val="000000"/>
        </w:rPr>
        <w:t xml:space="preserve">razvoj turistične ponudbe in novih turističnih produktov na območju regije ali </w:t>
      </w:r>
      <w:proofErr w:type="spellStart"/>
      <w:r>
        <w:rPr>
          <w:rFonts w:ascii="Arial" w:eastAsia="Arial" w:hAnsi="Arial" w:cs="Arial"/>
          <w:color w:val="000000"/>
        </w:rPr>
        <w:t>medregijskega</w:t>
      </w:r>
      <w:proofErr w:type="spellEnd"/>
      <w:r>
        <w:rPr>
          <w:rFonts w:ascii="Arial" w:eastAsia="Arial" w:hAnsi="Arial" w:cs="Arial"/>
          <w:color w:val="000000"/>
        </w:rPr>
        <w:t xml:space="preserve"> sodelovanja, </w:t>
      </w:r>
    </w:p>
    <w:p w14:paraId="2482B137" w14:textId="77777777" w:rsidR="000755BA" w:rsidRDefault="00EF1395">
      <w:pPr>
        <w:numPr>
          <w:ilvl w:val="2"/>
          <w:numId w:val="40"/>
        </w:numPr>
        <w:pBdr>
          <w:top w:val="nil"/>
          <w:left w:val="nil"/>
          <w:bottom w:val="nil"/>
          <w:right w:val="nil"/>
          <w:between w:val="nil"/>
        </w:pBdr>
        <w:spacing w:line="276" w:lineRule="auto"/>
        <w:ind w:left="709" w:hanging="357"/>
        <w:jc w:val="both"/>
        <w:rPr>
          <w:color w:val="000000"/>
        </w:rPr>
      </w:pPr>
      <w:r>
        <w:rPr>
          <w:rFonts w:ascii="Arial" w:eastAsia="Arial" w:hAnsi="Arial" w:cs="Arial"/>
          <w:color w:val="000000"/>
        </w:rPr>
        <w:t>vzpostavljanje, pospeševanje in upravljanje trajnostnih praks (ZSST - Zelena shema slovenskega turizma) v turistični ponudbi na območju regije,</w:t>
      </w:r>
    </w:p>
    <w:p w14:paraId="44D55D1A" w14:textId="77777777" w:rsidR="000755BA" w:rsidRDefault="00EF1395">
      <w:pPr>
        <w:numPr>
          <w:ilvl w:val="2"/>
          <w:numId w:val="40"/>
        </w:numPr>
        <w:pBdr>
          <w:top w:val="nil"/>
          <w:left w:val="nil"/>
          <w:bottom w:val="nil"/>
          <w:right w:val="nil"/>
          <w:between w:val="nil"/>
        </w:pBdr>
        <w:spacing w:line="276" w:lineRule="auto"/>
        <w:ind w:left="709" w:hanging="357"/>
        <w:jc w:val="both"/>
        <w:rPr>
          <w:color w:val="000000"/>
        </w:rPr>
      </w:pPr>
      <w:r>
        <w:rPr>
          <w:rFonts w:ascii="Arial" w:eastAsia="Arial" w:hAnsi="Arial" w:cs="Arial"/>
          <w:color w:val="000000"/>
        </w:rPr>
        <w:t xml:space="preserve">usklajevanje politike </w:t>
      </w:r>
      <w:proofErr w:type="spellStart"/>
      <w:r>
        <w:rPr>
          <w:rFonts w:ascii="Arial" w:eastAsia="Arial" w:hAnsi="Arial" w:cs="Arial"/>
          <w:color w:val="000000"/>
        </w:rPr>
        <w:t>destinacijskih</w:t>
      </w:r>
      <w:proofErr w:type="spellEnd"/>
      <w:r>
        <w:rPr>
          <w:rFonts w:ascii="Arial" w:eastAsia="Arial" w:hAnsi="Arial" w:cs="Arial"/>
          <w:color w:val="000000"/>
        </w:rPr>
        <w:t xml:space="preserve"> znamk in znamke ter tržnega </w:t>
      </w:r>
      <w:proofErr w:type="spellStart"/>
      <w:r>
        <w:rPr>
          <w:rFonts w:ascii="Arial" w:eastAsia="Arial" w:hAnsi="Arial" w:cs="Arial"/>
          <w:color w:val="000000"/>
        </w:rPr>
        <w:t>pozicioniranja</w:t>
      </w:r>
      <w:proofErr w:type="spellEnd"/>
      <w:r>
        <w:rPr>
          <w:rFonts w:ascii="Arial" w:eastAsia="Arial" w:hAnsi="Arial" w:cs="Arial"/>
          <w:color w:val="000000"/>
        </w:rPr>
        <w:t xml:space="preserve"> turistične regije,</w:t>
      </w:r>
    </w:p>
    <w:p w14:paraId="48618B48" w14:textId="77777777" w:rsidR="000755BA" w:rsidRDefault="00EF1395">
      <w:pPr>
        <w:numPr>
          <w:ilvl w:val="2"/>
          <w:numId w:val="40"/>
        </w:numPr>
        <w:pBdr>
          <w:top w:val="nil"/>
          <w:left w:val="nil"/>
          <w:bottom w:val="nil"/>
          <w:right w:val="nil"/>
          <w:between w:val="nil"/>
        </w:pBdr>
        <w:spacing w:line="276" w:lineRule="auto"/>
        <w:ind w:left="709" w:hanging="357"/>
        <w:jc w:val="both"/>
        <w:rPr>
          <w:color w:val="000000"/>
        </w:rPr>
      </w:pPr>
      <w:r>
        <w:rPr>
          <w:rFonts w:ascii="Arial" w:eastAsia="Arial" w:hAnsi="Arial" w:cs="Arial"/>
          <w:color w:val="000000"/>
        </w:rPr>
        <w:t xml:space="preserve">sodelovanje in partnerstvo s Slovensko turistično organizacijo pri oblikovanju turističnih produktov, oblikovanju razvojnih in trženjskih prioritet, politik in programov ter trženjskem nastopanju na mednarodnih trgih, </w:t>
      </w:r>
      <w:r>
        <w:rPr>
          <w:rFonts w:ascii="Arial" w:eastAsia="Arial" w:hAnsi="Arial" w:cs="Arial"/>
          <w:color w:val="000000"/>
          <w:u w:val="single"/>
        </w:rPr>
        <w:t>na nacionalni ravni</w:t>
      </w:r>
    </w:p>
    <w:p w14:paraId="027DFED2" w14:textId="37BB29BD" w:rsidR="000755BA" w:rsidRPr="000C6D93" w:rsidRDefault="00EF1395" w:rsidP="000C6D93">
      <w:pPr>
        <w:numPr>
          <w:ilvl w:val="2"/>
          <w:numId w:val="40"/>
        </w:numPr>
        <w:pBdr>
          <w:top w:val="nil"/>
          <w:left w:val="nil"/>
          <w:bottom w:val="nil"/>
          <w:right w:val="nil"/>
          <w:between w:val="nil"/>
        </w:pBdr>
        <w:spacing w:line="276" w:lineRule="auto"/>
        <w:ind w:left="709" w:hanging="357"/>
        <w:jc w:val="both"/>
        <w:rPr>
          <w:color w:val="000000"/>
        </w:rPr>
      </w:pPr>
      <w:r>
        <w:rPr>
          <w:rFonts w:ascii="Arial" w:eastAsia="Arial" w:hAnsi="Arial" w:cs="Arial"/>
          <w:color w:val="000000"/>
        </w:rPr>
        <w:t xml:space="preserve">izvedba drugih aktivnosti na ravni RDO. </w:t>
      </w:r>
    </w:p>
    <w:p w14:paraId="36A57523" w14:textId="1614DECB" w:rsidR="000755BA" w:rsidRDefault="000C6D93" w:rsidP="000C6D93">
      <w:pPr>
        <w:pStyle w:val="Naslov2"/>
        <w:ind w:left="426"/>
      </w:pPr>
      <w:bookmarkStart w:id="120" w:name="_Toc239072493"/>
      <w:r>
        <w:t>5. Program dela PD</w:t>
      </w:r>
      <w:bookmarkEnd w:id="120"/>
    </w:p>
    <w:p w14:paraId="048B9810"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7A5547D8"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Program dela PD mora biti pripravljen v skladu s Priročnikom za delo </w:t>
      </w:r>
      <w:proofErr w:type="spellStart"/>
      <w:r>
        <w:rPr>
          <w:rFonts w:ascii="Arial" w:eastAsia="Arial" w:hAnsi="Arial" w:cs="Arial"/>
          <w:color w:val="000000"/>
        </w:rPr>
        <w:t>destinacijskih</w:t>
      </w:r>
      <w:proofErr w:type="spellEnd"/>
      <w:r>
        <w:rPr>
          <w:rFonts w:ascii="Arial" w:eastAsia="Arial" w:hAnsi="Arial" w:cs="Arial"/>
          <w:color w:val="000000"/>
        </w:rPr>
        <w:t xml:space="preserve"> organizacij, ki je dostopen na </w:t>
      </w:r>
      <w:hyperlink r:id="rId54">
        <w:r>
          <w:rPr>
            <w:rFonts w:ascii="Arial" w:eastAsia="Arial" w:hAnsi="Arial" w:cs="Arial"/>
            <w:color w:val="0000FF"/>
            <w:u w:val="single"/>
          </w:rPr>
          <w:t xml:space="preserve">2025 11 STO </w:t>
        </w:r>
        <w:proofErr w:type="spellStart"/>
        <w:r>
          <w:rPr>
            <w:rFonts w:ascii="Arial" w:eastAsia="Arial" w:hAnsi="Arial" w:cs="Arial"/>
            <w:color w:val="0000FF"/>
            <w:u w:val="single"/>
          </w:rPr>
          <w:t>Prirocnik</w:t>
        </w:r>
        <w:proofErr w:type="spellEnd"/>
        <w:r>
          <w:rPr>
            <w:rFonts w:ascii="Arial" w:eastAsia="Arial" w:hAnsi="Arial" w:cs="Arial"/>
            <w:color w:val="0000FF"/>
            <w:u w:val="single"/>
          </w:rPr>
          <w:t xml:space="preserve"> </w:t>
        </w:r>
        <w:proofErr w:type="spellStart"/>
        <w:r>
          <w:rPr>
            <w:rFonts w:ascii="Arial" w:eastAsia="Arial" w:hAnsi="Arial" w:cs="Arial"/>
            <w:color w:val="0000FF"/>
            <w:u w:val="single"/>
          </w:rPr>
          <w:t>destinacijske</w:t>
        </w:r>
        <w:proofErr w:type="spellEnd"/>
        <w:r>
          <w:rPr>
            <w:rFonts w:ascii="Arial" w:eastAsia="Arial" w:hAnsi="Arial" w:cs="Arial"/>
            <w:color w:val="0000FF"/>
            <w:u w:val="single"/>
          </w:rPr>
          <w:t xml:space="preserve"> </w:t>
        </w:r>
        <w:proofErr w:type="spellStart"/>
        <w:r>
          <w:rPr>
            <w:rFonts w:ascii="Arial" w:eastAsia="Arial" w:hAnsi="Arial" w:cs="Arial"/>
            <w:color w:val="0000FF"/>
            <w:u w:val="single"/>
          </w:rPr>
          <w:t>organizacije.indd</w:t>
        </w:r>
        <w:proofErr w:type="spellEnd"/>
      </w:hyperlink>
      <w:r>
        <w:rPr>
          <w:rFonts w:ascii="Arial" w:eastAsia="Arial" w:hAnsi="Arial" w:cs="Arial"/>
          <w:color w:val="000000"/>
        </w:rPr>
        <w:t>.</w:t>
      </w:r>
    </w:p>
    <w:p w14:paraId="34B225DA"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3162E3C1" w14:textId="77777777" w:rsidR="000755BA" w:rsidRDefault="000755BA">
      <w:pPr>
        <w:pBdr>
          <w:top w:val="nil"/>
          <w:left w:val="nil"/>
          <w:bottom w:val="nil"/>
          <w:right w:val="nil"/>
          <w:between w:val="nil"/>
        </w:pBdr>
        <w:spacing w:line="276" w:lineRule="auto"/>
        <w:rPr>
          <w:rFonts w:ascii="Arial" w:eastAsia="Arial" w:hAnsi="Arial" w:cs="Arial"/>
          <w:color w:val="000000"/>
        </w:rPr>
        <w:sectPr w:rsidR="000755BA">
          <w:headerReference w:type="default" r:id="rId55"/>
          <w:footerReference w:type="default" r:id="rId56"/>
          <w:headerReference w:type="first" r:id="rId57"/>
          <w:footerReference w:type="first" r:id="rId58"/>
          <w:pgSz w:w="11906" w:h="16838"/>
          <w:pgMar w:top="1418" w:right="1418" w:bottom="1418" w:left="1418" w:header="709" w:footer="709" w:gutter="0"/>
          <w:pgNumType w:start="1"/>
          <w:cols w:space="708"/>
          <w:titlePg/>
        </w:sectPr>
      </w:pPr>
    </w:p>
    <w:p w14:paraId="39C8287F" w14:textId="30F8F386" w:rsidR="000755BA" w:rsidRDefault="000C6D93" w:rsidP="000C6D93">
      <w:pPr>
        <w:pStyle w:val="Naslov2"/>
        <w:ind w:left="426"/>
      </w:pPr>
      <w:bookmarkStart w:id="121" w:name="_Toc239072494"/>
      <w:r>
        <w:lastRenderedPageBreak/>
        <w:t xml:space="preserve">6. </w:t>
      </w:r>
      <w:r w:rsidR="00EF1395">
        <w:t>Višina sofinanciranja posameznega RDO</w:t>
      </w:r>
      <w:bookmarkEnd w:id="121"/>
    </w:p>
    <w:p w14:paraId="4EC6719E"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2E01A04D"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Na podlagi Analize implementacije Strategije razvoja turizma 2022 – 2028, ukrepa Nadgradnja modela vodilnih destinacij, kriterijev za pridobitev sofinanciranja, določenih v točki 10. Intenzivnost pomoči, in podatkov iz javnih evidenc, so kazalniki stanja na območjih posameznih identificiranih RDO-jev sledeči:</w:t>
      </w:r>
    </w:p>
    <w:p w14:paraId="0F6F8504"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tbl>
      <w:tblPr>
        <w:tblStyle w:val="a8"/>
        <w:tblW w:w="15135" w:type="dxa"/>
        <w:tblInd w:w="-577" w:type="dxa"/>
        <w:tblLayout w:type="fixed"/>
        <w:tblLook w:val="0000" w:firstRow="0" w:lastRow="0" w:firstColumn="0" w:lastColumn="0" w:noHBand="0" w:noVBand="0"/>
      </w:tblPr>
      <w:tblGrid>
        <w:gridCol w:w="699"/>
        <w:gridCol w:w="2552"/>
        <w:gridCol w:w="1152"/>
        <w:gridCol w:w="992"/>
        <w:gridCol w:w="1052"/>
        <w:gridCol w:w="1087"/>
        <w:gridCol w:w="1418"/>
        <w:gridCol w:w="1275"/>
        <w:gridCol w:w="1134"/>
        <w:gridCol w:w="974"/>
        <w:gridCol w:w="1463"/>
        <w:gridCol w:w="1337"/>
      </w:tblGrid>
      <w:tr w:rsidR="000755BA" w14:paraId="0E37B68F" w14:textId="77777777" w:rsidTr="00781044">
        <w:trPr>
          <w:trHeight w:val="330"/>
        </w:trPr>
        <w:tc>
          <w:tcPr>
            <w:tcW w:w="3251" w:type="dxa"/>
            <w:gridSpan w:val="2"/>
            <w:tcBorders>
              <w:top w:val="single" w:sz="8" w:space="0" w:color="000000"/>
              <w:left w:val="single" w:sz="8" w:space="0" w:color="000000"/>
              <w:bottom w:val="nil"/>
              <w:right w:val="nil"/>
            </w:tcBorders>
            <w:shd w:val="clear" w:color="auto" w:fill="85A20A"/>
            <w:vAlign w:val="center"/>
          </w:tcPr>
          <w:p w14:paraId="444E922A"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b/>
                <w:bCs/>
                <w:color w:val="FFFFFF"/>
              </w:rPr>
              <w:t xml:space="preserve">Regijske </w:t>
            </w:r>
            <w:proofErr w:type="spellStart"/>
            <w:r>
              <w:rPr>
                <w:rFonts w:ascii="Arial" w:eastAsia="Arial" w:hAnsi="Arial" w:cs="Arial"/>
                <w:b/>
                <w:bCs/>
                <w:color w:val="FFFFFF"/>
              </w:rPr>
              <w:t>destinacijske</w:t>
            </w:r>
            <w:proofErr w:type="spellEnd"/>
            <w:r>
              <w:rPr>
                <w:rFonts w:ascii="Arial" w:eastAsia="Arial" w:hAnsi="Arial" w:cs="Arial"/>
                <w:b/>
                <w:bCs/>
                <w:color w:val="FFFFFF"/>
              </w:rPr>
              <w:t xml:space="preserve"> organizacije - 2025</w:t>
            </w:r>
          </w:p>
          <w:p w14:paraId="154A3971"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color w:val="FFFFFF"/>
              </w:rPr>
              <w:t> </w:t>
            </w:r>
          </w:p>
        </w:tc>
        <w:tc>
          <w:tcPr>
            <w:tcW w:w="1152" w:type="dxa"/>
            <w:tcBorders>
              <w:top w:val="single" w:sz="8" w:space="0" w:color="000000"/>
              <w:left w:val="nil"/>
              <w:bottom w:val="nil"/>
              <w:right w:val="nil"/>
            </w:tcBorders>
            <w:shd w:val="clear" w:color="auto" w:fill="85A20A"/>
            <w:vAlign w:val="center"/>
          </w:tcPr>
          <w:p w14:paraId="5B8A51E8"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color w:val="FFFFFF"/>
              </w:rPr>
              <w:t> </w:t>
            </w:r>
          </w:p>
        </w:tc>
        <w:tc>
          <w:tcPr>
            <w:tcW w:w="992" w:type="dxa"/>
            <w:tcBorders>
              <w:top w:val="single" w:sz="8" w:space="0" w:color="000000"/>
              <w:left w:val="nil"/>
              <w:bottom w:val="nil"/>
              <w:right w:val="nil"/>
            </w:tcBorders>
            <w:shd w:val="clear" w:color="auto" w:fill="85A20A"/>
            <w:vAlign w:val="center"/>
          </w:tcPr>
          <w:p w14:paraId="6475116A"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color w:val="FFFFFF"/>
              </w:rPr>
              <w:t> </w:t>
            </w:r>
          </w:p>
        </w:tc>
        <w:tc>
          <w:tcPr>
            <w:tcW w:w="1052" w:type="dxa"/>
            <w:tcBorders>
              <w:top w:val="single" w:sz="8" w:space="0" w:color="000000"/>
              <w:left w:val="nil"/>
              <w:bottom w:val="nil"/>
              <w:right w:val="nil"/>
            </w:tcBorders>
            <w:shd w:val="clear" w:color="auto" w:fill="85A20A"/>
            <w:vAlign w:val="center"/>
          </w:tcPr>
          <w:p w14:paraId="7A29EB11"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color w:val="FFFFFF"/>
              </w:rPr>
              <w:t> </w:t>
            </w:r>
          </w:p>
        </w:tc>
        <w:tc>
          <w:tcPr>
            <w:tcW w:w="1087" w:type="dxa"/>
            <w:tcBorders>
              <w:top w:val="single" w:sz="8" w:space="0" w:color="000000"/>
              <w:left w:val="nil"/>
              <w:bottom w:val="nil"/>
              <w:right w:val="nil"/>
            </w:tcBorders>
            <w:shd w:val="clear" w:color="auto" w:fill="85A20A"/>
            <w:vAlign w:val="center"/>
          </w:tcPr>
          <w:p w14:paraId="352BEA08"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color w:val="FFFFFF"/>
              </w:rPr>
              <w:t> </w:t>
            </w:r>
          </w:p>
        </w:tc>
        <w:tc>
          <w:tcPr>
            <w:tcW w:w="1418" w:type="dxa"/>
            <w:tcBorders>
              <w:top w:val="single" w:sz="8" w:space="0" w:color="000000"/>
              <w:left w:val="nil"/>
              <w:bottom w:val="nil"/>
              <w:right w:val="nil"/>
            </w:tcBorders>
            <w:shd w:val="clear" w:color="auto" w:fill="85A20A"/>
            <w:vAlign w:val="center"/>
          </w:tcPr>
          <w:p w14:paraId="70BDFC4F"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color w:val="FFFFFF"/>
              </w:rPr>
              <w:t> </w:t>
            </w:r>
          </w:p>
        </w:tc>
        <w:tc>
          <w:tcPr>
            <w:tcW w:w="1275" w:type="dxa"/>
            <w:tcBorders>
              <w:top w:val="single" w:sz="8" w:space="0" w:color="000000"/>
              <w:left w:val="nil"/>
              <w:bottom w:val="nil"/>
              <w:right w:val="nil"/>
            </w:tcBorders>
            <w:shd w:val="clear" w:color="auto" w:fill="85A20A"/>
            <w:vAlign w:val="center"/>
          </w:tcPr>
          <w:p w14:paraId="438566DF"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color w:val="FFFFFF"/>
              </w:rPr>
              <w:t> </w:t>
            </w:r>
          </w:p>
        </w:tc>
        <w:tc>
          <w:tcPr>
            <w:tcW w:w="1134" w:type="dxa"/>
            <w:tcBorders>
              <w:top w:val="single" w:sz="8" w:space="0" w:color="000000"/>
              <w:left w:val="nil"/>
              <w:bottom w:val="nil"/>
              <w:right w:val="nil"/>
            </w:tcBorders>
            <w:shd w:val="clear" w:color="auto" w:fill="85A20A"/>
            <w:vAlign w:val="center"/>
          </w:tcPr>
          <w:p w14:paraId="6FC862BC"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color w:val="FFFFFF"/>
              </w:rPr>
              <w:t> </w:t>
            </w:r>
          </w:p>
        </w:tc>
        <w:tc>
          <w:tcPr>
            <w:tcW w:w="974" w:type="dxa"/>
            <w:tcBorders>
              <w:top w:val="single" w:sz="8" w:space="0" w:color="000000"/>
              <w:left w:val="nil"/>
              <w:bottom w:val="nil"/>
              <w:right w:val="nil"/>
            </w:tcBorders>
            <w:shd w:val="clear" w:color="auto" w:fill="85A20A"/>
            <w:vAlign w:val="center"/>
          </w:tcPr>
          <w:p w14:paraId="7580AB72"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color w:val="FFFFFF"/>
              </w:rPr>
              <w:t> </w:t>
            </w:r>
          </w:p>
        </w:tc>
        <w:tc>
          <w:tcPr>
            <w:tcW w:w="1463" w:type="dxa"/>
            <w:tcBorders>
              <w:top w:val="single" w:sz="8" w:space="0" w:color="000000"/>
              <w:left w:val="nil"/>
              <w:bottom w:val="nil"/>
              <w:right w:val="nil"/>
            </w:tcBorders>
            <w:shd w:val="clear" w:color="auto" w:fill="85A20A"/>
            <w:vAlign w:val="center"/>
          </w:tcPr>
          <w:p w14:paraId="643E3D02"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color w:val="FFFFFF"/>
              </w:rPr>
              <w:t> </w:t>
            </w:r>
          </w:p>
        </w:tc>
        <w:tc>
          <w:tcPr>
            <w:tcW w:w="1337" w:type="dxa"/>
            <w:tcBorders>
              <w:top w:val="single" w:sz="8" w:space="0" w:color="000000"/>
              <w:left w:val="nil"/>
              <w:bottom w:val="nil"/>
              <w:right w:val="single" w:sz="8" w:space="0" w:color="000000"/>
            </w:tcBorders>
            <w:shd w:val="clear" w:color="auto" w:fill="85A20A"/>
            <w:vAlign w:val="center"/>
          </w:tcPr>
          <w:p w14:paraId="42B754A9"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color w:val="FFFFFF"/>
              </w:rPr>
              <w:t> </w:t>
            </w:r>
          </w:p>
        </w:tc>
      </w:tr>
      <w:tr w:rsidR="000755BA" w14:paraId="7C2978EF" w14:textId="77777777" w:rsidTr="00781044">
        <w:trPr>
          <w:trHeight w:val="330"/>
        </w:trPr>
        <w:tc>
          <w:tcPr>
            <w:tcW w:w="699" w:type="dxa"/>
            <w:tcBorders>
              <w:top w:val="single" w:sz="4" w:space="0" w:color="000000"/>
              <w:left w:val="single" w:sz="4" w:space="0" w:color="000000"/>
              <w:bottom w:val="single" w:sz="4" w:space="0" w:color="000000"/>
              <w:right w:val="nil"/>
            </w:tcBorders>
            <w:shd w:val="clear" w:color="auto" w:fill="85A20A"/>
            <w:vAlign w:val="center"/>
          </w:tcPr>
          <w:p w14:paraId="0A63334A" w14:textId="77777777" w:rsidR="000755BA" w:rsidRDefault="00EF1395">
            <w:pPr>
              <w:pBdr>
                <w:top w:val="nil"/>
                <w:left w:val="nil"/>
                <w:bottom w:val="nil"/>
                <w:right w:val="nil"/>
                <w:between w:val="nil"/>
              </w:pBdr>
              <w:jc w:val="center"/>
              <w:rPr>
                <w:rFonts w:ascii="Arial" w:eastAsia="Arial" w:hAnsi="Arial" w:cs="Arial"/>
                <w:color w:val="FFFFFF"/>
              </w:rPr>
            </w:pPr>
            <w:r>
              <w:rPr>
                <w:rFonts w:ascii="Arial" w:eastAsia="Arial" w:hAnsi="Arial" w:cs="Arial"/>
                <w:b/>
                <w:bCs/>
                <w:color w:val="FFFFFF"/>
              </w:rPr>
              <w:t>#</w:t>
            </w:r>
          </w:p>
        </w:tc>
        <w:tc>
          <w:tcPr>
            <w:tcW w:w="2552" w:type="dxa"/>
            <w:tcBorders>
              <w:top w:val="single" w:sz="4" w:space="0" w:color="000000"/>
              <w:left w:val="single" w:sz="4" w:space="0" w:color="000000"/>
              <w:bottom w:val="single" w:sz="4" w:space="0" w:color="000000"/>
              <w:right w:val="single" w:sz="8" w:space="0" w:color="000000"/>
            </w:tcBorders>
            <w:shd w:val="clear" w:color="auto" w:fill="85A20A"/>
            <w:vAlign w:val="center"/>
          </w:tcPr>
          <w:p w14:paraId="1AB35F39"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b/>
                <w:bCs/>
                <w:color w:val="FFFFFF"/>
              </w:rPr>
              <w:t>Naziv turistične regije</w:t>
            </w:r>
          </w:p>
        </w:tc>
        <w:tc>
          <w:tcPr>
            <w:tcW w:w="1152" w:type="dxa"/>
            <w:tcBorders>
              <w:top w:val="single" w:sz="4" w:space="0" w:color="000000"/>
              <w:left w:val="single" w:sz="8" w:space="0" w:color="000000"/>
              <w:bottom w:val="single" w:sz="4" w:space="0" w:color="000000"/>
              <w:right w:val="single" w:sz="4" w:space="0" w:color="000000"/>
            </w:tcBorders>
            <w:shd w:val="clear" w:color="auto" w:fill="85A20A"/>
            <w:vAlign w:val="center"/>
          </w:tcPr>
          <w:p w14:paraId="6E58D02A" w14:textId="77777777" w:rsidR="000755BA" w:rsidRDefault="00EF1395">
            <w:pPr>
              <w:pBdr>
                <w:top w:val="nil"/>
                <w:left w:val="nil"/>
                <w:bottom w:val="nil"/>
                <w:right w:val="nil"/>
                <w:between w:val="nil"/>
              </w:pBdr>
              <w:rPr>
                <w:rFonts w:ascii="Arial" w:eastAsia="Arial" w:hAnsi="Arial" w:cs="Arial"/>
                <w:color w:val="FFFFFF"/>
              </w:rPr>
            </w:pPr>
            <w:proofErr w:type="spellStart"/>
            <w:r>
              <w:rPr>
                <w:rFonts w:ascii="Arial" w:eastAsia="Arial" w:hAnsi="Arial" w:cs="Arial"/>
                <w:b/>
                <w:bCs/>
                <w:color w:val="FFFFFF"/>
              </w:rPr>
              <w:t>Štev.občin</w:t>
            </w:r>
            <w:proofErr w:type="spellEnd"/>
          </w:p>
        </w:tc>
        <w:tc>
          <w:tcPr>
            <w:tcW w:w="992" w:type="dxa"/>
            <w:tcBorders>
              <w:top w:val="single" w:sz="4" w:space="0" w:color="000000"/>
              <w:left w:val="single" w:sz="4" w:space="0" w:color="000000"/>
              <w:bottom w:val="single" w:sz="4" w:space="0" w:color="000000"/>
              <w:right w:val="single" w:sz="8" w:space="0" w:color="000000"/>
            </w:tcBorders>
            <w:shd w:val="clear" w:color="auto" w:fill="85A20A"/>
            <w:vAlign w:val="center"/>
          </w:tcPr>
          <w:p w14:paraId="6036DFE1"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b/>
                <w:bCs/>
                <w:i/>
                <w:iCs/>
                <w:color w:val="FFFFFF"/>
              </w:rPr>
              <w:t>Delež štev. občin</w:t>
            </w:r>
          </w:p>
        </w:tc>
        <w:tc>
          <w:tcPr>
            <w:tcW w:w="1052" w:type="dxa"/>
            <w:tcBorders>
              <w:top w:val="single" w:sz="4" w:space="0" w:color="000000"/>
              <w:left w:val="single" w:sz="8" w:space="0" w:color="000000"/>
              <w:bottom w:val="single" w:sz="4" w:space="0" w:color="000000"/>
              <w:right w:val="single" w:sz="4" w:space="0" w:color="000000"/>
            </w:tcBorders>
            <w:shd w:val="clear" w:color="auto" w:fill="85A20A"/>
            <w:vAlign w:val="center"/>
          </w:tcPr>
          <w:p w14:paraId="3437A80F" w14:textId="77777777" w:rsidR="000755BA" w:rsidRDefault="00EF1395">
            <w:pPr>
              <w:pBdr>
                <w:top w:val="nil"/>
                <w:left w:val="nil"/>
                <w:bottom w:val="nil"/>
                <w:right w:val="nil"/>
                <w:between w:val="nil"/>
              </w:pBdr>
              <w:rPr>
                <w:rFonts w:ascii="Arial" w:eastAsia="Arial" w:hAnsi="Arial" w:cs="Arial"/>
                <w:color w:val="FFFFFF"/>
              </w:rPr>
            </w:pPr>
            <w:proofErr w:type="spellStart"/>
            <w:r>
              <w:rPr>
                <w:rFonts w:ascii="Arial" w:eastAsia="Arial" w:hAnsi="Arial" w:cs="Arial"/>
                <w:b/>
                <w:bCs/>
                <w:color w:val="FFFFFF"/>
              </w:rPr>
              <w:t>Štev.preb</w:t>
            </w:r>
            <w:proofErr w:type="spellEnd"/>
          </w:p>
        </w:tc>
        <w:tc>
          <w:tcPr>
            <w:tcW w:w="1087" w:type="dxa"/>
            <w:tcBorders>
              <w:top w:val="single" w:sz="4" w:space="0" w:color="000000"/>
              <w:left w:val="single" w:sz="4" w:space="0" w:color="000000"/>
              <w:bottom w:val="single" w:sz="4" w:space="0" w:color="000000"/>
              <w:right w:val="single" w:sz="8" w:space="0" w:color="000000"/>
            </w:tcBorders>
            <w:shd w:val="clear" w:color="auto" w:fill="85A20A"/>
            <w:vAlign w:val="center"/>
          </w:tcPr>
          <w:p w14:paraId="563721D0"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b/>
                <w:bCs/>
                <w:color w:val="FFFFFF"/>
              </w:rPr>
              <w:t xml:space="preserve">Delež </w:t>
            </w:r>
            <w:proofErr w:type="spellStart"/>
            <w:r>
              <w:rPr>
                <w:rFonts w:ascii="Arial" w:eastAsia="Arial" w:hAnsi="Arial" w:cs="Arial"/>
                <w:b/>
                <w:bCs/>
                <w:color w:val="FFFFFF"/>
              </w:rPr>
              <w:t>prebiv</w:t>
            </w:r>
            <w:proofErr w:type="spellEnd"/>
            <w:r>
              <w:rPr>
                <w:rFonts w:ascii="Arial" w:eastAsia="Arial" w:hAnsi="Arial" w:cs="Arial"/>
                <w:b/>
                <w:bCs/>
                <w:color w:val="FFFFFF"/>
              </w:rPr>
              <w:t>.</w:t>
            </w:r>
          </w:p>
        </w:tc>
        <w:tc>
          <w:tcPr>
            <w:tcW w:w="1418" w:type="dxa"/>
            <w:tcBorders>
              <w:top w:val="single" w:sz="4" w:space="0" w:color="000000"/>
              <w:left w:val="single" w:sz="8" w:space="0" w:color="000000"/>
              <w:bottom w:val="single" w:sz="4" w:space="0" w:color="000000"/>
              <w:right w:val="single" w:sz="4" w:space="0" w:color="000000"/>
            </w:tcBorders>
            <w:shd w:val="clear" w:color="auto" w:fill="85A20A"/>
            <w:vAlign w:val="center"/>
          </w:tcPr>
          <w:p w14:paraId="1C1904A7"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b/>
                <w:bCs/>
                <w:color w:val="FFFFFF"/>
              </w:rPr>
              <w:t>Delovno aktivni v turizmu</w:t>
            </w:r>
          </w:p>
        </w:tc>
        <w:tc>
          <w:tcPr>
            <w:tcW w:w="1275" w:type="dxa"/>
            <w:tcBorders>
              <w:top w:val="single" w:sz="4" w:space="0" w:color="000000"/>
              <w:left w:val="single" w:sz="4" w:space="0" w:color="000000"/>
              <w:bottom w:val="single" w:sz="4" w:space="0" w:color="000000"/>
              <w:right w:val="single" w:sz="8" w:space="0" w:color="000000"/>
            </w:tcBorders>
            <w:shd w:val="clear" w:color="auto" w:fill="85A20A"/>
            <w:vAlign w:val="center"/>
          </w:tcPr>
          <w:p w14:paraId="06D43737"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b/>
                <w:bCs/>
                <w:color w:val="FFFFFF"/>
              </w:rPr>
              <w:t xml:space="preserve">Delež </w:t>
            </w:r>
            <w:proofErr w:type="spellStart"/>
            <w:r>
              <w:rPr>
                <w:rFonts w:ascii="Arial" w:eastAsia="Arial" w:hAnsi="Arial" w:cs="Arial"/>
                <w:b/>
                <w:bCs/>
                <w:color w:val="FFFFFF"/>
              </w:rPr>
              <w:t>del.akt</w:t>
            </w:r>
            <w:proofErr w:type="spellEnd"/>
            <w:r>
              <w:rPr>
                <w:rFonts w:ascii="Arial" w:eastAsia="Arial" w:hAnsi="Arial" w:cs="Arial"/>
                <w:b/>
                <w:bCs/>
                <w:color w:val="FFFFFF"/>
              </w:rPr>
              <w:t>.</w:t>
            </w:r>
          </w:p>
        </w:tc>
        <w:tc>
          <w:tcPr>
            <w:tcW w:w="1134" w:type="dxa"/>
            <w:tcBorders>
              <w:top w:val="single" w:sz="4" w:space="0" w:color="000000"/>
              <w:left w:val="single" w:sz="8" w:space="0" w:color="000000"/>
              <w:bottom w:val="single" w:sz="4" w:space="0" w:color="000000"/>
              <w:right w:val="single" w:sz="4" w:space="0" w:color="000000"/>
            </w:tcBorders>
            <w:shd w:val="clear" w:color="auto" w:fill="85A20A"/>
            <w:vAlign w:val="center"/>
          </w:tcPr>
          <w:p w14:paraId="1656E378" w14:textId="77777777" w:rsidR="000755BA" w:rsidRDefault="00EF1395">
            <w:pPr>
              <w:pBdr>
                <w:top w:val="nil"/>
                <w:left w:val="nil"/>
                <w:bottom w:val="nil"/>
                <w:right w:val="nil"/>
                <w:between w:val="nil"/>
              </w:pBdr>
              <w:jc w:val="center"/>
              <w:rPr>
                <w:rFonts w:ascii="Arial" w:eastAsia="Arial" w:hAnsi="Arial" w:cs="Arial"/>
                <w:color w:val="FFFFFF"/>
              </w:rPr>
            </w:pPr>
            <w:r>
              <w:rPr>
                <w:rFonts w:ascii="Arial" w:eastAsia="Arial" w:hAnsi="Arial" w:cs="Arial"/>
                <w:b/>
                <w:bCs/>
                <w:color w:val="FFFFFF"/>
              </w:rPr>
              <w:t>Površina</w:t>
            </w:r>
          </w:p>
        </w:tc>
        <w:tc>
          <w:tcPr>
            <w:tcW w:w="974" w:type="dxa"/>
            <w:tcBorders>
              <w:top w:val="single" w:sz="4" w:space="0" w:color="000000"/>
              <w:left w:val="single" w:sz="4" w:space="0" w:color="000000"/>
              <w:bottom w:val="single" w:sz="4" w:space="0" w:color="000000"/>
              <w:right w:val="single" w:sz="8" w:space="0" w:color="000000"/>
            </w:tcBorders>
            <w:shd w:val="clear" w:color="auto" w:fill="85A20A"/>
            <w:vAlign w:val="center"/>
          </w:tcPr>
          <w:p w14:paraId="1E6125B2"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b/>
                <w:bCs/>
                <w:color w:val="FFFFFF"/>
              </w:rPr>
              <w:t>Delež površine</w:t>
            </w:r>
          </w:p>
        </w:tc>
        <w:tc>
          <w:tcPr>
            <w:tcW w:w="1463" w:type="dxa"/>
            <w:tcBorders>
              <w:top w:val="single" w:sz="4" w:space="0" w:color="000000"/>
              <w:left w:val="single" w:sz="8" w:space="0" w:color="000000"/>
              <w:bottom w:val="single" w:sz="4" w:space="0" w:color="000000"/>
              <w:right w:val="nil"/>
            </w:tcBorders>
            <w:shd w:val="clear" w:color="auto" w:fill="85A20A"/>
            <w:vAlign w:val="center"/>
          </w:tcPr>
          <w:p w14:paraId="0FEFF2DC" w14:textId="77777777" w:rsidR="000755BA" w:rsidRDefault="00EF1395">
            <w:pPr>
              <w:pBdr>
                <w:top w:val="nil"/>
                <w:left w:val="nil"/>
                <w:bottom w:val="nil"/>
                <w:right w:val="nil"/>
                <w:between w:val="nil"/>
              </w:pBdr>
              <w:rPr>
                <w:rFonts w:ascii="Arial" w:eastAsia="Arial" w:hAnsi="Arial" w:cs="Arial"/>
                <w:color w:val="FFFFFF"/>
              </w:rPr>
            </w:pPr>
            <w:proofErr w:type="spellStart"/>
            <w:r>
              <w:rPr>
                <w:rFonts w:ascii="Arial" w:eastAsia="Arial" w:hAnsi="Arial" w:cs="Arial"/>
                <w:b/>
                <w:bCs/>
                <w:color w:val="FFFFFF"/>
              </w:rPr>
              <w:t>Štev.prenočit</w:t>
            </w:r>
            <w:proofErr w:type="spellEnd"/>
            <w:r>
              <w:rPr>
                <w:rFonts w:ascii="Arial" w:eastAsia="Arial" w:hAnsi="Arial" w:cs="Arial"/>
                <w:b/>
                <w:bCs/>
                <w:color w:val="FFFFFF"/>
              </w:rPr>
              <w:t>.</w:t>
            </w:r>
          </w:p>
        </w:tc>
        <w:tc>
          <w:tcPr>
            <w:tcW w:w="1337" w:type="dxa"/>
            <w:tcBorders>
              <w:top w:val="single" w:sz="4" w:space="0" w:color="000000"/>
              <w:left w:val="single" w:sz="4" w:space="0" w:color="000000"/>
              <w:bottom w:val="single" w:sz="4" w:space="0" w:color="000000"/>
              <w:right w:val="single" w:sz="4" w:space="0" w:color="000000"/>
            </w:tcBorders>
            <w:shd w:val="clear" w:color="auto" w:fill="85A20A"/>
            <w:vAlign w:val="center"/>
          </w:tcPr>
          <w:p w14:paraId="0344A98F"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b/>
                <w:bCs/>
                <w:color w:val="FFFFFF"/>
              </w:rPr>
              <w:t xml:space="preserve">Delež </w:t>
            </w:r>
            <w:proofErr w:type="spellStart"/>
            <w:r>
              <w:rPr>
                <w:rFonts w:ascii="Arial" w:eastAsia="Arial" w:hAnsi="Arial" w:cs="Arial"/>
                <w:b/>
                <w:bCs/>
                <w:color w:val="FFFFFF"/>
              </w:rPr>
              <w:t>prenoč</w:t>
            </w:r>
            <w:proofErr w:type="spellEnd"/>
            <w:r>
              <w:rPr>
                <w:rFonts w:ascii="Arial" w:eastAsia="Arial" w:hAnsi="Arial" w:cs="Arial"/>
                <w:b/>
                <w:bCs/>
                <w:color w:val="FFFFFF"/>
              </w:rPr>
              <w:t>.</w:t>
            </w:r>
          </w:p>
        </w:tc>
      </w:tr>
      <w:tr w:rsidR="000755BA" w14:paraId="62002A58" w14:textId="77777777" w:rsidTr="00781044">
        <w:trPr>
          <w:trHeight w:val="398"/>
        </w:trPr>
        <w:tc>
          <w:tcPr>
            <w:tcW w:w="699" w:type="dxa"/>
            <w:tcBorders>
              <w:top w:val="single" w:sz="4" w:space="0" w:color="000000"/>
              <w:left w:val="single" w:sz="4" w:space="0" w:color="000000"/>
              <w:bottom w:val="single" w:sz="4" w:space="0" w:color="000000"/>
              <w:right w:val="nil"/>
            </w:tcBorders>
            <w:shd w:val="clear" w:color="auto" w:fill="DCE6F1"/>
            <w:vAlign w:val="center"/>
          </w:tcPr>
          <w:p w14:paraId="5E116C8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000000"/>
              </w:rPr>
              <w:t>1</w:t>
            </w:r>
          </w:p>
        </w:tc>
        <w:tc>
          <w:tcPr>
            <w:tcW w:w="2552" w:type="dxa"/>
            <w:tcBorders>
              <w:top w:val="single" w:sz="4" w:space="0" w:color="000000"/>
              <w:left w:val="single" w:sz="4" w:space="0" w:color="000000"/>
              <w:bottom w:val="single" w:sz="4" w:space="0" w:color="000000"/>
              <w:right w:val="single" w:sz="8" w:space="0" w:color="000000"/>
            </w:tcBorders>
            <w:shd w:val="clear" w:color="auto" w:fill="DCE6F1"/>
            <w:vAlign w:val="center"/>
          </w:tcPr>
          <w:p w14:paraId="5D7E3437"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Slovenska Istra</w:t>
            </w:r>
          </w:p>
        </w:tc>
        <w:tc>
          <w:tcPr>
            <w:tcW w:w="1152" w:type="dxa"/>
            <w:tcBorders>
              <w:top w:val="single" w:sz="4" w:space="0" w:color="000000"/>
              <w:left w:val="single" w:sz="8" w:space="0" w:color="000000"/>
              <w:bottom w:val="single" w:sz="4" w:space="0" w:color="000000"/>
              <w:right w:val="single" w:sz="4" w:space="0" w:color="000000"/>
            </w:tcBorders>
            <w:shd w:val="clear" w:color="auto" w:fill="F8696B"/>
            <w:vAlign w:val="center"/>
          </w:tcPr>
          <w:p w14:paraId="4DA5F766"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4</w:t>
            </w:r>
          </w:p>
        </w:tc>
        <w:tc>
          <w:tcPr>
            <w:tcW w:w="992" w:type="dxa"/>
            <w:tcBorders>
              <w:top w:val="single" w:sz="4" w:space="0" w:color="000000"/>
              <w:left w:val="single" w:sz="4" w:space="0" w:color="000000"/>
              <w:bottom w:val="single" w:sz="4" w:space="0" w:color="000000"/>
              <w:right w:val="single" w:sz="8" w:space="0" w:color="000000"/>
            </w:tcBorders>
            <w:shd w:val="clear" w:color="auto" w:fill="F8696B"/>
            <w:vAlign w:val="center"/>
          </w:tcPr>
          <w:p w14:paraId="7310E097"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1,9%</w:t>
            </w:r>
          </w:p>
        </w:tc>
        <w:tc>
          <w:tcPr>
            <w:tcW w:w="1052" w:type="dxa"/>
            <w:tcBorders>
              <w:top w:val="single" w:sz="4" w:space="0" w:color="000000"/>
              <w:left w:val="single" w:sz="8" w:space="0" w:color="000000"/>
              <w:bottom w:val="single" w:sz="4" w:space="0" w:color="000000"/>
              <w:right w:val="single" w:sz="4" w:space="0" w:color="000000"/>
            </w:tcBorders>
            <w:shd w:val="clear" w:color="auto" w:fill="F98670"/>
            <w:vAlign w:val="center"/>
          </w:tcPr>
          <w:p w14:paraId="6984E735"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93.448 </w:t>
            </w:r>
          </w:p>
        </w:tc>
        <w:tc>
          <w:tcPr>
            <w:tcW w:w="1087" w:type="dxa"/>
            <w:tcBorders>
              <w:top w:val="single" w:sz="4" w:space="0" w:color="000000"/>
              <w:left w:val="single" w:sz="4" w:space="0" w:color="000000"/>
              <w:bottom w:val="single" w:sz="4" w:space="0" w:color="000000"/>
              <w:right w:val="single" w:sz="8" w:space="0" w:color="000000"/>
            </w:tcBorders>
            <w:shd w:val="clear" w:color="auto" w:fill="F98670"/>
            <w:vAlign w:val="center"/>
          </w:tcPr>
          <w:p w14:paraId="2AA6BAE4"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4,3%</w:t>
            </w:r>
          </w:p>
        </w:tc>
        <w:tc>
          <w:tcPr>
            <w:tcW w:w="1418" w:type="dxa"/>
            <w:tcBorders>
              <w:top w:val="single" w:sz="4" w:space="0" w:color="000000"/>
              <w:left w:val="single" w:sz="8" w:space="0" w:color="000000"/>
              <w:bottom w:val="single" w:sz="4" w:space="0" w:color="000000"/>
              <w:right w:val="single" w:sz="4" w:space="0" w:color="000000"/>
            </w:tcBorders>
            <w:shd w:val="clear" w:color="auto" w:fill="FAEA84"/>
            <w:vAlign w:val="center"/>
          </w:tcPr>
          <w:p w14:paraId="595C801D"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5.176 </w:t>
            </w:r>
          </w:p>
        </w:tc>
        <w:tc>
          <w:tcPr>
            <w:tcW w:w="1275" w:type="dxa"/>
            <w:tcBorders>
              <w:top w:val="single" w:sz="4" w:space="0" w:color="000000"/>
              <w:left w:val="single" w:sz="4" w:space="0" w:color="000000"/>
              <w:bottom w:val="single" w:sz="4" w:space="0" w:color="000000"/>
              <w:right w:val="single" w:sz="8" w:space="0" w:color="000000"/>
            </w:tcBorders>
            <w:shd w:val="clear" w:color="auto" w:fill="FAEA84"/>
            <w:vAlign w:val="center"/>
          </w:tcPr>
          <w:p w14:paraId="4CABB6B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7,9%</w:t>
            </w:r>
          </w:p>
        </w:tc>
        <w:tc>
          <w:tcPr>
            <w:tcW w:w="1134" w:type="dxa"/>
            <w:tcBorders>
              <w:top w:val="single" w:sz="4" w:space="0" w:color="000000"/>
              <w:left w:val="single" w:sz="8" w:space="0" w:color="000000"/>
              <w:bottom w:val="single" w:sz="4" w:space="0" w:color="000000"/>
              <w:right w:val="single" w:sz="4" w:space="0" w:color="000000"/>
            </w:tcBorders>
            <w:shd w:val="clear" w:color="auto" w:fill="F8696B"/>
            <w:vAlign w:val="center"/>
          </w:tcPr>
          <w:p w14:paraId="728D970B"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384 </w:t>
            </w:r>
          </w:p>
        </w:tc>
        <w:tc>
          <w:tcPr>
            <w:tcW w:w="974" w:type="dxa"/>
            <w:tcBorders>
              <w:top w:val="single" w:sz="4" w:space="0" w:color="000000"/>
              <w:left w:val="single" w:sz="4" w:space="0" w:color="000000"/>
              <w:bottom w:val="single" w:sz="4" w:space="0" w:color="000000"/>
              <w:right w:val="single" w:sz="8" w:space="0" w:color="000000"/>
            </w:tcBorders>
            <w:shd w:val="clear" w:color="auto" w:fill="F8696B"/>
            <w:vAlign w:val="center"/>
          </w:tcPr>
          <w:p w14:paraId="3CE877E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1,9%</w:t>
            </w:r>
          </w:p>
        </w:tc>
        <w:tc>
          <w:tcPr>
            <w:tcW w:w="1463" w:type="dxa"/>
            <w:tcBorders>
              <w:top w:val="single" w:sz="4" w:space="0" w:color="000000"/>
              <w:left w:val="single" w:sz="8" w:space="0" w:color="000000"/>
              <w:bottom w:val="single" w:sz="4" w:space="0" w:color="000000"/>
              <w:right w:val="nil"/>
            </w:tcBorders>
            <w:shd w:val="clear" w:color="auto" w:fill="A4D17F"/>
            <w:vAlign w:val="center"/>
          </w:tcPr>
          <w:p w14:paraId="3D4CE350"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3.252.726 </w:t>
            </w:r>
          </w:p>
        </w:tc>
        <w:tc>
          <w:tcPr>
            <w:tcW w:w="1337" w:type="dxa"/>
            <w:tcBorders>
              <w:top w:val="single" w:sz="4" w:space="0" w:color="000000"/>
              <w:left w:val="single" w:sz="4" w:space="0" w:color="000000"/>
              <w:bottom w:val="single" w:sz="4" w:space="0" w:color="000000"/>
              <w:right w:val="single" w:sz="4" w:space="0" w:color="000000"/>
            </w:tcBorders>
            <w:shd w:val="clear" w:color="auto" w:fill="A4D17F"/>
            <w:vAlign w:val="center"/>
          </w:tcPr>
          <w:p w14:paraId="49B93A5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18,2%</w:t>
            </w:r>
          </w:p>
        </w:tc>
      </w:tr>
      <w:tr w:rsidR="000755BA" w14:paraId="33A87727" w14:textId="77777777" w:rsidTr="00781044">
        <w:trPr>
          <w:trHeight w:val="372"/>
        </w:trPr>
        <w:tc>
          <w:tcPr>
            <w:tcW w:w="699" w:type="dxa"/>
            <w:tcBorders>
              <w:top w:val="single" w:sz="4" w:space="0" w:color="000000"/>
              <w:left w:val="single" w:sz="4" w:space="0" w:color="000000"/>
              <w:bottom w:val="single" w:sz="4" w:space="0" w:color="000000"/>
              <w:right w:val="nil"/>
            </w:tcBorders>
            <w:vAlign w:val="center"/>
          </w:tcPr>
          <w:p w14:paraId="3B654CC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000000"/>
              </w:rPr>
              <w:t>2</w:t>
            </w:r>
          </w:p>
        </w:tc>
        <w:tc>
          <w:tcPr>
            <w:tcW w:w="2552" w:type="dxa"/>
            <w:tcBorders>
              <w:top w:val="single" w:sz="4" w:space="0" w:color="000000"/>
              <w:left w:val="single" w:sz="4" w:space="0" w:color="000000"/>
              <w:bottom w:val="single" w:sz="4" w:space="0" w:color="000000"/>
              <w:right w:val="single" w:sz="8" w:space="0" w:color="000000"/>
            </w:tcBorders>
            <w:vAlign w:val="center"/>
          </w:tcPr>
          <w:p w14:paraId="383F7431"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Julijske Alpe</w:t>
            </w:r>
          </w:p>
        </w:tc>
        <w:tc>
          <w:tcPr>
            <w:tcW w:w="1152" w:type="dxa"/>
            <w:tcBorders>
              <w:top w:val="single" w:sz="4" w:space="0" w:color="000000"/>
              <w:left w:val="single" w:sz="8" w:space="0" w:color="000000"/>
              <w:bottom w:val="single" w:sz="4" w:space="0" w:color="000000"/>
              <w:right w:val="single" w:sz="4" w:space="0" w:color="000000"/>
            </w:tcBorders>
            <w:shd w:val="clear" w:color="auto" w:fill="FBAA77"/>
            <w:vAlign w:val="center"/>
          </w:tcPr>
          <w:p w14:paraId="755945FA"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11</w:t>
            </w:r>
          </w:p>
        </w:tc>
        <w:tc>
          <w:tcPr>
            <w:tcW w:w="992" w:type="dxa"/>
            <w:tcBorders>
              <w:top w:val="single" w:sz="4" w:space="0" w:color="000000"/>
              <w:left w:val="single" w:sz="4" w:space="0" w:color="000000"/>
              <w:bottom w:val="single" w:sz="4" w:space="0" w:color="000000"/>
              <w:right w:val="single" w:sz="8" w:space="0" w:color="000000"/>
            </w:tcBorders>
            <w:shd w:val="clear" w:color="auto" w:fill="FBAA77"/>
            <w:vAlign w:val="center"/>
          </w:tcPr>
          <w:p w14:paraId="7CDE8147"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5,2%</w:t>
            </w:r>
          </w:p>
        </w:tc>
        <w:tc>
          <w:tcPr>
            <w:tcW w:w="1052" w:type="dxa"/>
            <w:tcBorders>
              <w:top w:val="single" w:sz="4" w:space="0" w:color="000000"/>
              <w:left w:val="single" w:sz="8" w:space="0" w:color="000000"/>
              <w:bottom w:val="single" w:sz="4" w:space="0" w:color="000000"/>
              <w:right w:val="single" w:sz="4" w:space="0" w:color="000000"/>
            </w:tcBorders>
            <w:shd w:val="clear" w:color="auto" w:fill="F9816F"/>
            <w:vAlign w:val="center"/>
          </w:tcPr>
          <w:p w14:paraId="7F126B90"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90.586 </w:t>
            </w:r>
          </w:p>
        </w:tc>
        <w:tc>
          <w:tcPr>
            <w:tcW w:w="1087" w:type="dxa"/>
            <w:tcBorders>
              <w:top w:val="single" w:sz="4" w:space="0" w:color="000000"/>
              <w:left w:val="single" w:sz="4" w:space="0" w:color="000000"/>
              <w:bottom w:val="single" w:sz="4" w:space="0" w:color="000000"/>
              <w:right w:val="single" w:sz="8" w:space="0" w:color="000000"/>
            </w:tcBorders>
            <w:shd w:val="clear" w:color="auto" w:fill="F9816F"/>
            <w:vAlign w:val="center"/>
          </w:tcPr>
          <w:p w14:paraId="00B56D60"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4,2%</w:t>
            </w:r>
          </w:p>
        </w:tc>
        <w:tc>
          <w:tcPr>
            <w:tcW w:w="1418" w:type="dxa"/>
            <w:tcBorders>
              <w:top w:val="single" w:sz="4" w:space="0" w:color="000000"/>
              <w:left w:val="single" w:sz="8" w:space="0" w:color="000000"/>
              <w:bottom w:val="single" w:sz="4" w:space="0" w:color="000000"/>
              <w:right w:val="single" w:sz="4" w:space="0" w:color="000000"/>
            </w:tcBorders>
            <w:shd w:val="clear" w:color="auto" w:fill="FFEB84"/>
            <w:vAlign w:val="center"/>
          </w:tcPr>
          <w:p w14:paraId="4B31AB4E"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4.574 </w:t>
            </w:r>
          </w:p>
        </w:tc>
        <w:tc>
          <w:tcPr>
            <w:tcW w:w="1275" w:type="dxa"/>
            <w:tcBorders>
              <w:top w:val="single" w:sz="4" w:space="0" w:color="000000"/>
              <w:left w:val="single" w:sz="4" w:space="0" w:color="000000"/>
              <w:bottom w:val="single" w:sz="4" w:space="0" w:color="000000"/>
              <w:right w:val="single" w:sz="8" w:space="0" w:color="000000"/>
            </w:tcBorders>
            <w:shd w:val="clear" w:color="auto" w:fill="FFEB84"/>
            <w:vAlign w:val="center"/>
          </w:tcPr>
          <w:p w14:paraId="4B85A85A"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7,0%</w:t>
            </w:r>
          </w:p>
        </w:tc>
        <w:tc>
          <w:tcPr>
            <w:tcW w:w="1134" w:type="dxa"/>
            <w:tcBorders>
              <w:top w:val="single" w:sz="4" w:space="0" w:color="000000"/>
              <w:left w:val="single" w:sz="8" w:space="0" w:color="000000"/>
              <w:bottom w:val="single" w:sz="4" w:space="0" w:color="000000"/>
              <w:right w:val="single" w:sz="4" w:space="0" w:color="000000"/>
            </w:tcBorders>
            <w:shd w:val="clear" w:color="auto" w:fill="D0DE82"/>
            <w:vAlign w:val="center"/>
          </w:tcPr>
          <w:p w14:paraId="619861E8"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2.105 </w:t>
            </w:r>
          </w:p>
        </w:tc>
        <w:tc>
          <w:tcPr>
            <w:tcW w:w="974" w:type="dxa"/>
            <w:tcBorders>
              <w:top w:val="single" w:sz="4" w:space="0" w:color="000000"/>
              <w:left w:val="single" w:sz="4" w:space="0" w:color="000000"/>
              <w:bottom w:val="single" w:sz="4" w:space="0" w:color="000000"/>
              <w:right w:val="single" w:sz="8" w:space="0" w:color="000000"/>
            </w:tcBorders>
            <w:shd w:val="clear" w:color="auto" w:fill="D0DE82"/>
            <w:vAlign w:val="center"/>
          </w:tcPr>
          <w:p w14:paraId="2DF0D9A0"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10,4%</w:t>
            </w:r>
          </w:p>
        </w:tc>
        <w:tc>
          <w:tcPr>
            <w:tcW w:w="1463" w:type="dxa"/>
            <w:tcBorders>
              <w:top w:val="single" w:sz="4" w:space="0" w:color="000000"/>
              <w:left w:val="single" w:sz="8" w:space="0" w:color="000000"/>
              <w:bottom w:val="single" w:sz="4" w:space="0" w:color="000000"/>
              <w:right w:val="nil"/>
            </w:tcBorders>
            <w:shd w:val="clear" w:color="auto" w:fill="63BE7B"/>
            <w:vAlign w:val="center"/>
          </w:tcPr>
          <w:p w14:paraId="0BD98886"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4.829.603 </w:t>
            </w:r>
          </w:p>
        </w:tc>
        <w:tc>
          <w:tcPr>
            <w:tcW w:w="1337" w:type="dxa"/>
            <w:tcBorders>
              <w:top w:val="single" w:sz="4" w:space="0" w:color="000000"/>
              <w:left w:val="single" w:sz="4" w:space="0" w:color="000000"/>
              <w:bottom w:val="single" w:sz="4" w:space="0" w:color="000000"/>
              <w:right w:val="single" w:sz="4" w:space="0" w:color="000000"/>
            </w:tcBorders>
            <w:shd w:val="clear" w:color="auto" w:fill="63BE7B"/>
            <w:vAlign w:val="center"/>
          </w:tcPr>
          <w:p w14:paraId="33573567"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27,1%</w:t>
            </w:r>
          </w:p>
        </w:tc>
      </w:tr>
      <w:tr w:rsidR="000755BA" w14:paraId="47373064" w14:textId="77777777" w:rsidTr="00781044">
        <w:trPr>
          <w:trHeight w:val="300"/>
        </w:trPr>
        <w:tc>
          <w:tcPr>
            <w:tcW w:w="699" w:type="dxa"/>
            <w:tcBorders>
              <w:top w:val="single" w:sz="4" w:space="0" w:color="000000"/>
              <w:left w:val="single" w:sz="4" w:space="0" w:color="000000"/>
              <w:bottom w:val="single" w:sz="4" w:space="0" w:color="000000"/>
              <w:right w:val="nil"/>
            </w:tcBorders>
            <w:shd w:val="clear" w:color="auto" w:fill="DCE6F1"/>
            <w:vAlign w:val="center"/>
          </w:tcPr>
          <w:p w14:paraId="60EFD8A0"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000000"/>
              </w:rPr>
              <w:t>3</w:t>
            </w:r>
          </w:p>
        </w:tc>
        <w:tc>
          <w:tcPr>
            <w:tcW w:w="2552" w:type="dxa"/>
            <w:tcBorders>
              <w:top w:val="single" w:sz="4" w:space="0" w:color="000000"/>
              <w:left w:val="single" w:sz="4" w:space="0" w:color="000000"/>
              <w:bottom w:val="single" w:sz="4" w:space="0" w:color="000000"/>
              <w:right w:val="single" w:sz="8" w:space="0" w:color="000000"/>
            </w:tcBorders>
            <w:shd w:val="clear" w:color="auto" w:fill="DCE6F1"/>
            <w:vAlign w:val="center"/>
          </w:tcPr>
          <w:p w14:paraId="6C565A93"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Gorenjska</w:t>
            </w:r>
          </w:p>
        </w:tc>
        <w:tc>
          <w:tcPr>
            <w:tcW w:w="1152" w:type="dxa"/>
            <w:tcBorders>
              <w:top w:val="single" w:sz="4" w:space="0" w:color="000000"/>
              <w:left w:val="nil"/>
              <w:bottom w:val="single" w:sz="4" w:space="0" w:color="000000"/>
              <w:right w:val="nil"/>
            </w:tcBorders>
            <w:shd w:val="clear" w:color="auto" w:fill="FCBC7B"/>
            <w:vAlign w:val="center"/>
          </w:tcPr>
          <w:p w14:paraId="47DD9B2F"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13</w:t>
            </w:r>
          </w:p>
        </w:tc>
        <w:tc>
          <w:tcPr>
            <w:tcW w:w="992" w:type="dxa"/>
            <w:tcBorders>
              <w:top w:val="single" w:sz="4" w:space="0" w:color="000000"/>
              <w:left w:val="single" w:sz="4" w:space="0" w:color="000000"/>
              <w:bottom w:val="single" w:sz="4" w:space="0" w:color="000000"/>
              <w:right w:val="single" w:sz="4" w:space="0" w:color="000000"/>
            </w:tcBorders>
            <w:shd w:val="clear" w:color="auto" w:fill="FCBC7B"/>
            <w:vAlign w:val="center"/>
          </w:tcPr>
          <w:p w14:paraId="1B973590"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6,1%</w:t>
            </w:r>
          </w:p>
        </w:tc>
        <w:tc>
          <w:tcPr>
            <w:tcW w:w="1052" w:type="dxa"/>
            <w:tcBorders>
              <w:top w:val="single" w:sz="4" w:space="0" w:color="000000"/>
              <w:left w:val="single" w:sz="8" w:space="0" w:color="000000"/>
              <w:bottom w:val="single" w:sz="4" w:space="0" w:color="000000"/>
              <w:right w:val="single" w:sz="4" w:space="0" w:color="000000"/>
            </w:tcBorders>
            <w:shd w:val="clear" w:color="auto" w:fill="FCEB84"/>
            <w:vAlign w:val="center"/>
          </w:tcPr>
          <w:p w14:paraId="12EEA6D6"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160.525 </w:t>
            </w:r>
          </w:p>
        </w:tc>
        <w:tc>
          <w:tcPr>
            <w:tcW w:w="1087" w:type="dxa"/>
            <w:tcBorders>
              <w:top w:val="single" w:sz="4" w:space="0" w:color="000000"/>
              <w:left w:val="single" w:sz="4" w:space="0" w:color="000000"/>
              <w:bottom w:val="single" w:sz="4" w:space="0" w:color="000000"/>
              <w:right w:val="single" w:sz="4" w:space="0" w:color="000000"/>
            </w:tcBorders>
            <w:shd w:val="clear" w:color="auto" w:fill="FCEB84"/>
            <w:vAlign w:val="center"/>
          </w:tcPr>
          <w:p w14:paraId="68832B3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7,5%</w:t>
            </w:r>
          </w:p>
        </w:tc>
        <w:tc>
          <w:tcPr>
            <w:tcW w:w="1418" w:type="dxa"/>
            <w:tcBorders>
              <w:top w:val="single" w:sz="4" w:space="0" w:color="000000"/>
              <w:left w:val="single" w:sz="8" w:space="0" w:color="000000"/>
              <w:bottom w:val="single" w:sz="4" w:space="0" w:color="000000"/>
              <w:right w:val="single" w:sz="4" w:space="0" w:color="000000"/>
            </w:tcBorders>
            <w:shd w:val="clear" w:color="auto" w:fill="FEDC81"/>
            <w:vAlign w:val="center"/>
          </w:tcPr>
          <w:p w14:paraId="0B1CF3A3"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4.225 </w:t>
            </w:r>
          </w:p>
        </w:tc>
        <w:tc>
          <w:tcPr>
            <w:tcW w:w="1275" w:type="dxa"/>
            <w:tcBorders>
              <w:top w:val="single" w:sz="4" w:space="0" w:color="000000"/>
              <w:left w:val="single" w:sz="4" w:space="0" w:color="000000"/>
              <w:bottom w:val="single" w:sz="4" w:space="0" w:color="000000"/>
              <w:right w:val="single" w:sz="4" w:space="0" w:color="000000"/>
            </w:tcBorders>
            <w:shd w:val="clear" w:color="auto" w:fill="FEDC81"/>
            <w:vAlign w:val="center"/>
          </w:tcPr>
          <w:p w14:paraId="70BB58DA"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6,5%</w:t>
            </w:r>
          </w:p>
        </w:tc>
        <w:tc>
          <w:tcPr>
            <w:tcW w:w="1134" w:type="dxa"/>
            <w:tcBorders>
              <w:top w:val="single" w:sz="4" w:space="0" w:color="000000"/>
              <w:left w:val="single" w:sz="8" w:space="0" w:color="000000"/>
              <w:bottom w:val="single" w:sz="4" w:space="0" w:color="000000"/>
              <w:right w:val="single" w:sz="4" w:space="0" w:color="000000"/>
            </w:tcBorders>
            <w:shd w:val="clear" w:color="auto" w:fill="FDD780"/>
            <w:vAlign w:val="center"/>
          </w:tcPr>
          <w:p w14:paraId="5E4C9C94"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1.545 </w:t>
            </w:r>
          </w:p>
        </w:tc>
        <w:tc>
          <w:tcPr>
            <w:tcW w:w="974" w:type="dxa"/>
            <w:tcBorders>
              <w:top w:val="single" w:sz="4" w:space="0" w:color="000000"/>
              <w:left w:val="single" w:sz="4" w:space="0" w:color="000000"/>
              <w:bottom w:val="single" w:sz="4" w:space="0" w:color="000000"/>
              <w:right w:val="nil"/>
            </w:tcBorders>
            <w:shd w:val="clear" w:color="auto" w:fill="FDD780"/>
            <w:vAlign w:val="center"/>
          </w:tcPr>
          <w:p w14:paraId="3C1FBD7F"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7,6%</w:t>
            </w:r>
          </w:p>
        </w:tc>
        <w:tc>
          <w:tcPr>
            <w:tcW w:w="1463" w:type="dxa"/>
            <w:tcBorders>
              <w:top w:val="single" w:sz="4" w:space="0" w:color="000000"/>
              <w:left w:val="single" w:sz="8" w:space="0" w:color="000000"/>
              <w:bottom w:val="single" w:sz="4" w:space="0" w:color="000000"/>
              <w:right w:val="nil"/>
            </w:tcBorders>
            <w:shd w:val="clear" w:color="auto" w:fill="F8716C"/>
            <w:vAlign w:val="center"/>
          </w:tcPr>
          <w:p w14:paraId="28B581E9"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527.030 </w:t>
            </w:r>
          </w:p>
        </w:tc>
        <w:tc>
          <w:tcPr>
            <w:tcW w:w="1337" w:type="dxa"/>
            <w:tcBorders>
              <w:top w:val="single" w:sz="4" w:space="0" w:color="000000"/>
              <w:left w:val="single" w:sz="4" w:space="0" w:color="000000"/>
              <w:bottom w:val="single" w:sz="4" w:space="0" w:color="000000"/>
              <w:right w:val="single" w:sz="4" w:space="0" w:color="000000"/>
            </w:tcBorders>
            <w:shd w:val="clear" w:color="auto" w:fill="F8716C"/>
            <w:vAlign w:val="center"/>
          </w:tcPr>
          <w:p w14:paraId="56459A24"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3,0%</w:t>
            </w:r>
          </w:p>
        </w:tc>
      </w:tr>
      <w:tr w:rsidR="000755BA" w14:paraId="4869AF5C" w14:textId="77777777" w:rsidTr="00781044">
        <w:trPr>
          <w:trHeight w:val="300"/>
        </w:trPr>
        <w:tc>
          <w:tcPr>
            <w:tcW w:w="699" w:type="dxa"/>
            <w:tcBorders>
              <w:top w:val="single" w:sz="4" w:space="0" w:color="000000"/>
              <w:left w:val="single" w:sz="4" w:space="0" w:color="000000"/>
              <w:bottom w:val="single" w:sz="4" w:space="0" w:color="000000"/>
              <w:right w:val="nil"/>
            </w:tcBorders>
            <w:vAlign w:val="center"/>
          </w:tcPr>
          <w:p w14:paraId="2B4859F3"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000000"/>
              </w:rPr>
              <w:t>4</w:t>
            </w:r>
          </w:p>
        </w:tc>
        <w:tc>
          <w:tcPr>
            <w:tcW w:w="2552" w:type="dxa"/>
            <w:tcBorders>
              <w:top w:val="single" w:sz="4" w:space="0" w:color="000000"/>
              <w:left w:val="single" w:sz="4" w:space="0" w:color="000000"/>
              <w:bottom w:val="single" w:sz="4" w:space="0" w:color="000000"/>
              <w:right w:val="single" w:sz="8" w:space="0" w:color="000000"/>
            </w:tcBorders>
            <w:vAlign w:val="center"/>
          </w:tcPr>
          <w:p w14:paraId="11AF8F27"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Goriško, Vipava, Kras</w:t>
            </w:r>
          </w:p>
        </w:tc>
        <w:tc>
          <w:tcPr>
            <w:tcW w:w="1152" w:type="dxa"/>
            <w:tcBorders>
              <w:top w:val="single" w:sz="4" w:space="0" w:color="000000"/>
              <w:left w:val="single" w:sz="8" w:space="0" w:color="000000"/>
              <w:bottom w:val="single" w:sz="4" w:space="0" w:color="000000"/>
              <w:right w:val="single" w:sz="4" w:space="0" w:color="000000"/>
            </w:tcBorders>
            <w:shd w:val="clear" w:color="auto" w:fill="FEE182"/>
            <w:vAlign w:val="center"/>
          </w:tcPr>
          <w:p w14:paraId="171396C6"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17</w:t>
            </w:r>
          </w:p>
        </w:tc>
        <w:tc>
          <w:tcPr>
            <w:tcW w:w="992" w:type="dxa"/>
            <w:tcBorders>
              <w:top w:val="single" w:sz="4" w:space="0" w:color="000000"/>
              <w:left w:val="single" w:sz="4" w:space="0" w:color="000000"/>
              <w:bottom w:val="single" w:sz="4" w:space="0" w:color="000000"/>
              <w:right w:val="single" w:sz="8" w:space="0" w:color="000000"/>
            </w:tcBorders>
            <w:shd w:val="clear" w:color="auto" w:fill="FEE182"/>
            <w:vAlign w:val="center"/>
          </w:tcPr>
          <w:p w14:paraId="658BE7F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8,0%</w:t>
            </w:r>
          </w:p>
        </w:tc>
        <w:tc>
          <w:tcPr>
            <w:tcW w:w="1052" w:type="dxa"/>
            <w:tcBorders>
              <w:top w:val="single" w:sz="4" w:space="0" w:color="000000"/>
              <w:left w:val="single" w:sz="8" w:space="0" w:color="000000"/>
              <w:bottom w:val="single" w:sz="4" w:space="0" w:color="000000"/>
              <w:right w:val="single" w:sz="4" w:space="0" w:color="000000"/>
            </w:tcBorders>
            <w:shd w:val="clear" w:color="auto" w:fill="FCEA84"/>
            <w:vAlign w:val="center"/>
          </w:tcPr>
          <w:p w14:paraId="434EFE38"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161.326 </w:t>
            </w:r>
          </w:p>
        </w:tc>
        <w:tc>
          <w:tcPr>
            <w:tcW w:w="1087" w:type="dxa"/>
            <w:tcBorders>
              <w:top w:val="single" w:sz="4" w:space="0" w:color="000000"/>
              <w:left w:val="single" w:sz="4" w:space="0" w:color="000000"/>
              <w:bottom w:val="single" w:sz="4" w:space="0" w:color="000000"/>
              <w:right w:val="single" w:sz="8" w:space="0" w:color="000000"/>
            </w:tcBorders>
            <w:shd w:val="clear" w:color="auto" w:fill="FCEA84"/>
            <w:vAlign w:val="center"/>
          </w:tcPr>
          <w:p w14:paraId="487B7E1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7,5%</w:t>
            </w:r>
          </w:p>
        </w:tc>
        <w:tc>
          <w:tcPr>
            <w:tcW w:w="1418" w:type="dxa"/>
            <w:tcBorders>
              <w:top w:val="single" w:sz="4" w:space="0" w:color="000000"/>
              <w:left w:val="single" w:sz="8" w:space="0" w:color="000000"/>
              <w:bottom w:val="single" w:sz="4" w:space="0" w:color="000000"/>
              <w:right w:val="single" w:sz="4" w:space="0" w:color="000000"/>
            </w:tcBorders>
            <w:shd w:val="clear" w:color="auto" w:fill="FCEA84"/>
            <w:vAlign w:val="center"/>
          </w:tcPr>
          <w:p w14:paraId="44A1FB39"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5.025 </w:t>
            </w:r>
          </w:p>
        </w:tc>
        <w:tc>
          <w:tcPr>
            <w:tcW w:w="1275" w:type="dxa"/>
            <w:tcBorders>
              <w:top w:val="single" w:sz="4" w:space="0" w:color="000000"/>
              <w:left w:val="single" w:sz="4" w:space="0" w:color="000000"/>
              <w:bottom w:val="single" w:sz="4" w:space="0" w:color="000000"/>
              <w:right w:val="single" w:sz="8" w:space="0" w:color="000000"/>
            </w:tcBorders>
            <w:shd w:val="clear" w:color="auto" w:fill="FCEA84"/>
            <w:vAlign w:val="center"/>
          </w:tcPr>
          <w:p w14:paraId="152F87A3"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7,7%</w:t>
            </w:r>
          </w:p>
        </w:tc>
        <w:tc>
          <w:tcPr>
            <w:tcW w:w="1134" w:type="dxa"/>
            <w:tcBorders>
              <w:top w:val="single" w:sz="4" w:space="0" w:color="000000"/>
              <w:left w:val="single" w:sz="8" w:space="0" w:color="000000"/>
              <w:bottom w:val="single" w:sz="4" w:space="0" w:color="000000"/>
              <w:right w:val="single" w:sz="4" w:space="0" w:color="000000"/>
            </w:tcBorders>
            <w:shd w:val="clear" w:color="auto" w:fill="63BE7B"/>
            <w:vAlign w:val="center"/>
          </w:tcPr>
          <w:p w14:paraId="5B732818"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2.928 </w:t>
            </w:r>
          </w:p>
        </w:tc>
        <w:tc>
          <w:tcPr>
            <w:tcW w:w="974" w:type="dxa"/>
            <w:tcBorders>
              <w:top w:val="single" w:sz="4" w:space="0" w:color="000000"/>
              <w:left w:val="single" w:sz="4" w:space="0" w:color="000000"/>
              <w:bottom w:val="single" w:sz="4" w:space="0" w:color="000000"/>
              <w:right w:val="single" w:sz="8" w:space="0" w:color="000000"/>
            </w:tcBorders>
            <w:shd w:val="clear" w:color="auto" w:fill="63BE7B"/>
            <w:vAlign w:val="center"/>
          </w:tcPr>
          <w:p w14:paraId="6BD5FD2E"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14,4%</w:t>
            </w:r>
          </w:p>
        </w:tc>
        <w:tc>
          <w:tcPr>
            <w:tcW w:w="1463" w:type="dxa"/>
            <w:tcBorders>
              <w:top w:val="single" w:sz="4" w:space="0" w:color="000000"/>
              <w:left w:val="single" w:sz="8" w:space="0" w:color="000000"/>
              <w:bottom w:val="single" w:sz="4" w:space="0" w:color="000000"/>
              <w:right w:val="nil"/>
            </w:tcBorders>
            <w:shd w:val="clear" w:color="auto" w:fill="FCBA7A"/>
            <w:vAlign w:val="center"/>
          </w:tcPr>
          <w:p w14:paraId="0B5EAD19"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828.139 </w:t>
            </w:r>
          </w:p>
        </w:tc>
        <w:tc>
          <w:tcPr>
            <w:tcW w:w="1337" w:type="dxa"/>
            <w:tcBorders>
              <w:top w:val="single" w:sz="4" w:space="0" w:color="000000"/>
              <w:left w:val="single" w:sz="4" w:space="0" w:color="000000"/>
              <w:bottom w:val="single" w:sz="4" w:space="0" w:color="000000"/>
              <w:right w:val="single" w:sz="4" w:space="0" w:color="000000"/>
            </w:tcBorders>
            <w:shd w:val="clear" w:color="auto" w:fill="FCBA7A"/>
            <w:vAlign w:val="center"/>
          </w:tcPr>
          <w:p w14:paraId="4A235466"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4,6%</w:t>
            </w:r>
          </w:p>
        </w:tc>
      </w:tr>
      <w:tr w:rsidR="000755BA" w14:paraId="0208D3EF" w14:textId="77777777" w:rsidTr="00781044">
        <w:trPr>
          <w:trHeight w:val="300"/>
        </w:trPr>
        <w:tc>
          <w:tcPr>
            <w:tcW w:w="699" w:type="dxa"/>
            <w:tcBorders>
              <w:top w:val="single" w:sz="4" w:space="0" w:color="000000"/>
              <w:left w:val="single" w:sz="4" w:space="0" w:color="000000"/>
              <w:bottom w:val="single" w:sz="4" w:space="0" w:color="000000"/>
              <w:right w:val="nil"/>
            </w:tcBorders>
            <w:shd w:val="clear" w:color="auto" w:fill="DCE6F1"/>
            <w:vAlign w:val="center"/>
          </w:tcPr>
          <w:p w14:paraId="1979424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000000"/>
              </w:rPr>
              <w:t>5</w:t>
            </w:r>
          </w:p>
        </w:tc>
        <w:tc>
          <w:tcPr>
            <w:tcW w:w="2552" w:type="dxa"/>
            <w:tcBorders>
              <w:top w:val="single" w:sz="4" w:space="0" w:color="000000"/>
              <w:left w:val="single" w:sz="4" w:space="0" w:color="000000"/>
              <w:bottom w:val="single" w:sz="4" w:space="0" w:color="000000"/>
              <w:right w:val="single" w:sz="8" w:space="0" w:color="000000"/>
            </w:tcBorders>
            <w:shd w:val="clear" w:color="auto" w:fill="DCE6F1"/>
            <w:vAlign w:val="center"/>
          </w:tcPr>
          <w:p w14:paraId="5BEF6551"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Savinjsko, Celje, Obsotelje in Kozjansko</w:t>
            </w:r>
          </w:p>
        </w:tc>
        <w:tc>
          <w:tcPr>
            <w:tcW w:w="1152" w:type="dxa"/>
            <w:tcBorders>
              <w:top w:val="single" w:sz="4" w:space="0" w:color="000000"/>
              <w:left w:val="single" w:sz="8" w:space="0" w:color="000000"/>
              <w:bottom w:val="single" w:sz="4" w:space="0" w:color="000000"/>
              <w:right w:val="single" w:sz="4" w:space="0" w:color="000000"/>
            </w:tcBorders>
            <w:shd w:val="clear" w:color="auto" w:fill="FFEB84"/>
            <w:vAlign w:val="center"/>
          </w:tcPr>
          <w:p w14:paraId="0A0ECCF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18</w:t>
            </w:r>
          </w:p>
        </w:tc>
        <w:tc>
          <w:tcPr>
            <w:tcW w:w="992" w:type="dxa"/>
            <w:tcBorders>
              <w:top w:val="single" w:sz="4" w:space="0" w:color="000000"/>
              <w:left w:val="single" w:sz="4" w:space="0" w:color="000000"/>
              <w:bottom w:val="single" w:sz="4" w:space="0" w:color="000000"/>
              <w:right w:val="single" w:sz="8" w:space="0" w:color="000000"/>
            </w:tcBorders>
            <w:shd w:val="clear" w:color="auto" w:fill="FFEB84"/>
            <w:vAlign w:val="center"/>
          </w:tcPr>
          <w:p w14:paraId="74DAC359"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8,5%</w:t>
            </w:r>
          </w:p>
        </w:tc>
        <w:tc>
          <w:tcPr>
            <w:tcW w:w="1052" w:type="dxa"/>
            <w:tcBorders>
              <w:top w:val="single" w:sz="4" w:space="0" w:color="000000"/>
              <w:left w:val="single" w:sz="8" w:space="0" w:color="000000"/>
              <w:bottom w:val="single" w:sz="4" w:space="0" w:color="000000"/>
              <w:right w:val="single" w:sz="4" w:space="0" w:color="000000"/>
            </w:tcBorders>
            <w:shd w:val="clear" w:color="auto" w:fill="F7E984"/>
            <w:vAlign w:val="center"/>
          </w:tcPr>
          <w:p w14:paraId="07852B71"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177.597 </w:t>
            </w:r>
          </w:p>
        </w:tc>
        <w:tc>
          <w:tcPr>
            <w:tcW w:w="1087" w:type="dxa"/>
            <w:tcBorders>
              <w:top w:val="single" w:sz="4" w:space="0" w:color="000000"/>
              <w:left w:val="single" w:sz="4" w:space="0" w:color="000000"/>
              <w:bottom w:val="single" w:sz="4" w:space="0" w:color="000000"/>
              <w:right w:val="single" w:sz="8" w:space="0" w:color="000000"/>
            </w:tcBorders>
            <w:shd w:val="clear" w:color="auto" w:fill="F7E984"/>
            <w:vAlign w:val="center"/>
          </w:tcPr>
          <w:p w14:paraId="1AE03624"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8,3%</w:t>
            </w:r>
          </w:p>
        </w:tc>
        <w:tc>
          <w:tcPr>
            <w:tcW w:w="1418" w:type="dxa"/>
            <w:tcBorders>
              <w:top w:val="single" w:sz="4" w:space="0" w:color="000000"/>
              <w:left w:val="single" w:sz="8" w:space="0" w:color="000000"/>
              <w:bottom w:val="single" w:sz="4" w:space="0" w:color="000000"/>
              <w:right w:val="single" w:sz="4" w:space="0" w:color="000000"/>
            </w:tcBorders>
            <w:shd w:val="clear" w:color="auto" w:fill="F6E984"/>
            <w:vAlign w:val="center"/>
          </w:tcPr>
          <w:p w14:paraId="2689BD60"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5.697 </w:t>
            </w:r>
          </w:p>
        </w:tc>
        <w:tc>
          <w:tcPr>
            <w:tcW w:w="1275" w:type="dxa"/>
            <w:tcBorders>
              <w:top w:val="single" w:sz="4" w:space="0" w:color="000000"/>
              <w:left w:val="single" w:sz="4" w:space="0" w:color="000000"/>
              <w:bottom w:val="single" w:sz="4" w:space="0" w:color="000000"/>
              <w:right w:val="single" w:sz="8" w:space="0" w:color="000000"/>
            </w:tcBorders>
            <w:shd w:val="clear" w:color="auto" w:fill="F6E984"/>
            <w:vAlign w:val="center"/>
          </w:tcPr>
          <w:p w14:paraId="0D32CB7E"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8,7%</w:t>
            </w:r>
          </w:p>
        </w:tc>
        <w:tc>
          <w:tcPr>
            <w:tcW w:w="1134" w:type="dxa"/>
            <w:tcBorders>
              <w:top w:val="single" w:sz="4" w:space="0" w:color="000000"/>
              <w:left w:val="single" w:sz="8" w:space="0" w:color="000000"/>
              <w:bottom w:val="single" w:sz="4" w:space="0" w:color="000000"/>
              <w:right w:val="single" w:sz="4" w:space="0" w:color="000000"/>
            </w:tcBorders>
            <w:shd w:val="clear" w:color="auto" w:fill="FDC77D"/>
            <w:vAlign w:val="center"/>
          </w:tcPr>
          <w:p w14:paraId="70B55C6A"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1.373 </w:t>
            </w:r>
          </w:p>
        </w:tc>
        <w:tc>
          <w:tcPr>
            <w:tcW w:w="974" w:type="dxa"/>
            <w:tcBorders>
              <w:top w:val="single" w:sz="4" w:space="0" w:color="000000"/>
              <w:left w:val="single" w:sz="4" w:space="0" w:color="000000"/>
              <w:bottom w:val="single" w:sz="4" w:space="0" w:color="000000"/>
              <w:right w:val="single" w:sz="8" w:space="0" w:color="000000"/>
            </w:tcBorders>
            <w:shd w:val="clear" w:color="auto" w:fill="FDC77D"/>
            <w:vAlign w:val="center"/>
          </w:tcPr>
          <w:p w14:paraId="78A73ED2"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6,8%</w:t>
            </w:r>
          </w:p>
        </w:tc>
        <w:tc>
          <w:tcPr>
            <w:tcW w:w="1463" w:type="dxa"/>
            <w:tcBorders>
              <w:top w:val="single" w:sz="4" w:space="0" w:color="000000"/>
              <w:left w:val="single" w:sz="8" w:space="0" w:color="000000"/>
              <w:bottom w:val="single" w:sz="4" w:space="0" w:color="000000"/>
              <w:right w:val="nil"/>
            </w:tcBorders>
            <w:shd w:val="clear" w:color="auto" w:fill="F9EA84"/>
            <w:vAlign w:val="center"/>
          </w:tcPr>
          <w:p w14:paraId="43220948"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1.194.505 </w:t>
            </w:r>
          </w:p>
        </w:tc>
        <w:tc>
          <w:tcPr>
            <w:tcW w:w="1337" w:type="dxa"/>
            <w:tcBorders>
              <w:top w:val="single" w:sz="4" w:space="0" w:color="000000"/>
              <w:left w:val="single" w:sz="4" w:space="0" w:color="000000"/>
              <w:bottom w:val="single" w:sz="4" w:space="0" w:color="000000"/>
              <w:right w:val="single" w:sz="4" w:space="0" w:color="000000"/>
            </w:tcBorders>
            <w:shd w:val="clear" w:color="auto" w:fill="F9EA84"/>
            <w:vAlign w:val="center"/>
          </w:tcPr>
          <w:p w14:paraId="0BCAE6E7"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6,7%</w:t>
            </w:r>
          </w:p>
        </w:tc>
      </w:tr>
      <w:tr w:rsidR="000755BA" w14:paraId="58F9D6EE" w14:textId="77777777" w:rsidTr="00781044">
        <w:trPr>
          <w:trHeight w:val="300"/>
        </w:trPr>
        <w:tc>
          <w:tcPr>
            <w:tcW w:w="699" w:type="dxa"/>
            <w:tcBorders>
              <w:top w:val="single" w:sz="4" w:space="0" w:color="000000"/>
              <w:left w:val="single" w:sz="4" w:space="0" w:color="000000"/>
              <w:bottom w:val="single" w:sz="4" w:space="0" w:color="000000"/>
              <w:right w:val="nil"/>
            </w:tcBorders>
            <w:vAlign w:val="center"/>
          </w:tcPr>
          <w:p w14:paraId="27B72B27"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000000"/>
              </w:rPr>
              <w:t>6</w:t>
            </w:r>
          </w:p>
        </w:tc>
        <w:tc>
          <w:tcPr>
            <w:tcW w:w="2552" w:type="dxa"/>
            <w:tcBorders>
              <w:top w:val="single" w:sz="4" w:space="0" w:color="000000"/>
              <w:left w:val="single" w:sz="4" w:space="0" w:color="000000"/>
              <w:bottom w:val="single" w:sz="4" w:space="0" w:color="000000"/>
              <w:right w:val="single" w:sz="8" w:space="0" w:color="000000"/>
            </w:tcBorders>
            <w:vAlign w:val="center"/>
          </w:tcPr>
          <w:p w14:paraId="38FF3AE8"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Dolenjska, Bela Krajina in Kočevsko</w:t>
            </w:r>
          </w:p>
        </w:tc>
        <w:tc>
          <w:tcPr>
            <w:tcW w:w="1152" w:type="dxa"/>
            <w:tcBorders>
              <w:top w:val="single" w:sz="4" w:space="0" w:color="000000"/>
              <w:left w:val="single" w:sz="8" w:space="0" w:color="000000"/>
              <w:bottom w:val="single" w:sz="4" w:space="0" w:color="000000"/>
              <w:right w:val="single" w:sz="4" w:space="0" w:color="000000"/>
            </w:tcBorders>
            <w:shd w:val="clear" w:color="auto" w:fill="EDE683"/>
            <w:vAlign w:val="center"/>
          </w:tcPr>
          <w:p w14:paraId="3283A88E"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21</w:t>
            </w:r>
          </w:p>
        </w:tc>
        <w:tc>
          <w:tcPr>
            <w:tcW w:w="992" w:type="dxa"/>
            <w:tcBorders>
              <w:top w:val="single" w:sz="4" w:space="0" w:color="000000"/>
              <w:left w:val="single" w:sz="4" w:space="0" w:color="000000"/>
              <w:bottom w:val="single" w:sz="4" w:space="0" w:color="000000"/>
              <w:right w:val="single" w:sz="8" w:space="0" w:color="000000"/>
            </w:tcBorders>
            <w:shd w:val="clear" w:color="auto" w:fill="EDE683"/>
            <w:vAlign w:val="center"/>
          </w:tcPr>
          <w:p w14:paraId="7FE613FE"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9,9%</w:t>
            </w:r>
          </w:p>
        </w:tc>
        <w:tc>
          <w:tcPr>
            <w:tcW w:w="1052" w:type="dxa"/>
            <w:tcBorders>
              <w:top w:val="single" w:sz="4" w:space="0" w:color="000000"/>
              <w:left w:val="single" w:sz="8" w:space="0" w:color="000000"/>
              <w:bottom w:val="single" w:sz="4" w:space="0" w:color="000000"/>
              <w:right w:val="single" w:sz="4" w:space="0" w:color="000000"/>
            </w:tcBorders>
            <w:shd w:val="clear" w:color="auto" w:fill="FFEB84"/>
            <w:vAlign w:val="center"/>
          </w:tcPr>
          <w:p w14:paraId="3899F142"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150.126 </w:t>
            </w:r>
          </w:p>
        </w:tc>
        <w:tc>
          <w:tcPr>
            <w:tcW w:w="1087" w:type="dxa"/>
            <w:tcBorders>
              <w:top w:val="single" w:sz="4" w:space="0" w:color="000000"/>
              <w:left w:val="single" w:sz="4" w:space="0" w:color="000000"/>
              <w:bottom w:val="single" w:sz="4" w:space="0" w:color="000000"/>
              <w:right w:val="single" w:sz="8" w:space="0" w:color="000000"/>
            </w:tcBorders>
            <w:shd w:val="clear" w:color="auto" w:fill="FFEB84"/>
            <w:vAlign w:val="center"/>
          </w:tcPr>
          <w:p w14:paraId="04C93FB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7,0%</w:t>
            </w:r>
          </w:p>
        </w:tc>
        <w:tc>
          <w:tcPr>
            <w:tcW w:w="1418" w:type="dxa"/>
            <w:tcBorders>
              <w:top w:val="single" w:sz="4" w:space="0" w:color="000000"/>
              <w:left w:val="single" w:sz="8" w:space="0" w:color="000000"/>
              <w:bottom w:val="single" w:sz="4" w:space="0" w:color="000000"/>
              <w:right w:val="single" w:sz="4" w:space="0" w:color="000000"/>
            </w:tcBorders>
            <w:shd w:val="clear" w:color="auto" w:fill="FBA576"/>
            <w:vAlign w:val="center"/>
          </w:tcPr>
          <w:p w14:paraId="379E98BD"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2.932 </w:t>
            </w:r>
          </w:p>
        </w:tc>
        <w:tc>
          <w:tcPr>
            <w:tcW w:w="1275" w:type="dxa"/>
            <w:tcBorders>
              <w:top w:val="single" w:sz="4" w:space="0" w:color="000000"/>
              <w:left w:val="single" w:sz="4" w:space="0" w:color="000000"/>
              <w:bottom w:val="single" w:sz="4" w:space="0" w:color="000000"/>
              <w:right w:val="single" w:sz="8" w:space="0" w:color="000000"/>
            </w:tcBorders>
            <w:shd w:val="clear" w:color="auto" w:fill="FBA576"/>
            <w:vAlign w:val="center"/>
          </w:tcPr>
          <w:p w14:paraId="5A566027"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4,5%</w:t>
            </w:r>
          </w:p>
        </w:tc>
        <w:tc>
          <w:tcPr>
            <w:tcW w:w="1134" w:type="dxa"/>
            <w:tcBorders>
              <w:top w:val="single" w:sz="4" w:space="0" w:color="000000"/>
              <w:left w:val="single" w:sz="8" w:space="0" w:color="000000"/>
              <w:bottom w:val="single" w:sz="4" w:space="0" w:color="000000"/>
              <w:right w:val="single" w:sz="4" w:space="0" w:color="000000"/>
            </w:tcBorders>
            <w:shd w:val="clear" w:color="auto" w:fill="85C87D"/>
            <w:vAlign w:val="center"/>
          </w:tcPr>
          <w:p w14:paraId="3EB39BAC"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2.676 </w:t>
            </w:r>
          </w:p>
        </w:tc>
        <w:tc>
          <w:tcPr>
            <w:tcW w:w="974" w:type="dxa"/>
            <w:tcBorders>
              <w:top w:val="single" w:sz="4" w:space="0" w:color="000000"/>
              <w:left w:val="single" w:sz="4" w:space="0" w:color="000000"/>
              <w:bottom w:val="single" w:sz="4" w:space="0" w:color="000000"/>
              <w:right w:val="single" w:sz="8" w:space="0" w:color="000000"/>
            </w:tcBorders>
            <w:shd w:val="clear" w:color="auto" w:fill="85C87D"/>
            <w:vAlign w:val="center"/>
          </w:tcPr>
          <w:p w14:paraId="0B67F7B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13,2%</w:t>
            </w:r>
          </w:p>
        </w:tc>
        <w:tc>
          <w:tcPr>
            <w:tcW w:w="1463" w:type="dxa"/>
            <w:tcBorders>
              <w:top w:val="single" w:sz="4" w:space="0" w:color="000000"/>
              <w:left w:val="single" w:sz="8" w:space="0" w:color="000000"/>
              <w:bottom w:val="single" w:sz="4" w:space="0" w:color="000000"/>
              <w:right w:val="nil"/>
            </w:tcBorders>
            <w:shd w:val="clear" w:color="auto" w:fill="F8716C"/>
            <w:vAlign w:val="center"/>
          </w:tcPr>
          <w:p w14:paraId="2E970657"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526.892 </w:t>
            </w:r>
          </w:p>
        </w:tc>
        <w:tc>
          <w:tcPr>
            <w:tcW w:w="1337" w:type="dxa"/>
            <w:tcBorders>
              <w:top w:val="single" w:sz="4" w:space="0" w:color="000000"/>
              <w:left w:val="single" w:sz="4" w:space="0" w:color="000000"/>
              <w:bottom w:val="single" w:sz="4" w:space="0" w:color="000000"/>
              <w:right w:val="single" w:sz="4" w:space="0" w:color="000000"/>
            </w:tcBorders>
            <w:shd w:val="clear" w:color="auto" w:fill="F8716C"/>
            <w:vAlign w:val="center"/>
          </w:tcPr>
          <w:p w14:paraId="72DB0FC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3,0%</w:t>
            </w:r>
          </w:p>
        </w:tc>
      </w:tr>
      <w:tr w:rsidR="000755BA" w14:paraId="5D8EC3B7" w14:textId="77777777" w:rsidTr="00781044">
        <w:trPr>
          <w:trHeight w:val="338"/>
        </w:trPr>
        <w:tc>
          <w:tcPr>
            <w:tcW w:w="699" w:type="dxa"/>
            <w:tcBorders>
              <w:top w:val="single" w:sz="4" w:space="0" w:color="000000"/>
              <w:left w:val="single" w:sz="4" w:space="0" w:color="000000"/>
              <w:bottom w:val="single" w:sz="4" w:space="0" w:color="000000"/>
              <w:right w:val="nil"/>
            </w:tcBorders>
            <w:shd w:val="clear" w:color="auto" w:fill="DCE6F1"/>
            <w:vAlign w:val="center"/>
          </w:tcPr>
          <w:p w14:paraId="03B74FC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000000"/>
              </w:rPr>
              <w:t>7</w:t>
            </w:r>
          </w:p>
        </w:tc>
        <w:tc>
          <w:tcPr>
            <w:tcW w:w="2552" w:type="dxa"/>
            <w:tcBorders>
              <w:top w:val="single" w:sz="4" w:space="0" w:color="000000"/>
              <w:left w:val="single" w:sz="4" w:space="0" w:color="000000"/>
              <w:bottom w:val="single" w:sz="4" w:space="0" w:color="000000"/>
              <w:right w:val="single" w:sz="8" w:space="0" w:color="000000"/>
            </w:tcBorders>
            <w:shd w:val="clear" w:color="auto" w:fill="DCE6F1"/>
            <w:vAlign w:val="center"/>
          </w:tcPr>
          <w:p w14:paraId="2A7CBE5E" w14:textId="0436B169"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 xml:space="preserve">Ljubljana in </w:t>
            </w:r>
            <w:r w:rsidR="00644050">
              <w:rPr>
                <w:rFonts w:ascii="Arial" w:eastAsia="Arial" w:hAnsi="Arial" w:cs="Arial"/>
                <w:b/>
                <w:bCs/>
                <w:color w:val="000000"/>
              </w:rPr>
              <w:t>O</w:t>
            </w:r>
            <w:r>
              <w:rPr>
                <w:rFonts w:ascii="Arial" w:eastAsia="Arial" w:hAnsi="Arial" w:cs="Arial"/>
                <w:b/>
                <w:bCs/>
                <w:color w:val="000000"/>
              </w:rPr>
              <w:t>srednja Slovenija</w:t>
            </w:r>
          </w:p>
        </w:tc>
        <w:tc>
          <w:tcPr>
            <w:tcW w:w="1152" w:type="dxa"/>
            <w:tcBorders>
              <w:top w:val="single" w:sz="4" w:space="0" w:color="000000"/>
              <w:left w:val="single" w:sz="8" w:space="0" w:color="000000"/>
              <w:bottom w:val="single" w:sz="4" w:space="0" w:color="000000"/>
              <w:right w:val="single" w:sz="4" w:space="0" w:color="000000"/>
            </w:tcBorders>
            <w:shd w:val="clear" w:color="auto" w:fill="BDD881"/>
            <w:vAlign w:val="center"/>
          </w:tcPr>
          <w:p w14:paraId="0E9FE8A7"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29</w:t>
            </w:r>
          </w:p>
        </w:tc>
        <w:tc>
          <w:tcPr>
            <w:tcW w:w="992" w:type="dxa"/>
            <w:tcBorders>
              <w:top w:val="single" w:sz="4" w:space="0" w:color="000000"/>
              <w:left w:val="single" w:sz="4" w:space="0" w:color="000000"/>
              <w:bottom w:val="single" w:sz="4" w:space="0" w:color="000000"/>
              <w:right w:val="single" w:sz="8" w:space="0" w:color="000000"/>
            </w:tcBorders>
            <w:shd w:val="clear" w:color="auto" w:fill="BDD881"/>
            <w:vAlign w:val="center"/>
          </w:tcPr>
          <w:p w14:paraId="27AD139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13,7%</w:t>
            </w:r>
          </w:p>
        </w:tc>
        <w:tc>
          <w:tcPr>
            <w:tcW w:w="1052" w:type="dxa"/>
            <w:tcBorders>
              <w:top w:val="single" w:sz="4" w:space="0" w:color="000000"/>
              <w:left w:val="single" w:sz="8" w:space="0" w:color="000000"/>
              <w:bottom w:val="single" w:sz="4" w:space="0" w:color="000000"/>
              <w:right w:val="single" w:sz="4" w:space="0" w:color="000000"/>
            </w:tcBorders>
            <w:shd w:val="clear" w:color="auto" w:fill="63BE7B"/>
            <w:vAlign w:val="center"/>
          </w:tcPr>
          <w:p w14:paraId="35D5D8FB"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634.464 </w:t>
            </w:r>
          </w:p>
        </w:tc>
        <w:tc>
          <w:tcPr>
            <w:tcW w:w="1087" w:type="dxa"/>
            <w:tcBorders>
              <w:top w:val="single" w:sz="4" w:space="0" w:color="000000"/>
              <w:left w:val="single" w:sz="4" w:space="0" w:color="000000"/>
              <w:bottom w:val="single" w:sz="4" w:space="0" w:color="000000"/>
              <w:right w:val="single" w:sz="8" w:space="0" w:color="000000"/>
            </w:tcBorders>
            <w:shd w:val="clear" w:color="auto" w:fill="63BE7B"/>
            <w:vAlign w:val="center"/>
          </w:tcPr>
          <w:p w14:paraId="67F1ED72"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29,5%</w:t>
            </w:r>
          </w:p>
        </w:tc>
        <w:tc>
          <w:tcPr>
            <w:tcW w:w="1418" w:type="dxa"/>
            <w:tcBorders>
              <w:top w:val="single" w:sz="4" w:space="0" w:color="000000"/>
              <w:left w:val="single" w:sz="8" w:space="0" w:color="000000"/>
              <w:bottom w:val="single" w:sz="4" w:space="0" w:color="000000"/>
              <w:right w:val="single" w:sz="4" w:space="0" w:color="000000"/>
            </w:tcBorders>
            <w:shd w:val="clear" w:color="auto" w:fill="63BE7B"/>
            <w:vAlign w:val="center"/>
          </w:tcPr>
          <w:p w14:paraId="472F2D91"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23.021 </w:t>
            </w:r>
          </w:p>
        </w:tc>
        <w:tc>
          <w:tcPr>
            <w:tcW w:w="1275" w:type="dxa"/>
            <w:tcBorders>
              <w:top w:val="single" w:sz="4" w:space="0" w:color="000000"/>
              <w:left w:val="single" w:sz="4" w:space="0" w:color="000000"/>
              <w:bottom w:val="single" w:sz="4" w:space="0" w:color="000000"/>
              <w:right w:val="single" w:sz="8" w:space="0" w:color="000000"/>
            </w:tcBorders>
            <w:shd w:val="clear" w:color="auto" w:fill="63BE7B"/>
            <w:vAlign w:val="center"/>
          </w:tcPr>
          <w:p w14:paraId="77F3F6E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35,2%</w:t>
            </w:r>
          </w:p>
        </w:tc>
        <w:tc>
          <w:tcPr>
            <w:tcW w:w="1134" w:type="dxa"/>
            <w:tcBorders>
              <w:top w:val="single" w:sz="4" w:space="0" w:color="000000"/>
              <w:left w:val="single" w:sz="8" w:space="0" w:color="000000"/>
              <w:bottom w:val="single" w:sz="4" w:space="0" w:color="000000"/>
              <w:right w:val="single" w:sz="4" w:space="0" w:color="000000"/>
            </w:tcBorders>
            <w:shd w:val="clear" w:color="auto" w:fill="72C37C"/>
            <w:vAlign w:val="center"/>
          </w:tcPr>
          <w:p w14:paraId="65530275"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2.820 </w:t>
            </w:r>
          </w:p>
        </w:tc>
        <w:tc>
          <w:tcPr>
            <w:tcW w:w="974" w:type="dxa"/>
            <w:tcBorders>
              <w:top w:val="single" w:sz="4" w:space="0" w:color="000000"/>
              <w:left w:val="single" w:sz="4" w:space="0" w:color="000000"/>
              <w:bottom w:val="single" w:sz="4" w:space="0" w:color="000000"/>
              <w:right w:val="single" w:sz="8" w:space="0" w:color="000000"/>
            </w:tcBorders>
            <w:shd w:val="clear" w:color="auto" w:fill="72C37C"/>
            <w:vAlign w:val="center"/>
          </w:tcPr>
          <w:p w14:paraId="3C9231EC"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13,9%</w:t>
            </w:r>
          </w:p>
        </w:tc>
        <w:tc>
          <w:tcPr>
            <w:tcW w:w="1463" w:type="dxa"/>
            <w:tcBorders>
              <w:top w:val="single" w:sz="4" w:space="0" w:color="000000"/>
              <w:left w:val="single" w:sz="8" w:space="0" w:color="000000"/>
              <w:bottom w:val="single" w:sz="4" w:space="0" w:color="000000"/>
              <w:right w:val="nil"/>
            </w:tcBorders>
            <w:shd w:val="clear" w:color="auto" w:fill="A7D27F"/>
            <w:vAlign w:val="center"/>
          </w:tcPr>
          <w:p w14:paraId="4F920865"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3.187.848 </w:t>
            </w:r>
          </w:p>
        </w:tc>
        <w:tc>
          <w:tcPr>
            <w:tcW w:w="1337" w:type="dxa"/>
            <w:tcBorders>
              <w:top w:val="single" w:sz="4" w:space="0" w:color="000000"/>
              <w:left w:val="single" w:sz="4" w:space="0" w:color="000000"/>
              <w:bottom w:val="single" w:sz="4" w:space="0" w:color="000000"/>
              <w:right w:val="single" w:sz="4" w:space="0" w:color="000000"/>
            </w:tcBorders>
            <w:shd w:val="clear" w:color="auto" w:fill="A7D27F"/>
            <w:vAlign w:val="center"/>
          </w:tcPr>
          <w:p w14:paraId="3058E67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17,9%</w:t>
            </w:r>
          </w:p>
        </w:tc>
      </w:tr>
      <w:tr w:rsidR="000755BA" w14:paraId="43710FF9" w14:textId="77777777" w:rsidTr="00781044">
        <w:trPr>
          <w:trHeight w:val="300"/>
        </w:trPr>
        <w:tc>
          <w:tcPr>
            <w:tcW w:w="699" w:type="dxa"/>
            <w:tcBorders>
              <w:top w:val="single" w:sz="4" w:space="0" w:color="000000"/>
              <w:left w:val="single" w:sz="4" w:space="0" w:color="000000"/>
              <w:bottom w:val="single" w:sz="4" w:space="0" w:color="000000"/>
              <w:right w:val="nil"/>
            </w:tcBorders>
            <w:vAlign w:val="center"/>
          </w:tcPr>
          <w:p w14:paraId="48F724D0"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000000"/>
              </w:rPr>
              <w:t>8</w:t>
            </w:r>
          </w:p>
        </w:tc>
        <w:tc>
          <w:tcPr>
            <w:tcW w:w="2552" w:type="dxa"/>
            <w:tcBorders>
              <w:top w:val="single" w:sz="4" w:space="0" w:color="000000"/>
              <w:left w:val="single" w:sz="4" w:space="0" w:color="000000"/>
              <w:bottom w:val="single" w:sz="4" w:space="0" w:color="000000"/>
              <w:right w:val="single" w:sz="8" w:space="0" w:color="000000"/>
            </w:tcBorders>
            <w:vAlign w:val="center"/>
          </w:tcPr>
          <w:p w14:paraId="4C4C1787"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Štajerska (Maribor, Pohorje, Ptuj)</w:t>
            </w:r>
          </w:p>
        </w:tc>
        <w:tc>
          <w:tcPr>
            <w:tcW w:w="1152" w:type="dxa"/>
            <w:tcBorders>
              <w:top w:val="single" w:sz="4" w:space="0" w:color="000000"/>
              <w:left w:val="single" w:sz="8" w:space="0" w:color="000000"/>
              <w:bottom w:val="single" w:sz="4" w:space="0" w:color="000000"/>
              <w:right w:val="single" w:sz="4" w:space="0" w:color="000000"/>
            </w:tcBorders>
            <w:shd w:val="clear" w:color="auto" w:fill="63BE7B"/>
            <w:vAlign w:val="center"/>
          </w:tcPr>
          <w:p w14:paraId="1E2F7953"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44</w:t>
            </w:r>
          </w:p>
        </w:tc>
        <w:tc>
          <w:tcPr>
            <w:tcW w:w="992" w:type="dxa"/>
            <w:tcBorders>
              <w:top w:val="single" w:sz="4" w:space="0" w:color="000000"/>
              <w:left w:val="single" w:sz="4" w:space="0" w:color="000000"/>
              <w:bottom w:val="single" w:sz="4" w:space="0" w:color="000000"/>
              <w:right w:val="single" w:sz="8" w:space="0" w:color="000000"/>
            </w:tcBorders>
            <w:shd w:val="clear" w:color="auto" w:fill="63BE7B"/>
            <w:vAlign w:val="center"/>
          </w:tcPr>
          <w:p w14:paraId="1E4E327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20,8%</w:t>
            </w:r>
          </w:p>
        </w:tc>
        <w:tc>
          <w:tcPr>
            <w:tcW w:w="1052" w:type="dxa"/>
            <w:tcBorders>
              <w:top w:val="single" w:sz="4" w:space="0" w:color="000000"/>
              <w:left w:val="single" w:sz="8" w:space="0" w:color="000000"/>
              <w:bottom w:val="single" w:sz="4" w:space="0" w:color="000000"/>
              <w:right w:val="single" w:sz="4" w:space="0" w:color="000000"/>
            </w:tcBorders>
            <w:shd w:val="clear" w:color="auto" w:fill="BCD881"/>
            <w:vAlign w:val="center"/>
          </w:tcPr>
          <w:p w14:paraId="38F35D8B"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359.192 </w:t>
            </w:r>
          </w:p>
        </w:tc>
        <w:tc>
          <w:tcPr>
            <w:tcW w:w="1087" w:type="dxa"/>
            <w:tcBorders>
              <w:top w:val="single" w:sz="4" w:space="0" w:color="000000"/>
              <w:left w:val="single" w:sz="4" w:space="0" w:color="000000"/>
              <w:bottom w:val="single" w:sz="4" w:space="0" w:color="000000"/>
              <w:right w:val="single" w:sz="8" w:space="0" w:color="000000"/>
            </w:tcBorders>
            <w:shd w:val="clear" w:color="auto" w:fill="BCD881"/>
            <w:vAlign w:val="center"/>
          </w:tcPr>
          <w:p w14:paraId="6B58748F"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16,7%</w:t>
            </w:r>
          </w:p>
        </w:tc>
        <w:tc>
          <w:tcPr>
            <w:tcW w:w="1418" w:type="dxa"/>
            <w:tcBorders>
              <w:top w:val="single" w:sz="4" w:space="0" w:color="000000"/>
              <w:left w:val="single" w:sz="8" w:space="0" w:color="000000"/>
              <w:bottom w:val="single" w:sz="4" w:space="0" w:color="000000"/>
              <w:right w:val="single" w:sz="4" w:space="0" w:color="000000"/>
            </w:tcBorders>
            <w:shd w:val="clear" w:color="auto" w:fill="E1E383"/>
            <w:vAlign w:val="center"/>
          </w:tcPr>
          <w:p w14:paraId="3B7C94B3"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8.159 </w:t>
            </w:r>
          </w:p>
        </w:tc>
        <w:tc>
          <w:tcPr>
            <w:tcW w:w="1275" w:type="dxa"/>
            <w:tcBorders>
              <w:top w:val="single" w:sz="4" w:space="0" w:color="000000"/>
              <w:left w:val="single" w:sz="4" w:space="0" w:color="000000"/>
              <w:bottom w:val="single" w:sz="4" w:space="0" w:color="000000"/>
              <w:right w:val="single" w:sz="8" w:space="0" w:color="000000"/>
            </w:tcBorders>
            <w:shd w:val="clear" w:color="auto" w:fill="E1E383"/>
            <w:vAlign w:val="center"/>
          </w:tcPr>
          <w:p w14:paraId="35616F85"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12,5%</w:t>
            </w:r>
          </w:p>
        </w:tc>
        <w:tc>
          <w:tcPr>
            <w:tcW w:w="1134" w:type="dxa"/>
            <w:tcBorders>
              <w:top w:val="single" w:sz="4" w:space="0" w:color="000000"/>
              <w:left w:val="single" w:sz="8" w:space="0" w:color="000000"/>
              <w:bottom w:val="single" w:sz="4" w:space="0" w:color="000000"/>
              <w:right w:val="single" w:sz="4" w:space="0" w:color="000000"/>
            </w:tcBorders>
            <w:shd w:val="clear" w:color="auto" w:fill="AAD380"/>
            <w:vAlign w:val="center"/>
          </w:tcPr>
          <w:p w14:paraId="760008A5"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2.396 </w:t>
            </w:r>
          </w:p>
        </w:tc>
        <w:tc>
          <w:tcPr>
            <w:tcW w:w="974" w:type="dxa"/>
            <w:tcBorders>
              <w:top w:val="single" w:sz="4" w:space="0" w:color="000000"/>
              <w:left w:val="single" w:sz="4" w:space="0" w:color="000000"/>
              <w:bottom w:val="single" w:sz="4" w:space="0" w:color="000000"/>
              <w:right w:val="single" w:sz="8" w:space="0" w:color="000000"/>
            </w:tcBorders>
            <w:shd w:val="clear" w:color="auto" w:fill="AAD380"/>
            <w:vAlign w:val="center"/>
          </w:tcPr>
          <w:p w14:paraId="7A589F25"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11,8%</w:t>
            </w:r>
          </w:p>
        </w:tc>
        <w:tc>
          <w:tcPr>
            <w:tcW w:w="1463" w:type="dxa"/>
            <w:tcBorders>
              <w:top w:val="single" w:sz="4" w:space="0" w:color="000000"/>
              <w:left w:val="single" w:sz="8" w:space="0" w:color="000000"/>
              <w:bottom w:val="single" w:sz="4" w:space="0" w:color="000000"/>
              <w:right w:val="nil"/>
            </w:tcBorders>
            <w:shd w:val="clear" w:color="auto" w:fill="F7E984"/>
            <w:vAlign w:val="center"/>
          </w:tcPr>
          <w:p w14:paraId="34DE3C5D"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1.225.038 </w:t>
            </w:r>
          </w:p>
        </w:tc>
        <w:tc>
          <w:tcPr>
            <w:tcW w:w="1337" w:type="dxa"/>
            <w:tcBorders>
              <w:top w:val="single" w:sz="4" w:space="0" w:color="000000"/>
              <w:left w:val="single" w:sz="4" w:space="0" w:color="000000"/>
              <w:bottom w:val="single" w:sz="4" w:space="0" w:color="000000"/>
              <w:right w:val="single" w:sz="4" w:space="0" w:color="000000"/>
            </w:tcBorders>
            <w:shd w:val="clear" w:color="auto" w:fill="F7E984"/>
            <w:vAlign w:val="center"/>
          </w:tcPr>
          <w:p w14:paraId="4CBE813E"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6,9%</w:t>
            </w:r>
          </w:p>
        </w:tc>
      </w:tr>
      <w:tr w:rsidR="000755BA" w14:paraId="4474925A" w14:textId="77777777" w:rsidTr="00781044">
        <w:trPr>
          <w:trHeight w:val="300"/>
        </w:trPr>
        <w:tc>
          <w:tcPr>
            <w:tcW w:w="699" w:type="dxa"/>
            <w:tcBorders>
              <w:top w:val="single" w:sz="4" w:space="0" w:color="000000"/>
              <w:left w:val="single" w:sz="4" w:space="0" w:color="000000"/>
              <w:bottom w:val="single" w:sz="4" w:space="0" w:color="000000"/>
              <w:right w:val="nil"/>
            </w:tcBorders>
            <w:shd w:val="clear" w:color="auto" w:fill="DCE6F1"/>
            <w:vAlign w:val="center"/>
          </w:tcPr>
          <w:p w14:paraId="637EA53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000000"/>
              </w:rPr>
              <w:t>9</w:t>
            </w:r>
          </w:p>
        </w:tc>
        <w:tc>
          <w:tcPr>
            <w:tcW w:w="2552" w:type="dxa"/>
            <w:tcBorders>
              <w:top w:val="single" w:sz="4" w:space="0" w:color="000000"/>
              <w:left w:val="single" w:sz="4" w:space="0" w:color="000000"/>
              <w:bottom w:val="single" w:sz="4" w:space="0" w:color="000000"/>
              <w:right w:val="single" w:sz="8" w:space="0" w:color="000000"/>
            </w:tcBorders>
            <w:shd w:val="clear" w:color="auto" w:fill="DCE6F1"/>
            <w:vAlign w:val="center"/>
          </w:tcPr>
          <w:p w14:paraId="0C95F093"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Zgornje Savinjska, Šaleška in Koroška</w:t>
            </w:r>
          </w:p>
        </w:tc>
        <w:tc>
          <w:tcPr>
            <w:tcW w:w="1152" w:type="dxa"/>
            <w:tcBorders>
              <w:top w:val="single" w:sz="4" w:space="0" w:color="000000"/>
              <w:left w:val="single" w:sz="8" w:space="0" w:color="000000"/>
              <w:bottom w:val="single" w:sz="4" w:space="0" w:color="000000"/>
              <w:right w:val="single" w:sz="4" w:space="0" w:color="000000"/>
            </w:tcBorders>
            <w:shd w:val="clear" w:color="auto" w:fill="E8E583"/>
            <w:vAlign w:val="center"/>
          </w:tcPr>
          <w:p w14:paraId="6F3B01F4"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22</w:t>
            </w:r>
          </w:p>
        </w:tc>
        <w:tc>
          <w:tcPr>
            <w:tcW w:w="992" w:type="dxa"/>
            <w:tcBorders>
              <w:top w:val="single" w:sz="4" w:space="0" w:color="000000"/>
              <w:left w:val="single" w:sz="4" w:space="0" w:color="000000"/>
              <w:bottom w:val="single" w:sz="4" w:space="0" w:color="000000"/>
              <w:right w:val="single" w:sz="8" w:space="0" w:color="000000"/>
            </w:tcBorders>
            <w:shd w:val="clear" w:color="auto" w:fill="E7E583"/>
            <w:vAlign w:val="center"/>
          </w:tcPr>
          <w:p w14:paraId="45C6E394"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10,4%</w:t>
            </w:r>
          </w:p>
        </w:tc>
        <w:tc>
          <w:tcPr>
            <w:tcW w:w="1052" w:type="dxa"/>
            <w:tcBorders>
              <w:top w:val="single" w:sz="4" w:space="0" w:color="000000"/>
              <w:left w:val="single" w:sz="8" w:space="0" w:color="000000"/>
              <w:bottom w:val="single" w:sz="4" w:space="0" w:color="000000"/>
              <w:right w:val="single" w:sz="4" w:space="0" w:color="000000"/>
            </w:tcBorders>
            <w:shd w:val="clear" w:color="auto" w:fill="FDCE7E"/>
            <w:vAlign w:val="center"/>
          </w:tcPr>
          <w:p w14:paraId="7A157B01"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134.250 </w:t>
            </w:r>
          </w:p>
        </w:tc>
        <w:tc>
          <w:tcPr>
            <w:tcW w:w="1087" w:type="dxa"/>
            <w:tcBorders>
              <w:top w:val="single" w:sz="4" w:space="0" w:color="000000"/>
              <w:left w:val="single" w:sz="4" w:space="0" w:color="000000"/>
              <w:bottom w:val="single" w:sz="4" w:space="0" w:color="000000"/>
              <w:right w:val="single" w:sz="8" w:space="0" w:color="000000"/>
            </w:tcBorders>
            <w:shd w:val="clear" w:color="auto" w:fill="FDCE7E"/>
            <w:vAlign w:val="center"/>
          </w:tcPr>
          <w:p w14:paraId="251CD83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6,2%</w:t>
            </w:r>
          </w:p>
        </w:tc>
        <w:tc>
          <w:tcPr>
            <w:tcW w:w="1418" w:type="dxa"/>
            <w:tcBorders>
              <w:top w:val="single" w:sz="4" w:space="0" w:color="000000"/>
              <w:left w:val="single" w:sz="8" w:space="0" w:color="000000"/>
              <w:bottom w:val="single" w:sz="4" w:space="0" w:color="000000"/>
              <w:right w:val="single" w:sz="4" w:space="0" w:color="000000"/>
            </w:tcBorders>
            <w:shd w:val="clear" w:color="auto" w:fill="FA9072"/>
            <w:vAlign w:val="center"/>
          </w:tcPr>
          <w:p w14:paraId="5E9E88F8"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2.425 </w:t>
            </w:r>
          </w:p>
        </w:tc>
        <w:tc>
          <w:tcPr>
            <w:tcW w:w="1275" w:type="dxa"/>
            <w:tcBorders>
              <w:top w:val="single" w:sz="4" w:space="0" w:color="000000"/>
              <w:left w:val="single" w:sz="4" w:space="0" w:color="000000"/>
              <w:bottom w:val="single" w:sz="4" w:space="0" w:color="000000"/>
              <w:right w:val="single" w:sz="8" w:space="0" w:color="000000"/>
            </w:tcBorders>
            <w:shd w:val="clear" w:color="auto" w:fill="FA9072"/>
            <w:vAlign w:val="center"/>
          </w:tcPr>
          <w:p w14:paraId="02F982A4"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3,7%</w:t>
            </w:r>
          </w:p>
        </w:tc>
        <w:tc>
          <w:tcPr>
            <w:tcW w:w="1134" w:type="dxa"/>
            <w:tcBorders>
              <w:top w:val="single" w:sz="4" w:space="0" w:color="000000"/>
              <w:left w:val="single" w:sz="8" w:space="0" w:color="000000"/>
              <w:bottom w:val="single" w:sz="4" w:space="0" w:color="000000"/>
              <w:right w:val="single" w:sz="4" w:space="0" w:color="000000"/>
            </w:tcBorders>
            <w:shd w:val="clear" w:color="auto" w:fill="FFEB84"/>
            <w:vAlign w:val="center"/>
          </w:tcPr>
          <w:p w14:paraId="39157A50"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1.750 </w:t>
            </w:r>
          </w:p>
        </w:tc>
        <w:tc>
          <w:tcPr>
            <w:tcW w:w="974" w:type="dxa"/>
            <w:tcBorders>
              <w:top w:val="single" w:sz="4" w:space="0" w:color="000000"/>
              <w:left w:val="single" w:sz="4" w:space="0" w:color="000000"/>
              <w:bottom w:val="single" w:sz="4" w:space="0" w:color="000000"/>
              <w:right w:val="single" w:sz="8" w:space="0" w:color="000000"/>
            </w:tcBorders>
            <w:shd w:val="clear" w:color="auto" w:fill="FFEB84"/>
            <w:vAlign w:val="center"/>
          </w:tcPr>
          <w:p w14:paraId="08021367"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8,6%</w:t>
            </w:r>
          </w:p>
        </w:tc>
        <w:tc>
          <w:tcPr>
            <w:tcW w:w="1463" w:type="dxa"/>
            <w:tcBorders>
              <w:top w:val="single" w:sz="4" w:space="0" w:color="000000"/>
              <w:left w:val="single" w:sz="8" w:space="0" w:color="000000"/>
              <w:bottom w:val="single" w:sz="4" w:space="0" w:color="000000"/>
              <w:right w:val="nil"/>
            </w:tcBorders>
            <w:shd w:val="clear" w:color="auto" w:fill="F8696B"/>
            <w:vAlign w:val="center"/>
          </w:tcPr>
          <w:p w14:paraId="52AF13B5"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491.127 </w:t>
            </w:r>
          </w:p>
        </w:tc>
        <w:tc>
          <w:tcPr>
            <w:tcW w:w="1337" w:type="dxa"/>
            <w:tcBorders>
              <w:top w:val="single" w:sz="4" w:space="0" w:color="000000"/>
              <w:left w:val="single" w:sz="4" w:space="0" w:color="000000"/>
              <w:bottom w:val="single" w:sz="4" w:space="0" w:color="000000"/>
              <w:right w:val="single" w:sz="4" w:space="0" w:color="000000"/>
            </w:tcBorders>
            <w:shd w:val="clear" w:color="auto" w:fill="F8696B"/>
            <w:vAlign w:val="center"/>
          </w:tcPr>
          <w:p w14:paraId="2193F6EC"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2,8%</w:t>
            </w:r>
          </w:p>
        </w:tc>
      </w:tr>
      <w:tr w:rsidR="000755BA" w14:paraId="4A6F189A" w14:textId="77777777" w:rsidTr="00781044">
        <w:trPr>
          <w:trHeight w:val="300"/>
        </w:trPr>
        <w:tc>
          <w:tcPr>
            <w:tcW w:w="699" w:type="dxa"/>
            <w:tcBorders>
              <w:top w:val="single" w:sz="4" w:space="0" w:color="000000"/>
              <w:left w:val="single" w:sz="4" w:space="0" w:color="000000"/>
              <w:bottom w:val="single" w:sz="4" w:space="0" w:color="000000"/>
              <w:right w:val="nil"/>
            </w:tcBorders>
            <w:vAlign w:val="center"/>
          </w:tcPr>
          <w:p w14:paraId="471F5FA3"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000000"/>
              </w:rPr>
              <w:t>10</w:t>
            </w:r>
          </w:p>
        </w:tc>
        <w:tc>
          <w:tcPr>
            <w:tcW w:w="2552" w:type="dxa"/>
            <w:tcBorders>
              <w:top w:val="single" w:sz="4" w:space="0" w:color="000000"/>
              <w:left w:val="single" w:sz="4" w:space="0" w:color="000000"/>
              <w:bottom w:val="single" w:sz="4" w:space="0" w:color="000000"/>
              <w:right w:val="single" w:sz="8" w:space="0" w:color="000000"/>
            </w:tcBorders>
            <w:vAlign w:val="center"/>
          </w:tcPr>
          <w:p w14:paraId="19A4BAFF"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Pomurje</w:t>
            </w:r>
          </w:p>
        </w:tc>
        <w:tc>
          <w:tcPr>
            <w:tcW w:w="1152" w:type="dxa"/>
            <w:tcBorders>
              <w:top w:val="single" w:sz="4" w:space="0" w:color="000000"/>
              <w:left w:val="single" w:sz="8" w:space="0" w:color="000000"/>
              <w:bottom w:val="single" w:sz="4" w:space="0" w:color="000000"/>
              <w:right w:val="single" w:sz="4" w:space="0" w:color="000000"/>
            </w:tcBorders>
            <w:shd w:val="clear" w:color="auto" w:fill="C9DC81"/>
            <w:vAlign w:val="center"/>
          </w:tcPr>
          <w:p w14:paraId="5FA686C0"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27</w:t>
            </w:r>
          </w:p>
        </w:tc>
        <w:tc>
          <w:tcPr>
            <w:tcW w:w="992" w:type="dxa"/>
            <w:tcBorders>
              <w:top w:val="single" w:sz="4" w:space="0" w:color="000000"/>
              <w:left w:val="single" w:sz="4" w:space="0" w:color="000000"/>
              <w:bottom w:val="single" w:sz="4" w:space="0" w:color="000000"/>
              <w:right w:val="single" w:sz="8" w:space="0" w:color="000000"/>
            </w:tcBorders>
            <w:shd w:val="clear" w:color="auto" w:fill="C9DC81"/>
            <w:vAlign w:val="center"/>
          </w:tcPr>
          <w:p w14:paraId="128C63D9"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12,7%</w:t>
            </w:r>
          </w:p>
        </w:tc>
        <w:tc>
          <w:tcPr>
            <w:tcW w:w="1052" w:type="dxa"/>
            <w:tcBorders>
              <w:top w:val="single" w:sz="4" w:space="0" w:color="000000"/>
              <w:left w:val="single" w:sz="8" w:space="0" w:color="000000"/>
              <w:bottom w:val="single" w:sz="4" w:space="0" w:color="000000"/>
              <w:right w:val="single" w:sz="4" w:space="0" w:color="000000"/>
            </w:tcBorders>
            <w:shd w:val="clear" w:color="auto" w:fill="FBAA77"/>
            <w:vAlign w:val="center"/>
          </w:tcPr>
          <w:p w14:paraId="2EDF251E"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113.919 </w:t>
            </w:r>
          </w:p>
        </w:tc>
        <w:tc>
          <w:tcPr>
            <w:tcW w:w="1087" w:type="dxa"/>
            <w:tcBorders>
              <w:top w:val="single" w:sz="4" w:space="0" w:color="000000"/>
              <w:left w:val="single" w:sz="4" w:space="0" w:color="000000"/>
              <w:bottom w:val="single" w:sz="4" w:space="0" w:color="000000"/>
              <w:right w:val="single" w:sz="8" w:space="0" w:color="000000"/>
            </w:tcBorders>
            <w:shd w:val="clear" w:color="auto" w:fill="FBAA77"/>
            <w:vAlign w:val="center"/>
          </w:tcPr>
          <w:p w14:paraId="419FCCF6"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5,3%</w:t>
            </w:r>
          </w:p>
        </w:tc>
        <w:tc>
          <w:tcPr>
            <w:tcW w:w="1418" w:type="dxa"/>
            <w:tcBorders>
              <w:top w:val="single" w:sz="4" w:space="0" w:color="000000"/>
              <w:left w:val="single" w:sz="8" w:space="0" w:color="000000"/>
              <w:bottom w:val="single" w:sz="4" w:space="0" w:color="000000"/>
              <w:right w:val="single" w:sz="4" w:space="0" w:color="000000"/>
            </w:tcBorders>
            <w:shd w:val="clear" w:color="auto" w:fill="FA9E75"/>
            <w:vAlign w:val="center"/>
          </w:tcPr>
          <w:p w14:paraId="2A86C3C6"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2.757 </w:t>
            </w:r>
          </w:p>
        </w:tc>
        <w:tc>
          <w:tcPr>
            <w:tcW w:w="1275" w:type="dxa"/>
            <w:tcBorders>
              <w:top w:val="single" w:sz="4" w:space="0" w:color="000000"/>
              <w:left w:val="single" w:sz="4" w:space="0" w:color="000000"/>
              <w:bottom w:val="single" w:sz="4" w:space="0" w:color="000000"/>
              <w:right w:val="single" w:sz="8" w:space="0" w:color="000000"/>
            </w:tcBorders>
            <w:shd w:val="clear" w:color="auto" w:fill="FA9E75"/>
            <w:vAlign w:val="center"/>
          </w:tcPr>
          <w:p w14:paraId="0F114492"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4,2%</w:t>
            </w:r>
          </w:p>
        </w:tc>
        <w:tc>
          <w:tcPr>
            <w:tcW w:w="1134" w:type="dxa"/>
            <w:tcBorders>
              <w:top w:val="single" w:sz="4" w:space="0" w:color="000000"/>
              <w:left w:val="single" w:sz="8" w:space="0" w:color="000000"/>
              <w:bottom w:val="single" w:sz="4" w:space="0" w:color="000000"/>
              <w:right w:val="single" w:sz="4" w:space="0" w:color="000000"/>
            </w:tcBorders>
            <w:shd w:val="clear" w:color="auto" w:fill="FCC37C"/>
            <w:vAlign w:val="center"/>
          </w:tcPr>
          <w:p w14:paraId="24804D03"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1.335 </w:t>
            </w:r>
          </w:p>
        </w:tc>
        <w:tc>
          <w:tcPr>
            <w:tcW w:w="974" w:type="dxa"/>
            <w:tcBorders>
              <w:top w:val="single" w:sz="4" w:space="0" w:color="000000"/>
              <w:left w:val="single" w:sz="4" w:space="0" w:color="000000"/>
              <w:bottom w:val="single" w:sz="4" w:space="0" w:color="000000"/>
              <w:right w:val="single" w:sz="8" w:space="0" w:color="000000"/>
            </w:tcBorders>
            <w:shd w:val="clear" w:color="auto" w:fill="FCC37C"/>
            <w:vAlign w:val="center"/>
          </w:tcPr>
          <w:p w14:paraId="691739D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6,6%</w:t>
            </w:r>
          </w:p>
        </w:tc>
        <w:tc>
          <w:tcPr>
            <w:tcW w:w="1463" w:type="dxa"/>
            <w:tcBorders>
              <w:top w:val="single" w:sz="4" w:space="0" w:color="000000"/>
              <w:left w:val="single" w:sz="8" w:space="0" w:color="000000"/>
              <w:bottom w:val="single" w:sz="4" w:space="0" w:color="000000"/>
              <w:right w:val="nil"/>
            </w:tcBorders>
            <w:shd w:val="clear" w:color="auto" w:fill="FFEB84"/>
            <w:vAlign w:val="center"/>
          </w:tcPr>
          <w:p w14:paraId="3B13C1F4"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1.025.603 </w:t>
            </w:r>
          </w:p>
        </w:tc>
        <w:tc>
          <w:tcPr>
            <w:tcW w:w="1337" w:type="dxa"/>
            <w:tcBorders>
              <w:top w:val="single" w:sz="4" w:space="0" w:color="000000"/>
              <w:left w:val="single" w:sz="4" w:space="0" w:color="000000"/>
              <w:bottom w:val="single" w:sz="4" w:space="0" w:color="000000"/>
              <w:right w:val="single" w:sz="4" w:space="0" w:color="000000"/>
            </w:tcBorders>
            <w:shd w:val="clear" w:color="auto" w:fill="FFEB84"/>
            <w:vAlign w:val="center"/>
          </w:tcPr>
          <w:p w14:paraId="00049259"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5,7%</w:t>
            </w:r>
          </w:p>
        </w:tc>
      </w:tr>
      <w:tr w:rsidR="000755BA" w14:paraId="1E68C990" w14:textId="77777777" w:rsidTr="00781044">
        <w:trPr>
          <w:trHeight w:val="600"/>
        </w:trPr>
        <w:tc>
          <w:tcPr>
            <w:tcW w:w="699" w:type="dxa"/>
            <w:tcBorders>
              <w:top w:val="single" w:sz="4" w:space="0" w:color="000000"/>
              <w:left w:val="single" w:sz="4" w:space="0" w:color="000000"/>
              <w:bottom w:val="single" w:sz="4" w:space="0" w:color="000000"/>
              <w:right w:val="nil"/>
            </w:tcBorders>
            <w:shd w:val="clear" w:color="auto" w:fill="DCE6F1"/>
            <w:vAlign w:val="center"/>
          </w:tcPr>
          <w:p w14:paraId="230FB599"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b/>
                <w:bCs/>
                <w:color w:val="000000"/>
              </w:rPr>
              <w:t>11</w:t>
            </w:r>
          </w:p>
        </w:tc>
        <w:tc>
          <w:tcPr>
            <w:tcW w:w="2552" w:type="dxa"/>
            <w:tcBorders>
              <w:top w:val="single" w:sz="4" w:space="0" w:color="000000"/>
              <w:left w:val="single" w:sz="4" w:space="0" w:color="000000"/>
              <w:bottom w:val="single" w:sz="4" w:space="0" w:color="000000"/>
              <w:right w:val="single" w:sz="8" w:space="0" w:color="000000"/>
            </w:tcBorders>
            <w:shd w:val="clear" w:color="auto" w:fill="DCE6F1"/>
            <w:vAlign w:val="center"/>
          </w:tcPr>
          <w:p w14:paraId="2CB67444"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Posavje</w:t>
            </w:r>
          </w:p>
        </w:tc>
        <w:tc>
          <w:tcPr>
            <w:tcW w:w="1152" w:type="dxa"/>
            <w:tcBorders>
              <w:top w:val="single" w:sz="4" w:space="0" w:color="000000"/>
              <w:left w:val="single" w:sz="8" w:space="0" w:color="000000"/>
              <w:bottom w:val="single" w:sz="4" w:space="0" w:color="000000"/>
              <w:right w:val="single" w:sz="4" w:space="0" w:color="000000"/>
            </w:tcBorders>
            <w:shd w:val="clear" w:color="auto" w:fill="F97B6E"/>
            <w:vAlign w:val="center"/>
          </w:tcPr>
          <w:p w14:paraId="6E972BB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6</w:t>
            </w:r>
          </w:p>
        </w:tc>
        <w:tc>
          <w:tcPr>
            <w:tcW w:w="992" w:type="dxa"/>
            <w:tcBorders>
              <w:top w:val="single" w:sz="4" w:space="0" w:color="000000"/>
              <w:left w:val="single" w:sz="4" w:space="0" w:color="000000"/>
              <w:bottom w:val="single" w:sz="4" w:space="0" w:color="000000"/>
              <w:right w:val="single" w:sz="8" w:space="0" w:color="000000"/>
            </w:tcBorders>
            <w:shd w:val="clear" w:color="auto" w:fill="F97B6E"/>
            <w:vAlign w:val="center"/>
          </w:tcPr>
          <w:p w14:paraId="38742115"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2,8%</w:t>
            </w:r>
          </w:p>
        </w:tc>
        <w:tc>
          <w:tcPr>
            <w:tcW w:w="1052" w:type="dxa"/>
            <w:tcBorders>
              <w:top w:val="single" w:sz="4" w:space="0" w:color="000000"/>
              <w:left w:val="single" w:sz="8" w:space="0" w:color="000000"/>
              <w:bottom w:val="single" w:sz="4" w:space="0" w:color="000000"/>
              <w:right w:val="single" w:sz="4" w:space="0" w:color="000000"/>
            </w:tcBorders>
            <w:shd w:val="clear" w:color="auto" w:fill="F8696B"/>
            <w:vAlign w:val="center"/>
          </w:tcPr>
          <w:p w14:paraId="5A25FF2A"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76.665 </w:t>
            </w:r>
          </w:p>
        </w:tc>
        <w:tc>
          <w:tcPr>
            <w:tcW w:w="1087" w:type="dxa"/>
            <w:tcBorders>
              <w:top w:val="single" w:sz="4" w:space="0" w:color="000000"/>
              <w:left w:val="single" w:sz="4" w:space="0" w:color="000000"/>
              <w:bottom w:val="single" w:sz="4" w:space="0" w:color="000000"/>
              <w:right w:val="single" w:sz="8" w:space="0" w:color="000000"/>
            </w:tcBorders>
            <w:shd w:val="clear" w:color="auto" w:fill="F8696B"/>
            <w:vAlign w:val="center"/>
          </w:tcPr>
          <w:p w14:paraId="7EBAD49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3,6%</w:t>
            </w:r>
          </w:p>
        </w:tc>
        <w:tc>
          <w:tcPr>
            <w:tcW w:w="1418" w:type="dxa"/>
            <w:tcBorders>
              <w:top w:val="single" w:sz="4" w:space="0" w:color="000000"/>
              <w:left w:val="single" w:sz="8" w:space="0" w:color="000000"/>
              <w:bottom w:val="single" w:sz="4" w:space="0" w:color="000000"/>
              <w:right w:val="single" w:sz="4" w:space="0" w:color="000000"/>
            </w:tcBorders>
            <w:shd w:val="clear" w:color="auto" w:fill="F8696B"/>
            <w:vAlign w:val="center"/>
          </w:tcPr>
          <w:p w14:paraId="607B4328"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1.485 </w:t>
            </w:r>
          </w:p>
        </w:tc>
        <w:tc>
          <w:tcPr>
            <w:tcW w:w="1275" w:type="dxa"/>
            <w:tcBorders>
              <w:top w:val="single" w:sz="4" w:space="0" w:color="000000"/>
              <w:left w:val="single" w:sz="4" w:space="0" w:color="000000"/>
              <w:bottom w:val="single" w:sz="4" w:space="0" w:color="000000"/>
              <w:right w:val="single" w:sz="8" w:space="0" w:color="000000"/>
            </w:tcBorders>
            <w:shd w:val="clear" w:color="auto" w:fill="F8696B"/>
            <w:vAlign w:val="center"/>
          </w:tcPr>
          <w:p w14:paraId="73CC315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2,3%</w:t>
            </w:r>
          </w:p>
        </w:tc>
        <w:tc>
          <w:tcPr>
            <w:tcW w:w="1134" w:type="dxa"/>
            <w:tcBorders>
              <w:top w:val="single" w:sz="4" w:space="0" w:color="000000"/>
              <w:left w:val="single" w:sz="8" w:space="0" w:color="000000"/>
              <w:bottom w:val="single" w:sz="4" w:space="0" w:color="000000"/>
              <w:right w:val="single" w:sz="4" w:space="0" w:color="000000"/>
            </w:tcBorders>
            <w:shd w:val="clear" w:color="auto" w:fill="FAA075"/>
            <w:vAlign w:val="center"/>
          </w:tcPr>
          <w:p w14:paraId="7B8CDDD1"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968 </w:t>
            </w:r>
          </w:p>
        </w:tc>
        <w:tc>
          <w:tcPr>
            <w:tcW w:w="974" w:type="dxa"/>
            <w:tcBorders>
              <w:top w:val="single" w:sz="4" w:space="0" w:color="000000"/>
              <w:left w:val="single" w:sz="4" w:space="0" w:color="000000"/>
              <w:bottom w:val="single" w:sz="4" w:space="0" w:color="000000"/>
              <w:right w:val="single" w:sz="8" w:space="0" w:color="000000"/>
            </w:tcBorders>
            <w:shd w:val="clear" w:color="auto" w:fill="FAA075"/>
            <w:vAlign w:val="center"/>
          </w:tcPr>
          <w:p w14:paraId="6626A29E"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4,8%</w:t>
            </w:r>
          </w:p>
        </w:tc>
        <w:tc>
          <w:tcPr>
            <w:tcW w:w="1463" w:type="dxa"/>
            <w:tcBorders>
              <w:top w:val="single" w:sz="4" w:space="0" w:color="000000"/>
              <w:left w:val="single" w:sz="8" w:space="0" w:color="000000"/>
              <w:bottom w:val="single" w:sz="4" w:space="0" w:color="000000"/>
              <w:right w:val="nil"/>
            </w:tcBorders>
            <w:shd w:val="clear" w:color="auto" w:fill="FBA977"/>
            <w:vAlign w:val="center"/>
          </w:tcPr>
          <w:p w14:paraId="733985CD"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754.801 </w:t>
            </w:r>
          </w:p>
        </w:tc>
        <w:tc>
          <w:tcPr>
            <w:tcW w:w="1337" w:type="dxa"/>
            <w:tcBorders>
              <w:top w:val="single" w:sz="4" w:space="0" w:color="000000"/>
              <w:left w:val="single" w:sz="4" w:space="0" w:color="000000"/>
              <w:bottom w:val="single" w:sz="4" w:space="0" w:color="000000"/>
              <w:right w:val="single" w:sz="4" w:space="0" w:color="000000"/>
            </w:tcBorders>
            <w:shd w:val="clear" w:color="auto" w:fill="FBA977"/>
            <w:vAlign w:val="center"/>
          </w:tcPr>
          <w:p w14:paraId="00CEF3BA"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i/>
                <w:iCs/>
                <w:color w:val="000000"/>
              </w:rPr>
              <w:t>4,2%</w:t>
            </w:r>
          </w:p>
        </w:tc>
      </w:tr>
      <w:tr w:rsidR="000755BA" w14:paraId="08789374" w14:textId="77777777" w:rsidTr="00781044">
        <w:trPr>
          <w:trHeight w:val="315"/>
        </w:trPr>
        <w:tc>
          <w:tcPr>
            <w:tcW w:w="3251" w:type="dxa"/>
            <w:gridSpan w:val="2"/>
            <w:tcBorders>
              <w:top w:val="single" w:sz="4" w:space="0" w:color="000000"/>
              <w:left w:val="single" w:sz="8" w:space="0" w:color="000000"/>
              <w:bottom w:val="single" w:sz="8" w:space="0" w:color="000000"/>
              <w:right w:val="single" w:sz="8" w:space="0" w:color="000000"/>
            </w:tcBorders>
            <w:shd w:val="clear" w:color="auto" w:fill="85A20A"/>
            <w:vAlign w:val="center"/>
          </w:tcPr>
          <w:p w14:paraId="35096C7C" w14:textId="77777777" w:rsidR="000755BA" w:rsidRDefault="00EF1395">
            <w:pPr>
              <w:pBdr>
                <w:top w:val="nil"/>
                <w:left w:val="nil"/>
                <w:bottom w:val="nil"/>
                <w:right w:val="nil"/>
                <w:between w:val="nil"/>
              </w:pBdr>
              <w:rPr>
                <w:rFonts w:ascii="Arial" w:eastAsia="Arial" w:hAnsi="Arial" w:cs="Arial"/>
                <w:color w:val="FFFFFF"/>
              </w:rPr>
            </w:pPr>
            <w:r>
              <w:rPr>
                <w:rFonts w:ascii="Arial" w:eastAsia="Arial" w:hAnsi="Arial" w:cs="Arial"/>
                <w:b/>
                <w:bCs/>
                <w:color w:val="FFFFFF"/>
              </w:rPr>
              <w:t>SKUPAJ SLOVENIJA</w:t>
            </w:r>
          </w:p>
        </w:tc>
        <w:tc>
          <w:tcPr>
            <w:tcW w:w="1152" w:type="dxa"/>
            <w:tcBorders>
              <w:top w:val="nil"/>
              <w:left w:val="nil"/>
              <w:bottom w:val="single" w:sz="8" w:space="0" w:color="000000"/>
              <w:right w:val="nil"/>
            </w:tcBorders>
            <w:shd w:val="clear" w:color="auto" w:fill="85A20A"/>
            <w:vAlign w:val="center"/>
          </w:tcPr>
          <w:p w14:paraId="4593A7DA" w14:textId="77777777" w:rsidR="000755BA" w:rsidRDefault="00EF1395" w:rsidP="00DE0FEA">
            <w:pPr>
              <w:pBdr>
                <w:top w:val="nil"/>
                <w:left w:val="nil"/>
                <w:bottom w:val="nil"/>
                <w:right w:val="nil"/>
                <w:between w:val="nil"/>
              </w:pBdr>
              <w:jc w:val="center"/>
              <w:rPr>
                <w:rFonts w:ascii="Arial" w:eastAsia="Arial" w:hAnsi="Arial" w:cs="Arial"/>
                <w:color w:val="FFFFFF"/>
              </w:rPr>
            </w:pPr>
            <w:r>
              <w:rPr>
                <w:rFonts w:ascii="Arial" w:eastAsia="Arial" w:hAnsi="Arial" w:cs="Arial"/>
                <w:b/>
                <w:bCs/>
                <w:color w:val="FFFFFF"/>
              </w:rPr>
              <w:t>212</w:t>
            </w:r>
          </w:p>
        </w:tc>
        <w:tc>
          <w:tcPr>
            <w:tcW w:w="992" w:type="dxa"/>
            <w:tcBorders>
              <w:top w:val="nil"/>
              <w:left w:val="single" w:sz="4" w:space="0" w:color="000000"/>
              <w:bottom w:val="single" w:sz="8" w:space="0" w:color="000000"/>
              <w:right w:val="single" w:sz="8" w:space="0" w:color="000000"/>
            </w:tcBorders>
            <w:shd w:val="clear" w:color="auto" w:fill="85A20A"/>
            <w:vAlign w:val="center"/>
          </w:tcPr>
          <w:p w14:paraId="4C9B2D60" w14:textId="77777777" w:rsidR="000755BA" w:rsidRDefault="00EF1395" w:rsidP="00DE0FEA">
            <w:pPr>
              <w:pBdr>
                <w:top w:val="nil"/>
                <w:left w:val="nil"/>
                <w:bottom w:val="nil"/>
                <w:right w:val="nil"/>
                <w:between w:val="nil"/>
              </w:pBdr>
              <w:jc w:val="center"/>
              <w:rPr>
                <w:rFonts w:ascii="Arial" w:eastAsia="Arial" w:hAnsi="Arial" w:cs="Arial"/>
                <w:color w:val="FFFFFF"/>
              </w:rPr>
            </w:pPr>
            <w:r>
              <w:rPr>
                <w:rFonts w:ascii="Arial" w:eastAsia="Arial" w:hAnsi="Arial" w:cs="Arial"/>
                <w:i/>
                <w:iCs/>
                <w:color w:val="FFFFFF"/>
              </w:rPr>
              <w:t>100,0%</w:t>
            </w:r>
          </w:p>
        </w:tc>
        <w:tc>
          <w:tcPr>
            <w:tcW w:w="1052" w:type="dxa"/>
            <w:tcBorders>
              <w:top w:val="nil"/>
              <w:left w:val="nil"/>
              <w:bottom w:val="single" w:sz="8" w:space="0" w:color="000000"/>
              <w:right w:val="nil"/>
            </w:tcBorders>
            <w:shd w:val="clear" w:color="auto" w:fill="85A20A"/>
            <w:vAlign w:val="center"/>
          </w:tcPr>
          <w:p w14:paraId="78288F7E" w14:textId="629DD151" w:rsidR="000755BA" w:rsidRDefault="00EF1395" w:rsidP="00DE0FEA">
            <w:pPr>
              <w:pBdr>
                <w:top w:val="nil"/>
                <w:left w:val="nil"/>
                <w:bottom w:val="nil"/>
                <w:right w:val="nil"/>
                <w:between w:val="nil"/>
              </w:pBdr>
              <w:jc w:val="center"/>
              <w:rPr>
                <w:rFonts w:ascii="Arial" w:eastAsia="Arial" w:hAnsi="Arial" w:cs="Arial"/>
                <w:color w:val="FFFFFF"/>
              </w:rPr>
            </w:pPr>
            <w:r>
              <w:rPr>
                <w:rFonts w:ascii="Arial" w:eastAsia="Arial" w:hAnsi="Arial" w:cs="Arial"/>
                <w:b/>
                <w:bCs/>
                <w:color w:val="FFFFFF"/>
              </w:rPr>
              <w:t>2.152.098</w:t>
            </w:r>
          </w:p>
        </w:tc>
        <w:tc>
          <w:tcPr>
            <w:tcW w:w="1087" w:type="dxa"/>
            <w:tcBorders>
              <w:top w:val="nil"/>
              <w:left w:val="single" w:sz="4" w:space="0" w:color="000000"/>
              <w:bottom w:val="single" w:sz="8" w:space="0" w:color="000000"/>
              <w:right w:val="single" w:sz="8" w:space="0" w:color="000000"/>
            </w:tcBorders>
            <w:shd w:val="clear" w:color="auto" w:fill="85A20A"/>
            <w:vAlign w:val="center"/>
          </w:tcPr>
          <w:p w14:paraId="4715C9E3" w14:textId="77777777" w:rsidR="000755BA" w:rsidRDefault="00EF1395" w:rsidP="00DE0FEA">
            <w:pPr>
              <w:pBdr>
                <w:top w:val="nil"/>
                <w:left w:val="nil"/>
                <w:bottom w:val="nil"/>
                <w:right w:val="nil"/>
                <w:between w:val="nil"/>
              </w:pBdr>
              <w:jc w:val="center"/>
              <w:rPr>
                <w:rFonts w:ascii="Arial" w:eastAsia="Arial" w:hAnsi="Arial" w:cs="Arial"/>
                <w:color w:val="FFFFFF"/>
              </w:rPr>
            </w:pPr>
            <w:r>
              <w:rPr>
                <w:rFonts w:ascii="Arial" w:eastAsia="Arial" w:hAnsi="Arial" w:cs="Arial"/>
                <w:i/>
                <w:iCs/>
                <w:color w:val="FFFFFF"/>
              </w:rPr>
              <w:t>100,0%</w:t>
            </w:r>
          </w:p>
        </w:tc>
        <w:tc>
          <w:tcPr>
            <w:tcW w:w="1418" w:type="dxa"/>
            <w:tcBorders>
              <w:top w:val="nil"/>
              <w:left w:val="nil"/>
              <w:bottom w:val="single" w:sz="8" w:space="0" w:color="000000"/>
              <w:right w:val="nil"/>
            </w:tcBorders>
            <w:shd w:val="clear" w:color="auto" w:fill="85A20A"/>
            <w:vAlign w:val="center"/>
          </w:tcPr>
          <w:p w14:paraId="29EEDFB5" w14:textId="0DA36E31" w:rsidR="000755BA" w:rsidRDefault="00EF1395" w:rsidP="00DE0FEA">
            <w:pPr>
              <w:pBdr>
                <w:top w:val="nil"/>
                <w:left w:val="nil"/>
                <w:bottom w:val="nil"/>
                <w:right w:val="nil"/>
                <w:between w:val="nil"/>
              </w:pBdr>
              <w:jc w:val="center"/>
              <w:rPr>
                <w:rFonts w:ascii="Arial" w:eastAsia="Arial" w:hAnsi="Arial" w:cs="Arial"/>
                <w:color w:val="FFFFFF"/>
              </w:rPr>
            </w:pPr>
            <w:r>
              <w:rPr>
                <w:rFonts w:ascii="Arial" w:eastAsia="Arial" w:hAnsi="Arial" w:cs="Arial"/>
                <w:b/>
                <w:bCs/>
                <w:color w:val="FFFFFF"/>
              </w:rPr>
              <w:t>65.476</w:t>
            </w:r>
          </w:p>
        </w:tc>
        <w:tc>
          <w:tcPr>
            <w:tcW w:w="1275" w:type="dxa"/>
            <w:tcBorders>
              <w:top w:val="nil"/>
              <w:left w:val="single" w:sz="4" w:space="0" w:color="000000"/>
              <w:bottom w:val="single" w:sz="8" w:space="0" w:color="000000"/>
              <w:right w:val="single" w:sz="8" w:space="0" w:color="000000"/>
            </w:tcBorders>
            <w:shd w:val="clear" w:color="auto" w:fill="85A20A"/>
            <w:vAlign w:val="center"/>
          </w:tcPr>
          <w:p w14:paraId="4C08FF37" w14:textId="77777777" w:rsidR="000755BA" w:rsidRDefault="00EF1395" w:rsidP="00DE0FEA">
            <w:pPr>
              <w:pBdr>
                <w:top w:val="nil"/>
                <w:left w:val="nil"/>
                <w:bottom w:val="nil"/>
                <w:right w:val="nil"/>
                <w:between w:val="nil"/>
              </w:pBdr>
              <w:jc w:val="center"/>
              <w:rPr>
                <w:rFonts w:ascii="Arial" w:eastAsia="Arial" w:hAnsi="Arial" w:cs="Arial"/>
                <w:color w:val="FFFFFF"/>
              </w:rPr>
            </w:pPr>
            <w:r>
              <w:rPr>
                <w:rFonts w:ascii="Arial" w:eastAsia="Arial" w:hAnsi="Arial" w:cs="Arial"/>
                <w:i/>
                <w:iCs/>
                <w:color w:val="FFFFFF"/>
              </w:rPr>
              <w:t>100,0%</w:t>
            </w:r>
          </w:p>
        </w:tc>
        <w:tc>
          <w:tcPr>
            <w:tcW w:w="1134" w:type="dxa"/>
            <w:tcBorders>
              <w:top w:val="nil"/>
              <w:left w:val="nil"/>
              <w:bottom w:val="single" w:sz="8" w:space="0" w:color="000000"/>
              <w:right w:val="nil"/>
            </w:tcBorders>
            <w:shd w:val="clear" w:color="auto" w:fill="85A20A"/>
            <w:vAlign w:val="center"/>
          </w:tcPr>
          <w:p w14:paraId="1033C05E" w14:textId="5A6933E3" w:rsidR="000755BA" w:rsidRDefault="00EF1395" w:rsidP="00DE0FEA">
            <w:pPr>
              <w:pBdr>
                <w:top w:val="nil"/>
                <w:left w:val="nil"/>
                <w:bottom w:val="nil"/>
                <w:right w:val="nil"/>
                <w:between w:val="nil"/>
              </w:pBdr>
              <w:jc w:val="center"/>
              <w:rPr>
                <w:rFonts w:ascii="Arial" w:eastAsia="Arial" w:hAnsi="Arial" w:cs="Arial"/>
                <w:color w:val="FFFFFF"/>
              </w:rPr>
            </w:pPr>
            <w:r>
              <w:rPr>
                <w:rFonts w:ascii="Arial" w:eastAsia="Arial" w:hAnsi="Arial" w:cs="Arial"/>
                <w:b/>
                <w:bCs/>
                <w:color w:val="FFFFFF"/>
              </w:rPr>
              <w:t>20.280</w:t>
            </w:r>
          </w:p>
        </w:tc>
        <w:tc>
          <w:tcPr>
            <w:tcW w:w="974" w:type="dxa"/>
            <w:tcBorders>
              <w:top w:val="nil"/>
              <w:left w:val="single" w:sz="4" w:space="0" w:color="000000"/>
              <w:bottom w:val="single" w:sz="8" w:space="0" w:color="000000"/>
              <w:right w:val="single" w:sz="8" w:space="0" w:color="000000"/>
            </w:tcBorders>
            <w:shd w:val="clear" w:color="auto" w:fill="85A20A"/>
            <w:vAlign w:val="center"/>
          </w:tcPr>
          <w:p w14:paraId="2C679264" w14:textId="77777777" w:rsidR="000755BA" w:rsidRDefault="00EF1395" w:rsidP="00DE0FEA">
            <w:pPr>
              <w:pBdr>
                <w:top w:val="nil"/>
                <w:left w:val="nil"/>
                <w:bottom w:val="nil"/>
                <w:right w:val="nil"/>
                <w:between w:val="nil"/>
              </w:pBdr>
              <w:jc w:val="center"/>
              <w:rPr>
                <w:rFonts w:ascii="Arial" w:eastAsia="Arial" w:hAnsi="Arial" w:cs="Arial"/>
                <w:color w:val="FFFFFF"/>
              </w:rPr>
            </w:pPr>
            <w:r>
              <w:rPr>
                <w:rFonts w:ascii="Arial" w:eastAsia="Arial" w:hAnsi="Arial" w:cs="Arial"/>
                <w:i/>
                <w:iCs/>
                <w:color w:val="FFFFFF"/>
              </w:rPr>
              <w:t>100,0%</w:t>
            </w:r>
          </w:p>
        </w:tc>
        <w:tc>
          <w:tcPr>
            <w:tcW w:w="1463" w:type="dxa"/>
            <w:tcBorders>
              <w:top w:val="nil"/>
              <w:left w:val="nil"/>
              <w:bottom w:val="single" w:sz="8" w:space="0" w:color="000000"/>
              <w:right w:val="nil"/>
            </w:tcBorders>
            <w:shd w:val="clear" w:color="auto" w:fill="85A20A"/>
            <w:vAlign w:val="center"/>
          </w:tcPr>
          <w:p w14:paraId="1C67E1AB" w14:textId="254D47C2" w:rsidR="000755BA" w:rsidRDefault="00EF1395" w:rsidP="00DE0FEA">
            <w:pPr>
              <w:pBdr>
                <w:top w:val="nil"/>
                <w:left w:val="nil"/>
                <w:bottom w:val="nil"/>
                <w:right w:val="nil"/>
                <w:between w:val="nil"/>
              </w:pBdr>
              <w:jc w:val="center"/>
              <w:rPr>
                <w:rFonts w:ascii="Arial" w:eastAsia="Arial" w:hAnsi="Arial" w:cs="Arial"/>
                <w:color w:val="FFFFFF"/>
              </w:rPr>
            </w:pPr>
            <w:r>
              <w:rPr>
                <w:rFonts w:ascii="Arial" w:eastAsia="Arial" w:hAnsi="Arial" w:cs="Arial"/>
                <w:b/>
                <w:bCs/>
                <w:color w:val="FFFFFF"/>
              </w:rPr>
              <w:t>17.843.312</w:t>
            </w:r>
          </w:p>
        </w:tc>
        <w:tc>
          <w:tcPr>
            <w:tcW w:w="1337" w:type="dxa"/>
            <w:tcBorders>
              <w:top w:val="nil"/>
              <w:left w:val="single" w:sz="4" w:space="0" w:color="000000"/>
              <w:bottom w:val="single" w:sz="8" w:space="0" w:color="000000"/>
              <w:right w:val="single" w:sz="8" w:space="0" w:color="000000"/>
            </w:tcBorders>
            <w:shd w:val="clear" w:color="auto" w:fill="85A20A"/>
            <w:vAlign w:val="center"/>
          </w:tcPr>
          <w:p w14:paraId="584920B5" w14:textId="77777777" w:rsidR="000755BA" w:rsidRDefault="00EF1395" w:rsidP="00DE0FEA">
            <w:pPr>
              <w:pBdr>
                <w:top w:val="nil"/>
                <w:left w:val="nil"/>
                <w:bottom w:val="nil"/>
                <w:right w:val="nil"/>
                <w:between w:val="nil"/>
              </w:pBdr>
              <w:jc w:val="center"/>
              <w:rPr>
                <w:rFonts w:ascii="Arial" w:eastAsia="Arial" w:hAnsi="Arial" w:cs="Arial"/>
                <w:color w:val="FFFFFF"/>
              </w:rPr>
            </w:pPr>
            <w:r>
              <w:rPr>
                <w:rFonts w:ascii="Arial" w:eastAsia="Arial" w:hAnsi="Arial" w:cs="Arial"/>
                <w:i/>
                <w:iCs/>
                <w:color w:val="FFFFFF"/>
              </w:rPr>
              <w:t>100,0%</w:t>
            </w:r>
          </w:p>
        </w:tc>
      </w:tr>
    </w:tbl>
    <w:p w14:paraId="625D4AF1"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3010DF89" w14:textId="77777777" w:rsidR="000755BA" w:rsidRDefault="00EF1395">
      <w:pPr>
        <w:pBdr>
          <w:top w:val="nil"/>
          <w:left w:val="nil"/>
          <w:bottom w:val="nil"/>
          <w:right w:val="nil"/>
          <w:between w:val="nil"/>
        </w:pBdr>
        <w:spacing w:line="276" w:lineRule="auto"/>
        <w:rPr>
          <w:rFonts w:ascii="Arial" w:eastAsia="Arial" w:hAnsi="Arial" w:cs="Arial"/>
          <w:color w:val="000000"/>
        </w:rPr>
      </w:pPr>
      <w:r>
        <w:rPr>
          <w:rFonts w:ascii="Arial" w:eastAsia="Arial" w:hAnsi="Arial" w:cs="Arial"/>
          <w:b/>
          <w:bCs/>
          <w:color w:val="000000"/>
        </w:rPr>
        <w:lastRenderedPageBreak/>
        <w:t>Tabela o višini sofinanciranja RDO:</w:t>
      </w:r>
    </w:p>
    <w:p w14:paraId="125C5866" w14:textId="77777777" w:rsidR="000755BA" w:rsidRDefault="000755BA">
      <w:pPr>
        <w:pBdr>
          <w:top w:val="nil"/>
          <w:left w:val="nil"/>
          <w:bottom w:val="nil"/>
          <w:right w:val="nil"/>
          <w:between w:val="nil"/>
        </w:pBdr>
        <w:spacing w:line="276" w:lineRule="auto"/>
        <w:rPr>
          <w:rFonts w:ascii="Arial" w:eastAsia="Arial" w:hAnsi="Arial" w:cs="Arial"/>
          <w:color w:val="000000"/>
        </w:rPr>
      </w:pPr>
    </w:p>
    <w:tbl>
      <w:tblPr>
        <w:tblStyle w:val="a9"/>
        <w:tblW w:w="14312" w:type="dxa"/>
        <w:tblInd w:w="5" w:type="dxa"/>
        <w:tblLayout w:type="fixed"/>
        <w:tblLook w:val="0000" w:firstRow="0" w:lastRow="0" w:firstColumn="0" w:lastColumn="0" w:noHBand="0" w:noVBand="0"/>
      </w:tblPr>
      <w:tblGrid>
        <w:gridCol w:w="400"/>
        <w:gridCol w:w="3503"/>
        <w:gridCol w:w="1240"/>
        <w:gridCol w:w="1240"/>
        <w:gridCol w:w="1180"/>
        <w:gridCol w:w="1060"/>
        <w:gridCol w:w="1460"/>
        <w:gridCol w:w="1030"/>
        <w:gridCol w:w="1640"/>
        <w:gridCol w:w="1559"/>
      </w:tblGrid>
      <w:tr w:rsidR="000755BA" w14:paraId="6D6F35A0" w14:textId="77777777">
        <w:trPr>
          <w:trHeight w:val="1249"/>
        </w:trPr>
        <w:tc>
          <w:tcPr>
            <w:tcW w:w="400" w:type="dxa"/>
            <w:tcBorders>
              <w:top w:val="single" w:sz="4" w:space="0" w:color="000000"/>
              <w:left w:val="single" w:sz="4" w:space="0" w:color="000000"/>
              <w:bottom w:val="single" w:sz="4" w:space="0" w:color="000000"/>
              <w:right w:val="single" w:sz="4" w:space="0" w:color="000000"/>
            </w:tcBorders>
            <w:shd w:val="clear" w:color="auto" w:fill="EBF1DE"/>
            <w:vAlign w:val="center"/>
          </w:tcPr>
          <w:p w14:paraId="7BB7FB6C"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w:t>
            </w:r>
          </w:p>
        </w:tc>
        <w:tc>
          <w:tcPr>
            <w:tcW w:w="3503" w:type="dxa"/>
            <w:tcBorders>
              <w:top w:val="single" w:sz="4" w:space="0" w:color="000000"/>
              <w:left w:val="nil"/>
              <w:bottom w:val="single" w:sz="4" w:space="0" w:color="000000"/>
              <w:right w:val="single" w:sz="4" w:space="0" w:color="000000"/>
            </w:tcBorders>
            <w:shd w:val="clear" w:color="auto" w:fill="EBF1DE"/>
            <w:vAlign w:val="center"/>
          </w:tcPr>
          <w:p w14:paraId="5C354B2E"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 xml:space="preserve">Priporočene RDO </w:t>
            </w:r>
          </w:p>
          <w:p w14:paraId="039201C0"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(podatki za 2025):</w:t>
            </w:r>
          </w:p>
        </w:tc>
        <w:tc>
          <w:tcPr>
            <w:tcW w:w="1240" w:type="dxa"/>
            <w:tcBorders>
              <w:top w:val="single" w:sz="4" w:space="0" w:color="000000"/>
              <w:left w:val="nil"/>
              <w:bottom w:val="single" w:sz="4" w:space="0" w:color="000000"/>
              <w:right w:val="single" w:sz="4" w:space="0" w:color="000000"/>
            </w:tcBorders>
            <w:shd w:val="clear" w:color="auto" w:fill="EBF1DE"/>
            <w:vAlign w:val="center"/>
          </w:tcPr>
          <w:p w14:paraId="1359D4A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Štev. občin</w:t>
            </w:r>
          </w:p>
        </w:tc>
        <w:tc>
          <w:tcPr>
            <w:tcW w:w="1240" w:type="dxa"/>
            <w:tcBorders>
              <w:top w:val="single" w:sz="4" w:space="0" w:color="000000"/>
              <w:left w:val="nil"/>
              <w:bottom w:val="single" w:sz="4" w:space="0" w:color="000000"/>
              <w:right w:val="single" w:sz="4" w:space="0" w:color="000000"/>
            </w:tcBorders>
            <w:shd w:val="clear" w:color="auto" w:fill="EBF1DE"/>
            <w:vAlign w:val="center"/>
          </w:tcPr>
          <w:p w14:paraId="783FE374"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Štev. preb.</w:t>
            </w:r>
          </w:p>
        </w:tc>
        <w:tc>
          <w:tcPr>
            <w:tcW w:w="1180" w:type="dxa"/>
            <w:tcBorders>
              <w:top w:val="single" w:sz="4" w:space="0" w:color="000000"/>
              <w:left w:val="nil"/>
              <w:bottom w:val="single" w:sz="4" w:space="0" w:color="000000"/>
              <w:right w:val="single" w:sz="4" w:space="0" w:color="000000"/>
            </w:tcBorders>
            <w:shd w:val="clear" w:color="auto" w:fill="EBF1DE"/>
            <w:vAlign w:val="center"/>
          </w:tcPr>
          <w:p w14:paraId="4605E2B5"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Delovno aktivni v turizmu</w:t>
            </w:r>
          </w:p>
        </w:tc>
        <w:tc>
          <w:tcPr>
            <w:tcW w:w="1060" w:type="dxa"/>
            <w:tcBorders>
              <w:top w:val="single" w:sz="4" w:space="0" w:color="000000"/>
              <w:left w:val="nil"/>
              <w:bottom w:val="single" w:sz="4" w:space="0" w:color="000000"/>
              <w:right w:val="single" w:sz="4" w:space="0" w:color="000000"/>
            </w:tcBorders>
            <w:shd w:val="clear" w:color="auto" w:fill="EBF1DE"/>
            <w:vAlign w:val="center"/>
          </w:tcPr>
          <w:p w14:paraId="6AD72679"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Površina</w:t>
            </w:r>
          </w:p>
        </w:tc>
        <w:tc>
          <w:tcPr>
            <w:tcW w:w="1460" w:type="dxa"/>
            <w:tcBorders>
              <w:top w:val="single" w:sz="4" w:space="0" w:color="000000"/>
              <w:left w:val="nil"/>
              <w:bottom w:val="single" w:sz="4" w:space="0" w:color="000000"/>
              <w:right w:val="single" w:sz="4" w:space="0" w:color="000000"/>
            </w:tcBorders>
            <w:shd w:val="clear" w:color="auto" w:fill="EBF1DE"/>
            <w:vAlign w:val="center"/>
          </w:tcPr>
          <w:p w14:paraId="5AEBDF4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Štev. prenočit.</w:t>
            </w:r>
          </w:p>
        </w:tc>
        <w:tc>
          <w:tcPr>
            <w:tcW w:w="1030" w:type="dxa"/>
            <w:tcBorders>
              <w:top w:val="single" w:sz="4" w:space="0" w:color="000000"/>
              <w:left w:val="nil"/>
              <w:bottom w:val="single" w:sz="4" w:space="0" w:color="000000"/>
              <w:right w:val="single" w:sz="4" w:space="0" w:color="000000"/>
            </w:tcBorders>
            <w:shd w:val="clear" w:color="auto" w:fill="EBF1DE"/>
            <w:vAlign w:val="center"/>
          </w:tcPr>
          <w:p w14:paraId="25E263D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Skupaj točke za RDO</w:t>
            </w:r>
          </w:p>
        </w:tc>
        <w:tc>
          <w:tcPr>
            <w:tcW w:w="1640" w:type="dxa"/>
            <w:tcBorders>
              <w:top w:val="single" w:sz="4" w:space="0" w:color="000000"/>
              <w:left w:val="nil"/>
              <w:bottom w:val="single" w:sz="4" w:space="0" w:color="000000"/>
              <w:right w:val="single" w:sz="4" w:space="0" w:color="000000"/>
            </w:tcBorders>
            <w:shd w:val="clear" w:color="auto" w:fill="D8E4BC"/>
            <w:vAlign w:val="center"/>
          </w:tcPr>
          <w:p w14:paraId="791C1067" w14:textId="77777777" w:rsidR="000755BA" w:rsidRDefault="00EF1395">
            <w:pPr>
              <w:pBdr>
                <w:top w:val="nil"/>
                <w:left w:val="nil"/>
                <w:bottom w:val="nil"/>
                <w:right w:val="nil"/>
                <w:between w:val="nil"/>
              </w:pBdr>
              <w:jc w:val="center"/>
              <w:rPr>
                <w:rFonts w:ascii="Arial" w:eastAsia="Arial" w:hAnsi="Arial" w:cs="Arial"/>
                <w:color w:val="000000"/>
              </w:rPr>
            </w:pPr>
            <w:proofErr w:type="spellStart"/>
            <w:r>
              <w:rPr>
                <w:rFonts w:ascii="Arial" w:eastAsia="Arial" w:hAnsi="Arial" w:cs="Arial"/>
                <w:color w:val="000000"/>
              </w:rPr>
              <w:t>Maks.vrednost</w:t>
            </w:r>
            <w:proofErr w:type="spellEnd"/>
            <w:r>
              <w:rPr>
                <w:rFonts w:ascii="Arial" w:eastAsia="Arial" w:hAnsi="Arial" w:cs="Arial"/>
                <w:color w:val="000000"/>
              </w:rPr>
              <w:t xml:space="preserve"> sofinanciranja (RDO)</w:t>
            </w:r>
          </w:p>
        </w:tc>
        <w:tc>
          <w:tcPr>
            <w:tcW w:w="1559" w:type="dxa"/>
            <w:tcBorders>
              <w:top w:val="single" w:sz="4" w:space="0" w:color="000000"/>
              <w:left w:val="nil"/>
              <w:bottom w:val="single" w:sz="4" w:space="0" w:color="000000"/>
              <w:right w:val="single" w:sz="4" w:space="0" w:color="000000"/>
            </w:tcBorders>
            <w:shd w:val="clear" w:color="auto" w:fill="D8E4BC"/>
            <w:vAlign w:val="center"/>
          </w:tcPr>
          <w:p w14:paraId="44AE4A8F"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Skupaj vrednost naložbe (ocena)</w:t>
            </w:r>
          </w:p>
        </w:tc>
      </w:tr>
      <w:tr w:rsidR="000755BA" w14:paraId="131F5B19" w14:textId="77777777">
        <w:trPr>
          <w:trHeight w:val="540"/>
        </w:trPr>
        <w:tc>
          <w:tcPr>
            <w:tcW w:w="400" w:type="dxa"/>
            <w:tcBorders>
              <w:top w:val="nil"/>
              <w:left w:val="single" w:sz="4" w:space="0" w:color="000000"/>
              <w:bottom w:val="single" w:sz="4" w:space="0" w:color="000000"/>
              <w:right w:val="single" w:sz="4" w:space="0" w:color="000000"/>
            </w:tcBorders>
            <w:vAlign w:val="center"/>
          </w:tcPr>
          <w:p w14:paraId="5E69279F"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w:t>
            </w:r>
          </w:p>
        </w:tc>
        <w:tc>
          <w:tcPr>
            <w:tcW w:w="3503" w:type="dxa"/>
            <w:tcBorders>
              <w:top w:val="nil"/>
              <w:left w:val="nil"/>
              <w:bottom w:val="single" w:sz="4" w:space="0" w:color="000000"/>
              <w:right w:val="single" w:sz="4" w:space="0" w:color="000000"/>
            </w:tcBorders>
            <w:vAlign w:val="center"/>
          </w:tcPr>
          <w:p w14:paraId="0321D934"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Slovenska Istra</w:t>
            </w:r>
          </w:p>
        </w:tc>
        <w:tc>
          <w:tcPr>
            <w:tcW w:w="1240" w:type="dxa"/>
            <w:tcBorders>
              <w:top w:val="nil"/>
              <w:left w:val="nil"/>
              <w:bottom w:val="single" w:sz="4" w:space="0" w:color="000000"/>
              <w:right w:val="single" w:sz="4" w:space="0" w:color="000000"/>
            </w:tcBorders>
            <w:vAlign w:val="center"/>
          </w:tcPr>
          <w:p w14:paraId="44965C95"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37,74</w:t>
            </w:r>
          </w:p>
        </w:tc>
        <w:tc>
          <w:tcPr>
            <w:tcW w:w="1240" w:type="dxa"/>
            <w:tcBorders>
              <w:top w:val="nil"/>
              <w:left w:val="nil"/>
              <w:bottom w:val="single" w:sz="4" w:space="0" w:color="000000"/>
              <w:right w:val="single" w:sz="4" w:space="0" w:color="000000"/>
            </w:tcBorders>
            <w:vAlign w:val="center"/>
          </w:tcPr>
          <w:p w14:paraId="576A9EEA"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65,13</w:t>
            </w:r>
          </w:p>
        </w:tc>
        <w:tc>
          <w:tcPr>
            <w:tcW w:w="1180" w:type="dxa"/>
            <w:tcBorders>
              <w:top w:val="nil"/>
              <w:left w:val="nil"/>
              <w:bottom w:val="single" w:sz="4" w:space="0" w:color="000000"/>
              <w:right w:val="single" w:sz="4" w:space="0" w:color="000000"/>
            </w:tcBorders>
            <w:vAlign w:val="center"/>
          </w:tcPr>
          <w:p w14:paraId="305F5F3C"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118,58</w:t>
            </w:r>
          </w:p>
        </w:tc>
        <w:tc>
          <w:tcPr>
            <w:tcW w:w="1060" w:type="dxa"/>
            <w:tcBorders>
              <w:top w:val="nil"/>
              <w:left w:val="nil"/>
              <w:bottom w:val="single" w:sz="4" w:space="0" w:color="000000"/>
              <w:right w:val="single" w:sz="4" w:space="0" w:color="000000"/>
            </w:tcBorders>
            <w:vAlign w:val="center"/>
          </w:tcPr>
          <w:p w14:paraId="55D54DAC"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28,40</w:t>
            </w:r>
          </w:p>
        </w:tc>
        <w:tc>
          <w:tcPr>
            <w:tcW w:w="1460" w:type="dxa"/>
            <w:tcBorders>
              <w:top w:val="nil"/>
              <w:left w:val="nil"/>
              <w:bottom w:val="single" w:sz="4" w:space="0" w:color="000000"/>
              <w:right w:val="single" w:sz="4" w:space="0" w:color="000000"/>
            </w:tcBorders>
            <w:vAlign w:val="center"/>
          </w:tcPr>
          <w:p w14:paraId="7311A742"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638,03</w:t>
            </w:r>
          </w:p>
        </w:tc>
        <w:tc>
          <w:tcPr>
            <w:tcW w:w="1030" w:type="dxa"/>
            <w:tcBorders>
              <w:top w:val="nil"/>
              <w:left w:val="nil"/>
              <w:bottom w:val="single" w:sz="4" w:space="0" w:color="000000"/>
              <w:right w:val="single" w:sz="4" w:space="0" w:color="000000"/>
            </w:tcBorders>
            <w:shd w:val="clear" w:color="auto" w:fill="F2F2F2"/>
            <w:vAlign w:val="center"/>
          </w:tcPr>
          <w:p w14:paraId="074A7EC6"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887,87</w:t>
            </w:r>
          </w:p>
        </w:tc>
        <w:tc>
          <w:tcPr>
            <w:tcW w:w="1640" w:type="dxa"/>
            <w:tcBorders>
              <w:top w:val="nil"/>
              <w:left w:val="nil"/>
              <w:bottom w:val="single" w:sz="4" w:space="0" w:color="000000"/>
              <w:right w:val="single" w:sz="4" w:space="0" w:color="000000"/>
            </w:tcBorders>
            <w:shd w:val="clear" w:color="auto" w:fill="D8E4BC"/>
            <w:vAlign w:val="center"/>
          </w:tcPr>
          <w:p w14:paraId="4FEE25B4"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1.450.000 €</w:t>
            </w:r>
          </w:p>
        </w:tc>
        <w:tc>
          <w:tcPr>
            <w:tcW w:w="1559" w:type="dxa"/>
            <w:tcBorders>
              <w:top w:val="nil"/>
              <w:left w:val="nil"/>
              <w:bottom w:val="single" w:sz="4" w:space="0" w:color="000000"/>
              <w:right w:val="single" w:sz="4" w:space="0" w:color="000000"/>
            </w:tcBorders>
            <w:shd w:val="clear" w:color="auto" w:fill="EBF1DE"/>
            <w:vAlign w:val="center"/>
          </w:tcPr>
          <w:p w14:paraId="7E2957EF"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1.812.500 € </w:t>
            </w:r>
          </w:p>
        </w:tc>
      </w:tr>
      <w:tr w:rsidR="000755BA" w14:paraId="057118F6" w14:textId="77777777">
        <w:trPr>
          <w:trHeight w:val="483"/>
        </w:trPr>
        <w:tc>
          <w:tcPr>
            <w:tcW w:w="400" w:type="dxa"/>
            <w:tcBorders>
              <w:top w:val="nil"/>
              <w:left w:val="single" w:sz="4" w:space="0" w:color="000000"/>
              <w:bottom w:val="single" w:sz="4" w:space="0" w:color="000000"/>
              <w:right w:val="single" w:sz="4" w:space="0" w:color="000000"/>
            </w:tcBorders>
            <w:vAlign w:val="center"/>
          </w:tcPr>
          <w:p w14:paraId="34F67785"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w:t>
            </w:r>
          </w:p>
        </w:tc>
        <w:tc>
          <w:tcPr>
            <w:tcW w:w="3503" w:type="dxa"/>
            <w:tcBorders>
              <w:top w:val="nil"/>
              <w:left w:val="nil"/>
              <w:bottom w:val="single" w:sz="4" w:space="0" w:color="000000"/>
              <w:right w:val="single" w:sz="4" w:space="0" w:color="000000"/>
            </w:tcBorders>
            <w:vAlign w:val="center"/>
          </w:tcPr>
          <w:p w14:paraId="6E53EDF3"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Julijske Alpe</w:t>
            </w:r>
          </w:p>
        </w:tc>
        <w:tc>
          <w:tcPr>
            <w:tcW w:w="1240" w:type="dxa"/>
            <w:tcBorders>
              <w:top w:val="nil"/>
              <w:left w:val="nil"/>
              <w:bottom w:val="single" w:sz="4" w:space="0" w:color="000000"/>
              <w:right w:val="single" w:sz="4" w:space="0" w:color="000000"/>
            </w:tcBorders>
            <w:vAlign w:val="center"/>
          </w:tcPr>
          <w:p w14:paraId="24DC6BCE"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103,77</w:t>
            </w:r>
          </w:p>
        </w:tc>
        <w:tc>
          <w:tcPr>
            <w:tcW w:w="1240" w:type="dxa"/>
            <w:tcBorders>
              <w:top w:val="nil"/>
              <w:left w:val="nil"/>
              <w:bottom w:val="single" w:sz="4" w:space="0" w:color="000000"/>
              <w:right w:val="single" w:sz="4" w:space="0" w:color="000000"/>
            </w:tcBorders>
            <w:vAlign w:val="center"/>
          </w:tcPr>
          <w:p w14:paraId="3720804C"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63,14</w:t>
            </w:r>
          </w:p>
        </w:tc>
        <w:tc>
          <w:tcPr>
            <w:tcW w:w="1180" w:type="dxa"/>
            <w:tcBorders>
              <w:top w:val="nil"/>
              <w:left w:val="nil"/>
              <w:bottom w:val="single" w:sz="4" w:space="0" w:color="000000"/>
              <w:right w:val="single" w:sz="4" w:space="0" w:color="000000"/>
            </w:tcBorders>
            <w:vAlign w:val="center"/>
          </w:tcPr>
          <w:p w14:paraId="74E6C1DE"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104,79</w:t>
            </w:r>
          </w:p>
        </w:tc>
        <w:tc>
          <w:tcPr>
            <w:tcW w:w="1060" w:type="dxa"/>
            <w:tcBorders>
              <w:top w:val="nil"/>
              <w:left w:val="nil"/>
              <w:bottom w:val="single" w:sz="4" w:space="0" w:color="000000"/>
              <w:right w:val="single" w:sz="4" w:space="0" w:color="000000"/>
            </w:tcBorders>
            <w:vAlign w:val="center"/>
          </w:tcPr>
          <w:p w14:paraId="53A84ED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155,70</w:t>
            </w:r>
          </w:p>
        </w:tc>
        <w:tc>
          <w:tcPr>
            <w:tcW w:w="1460" w:type="dxa"/>
            <w:tcBorders>
              <w:top w:val="nil"/>
              <w:left w:val="nil"/>
              <w:bottom w:val="single" w:sz="4" w:space="0" w:color="000000"/>
              <w:right w:val="single" w:sz="4" w:space="0" w:color="000000"/>
            </w:tcBorders>
            <w:vAlign w:val="center"/>
          </w:tcPr>
          <w:p w14:paraId="7AE49ACA"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947,34</w:t>
            </w:r>
          </w:p>
        </w:tc>
        <w:tc>
          <w:tcPr>
            <w:tcW w:w="1030" w:type="dxa"/>
            <w:tcBorders>
              <w:top w:val="nil"/>
              <w:left w:val="nil"/>
              <w:bottom w:val="single" w:sz="4" w:space="0" w:color="000000"/>
              <w:right w:val="single" w:sz="4" w:space="0" w:color="000000"/>
            </w:tcBorders>
            <w:shd w:val="clear" w:color="auto" w:fill="F2F2F2"/>
            <w:vAlign w:val="center"/>
          </w:tcPr>
          <w:p w14:paraId="2F1322AE"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1.374,73</w:t>
            </w:r>
          </w:p>
        </w:tc>
        <w:tc>
          <w:tcPr>
            <w:tcW w:w="1640" w:type="dxa"/>
            <w:tcBorders>
              <w:top w:val="nil"/>
              <w:left w:val="nil"/>
              <w:bottom w:val="single" w:sz="4" w:space="0" w:color="000000"/>
              <w:right w:val="single" w:sz="4" w:space="0" w:color="000000"/>
            </w:tcBorders>
            <w:shd w:val="clear" w:color="auto" w:fill="D8E4BC"/>
            <w:vAlign w:val="center"/>
          </w:tcPr>
          <w:p w14:paraId="0C264B40"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1.650.000 €</w:t>
            </w:r>
          </w:p>
        </w:tc>
        <w:tc>
          <w:tcPr>
            <w:tcW w:w="1559" w:type="dxa"/>
            <w:tcBorders>
              <w:top w:val="nil"/>
              <w:left w:val="nil"/>
              <w:bottom w:val="single" w:sz="4" w:space="0" w:color="000000"/>
              <w:right w:val="single" w:sz="4" w:space="0" w:color="000000"/>
            </w:tcBorders>
            <w:shd w:val="clear" w:color="auto" w:fill="EBF1DE"/>
            <w:vAlign w:val="center"/>
          </w:tcPr>
          <w:p w14:paraId="34218827"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2.062.500 € </w:t>
            </w:r>
          </w:p>
        </w:tc>
      </w:tr>
      <w:tr w:rsidR="000755BA" w14:paraId="5E46B37E" w14:textId="77777777">
        <w:trPr>
          <w:trHeight w:val="383"/>
        </w:trPr>
        <w:tc>
          <w:tcPr>
            <w:tcW w:w="400" w:type="dxa"/>
            <w:tcBorders>
              <w:top w:val="nil"/>
              <w:left w:val="single" w:sz="4" w:space="0" w:color="000000"/>
              <w:bottom w:val="single" w:sz="4" w:space="0" w:color="000000"/>
              <w:right w:val="single" w:sz="4" w:space="0" w:color="000000"/>
            </w:tcBorders>
            <w:vAlign w:val="center"/>
          </w:tcPr>
          <w:p w14:paraId="5ED75235"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3</w:t>
            </w:r>
          </w:p>
        </w:tc>
        <w:tc>
          <w:tcPr>
            <w:tcW w:w="3503" w:type="dxa"/>
            <w:tcBorders>
              <w:top w:val="nil"/>
              <w:left w:val="nil"/>
              <w:bottom w:val="single" w:sz="4" w:space="0" w:color="000000"/>
              <w:right w:val="single" w:sz="4" w:space="0" w:color="000000"/>
            </w:tcBorders>
            <w:vAlign w:val="center"/>
          </w:tcPr>
          <w:p w14:paraId="0579A7FB"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Gorenjska</w:t>
            </w:r>
          </w:p>
        </w:tc>
        <w:tc>
          <w:tcPr>
            <w:tcW w:w="1240" w:type="dxa"/>
            <w:tcBorders>
              <w:top w:val="nil"/>
              <w:left w:val="nil"/>
              <w:bottom w:val="single" w:sz="4" w:space="0" w:color="000000"/>
              <w:right w:val="single" w:sz="4" w:space="0" w:color="000000"/>
            </w:tcBorders>
            <w:vAlign w:val="center"/>
          </w:tcPr>
          <w:p w14:paraId="272DEAC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122,64</w:t>
            </w:r>
          </w:p>
        </w:tc>
        <w:tc>
          <w:tcPr>
            <w:tcW w:w="1240" w:type="dxa"/>
            <w:tcBorders>
              <w:top w:val="nil"/>
              <w:left w:val="nil"/>
              <w:bottom w:val="single" w:sz="4" w:space="0" w:color="000000"/>
              <w:right w:val="single" w:sz="4" w:space="0" w:color="000000"/>
            </w:tcBorders>
            <w:vAlign w:val="center"/>
          </w:tcPr>
          <w:p w14:paraId="2795912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111,89</w:t>
            </w:r>
          </w:p>
        </w:tc>
        <w:tc>
          <w:tcPr>
            <w:tcW w:w="1180" w:type="dxa"/>
            <w:tcBorders>
              <w:top w:val="nil"/>
              <w:left w:val="nil"/>
              <w:bottom w:val="single" w:sz="4" w:space="0" w:color="000000"/>
              <w:right w:val="single" w:sz="4" w:space="0" w:color="000000"/>
            </w:tcBorders>
            <w:vAlign w:val="center"/>
          </w:tcPr>
          <w:p w14:paraId="2FEED82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96,80</w:t>
            </w:r>
          </w:p>
        </w:tc>
        <w:tc>
          <w:tcPr>
            <w:tcW w:w="1060" w:type="dxa"/>
            <w:tcBorders>
              <w:top w:val="nil"/>
              <w:left w:val="nil"/>
              <w:bottom w:val="single" w:sz="4" w:space="0" w:color="000000"/>
              <w:right w:val="single" w:sz="4" w:space="0" w:color="000000"/>
            </w:tcBorders>
            <w:vAlign w:val="center"/>
          </w:tcPr>
          <w:p w14:paraId="78E7B046"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114,28</w:t>
            </w:r>
          </w:p>
        </w:tc>
        <w:tc>
          <w:tcPr>
            <w:tcW w:w="1460" w:type="dxa"/>
            <w:tcBorders>
              <w:top w:val="nil"/>
              <w:left w:val="nil"/>
              <w:bottom w:val="single" w:sz="4" w:space="0" w:color="000000"/>
              <w:right w:val="single" w:sz="4" w:space="0" w:color="000000"/>
            </w:tcBorders>
            <w:vAlign w:val="center"/>
          </w:tcPr>
          <w:p w14:paraId="6B6278A5"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103,38</w:t>
            </w:r>
          </w:p>
        </w:tc>
        <w:tc>
          <w:tcPr>
            <w:tcW w:w="1030" w:type="dxa"/>
            <w:tcBorders>
              <w:top w:val="nil"/>
              <w:left w:val="nil"/>
              <w:bottom w:val="single" w:sz="4" w:space="0" w:color="000000"/>
              <w:right w:val="single" w:sz="4" w:space="0" w:color="000000"/>
            </w:tcBorders>
            <w:shd w:val="clear" w:color="auto" w:fill="F2F2F2"/>
            <w:vAlign w:val="center"/>
          </w:tcPr>
          <w:p w14:paraId="3BBB3EAA"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548,98</w:t>
            </w:r>
          </w:p>
        </w:tc>
        <w:tc>
          <w:tcPr>
            <w:tcW w:w="1640" w:type="dxa"/>
            <w:tcBorders>
              <w:top w:val="nil"/>
              <w:left w:val="nil"/>
              <w:bottom w:val="single" w:sz="4" w:space="0" w:color="000000"/>
              <w:right w:val="single" w:sz="4" w:space="0" w:color="000000"/>
            </w:tcBorders>
            <w:shd w:val="clear" w:color="auto" w:fill="D8E4BC"/>
            <w:vAlign w:val="center"/>
          </w:tcPr>
          <w:p w14:paraId="195FC8D1"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1.000.000 € </w:t>
            </w:r>
          </w:p>
        </w:tc>
        <w:tc>
          <w:tcPr>
            <w:tcW w:w="1559" w:type="dxa"/>
            <w:tcBorders>
              <w:top w:val="nil"/>
              <w:left w:val="nil"/>
              <w:bottom w:val="single" w:sz="4" w:space="0" w:color="000000"/>
              <w:right w:val="single" w:sz="4" w:space="0" w:color="000000"/>
            </w:tcBorders>
            <w:shd w:val="clear" w:color="auto" w:fill="EBF1DE"/>
            <w:vAlign w:val="center"/>
          </w:tcPr>
          <w:p w14:paraId="0AA7B13A"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1.250.000 € </w:t>
            </w:r>
          </w:p>
        </w:tc>
      </w:tr>
      <w:tr w:rsidR="000755BA" w14:paraId="33BF3CAE" w14:textId="77777777">
        <w:trPr>
          <w:trHeight w:val="278"/>
        </w:trPr>
        <w:tc>
          <w:tcPr>
            <w:tcW w:w="400" w:type="dxa"/>
            <w:tcBorders>
              <w:top w:val="nil"/>
              <w:left w:val="single" w:sz="4" w:space="0" w:color="000000"/>
              <w:bottom w:val="single" w:sz="4" w:space="0" w:color="000000"/>
              <w:right w:val="single" w:sz="4" w:space="0" w:color="000000"/>
            </w:tcBorders>
            <w:vAlign w:val="center"/>
          </w:tcPr>
          <w:p w14:paraId="5960D62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4</w:t>
            </w:r>
          </w:p>
        </w:tc>
        <w:tc>
          <w:tcPr>
            <w:tcW w:w="3503" w:type="dxa"/>
            <w:tcBorders>
              <w:top w:val="nil"/>
              <w:left w:val="nil"/>
              <w:bottom w:val="single" w:sz="4" w:space="0" w:color="000000"/>
              <w:right w:val="single" w:sz="4" w:space="0" w:color="000000"/>
            </w:tcBorders>
            <w:vAlign w:val="center"/>
          </w:tcPr>
          <w:p w14:paraId="730510F3"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Goriško, Vipava, Kras</w:t>
            </w:r>
          </w:p>
        </w:tc>
        <w:tc>
          <w:tcPr>
            <w:tcW w:w="1240" w:type="dxa"/>
            <w:tcBorders>
              <w:top w:val="nil"/>
              <w:left w:val="nil"/>
              <w:bottom w:val="single" w:sz="4" w:space="0" w:color="000000"/>
              <w:right w:val="single" w:sz="4" w:space="0" w:color="000000"/>
            </w:tcBorders>
            <w:vAlign w:val="center"/>
          </w:tcPr>
          <w:p w14:paraId="2468389C"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160,38</w:t>
            </w:r>
          </w:p>
        </w:tc>
        <w:tc>
          <w:tcPr>
            <w:tcW w:w="1240" w:type="dxa"/>
            <w:tcBorders>
              <w:top w:val="nil"/>
              <w:left w:val="nil"/>
              <w:bottom w:val="single" w:sz="4" w:space="0" w:color="000000"/>
              <w:right w:val="single" w:sz="4" w:space="0" w:color="000000"/>
            </w:tcBorders>
            <w:vAlign w:val="center"/>
          </w:tcPr>
          <w:p w14:paraId="4D5075B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112,44</w:t>
            </w:r>
          </w:p>
        </w:tc>
        <w:tc>
          <w:tcPr>
            <w:tcW w:w="1180" w:type="dxa"/>
            <w:tcBorders>
              <w:top w:val="nil"/>
              <w:left w:val="nil"/>
              <w:bottom w:val="single" w:sz="4" w:space="0" w:color="000000"/>
              <w:right w:val="single" w:sz="4" w:space="0" w:color="000000"/>
            </w:tcBorders>
            <w:vAlign w:val="center"/>
          </w:tcPr>
          <w:p w14:paraId="22C1AEE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115,12</w:t>
            </w:r>
          </w:p>
        </w:tc>
        <w:tc>
          <w:tcPr>
            <w:tcW w:w="1060" w:type="dxa"/>
            <w:tcBorders>
              <w:top w:val="nil"/>
              <w:left w:val="nil"/>
              <w:bottom w:val="single" w:sz="4" w:space="0" w:color="000000"/>
              <w:right w:val="single" w:sz="4" w:space="0" w:color="000000"/>
            </w:tcBorders>
            <w:vAlign w:val="center"/>
          </w:tcPr>
          <w:p w14:paraId="7B6076B6"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216,57</w:t>
            </w:r>
          </w:p>
        </w:tc>
        <w:tc>
          <w:tcPr>
            <w:tcW w:w="1460" w:type="dxa"/>
            <w:tcBorders>
              <w:top w:val="nil"/>
              <w:left w:val="nil"/>
              <w:bottom w:val="single" w:sz="4" w:space="0" w:color="000000"/>
              <w:right w:val="single" w:sz="4" w:space="0" w:color="000000"/>
            </w:tcBorders>
            <w:vAlign w:val="center"/>
          </w:tcPr>
          <w:p w14:paraId="3EB7224C"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162,44</w:t>
            </w:r>
          </w:p>
        </w:tc>
        <w:tc>
          <w:tcPr>
            <w:tcW w:w="1030" w:type="dxa"/>
            <w:tcBorders>
              <w:top w:val="nil"/>
              <w:left w:val="nil"/>
              <w:bottom w:val="single" w:sz="4" w:space="0" w:color="000000"/>
              <w:right w:val="single" w:sz="4" w:space="0" w:color="000000"/>
            </w:tcBorders>
            <w:shd w:val="clear" w:color="auto" w:fill="F2F2F2"/>
            <w:vAlign w:val="center"/>
          </w:tcPr>
          <w:p w14:paraId="12AB92F5"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766,95</w:t>
            </w:r>
          </w:p>
        </w:tc>
        <w:tc>
          <w:tcPr>
            <w:tcW w:w="1640" w:type="dxa"/>
            <w:tcBorders>
              <w:top w:val="nil"/>
              <w:left w:val="nil"/>
              <w:bottom w:val="single" w:sz="4" w:space="0" w:color="000000"/>
              <w:right w:val="single" w:sz="4" w:space="0" w:color="000000"/>
            </w:tcBorders>
            <w:shd w:val="clear" w:color="auto" w:fill="D8E4BC"/>
            <w:vAlign w:val="center"/>
          </w:tcPr>
          <w:p w14:paraId="5B317035"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1.250.000 € </w:t>
            </w:r>
          </w:p>
        </w:tc>
        <w:tc>
          <w:tcPr>
            <w:tcW w:w="1559" w:type="dxa"/>
            <w:tcBorders>
              <w:top w:val="nil"/>
              <w:left w:val="nil"/>
              <w:bottom w:val="single" w:sz="4" w:space="0" w:color="000000"/>
              <w:right w:val="single" w:sz="4" w:space="0" w:color="000000"/>
            </w:tcBorders>
            <w:shd w:val="clear" w:color="auto" w:fill="EBF1DE"/>
            <w:vAlign w:val="center"/>
          </w:tcPr>
          <w:p w14:paraId="12AA8BBB"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1.562.500 € </w:t>
            </w:r>
          </w:p>
        </w:tc>
      </w:tr>
      <w:tr w:rsidR="000755BA" w14:paraId="776AE0CF" w14:textId="77777777">
        <w:trPr>
          <w:trHeight w:val="289"/>
        </w:trPr>
        <w:tc>
          <w:tcPr>
            <w:tcW w:w="400" w:type="dxa"/>
            <w:tcBorders>
              <w:top w:val="nil"/>
              <w:left w:val="single" w:sz="4" w:space="0" w:color="000000"/>
              <w:bottom w:val="single" w:sz="4" w:space="0" w:color="000000"/>
              <w:right w:val="single" w:sz="4" w:space="0" w:color="000000"/>
            </w:tcBorders>
            <w:vAlign w:val="center"/>
          </w:tcPr>
          <w:p w14:paraId="4A87BE72"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5</w:t>
            </w:r>
          </w:p>
        </w:tc>
        <w:tc>
          <w:tcPr>
            <w:tcW w:w="3503" w:type="dxa"/>
            <w:tcBorders>
              <w:top w:val="nil"/>
              <w:left w:val="nil"/>
              <w:bottom w:val="single" w:sz="4" w:space="0" w:color="000000"/>
              <w:right w:val="single" w:sz="4" w:space="0" w:color="000000"/>
            </w:tcBorders>
            <w:vAlign w:val="center"/>
          </w:tcPr>
          <w:p w14:paraId="54A1F015"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Savinjsko, Celje, Obsotelje in Kozjansko</w:t>
            </w:r>
          </w:p>
        </w:tc>
        <w:tc>
          <w:tcPr>
            <w:tcW w:w="1240" w:type="dxa"/>
            <w:tcBorders>
              <w:top w:val="nil"/>
              <w:left w:val="nil"/>
              <w:bottom w:val="single" w:sz="4" w:space="0" w:color="000000"/>
              <w:right w:val="single" w:sz="4" w:space="0" w:color="000000"/>
            </w:tcBorders>
            <w:vAlign w:val="center"/>
          </w:tcPr>
          <w:p w14:paraId="63843935"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169,81</w:t>
            </w:r>
          </w:p>
        </w:tc>
        <w:tc>
          <w:tcPr>
            <w:tcW w:w="1240" w:type="dxa"/>
            <w:tcBorders>
              <w:top w:val="nil"/>
              <w:left w:val="nil"/>
              <w:bottom w:val="single" w:sz="4" w:space="0" w:color="000000"/>
              <w:right w:val="single" w:sz="4" w:space="0" w:color="000000"/>
            </w:tcBorders>
            <w:vAlign w:val="center"/>
          </w:tcPr>
          <w:p w14:paraId="62938F74"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123,78</w:t>
            </w:r>
          </w:p>
        </w:tc>
        <w:tc>
          <w:tcPr>
            <w:tcW w:w="1180" w:type="dxa"/>
            <w:tcBorders>
              <w:top w:val="nil"/>
              <w:left w:val="nil"/>
              <w:bottom w:val="single" w:sz="4" w:space="0" w:color="000000"/>
              <w:right w:val="single" w:sz="4" w:space="0" w:color="000000"/>
            </w:tcBorders>
            <w:vAlign w:val="center"/>
          </w:tcPr>
          <w:p w14:paraId="51F32FE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130,52</w:t>
            </w:r>
          </w:p>
        </w:tc>
        <w:tc>
          <w:tcPr>
            <w:tcW w:w="1060" w:type="dxa"/>
            <w:tcBorders>
              <w:top w:val="nil"/>
              <w:left w:val="nil"/>
              <w:bottom w:val="single" w:sz="4" w:space="0" w:color="000000"/>
              <w:right w:val="single" w:sz="4" w:space="0" w:color="000000"/>
            </w:tcBorders>
            <w:vAlign w:val="center"/>
          </w:tcPr>
          <w:p w14:paraId="7980A34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101,55</w:t>
            </w:r>
          </w:p>
        </w:tc>
        <w:tc>
          <w:tcPr>
            <w:tcW w:w="1460" w:type="dxa"/>
            <w:tcBorders>
              <w:top w:val="nil"/>
              <w:left w:val="nil"/>
              <w:bottom w:val="single" w:sz="4" w:space="0" w:color="000000"/>
              <w:right w:val="single" w:sz="4" w:space="0" w:color="000000"/>
            </w:tcBorders>
            <w:vAlign w:val="center"/>
          </w:tcPr>
          <w:p w14:paraId="5705B5A3"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234,30</w:t>
            </w:r>
          </w:p>
        </w:tc>
        <w:tc>
          <w:tcPr>
            <w:tcW w:w="1030" w:type="dxa"/>
            <w:tcBorders>
              <w:top w:val="nil"/>
              <w:left w:val="nil"/>
              <w:bottom w:val="single" w:sz="4" w:space="0" w:color="000000"/>
              <w:right w:val="single" w:sz="4" w:space="0" w:color="000000"/>
            </w:tcBorders>
            <w:shd w:val="clear" w:color="auto" w:fill="F2F2F2"/>
            <w:vAlign w:val="center"/>
          </w:tcPr>
          <w:p w14:paraId="11160104"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759,97</w:t>
            </w:r>
          </w:p>
        </w:tc>
        <w:tc>
          <w:tcPr>
            <w:tcW w:w="1640" w:type="dxa"/>
            <w:tcBorders>
              <w:top w:val="nil"/>
              <w:left w:val="nil"/>
              <w:bottom w:val="single" w:sz="4" w:space="0" w:color="000000"/>
              <w:right w:val="single" w:sz="4" w:space="0" w:color="000000"/>
            </w:tcBorders>
            <w:shd w:val="clear" w:color="auto" w:fill="D8E4BC"/>
            <w:vAlign w:val="center"/>
          </w:tcPr>
          <w:p w14:paraId="14319EEB"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1.250.000 € </w:t>
            </w:r>
          </w:p>
        </w:tc>
        <w:tc>
          <w:tcPr>
            <w:tcW w:w="1559" w:type="dxa"/>
            <w:tcBorders>
              <w:top w:val="nil"/>
              <w:left w:val="nil"/>
              <w:bottom w:val="single" w:sz="4" w:space="0" w:color="000000"/>
              <w:right w:val="single" w:sz="4" w:space="0" w:color="000000"/>
            </w:tcBorders>
            <w:shd w:val="clear" w:color="auto" w:fill="EBF1DE"/>
            <w:vAlign w:val="center"/>
          </w:tcPr>
          <w:p w14:paraId="4EAA5425"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1.562.500 € </w:t>
            </w:r>
          </w:p>
        </w:tc>
      </w:tr>
      <w:tr w:rsidR="000755BA" w14:paraId="7B0F746B" w14:textId="77777777">
        <w:trPr>
          <w:trHeight w:val="300"/>
        </w:trPr>
        <w:tc>
          <w:tcPr>
            <w:tcW w:w="400" w:type="dxa"/>
            <w:tcBorders>
              <w:top w:val="nil"/>
              <w:left w:val="single" w:sz="4" w:space="0" w:color="000000"/>
              <w:bottom w:val="single" w:sz="4" w:space="0" w:color="000000"/>
              <w:right w:val="single" w:sz="4" w:space="0" w:color="000000"/>
            </w:tcBorders>
            <w:vAlign w:val="center"/>
          </w:tcPr>
          <w:p w14:paraId="5A3F6F7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6</w:t>
            </w:r>
          </w:p>
        </w:tc>
        <w:tc>
          <w:tcPr>
            <w:tcW w:w="3503" w:type="dxa"/>
            <w:tcBorders>
              <w:top w:val="nil"/>
              <w:left w:val="nil"/>
              <w:bottom w:val="single" w:sz="4" w:space="0" w:color="000000"/>
              <w:right w:val="single" w:sz="4" w:space="0" w:color="000000"/>
            </w:tcBorders>
            <w:vAlign w:val="center"/>
          </w:tcPr>
          <w:p w14:paraId="4EA320D6"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Dolenjska, Bela Krajina in Kočevsko</w:t>
            </w:r>
          </w:p>
        </w:tc>
        <w:tc>
          <w:tcPr>
            <w:tcW w:w="1240" w:type="dxa"/>
            <w:tcBorders>
              <w:top w:val="nil"/>
              <w:left w:val="nil"/>
              <w:bottom w:val="single" w:sz="4" w:space="0" w:color="000000"/>
              <w:right w:val="single" w:sz="4" w:space="0" w:color="000000"/>
            </w:tcBorders>
            <w:vAlign w:val="center"/>
          </w:tcPr>
          <w:p w14:paraId="632F82F6"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198,11</w:t>
            </w:r>
          </w:p>
        </w:tc>
        <w:tc>
          <w:tcPr>
            <w:tcW w:w="1240" w:type="dxa"/>
            <w:tcBorders>
              <w:top w:val="nil"/>
              <w:left w:val="nil"/>
              <w:bottom w:val="single" w:sz="4" w:space="0" w:color="000000"/>
              <w:right w:val="single" w:sz="4" w:space="0" w:color="000000"/>
            </w:tcBorders>
            <w:vAlign w:val="center"/>
          </w:tcPr>
          <w:p w14:paraId="30C013A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104,64</w:t>
            </w:r>
          </w:p>
        </w:tc>
        <w:tc>
          <w:tcPr>
            <w:tcW w:w="1180" w:type="dxa"/>
            <w:tcBorders>
              <w:top w:val="nil"/>
              <w:left w:val="nil"/>
              <w:bottom w:val="single" w:sz="4" w:space="0" w:color="000000"/>
              <w:right w:val="single" w:sz="4" w:space="0" w:color="000000"/>
            </w:tcBorders>
            <w:vAlign w:val="center"/>
          </w:tcPr>
          <w:p w14:paraId="53BF946F"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67,17</w:t>
            </w:r>
          </w:p>
        </w:tc>
        <w:tc>
          <w:tcPr>
            <w:tcW w:w="1060" w:type="dxa"/>
            <w:tcBorders>
              <w:top w:val="nil"/>
              <w:left w:val="nil"/>
              <w:bottom w:val="single" w:sz="4" w:space="0" w:color="000000"/>
              <w:right w:val="single" w:sz="4" w:space="0" w:color="000000"/>
            </w:tcBorders>
            <w:vAlign w:val="center"/>
          </w:tcPr>
          <w:p w14:paraId="77AE5630"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197,93</w:t>
            </w:r>
          </w:p>
        </w:tc>
        <w:tc>
          <w:tcPr>
            <w:tcW w:w="1460" w:type="dxa"/>
            <w:tcBorders>
              <w:top w:val="nil"/>
              <w:left w:val="nil"/>
              <w:bottom w:val="single" w:sz="4" w:space="0" w:color="000000"/>
              <w:right w:val="single" w:sz="4" w:space="0" w:color="000000"/>
            </w:tcBorders>
            <w:vAlign w:val="center"/>
          </w:tcPr>
          <w:p w14:paraId="762D76E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103,35</w:t>
            </w:r>
          </w:p>
        </w:tc>
        <w:tc>
          <w:tcPr>
            <w:tcW w:w="1030" w:type="dxa"/>
            <w:tcBorders>
              <w:top w:val="nil"/>
              <w:left w:val="nil"/>
              <w:bottom w:val="single" w:sz="4" w:space="0" w:color="000000"/>
              <w:right w:val="single" w:sz="4" w:space="0" w:color="000000"/>
            </w:tcBorders>
            <w:shd w:val="clear" w:color="auto" w:fill="F2F2F2"/>
            <w:vAlign w:val="center"/>
          </w:tcPr>
          <w:p w14:paraId="49378BB5"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671,20</w:t>
            </w:r>
          </w:p>
        </w:tc>
        <w:tc>
          <w:tcPr>
            <w:tcW w:w="1640" w:type="dxa"/>
            <w:tcBorders>
              <w:top w:val="nil"/>
              <w:left w:val="nil"/>
              <w:bottom w:val="single" w:sz="4" w:space="0" w:color="000000"/>
              <w:right w:val="single" w:sz="4" w:space="0" w:color="000000"/>
            </w:tcBorders>
            <w:shd w:val="clear" w:color="auto" w:fill="D8E4BC"/>
            <w:vAlign w:val="center"/>
          </w:tcPr>
          <w:p w14:paraId="72F7681B"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1.250.000 € </w:t>
            </w:r>
          </w:p>
        </w:tc>
        <w:tc>
          <w:tcPr>
            <w:tcW w:w="1559" w:type="dxa"/>
            <w:tcBorders>
              <w:top w:val="nil"/>
              <w:left w:val="nil"/>
              <w:bottom w:val="single" w:sz="4" w:space="0" w:color="000000"/>
              <w:right w:val="single" w:sz="4" w:space="0" w:color="000000"/>
            </w:tcBorders>
            <w:shd w:val="clear" w:color="auto" w:fill="EBF1DE"/>
            <w:vAlign w:val="center"/>
          </w:tcPr>
          <w:p w14:paraId="1861CD58"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1.562.500 € </w:t>
            </w:r>
          </w:p>
        </w:tc>
      </w:tr>
      <w:tr w:rsidR="000755BA" w14:paraId="0D5264CA" w14:textId="77777777">
        <w:trPr>
          <w:trHeight w:val="300"/>
        </w:trPr>
        <w:tc>
          <w:tcPr>
            <w:tcW w:w="400" w:type="dxa"/>
            <w:tcBorders>
              <w:top w:val="nil"/>
              <w:left w:val="single" w:sz="4" w:space="0" w:color="000000"/>
              <w:bottom w:val="single" w:sz="4" w:space="0" w:color="000000"/>
              <w:right w:val="single" w:sz="4" w:space="0" w:color="000000"/>
            </w:tcBorders>
            <w:vAlign w:val="center"/>
          </w:tcPr>
          <w:p w14:paraId="1AF229B4"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7</w:t>
            </w:r>
          </w:p>
        </w:tc>
        <w:tc>
          <w:tcPr>
            <w:tcW w:w="3503" w:type="dxa"/>
            <w:tcBorders>
              <w:top w:val="nil"/>
              <w:left w:val="nil"/>
              <w:bottom w:val="single" w:sz="4" w:space="0" w:color="000000"/>
              <w:right w:val="single" w:sz="4" w:space="0" w:color="000000"/>
            </w:tcBorders>
            <w:vAlign w:val="center"/>
          </w:tcPr>
          <w:p w14:paraId="5736A98B" w14:textId="6E38C2D8"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Ljubljana in </w:t>
            </w:r>
            <w:r w:rsidR="00644050">
              <w:rPr>
                <w:rFonts w:ascii="Arial" w:eastAsia="Arial" w:hAnsi="Arial" w:cs="Arial"/>
                <w:color w:val="000000"/>
              </w:rPr>
              <w:t>O</w:t>
            </w:r>
            <w:r>
              <w:rPr>
                <w:rFonts w:ascii="Arial" w:eastAsia="Arial" w:hAnsi="Arial" w:cs="Arial"/>
                <w:color w:val="000000"/>
              </w:rPr>
              <w:t>srednja Slovenija</w:t>
            </w:r>
          </w:p>
        </w:tc>
        <w:tc>
          <w:tcPr>
            <w:tcW w:w="1240" w:type="dxa"/>
            <w:tcBorders>
              <w:top w:val="nil"/>
              <w:left w:val="nil"/>
              <w:bottom w:val="single" w:sz="4" w:space="0" w:color="000000"/>
              <w:right w:val="single" w:sz="4" w:space="0" w:color="000000"/>
            </w:tcBorders>
            <w:vAlign w:val="center"/>
          </w:tcPr>
          <w:p w14:paraId="67131A74"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273,58</w:t>
            </w:r>
          </w:p>
        </w:tc>
        <w:tc>
          <w:tcPr>
            <w:tcW w:w="1240" w:type="dxa"/>
            <w:tcBorders>
              <w:top w:val="nil"/>
              <w:left w:val="nil"/>
              <w:bottom w:val="single" w:sz="4" w:space="0" w:color="000000"/>
              <w:right w:val="single" w:sz="4" w:space="0" w:color="000000"/>
            </w:tcBorders>
            <w:vAlign w:val="center"/>
          </w:tcPr>
          <w:p w14:paraId="62EAAFA0"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442,22</w:t>
            </w:r>
          </w:p>
        </w:tc>
        <w:tc>
          <w:tcPr>
            <w:tcW w:w="1180" w:type="dxa"/>
            <w:tcBorders>
              <w:top w:val="nil"/>
              <w:left w:val="nil"/>
              <w:bottom w:val="single" w:sz="4" w:space="0" w:color="000000"/>
              <w:right w:val="single" w:sz="4" w:space="0" w:color="000000"/>
            </w:tcBorders>
            <w:vAlign w:val="center"/>
          </w:tcPr>
          <w:p w14:paraId="60608502"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527,38</w:t>
            </w:r>
          </w:p>
        </w:tc>
        <w:tc>
          <w:tcPr>
            <w:tcW w:w="1060" w:type="dxa"/>
            <w:tcBorders>
              <w:top w:val="nil"/>
              <w:left w:val="nil"/>
              <w:bottom w:val="single" w:sz="4" w:space="0" w:color="000000"/>
              <w:right w:val="single" w:sz="4" w:space="0" w:color="000000"/>
            </w:tcBorders>
            <w:vAlign w:val="center"/>
          </w:tcPr>
          <w:p w14:paraId="71DB8F8A"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208,58</w:t>
            </w:r>
          </w:p>
        </w:tc>
        <w:tc>
          <w:tcPr>
            <w:tcW w:w="1460" w:type="dxa"/>
            <w:tcBorders>
              <w:top w:val="nil"/>
              <w:left w:val="nil"/>
              <w:bottom w:val="single" w:sz="4" w:space="0" w:color="000000"/>
              <w:right w:val="single" w:sz="4" w:space="0" w:color="000000"/>
            </w:tcBorders>
            <w:vAlign w:val="center"/>
          </w:tcPr>
          <w:p w14:paraId="0F1E9DF7"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625,30</w:t>
            </w:r>
          </w:p>
        </w:tc>
        <w:tc>
          <w:tcPr>
            <w:tcW w:w="1030" w:type="dxa"/>
            <w:tcBorders>
              <w:top w:val="nil"/>
              <w:left w:val="nil"/>
              <w:bottom w:val="single" w:sz="4" w:space="0" w:color="000000"/>
              <w:right w:val="single" w:sz="4" w:space="0" w:color="000000"/>
            </w:tcBorders>
            <w:shd w:val="clear" w:color="auto" w:fill="F2F2F2"/>
            <w:vAlign w:val="center"/>
          </w:tcPr>
          <w:p w14:paraId="249ED7E3"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2.077,07</w:t>
            </w:r>
          </w:p>
        </w:tc>
        <w:tc>
          <w:tcPr>
            <w:tcW w:w="1640" w:type="dxa"/>
            <w:tcBorders>
              <w:top w:val="nil"/>
              <w:left w:val="nil"/>
              <w:bottom w:val="single" w:sz="4" w:space="0" w:color="000000"/>
              <w:right w:val="single" w:sz="4" w:space="0" w:color="000000"/>
            </w:tcBorders>
            <w:shd w:val="clear" w:color="auto" w:fill="D8E4BC"/>
            <w:vAlign w:val="center"/>
          </w:tcPr>
          <w:p w14:paraId="7CCCDA0E"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1.650.000 € </w:t>
            </w:r>
          </w:p>
        </w:tc>
        <w:tc>
          <w:tcPr>
            <w:tcW w:w="1559" w:type="dxa"/>
            <w:tcBorders>
              <w:top w:val="nil"/>
              <w:left w:val="nil"/>
              <w:bottom w:val="single" w:sz="4" w:space="0" w:color="000000"/>
              <w:right w:val="single" w:sz="4" w:space="0" w:color="000000"/>
            </w:tcBorders>
            <w:shd w:val="clear" w:color="auto" w:fill="EBF1DE"/>
            <w:vAlign w:val="center"/>
          </w:tcPr>
          <w:p w14:paraId="59D64CEF"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2.062.500 € </w:t>
            </w:r>
          </w:p>
        </w:tc>
      </w:tr>
      <w:tr w:rsidR="000755BA" w14:paraId="0DF1287D" w14:textId="77777777">
        <w:trPr>
          <w:trHeight w:val="300"/>
        </w:trPr>
        <w:tc>
          <w:tcPr>
            <w:tcW w:w="400" w:type="dxa"/>
            <w:tcBorders>
              <w:top w:val="nil"/>
              <w:left w:val="single" w:sz="4" w:space="0" w:color="000000"/>
              <w:bottom w:val="single" w:sz="4" w:space="0" w:color="000000"/>
              <w:right w:val="single" w:sz="4" w:space="0" w:color="000000"/>
            </w:tcBorders>
            <w:vAlign w:val="center"/>
          </w:tcPr>
          <w:p w14:paraId="2CF1457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8</w:t>
            </w:r>
          </w:p>
        </w:tc>
        <w:tc>
          <w:tcPr>
            <w:tcW w:w="3503" w:type="dxa"/>
            <w:tcBorders>
              <w:top w:val="nil"/>
              <w:left w:val="nil"/>
              <w:bottom w:val="single" w:sz="4" w:space="0" w:color="000000"/>
              <w:right w:val="single" w:sz="4" w:space="0" w:color="000000"/>
            </w:tcBorders>
            <w:vAlign w:val="center"/>
          </w:tcPr>
          <w:p w14:paraId="3F01D266"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Štajerska (Maribor, Pohorje, Ptuj)</w:t>
            </w:r>
          </w:p>
        </w:tc>
        <w:tc>
          <w:tcPr>
            <w:tcW w:w="1240" w:type="dxa"/>
            <w:tcBorders>
              <w:top w:val="nil"/>
              <w:left w:val="nil"/>
              <w:bottom w:val="single" w:sz="4" w:space="0" w:color="000000"/>
              <w:right w:val="single" w:sz="4" w:space="0" w:color="000000"/>
            </w:tcBorders>
            <w:vAlign w:val="center"/>
          </w:tcPr>
          <w:p w14:paraId="43F15E6F"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415,09</w:t>
            </w:r>
          </w:p>
        </w:tc>
        <w:tc>
          <w:tcPr>
            <w:tcW w:w="1240" w:type="dxa"/>
            <w:tcBorders>
              <w:top w:val="nil"/>
              <w:left w:val="nil"/>
              <w:bottom w:val="single" w:sz="4" w:space="0" w:color="000000"/>
              <w:right w:val="single" w:sz="4" w:space="0" w:color="000000"/>
            </w:tcBorders>
            <w:vAlign w:val="center"/>
          </w:tcPr>
          <w:p w14:paraId="1DC097D3"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250,35</w:t>
            </w:r>
          </w:p>
        </w:tc>
        <w:tc>
          <w:tcPr>
            <w:tcW w:w="1180" w:type="dxa"/>
            <w:tcBorders>
              <w:top w:val="nil"/>
              <w:left w:val="nil"/>
              <w:bottom w:val="single" w:sz="4" w:space="0" w:color="000000"/>
              <w:right w:val="single" w:sz="4" w:space="0" w:color="000000"/>
            </w:tcBorders>
            <w:vAlign w:val="center"/>
          </w:tcPr>
          <w:p w14:paraId="008D48C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186,92</w:t>
            </w:r>
          </w:p>
        </w:tc>
        <w:tc>
          <w:tcPr>
            <w:tcW w:w="1060" w:type="dxa"/>
            <w:tcBorders>
              <w:top w:val="nil"/>
              <w:left w:val="nil"/>
              <w:bottom w:val="single" w:sz="4" w:space="0" w:color="000000"/>
              <w:right w:val="single" w:sz="4" w:space="0" w:color="000000"/>
            </w:tcBorders>
            <w:vAlign w:val="center"/>
          </w:tcPr>
          <w:p w14:paraId="472DCCF0"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177,22</w:t>
            </w:r>
          </w:p>
        </w:tc>
        <w:tc>
          <w:tcPr>
            <w:tcW w:w="1460" w:type="dxa"/>
            <w:tcBorders>
              <w:top w:val="nil"/>
              <w:left w:val="nil"/>
              <w:bottom w:val="single" w:sz="4" w:space="0" w:color="000000"/>
              <w:right w:val="single" w:sz="4" w:space="0" w:color="000000"/>
            </w:tcBorders>
            <w:vAlign w:val="center"/>
          </w:tcPr>
          <w:p w14:paraId="431BFA7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240,29</w:t>
            </w:r>
          </w:p>
        </w:tc>
        <w:tc>
          <w:tcPr>
            <w:tcW w:w="1030" w:type="dxa"/>
            <w:tcBorders>
              <w:top w:val="nil"/>
              <w:left w:val="nil"/>
              <w:bottom w:val="single" w:sz="4" w:space="0" w:color="000000"/>
              <w:right w:val="single" w:sz="4" w:space="0" w:color="000000"/>
            </w:tcBorders>
            <w:shd w:val="clear" w:color="auto" w:fill="F2F2F2"/>
            <w:vAlign w:val="center"/>
          </w:tcPr>
          <w:p w14:paraId="23638B8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1.269,88</w:t>
            </w:r>
          </w:p>
        </w:tc>
        <w:tc>
          <w:tcPr>
            <w:tcW w:w="1640" w:type="dxa"/>
            <w:tcBorders>
              <w:top w:val="nil"/>
              <w:left w:val="nil"/>
              <w:bottom w:val="single" w:sz="4" w:space="0" w:color="000000"/>
              <w:right w:val="single" w:sz="4" w:space="0" w:color="000000"/>
            </w:tcBorders>
            <w:shd w:val="clear" w:color="auto" w:fill="D8E4BC"/>
            <w:vAlign w:val="center"/>
          </w:tcPr>
          <w:p w14:paraId="3CECA903"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1.650.000 € </w:t>
            </w:r>
          </w:p>
        </w:tc>
        <w:tc>
          <w:tcPr>
            <w:tcW w:w="1559" w:type="dxa"/>
            <w:tcBorders>
              <w:top w:val="nil"/>
              <w:left w:val="nil"/>
              <w:bottom w:val="single" w:sz="4" w:space="0" w:color="000000"/>
              <w:right w:val="single" w:sz="4" w:space="0" w:color="000000"/>
            </w:tcBorders>
            <w:shd w:val="clear" w:color="auto" w:fill="EBF1DE"/>
            <w:vAlign w:val="center"/>
          </w:tcPr>
          <w:p w14:paraId="5E1CB24D"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2.062.500 € </w:t>
            </w:r>
          </w:p>
        </w:tc>
      </w:tr>
      <w:tr w:rsidR="000755BA" w14:paraId="5F3E8A7D" w14:textId="77777777">
        <w:trPr>
          <w:trHeight w:val="300"/>
        </w:trPr>
        <w:tc>
          <w:tcPr>
            <w:tcW w:w="400" w:type="dxa"/>
            <w:tcBorders>
              <w:top w:val="nil"/>
              <w:left w:val="single" w:sz="4" w:space="0" w:color="000000"/>
              <w:bottom w:val="single" w:sz="4" w:space="0" w:color="000000"/>
              <w:right w:val="single" w:sz="4" w:space="0" w:color="000000"/>
            </w:tcBorders>
            <w:vAlign w:val="center"/>
          </w:tcPr>
          <w:p w14:paraId="77AB083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9</w:t>
            </w:r>
          </w:p>
        </w:tc>
        <w:tc>
          <w:tcPr>
            <w:tcW w:w="3503" w:type="dxa"/>
            <w:tcBorders>
              <w:top w:val="nil"/>
              <w:left w:val="nil"/>
              <w:bottom w:val="single" w:sz="4" w:space="0" w:color="000000"/>
              <w:right w:val="single" w:sz="4" w:space="0" w:color="000000"/>
            </w:tcBorders>
            <w:vAlign w:val="center"/>
          </w:tcPr>
          <w:p w14:paraId="77663642"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Zgornje Savinjska, Šaleška in Koroška</w:t>
            </w:r>
          </w:p>
        </w:tc>
        <w:tc>
          <w:tcPr>
            <w:tcW w:w="1240" w:type="dxa"/>
            <w:tcBorders>
              <w:top w:val="nil"/>
              <w:left w:val="nil"/>
              <w:bottom w:val="single" w:sz="4" w:space="0" w:color="000000"/>
              <w:right w:val="single" w:sz="4" w:space="0" w:color="000000"/>
            </w:tcBorders>
            <w:vAlign w:val="center"/>
          </w:tcPr>
          <w:p w14:paraId="273C88E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207,55</w:t>
            </w:r>
          </w:p>
        </w:tc>
        <w:tc>
          <w:tcPr>
            <w:tcW w:w="1240" w:type="dxa"/>
            <w:tcBorders>
              <w:top w:val="nil"/>
              <w:left w:val="nil"/>
              <w:bottom w:val="single" w:sz="4" w:space="0" w:color="000000"/>
              <w:right w:val="single" w:sz="4" w:space="0" w:color="000000"/>
            </w:tcBorders>
            <w:vAlign w:val="center"/>
          </w:tcPr>
          <w:p w14:paraId="585DA4D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93,57</w:t>
            </w:r>
          </w:p>
        </w:tc>
        <w:tc>
          <w:tcPr>
            <w:tcW w:w="1180" w:type="dxa"/>
            <w:tcBorders>
              <w:top w:val="nil"/>
              <w:left w:val="nil"/>
              <w:bottom w:val="single" w:sz="4" w:space="0" w:color="000000"/>
              <w:right w:val="single" w:sz="4" w:space="0" w:color="000000"/>
            </w:tcBorders>
            <w:vAlign w:val="center"/>
          </w:tcPr>
          <w:p w14:paraId="1B88D306"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55,55</w:t>
            </w:r>
          </w:p>
        </w:tc>
        <w:tc>
          <w:tcPr>
            <w:tcW w:w="1060" w:type="dxa"/>
            <w:tcBorders>
              <w:top w:val="nil"/>
              <w:left w:val="nil"/>
              <w:bottom w:val="single" w:sz="4" w:space="0" w:color="000000"/>
              <w:right w:val="single" w:sz="4" w:space="0" w:color="000000"/>
            </w:tcBorders>
            <w:vAlign w:val="center"/>
          </w:tcPr>
          <w:p w14:paraId="6B1452A3"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129,44</w:t>
            </w:r>
          </w:p>
        </w:tc>
        <w:tc>
          <w:tcPr>
            <w:tcW w:w="1460" w:type="dxa"/>
            <w:tcBorders>
              <w:top w:val="nil"/>
              <w:left w:val="nil"/>
              <w:bottom w:val="single" w:sz="4" w:space="0" w:color="000000"/>
              <w:right w:val="single" w:sz="4" w:space="0" w:color="000000"/>
            </w:tcBorders>
            <w:vAlign w:val="center"/>
          </w:tcPr>
          <w:p w14:paraId="05B31FA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96,34</w:t>
            </w:r>
          </w:p>
        </w:tc>
        <w:tc>
          <w:tcPr>
            <w:tcW w:w="1030" w:type="dxa"/>
            <w:tcBorders>
              <w:top w:val="nil"/>
              <w:left w:val="nil"/>
              <w:bottom w:val="single" w:sz="4" w:space="0" w:color="000000"/>
              <w:right w:val="single" w:sz="4" w:space="0" w:color="000000"/>
            </w:tcBorders>
            <w:shd w:val="clear" w:color="auto" w:fill="F2F2F2"/>
            <w:vAlign w:val="center"/>
          </w:tcPr>
          <w:p w14:paraId="43D29EB0"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582,44</w:t>
            </w:r>
          </w:p>
        </w:tc>
        <w:tc>
          <w:tcPr>
            <w:tcW w:w="1640" w:type="dxa"/>
            <w:tcBorders>
              <w:top w:val="nil"/>
              <w:left w:val="nil"/>
              <w:bottom w:val="single" w:sz="4" w:space="0" w:color="000000"/>
              <w:right w:val="single" w:sz="4" w:space="0" w:color="000000"/>
            </w:tcBorders>
            <w:shd w:val="clear" w:color="auto" w:fill="D8E4BC"/>
            <w:vAlign w:val="center"/>
          </w:tcPr>
          <w:p w14:paraId="021EAF4A"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1.000.000 € </w:t>
            </w:r>
          </w:p>
        </w:tc>
        <w:tc>
          <w:tcPr>
            <w:tcW w:w="1559" w:type="dxa"/>
            <w:tcBorders>
              <w:top w:val="nil"/>
              <w:left w:val="nil"/>
              <w:bottom w:val="single" w:sz="4" w:space="0" w:color="000000"/>
              <w:right w:val="single" w:sz="4" w:space="0" w:color="000000"/>
            </w:tcBorders>
            <w:shd w:val="clear" w:color="auto" w:fill="EBF1DE"/>
            <w:vAlign w:val="center"/>
          </w:tcPr>
          <w:p w14:paraId="6E376C31"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1.250.000 € </w:t>
            </w:r>
          </w:p>
        </w:tc>
      </w:tr>
      <w:tr w:rsidR="000755BA" w14:paraId="168CE490" w14:textId="77777777">
        <w:trPr>
          <w:trHeight w:val="300"/>
        </w:trPr>
        <w:tc>
          <w:tcPr>
            <w:tcW w:w="400" w:type="dxa"/>
            <w:tcBorders>
              <w:top w:val="nil"/>
              <w:left w:val="single" w:sz="4" w:space="0" w:color="000000"/>
              <w:bottom w:val="single" w:sz="4" w:space="0" w:color="000000"/>
              <w:right w:val="single" w:sz="4" w:space="0" w:color="000000"/>
            </w:tcBorders>
            <w:vAlign w:val="center"/>
          </w:tcPr>
          <w:p w14:paraId="7D53C389"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10</w:t>
            </w:r>
          </w:p>
        </w:tc>
        <w:tc>
          <w:tcPr>
            <w:tcW w:w="3503" w:type="dxa"/>
            <w:tcBorders>
              <w:top w:val="nil"/>
              <w:left w:val="nil"/>
              <w:bottom w:val="single" w:sz="4" w:space="0" w:color="000000"/>
              <w:right w:val="single" w:sz="4" w:space="0" w:color="000000"/>
            </w:tcBorders>
            <w:vAlign w:val="center"/>
          </w:tcPr>
          <w:p w14:paraId="11814EB7"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Pomurje</w:t>
            </w:r>
          </w:p>
        </w:tc>
        <w:tc>
          <w:tcPr>
            <w:tcW w:w="1240" w:type="dxa"/>
            <w:tcBorders>
              <w:top w:val="nil"/>
              <w:left w:val="nil"/>
              <w:bottom w:val="single" w:sz="4" w:space="0" w:color="000000"/>
              <w:right w:val="single" w:sz="4" w:space="0" w:color="000000"/>
            </w:tcBorders>
            <w:vAlign w:val="center"/>
          </w:tcPr>
          <w:p w14:paraId="28B5845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254,72</w:t>
            </w:r>
          </w:p>
        </w:tc>
        <w:tc>
          <w:tcPr>
            <w:tcW w:w="1240" w:type="dxa"/>
            <w:tcBorders>
              <w:top w:val="nil"/>
              <w:left w:val="nil"/>
              <w:bottom w:val="single" w:sz="4" w:space="0" w:color="000000"/>
              <w:right w:val="single" w:sz="4" w:space="0" w:color="000000"/>
            </w:tcBorders>
            <w:vAlign w:val="center"/>
          </w:tcPr>
          <w:p w14:paraId="56A2F0D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79,40</w:t>
            </w:r>
          </w:p>
        </w:tc>
        <w:tc>
          <w:tcPr>
            <w:tcW w:w="1180" w:type="dxa"/>
            <w:tcBorders>
              <w:top w:val="nil"/>
              <w:left w:val="nil"/>
              <w:bottom w:val="single" w:sz="4" w:space="0" w:color="000000"/>
              <w:right w:val="single" w:sz="4" w:space="0" w:color="000000"/>
            </w:tcBorders>
            <w:vAlign w:val="center"/>
          </w:tcPr>
          <w:p w14:paraId="43FE763F"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63,16</w:t>
            </w:r>
          </w:p>
        </w:tc>
        <w:tc>
          <w:tcPr>
            <w:tcW w:w="1060" w:type="dxa"/>
            <w:tcBorders>
              <w:top w:val="nil"/>
              <w:left w:val="nil"/>
              <w:bottom w:val="single" w:sz="4" w:space="0" w:color="000000"/>
              <w:right w:val="single" w:sz="4" w:space="0" w:color="000000"/>
            </w:tcBorders>
            <w:vAlign w:val="center"/>
          </w:tcPr>
          <w:p w14:paraId="140B1852"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98,74</w:t>
            </w:r>
          </w:p>
        </w:tc>
        <w:tc>
          <w:tcPr>
            <w:tcW w:w="1460" w:type="dxa"/>
            <w:tcBorders>
              <w:top w:val="nil"/>
              <w:left w:val="nil"/>
              <w:bottom w:val="single" w:sz="4" w:space="0" w:color="000000"/>
              <w:right w:val="single" w:sz="4" w:space="0" w:color="000000"/>
            </w:tcBorders>
            <w:vAlign w:val="center"/>
          </w:tcPr>
          <w:p w14:paraId="08B0B591"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201,17</w:t>
            </w:r>
          </w:p>
        </w:tc>
        <w:tc>
          <w:tcPr>
            <w:tcW w:w="1030" w:type="dxa"/>
            <w:tcBorders>
              <w:top w:val="nil"/>
              <w:left w:val="nil"/>
              <w:bottom w:val="single" w:sz="4" w:space="0" w:color="000000"/>
              <w:right w:val="single" w:sz="4" w:space="0" w:color="000000"/>
            </w:tcBorders>
            <w:shd w:val="clear" w:color="auto" w:fill="F2F2F2"/>
            <w:vAlign w:val="center"/>
          </w:tcPr>
          <w:p w14:paraId="7E3242D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697,20</w:t>
            </w:r>
          </w:p>
        </w:tc>
        <w:tc>
          <w:tcPr>
            <w:tcW w:w="1640" w:type="dxa"/>
            <w:tcBorders>
              <w:top w:val="nil"/>
              <w:left w:val="nil"/>
              <w:bottom w:val="single" w:sz="4" w:space="0" w:color="000000"/>
              <w:right w:val="single" w:sz="4" w:space="0" w:color="000000"/>
            </w:tcBorders>
            <w:shd w:val="clear" w:color="auto" w:fill="D8E4BC"/>
            <w:vAlign w:val="center"/>
          </w:tcPr>
          <w:p w14:paraId="693BBAD3"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1.250.000 € </w:t>
            </w:r>
          </w:p>
        </w:tc>
        <w:tc>
          <w:tcPr>
            <w:tcW w:w="1559" w:type="dxa"/>
            <w:tcBorders>
              <w:top w:val="nil"/>
              <w:left w:val="nil"/>
              <w:bottom w:val="single" w:sz="4" w:space="0" w:color="000000"/>
              <w:right w:val="single" w:sz="4" w:space="0" w:color="000000"/>
            </w:tcBorders>
            <w:shd w:val="clear" w:color="auto" w:fill="EBF1DE"/>
            <w:vAlign w:val="center"/>
          </w:tcPr>
          <w:p w14:paraId="337B26D1"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1.562.500 € </w:t>
            </w:r>
          </w:p>
        </w:tc>
      </w:tr>
      <w:tr w:rsidR="000755BA" w14:paraId="04487B37" w14:textId="77777777">
        <w:trPr>
          <w:trHeight w:val="300"/>
        </w:trPr>
        <w:tc>
          <w:tcPr>
            <w:tcW w:w="400" w:type="dxa"/>
            <w:tcBorders>
              <w:top w:val="nil"/>
              <w:left w:val="single" w:sz="4" w:space="0" w:color="000000"/>
              <w:bottom w:val="single" w:sz="4" w:space="0" w:color="000000"/>
              <w:right w:val="single" w:sz="4" w:space="0" w:color="000000"/>
            </w:tcBorders>
            <w:vAlign w:val="center"/>
          </w:tcPr>
          <w:p w14:paraId="36292A7A"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11</w:t>
            </w:r>
          </w:p>
        </w:tc>
        <w:tc>
          <w:tcPr>
            <w:tcW w:w="3503" w:type="dxa"/>
            <w:tcBorders>
              <w:top w:val="nil"/>
              <w:left w:val="nil"/>
              <w:bottom w:val="single" w:sz="4" w:space="0" w:color="000000"/>
              <w:right w:val="single" w:sz="4" w:space="0" w:color="000000"/>
            </w:tcBorders>
            <w:vAlign w:val="center"/>
          </w:tcPr>
          <w:p w14:paraId="644F4CB4"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Posavje</w:t>
            </w:r>
          </w:p>
        </w:tc>
        <w:tc>
          <w:tcPr>
            <w:tcW w:w="1240" w:type="dxa"/>
            <w:tcBorders>
              <w:top w:val="nil"/>
              <w:left w:val="nil"/>
              <w:bottom w:val="single" w:sz="4" w:space="0" w:color="000000"/>
              <w:right w:val="single" w:sz="4" w:space="0" w:color="000000"/>
            </w:tcBorders>
            <w:vAlign w:val="center"/>
          </w:tcPr>
          <w:p w14:paraId="513E930B"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56,60</w:t>
            </w:r>
          </w:p>
        </w:tc>
        <w:tc>
          <w:tcPr>
            <w:tcW w:w="1240" w:type="dxa"/>
            <w:tcBorders>
              <w:top w:val="nil"/>
              <w:left w:val="nil"/>
              <w:bottom w:val="single" w:sz="4" w:space="0" w:color="000000"/>
              <w:right w:val="single" w:sz="4" w:space="0" w:color="000000"/>
            </w:tcBorders>
            <w:vAlign w:val="center"/>
          </w:tcPr>
          <w:p w14:paraId="689BFE49"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53,44</w:t>
            </w:r>
          </w:p>
        </w:tc>
        <w:tc>
          <w:tcPr>
            <w:tcW w:w="1180" w:type="dxa"/>
            <w:tcBorders>
              <w:top w:val="nil"/>
              <w:left w:val="nil"/>
              <w:bottom w:val="single" w:sz="4" w:space="0" w:color="000000"/>
              <w:right w:val="single" w:sz="4" w:space="0" w:color="000000"/>
            </w:tcBorders>
            <w:vAlign w:val="center"/>
          </w:tcPr>
          <w:p w14:paraId="437728EF"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34,01</w:t>
            </w:r>
          </w:p>
        </w:tc>
        <w:tc>
          <w:tcPr>
            <w:tcW w:w="1060" w:type="dxa"/>
            <w:tcBorders>
              <w:top w:val="nil"/>
              <w:left w:val="nil"/>
              <w:bottom w:val="single" w:sz="4" w:space="0" w:color="000000"/>
              <w:right w:val="single" w:sz="4" w:space="0" w:color="000000"/>
            </w:tcBorders>
            <w:vAlign w:val="center"/>
          </w:tcPr>
          <w:p w14:paraId="4D6A40AD"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71,60</w:t>
            </w:r>
          </w:p>
        </w:tc>
        <w:tc>
          <w:tcPr>
            <w:tcW w:w="1460" w:type="dxa"/>
            <w:tcBorders>
              <w:top w:val="nil"/>
              <w:left w:val="nil"/>
              <w:bottom w:val="single" w:sz="4" w:space="0" w:color="000000"/>
              <w:right w:val="single" w:sz="4" w:space="0" w:color="000000"/>
            </w:tcBorders>
            <w:vAlign w:val="center"/>
          </w:tcPr>
          <w:p w14:paraId="003FFD40"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148,06</w:t>
            </w:r>
          </w:p>
        </w:tc>
        <w:tc>
          <w:tcPr>
            <w:tcW w:w="1030" w:type="dxa"/>
            <w:tcBorders>
              <w:top w:val="nil"/>
              <w:left w:val="nil"/>
              <w:bottom w:val="single" w:sz="4" w:space="0" w:color="000000"/>
              <w:right w:val="single" w:sz="4" w:space="0" w:color="000000"/>
            </w:tcBorders>
            <w:shd w:val="clear" w:color="auto" w:fill="F2F2F2"/>
            <w:vAlign w:val="center"/>
          </w:tcPr>
          <w:p w14:paraId="31E32FE8"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363,71</w:t>
            </w:r>
          </w:p>
        </w:tc>
        <w:tc>
          <w:tcPr>
            <w:tcW w:w="1640" w:type="dxa"/>
            <w:tcBorders>
              <w:top w:val="nil"/>
              <w:left w:val="nil"/>
              <w:bottom w:val="single" w:sz="4" w:space="0" w:color="000000"/>
              <w:right w:val="single" w:sz="4" w:space="0" w:color="000000"/>
            </w:tcBorders>
            <w:shd w:val="clear" w:color="auto" w:fill="D8E4BC"/>
            <w:vAlign w:val="center"/>
          </w:tcPr>
          <w:p w14:paraId="73B19ED6"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color w:val="000000"/>
              </w:rPr>
              <w:t xml:space="preserve">          860.000 € </w:t>
            </w:r>
          </w:p>
        </w:tc>
        <w:tc>
          <w:tcPr>
            <w:tcW w:w="1559" w:type="dxa"/>
            <w:tcBorders>
              <w:top w:val="nil"/>
              <w:left w:val="nil"/>
              <w:bottom w:val="single" w:sz="4" w:space="0" w:color="000000"/>
              <w:right w:val="single" w:sz="4" w:space="0" w:color="000000"/>
            </w:tcBorders>
            <w:shd w:val="clear" w:color="auto" w:fill="EBF1DE"/>
            <w:vAlign w:val="center"/>
          </w:tcPr>
          <w:p w14:paraId="002771E1"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      1.075.000 € </w:t>
            </w:r>
          </w:p>
        </w:tc>
      </w:tr>
      <w:tr w:rsidR="000755BA" w14:paraId="2B025678" w14:textId="77777777">
        <w:trPr>
          <w:trHeight w:val="300"/>
        </w:trPr>
        <w:tc>
          <w:tcPr>
            <w:tcW w:w="400" w:type="dxa"/>
            <w:tcBorders>
              <w:top w:val="nil"/>
              <w:left w:val="nil"/>
              <w:bottom w:val="nil"/>
              <w:right w:val="nil"/>
            </w:tcBorders>
            <w:vAlign w:val="center"/>
          </w:tcPr>
          <w:p w14:paraId="6BABA27A" w14:textId="77777777" w:rsidR="000755BA" w:rsidRDefault="000755BA">
            <w:pPr>
              <w:pBdr>
                <w:top w:val="nil"/>
                <w:left w:val="nil"/>
                <w:bottom w:val="nil"/>
                <w:right w:val="nil"/>
                <w:between w:val="nil"/>
              </w:pBdr>
              <w:rPr>
                <w:rFonts w:ascii="Arial" w:eastAsia="Arial" w:hAnsi="Arial" w:cs="Arial"/>
                <w:color w:val="000000"/>
              </w:rPr>
            </w:pPr>
          </w:p>
        </w:tc>
        <w:tc>
          <w:tcPr>
            <w:tcW w:w="3503" w:type="dxa"/>
            <w:tcBorders>
              <w:top w:val="nil"/>
              <w:left w:val="single" w:sz="4" w:space="0" w:color="000000"/>
              <w:bottom w:val="single" w:sz="4" w:space="0" w:color="000000"/>
              <w:right w:val="single" w:sz="4" w:space="0" w:color="000000"/>
            </w:tcBorders>
            <w:shd w:val="clear" w:color="auto" w:fill="EBF1DE"/>
            <w:vAlign w:val="center"/>
          </w:tcPr>
          <w:p w14:paraId="3285250F"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SKUPAJ VSE RDO</w:t>
            </w:r>
          </w:p>
        </w:tc>
        <w:tc>
          <w:tcPr>
            <w:tcW w:w="1240" w:type="dxa"/>
            <w:tcBorders>
              <w:top w:val="nil"/>
              <w:left w:val="nil"/>
              <w:bottom w:val="single" w:sz="4" w:space="0" w:color="000000"/>
              <w:right w:val="single" w:sz="4" w:space="0" w:color="000000"/>
            </w:tcBorders>
            <w:shd w:val="clear" w:color="auto" w:fill="EBF1DE"/>
            <w:vAlign w:val="center"/>
          </w:tcPr>
          <w:p w14:paraId="38EB7203"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2.000,00</w:t>
            </w:r>
          </w:p>
        </w:tc>
        <w:tc>
          <w:tcPr>
            <w:tcW w:w="1240" w:type="dxa"/>
            <w:tcBorders>
              <w:top w:val="nil"/>
              <w:left w:val="nil"/>
              <w:bottom w:val="single" w:sz="4" w:space="0" w:color="000000"/>
              <w:right w:val="single" w:sz="4" w:space="0" w:color="000000"/>
            </w:tcBorders>
            <w:shd w:val="clear" w:color="auto" w:fill="EBF1DE"/>
            <w:vAlign w:val="center"/>
          </w:tcPr>
          <w:p w14:paraId="3B81B475"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1.500,00</w:t>
            </w:r>
          </w:p>
        </w:tc>
        <w:tc>
          <w:tcPr>
            <w:tcW w:w="1180" w:type="dxa"/>
            <w:tcBorders>
              <w:top w:val="nil"/>
              <w:left w:val="nil"/>
              <w:bottom w:val="single" w:sz="4" w:space="0" w:color="000000"/>
              <w:right w:val="single" w:sz="4" w:space="0" w:color="000000"/>
            </w:tcBorders>
            <w:shd w:val="clear" w:color="auto" w:fill="EBF1DE"/>
            <w:vAlign w:val="center"/>
          </w:tcPr>
          <w:p w14:paraId="79F4BE66"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1.500,00</w:t>
            </w:r>
          </w:p>
        </w:tc>
        <w:tc>
          <w:tcPr>
            <w:tcW w:w="1060" w:type="dxa"/>
            <w:tcBorders>
              <w:top w:val="nil"/>
              <w:left w:val="nil"/>
              <w:bottom w:val="single" w:sz="4" w:space="0" w:color="000000"/>
              <w:right w:val="single" w:sz="4" w:space="0" w:color="000000"/>
            </w:tcBorders>
            <w:shd w:val="clear" w:color="auto" w:fill="EBF1DE"/>
            <w:vAlign w:val="center"/>
          </w:tcPr>
          <w:p w14:paraId="3D393D5A"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1.500,00</w:t>
            </w:r>
          </w:p>
        </w:tc>
        <w:tc>
          <w:tcPr>
            <w:tcW w:w="1460" w:type="dxa"/>
            <w:tcBorders>
              <w:top w:val="nil"/>
              <w:left w:val="nil"/>
              <w:bottom w:val="single" w:sz="4" w:space="0" w:color="000000"/>
              <w:right w:val="single" w:sz="4" w:space="0" w:color="000000"/>
            </w:tcBorders>
            <w:shd w:val="clear" w:color="auto" w:fill="EBF1DE"/>
            <w:vAlign w:val="center"/>
          </w:tcPr>
          <w:p w14:paraId="57F3678E"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3.500,00</w:t>
            </w:r>
          </w:p>
        </w:tc>
        <w:tc>
          <w:tcPr>
            <w:tcW w:w="1030" w:type="dxa"/>
            <w:tcBorders>
              <w:top w:val="nil"/>
              <w:left w:val="nil"/>
              <w:bottom w:val="single" w:sz="4" w:space="0" w:color="000000"/>
              <w:right w:val="single" w:sz="4" w:space="0" w:color="000000"/>
            </w:tcBorders>
            <w:shd w:val="clear" w:color="auto" w:fill="EBF1DE"/>
            <w:vAlign w:val="center"/>
          </w:tcPr>
          <w:p w14:paraId="2FD8A5D4" w14:textId="77777777" w:rsidR="000755BA" w:rsidRDefault="00EF1395">
            <w:pPr>
              <w:pBdr>
                <w:top w:val="nil"/>
                <w:left w:val="nil"/>
                <w:bottom w:val="nil"/>
                <w:right w:val="nil"/>
                <w:between w:val="nil"/>
              </w:pBdr>
              <w:jc w:val="center"/>
              <w:rPr>
                <w:rFonts w:ascii="Arial" w:eastAsia="Arial" w:hAnsi="Arial" w:cs="Arial"/>
                <w:color w:val="000000"/>
              </w:rPr>
            </w:pPr>
            <w:r>
              <w:rPr>
                <w:rFonts w:ascii="Arial" w:eastAsia="Arial" w:hAnsi="Arial" w:cs="Arial"/>
                <w:color w:val="000000"/>
              </w:rPr>
              <w:t>10.000,00</w:t>
            </w:r>
          </w:p>
        </w:tc>
        <w:tc>
          <w:tcPr>
            <w:tcW w:w="1640" w:type="dxa"/>
            <w:tcBorders>
              <w:top w:val="nil"/>
              <w:left w:val="nil"/>
              <w:bottom w:val="single" w:sz="4" w:space="0" w:color="000000"/>
              <w:right w:val="single" w:sz="4" w:space="0" w:color="000000"/>
            </w:tcBorders>
            <w:shd w:val="clear" w:color="auto" w:fill="D8E4BC"/>
            <w:vAlign w:val="center"/>
          </w:tcPr>
          <w:p w14:paraId="255E776E" w14:textId="77777777" w:rsidR="000755BA" w:rsidRDefault="00EF1395">
            <w:pPr>
              <w:pBdr>
                <w:top w:val="nil"/>
                <w:left w:val="nil"/>
                <w:bottom w:val="nil"/>
                <w:right w:val="nil"/>
                <w:between w:val="nil"/>
              </w:pBdr>
              <w:jc w:val="right"/>
              <w:rPr>
                <w:rFonts w:ascii="Arial" w:eastAsia="Arial" w:hAnsi="Arial" w:cs="Arial"/>
                <w:color w:val="000000"/>
              </w:rPr>
            </w:pPr>
            <w:r>
              <w:rPr>
                <w:rFonts w:ascii="Arial" w:eastAsia="Arial" w:hAnsi="Arial" w:cs="Arial"/>
                <w:b/>
                <w:bCs/>
                <w:color w:val="000000"/>
              </w:rPr>
              <w:t xml:space="preserve">    14.260.000 € </w:t>
            </w:r>
          </w:p>
        </w:tc>
        <w:tc>
          <w:tcPr>
            <w:tcW w:w="1559" w:type="dxa"/>
            <w:tcBorders>
              <w:top w:val="nil"/>
              <w:left w:val="nil"/>
              <w:bottom w:val="single" w:sz="4" w:space="0" w:color="000000"/>
              <w:right w:val="single" w:sz="4" w:space="0" w:color="000000"/>
            </w:tcBorders>
            <w:shd w:val="clear" w:color="auto" w:fill="D8E4BC"/>
            <w:vAlign w:val="center"/>
          </w:tcPr>
          <w:p w14:paraId="34188064" w14:textId="77777777" w:rsidR="000755BA" w:rsidRDefault="00EF1395">
            <w:pPr>
              <w:pBdr>
                <w:top w:val="nil"/>
                <w:left w:val="nil"/>
                <w:bottom w:val="nil"/>
                <w:right w:val="nil"/>
                <w:between w:val="nil"/>
              </w:pBdr>
              <w:rPr>
                <w:rFonts w:ascii="Arial" w:eastAsia="Arial" w:hAnsi="Arial" w:cs="Arial"/>
                <w:color w:val="000000"/>
              </w:rPr>
            </w:pPr>
            <w:r>
              <w:rPr>
                <w:rFonts w:ascii="Arial" w:eastAsia="Arial" w:hAnsi="Arial" w:cs="Arial"/>
                <w:b/>
                <w:bCs/>
                <w:color w:val="000000"/>
              </w:rPr>
              <w:t xml:space="preserve">    17.825.000 € </w:t>
            </w:r>
          </w:p>
        </w:tc>
      </w:tr>
    </w:tbl>
    <w:p w14:paraId="13BC00C7" w14:textId="77777777" w:rsidR="000755BA" w:rsidRDefault="000755BA">
      <w:pPr>
        <w:pBdr>
          <w:top w:val="nil"/>
          <w:left w:val="nil"/>
          <w:bottom w:val="nil"/>
          <w:right w:val="nil"/>
          <w:between w:val="nil"/>
        </w:pBdr>
        <w:spacing w:line="276" w:lineRule="auto"/>
        <w:rPr>
          <w:rFonts w:ascii="Arial" w:eastAsia="Arial" w:hAnsi="Arial" w:cs="Arial"/>
          <w:color w:val="000000"/>
        </w:rPr>
        <w:sectPr w:rsidR="000755BA">
          <w:pgSz w:w="16838" w:h="11906" w:orient="landscape"/>
          <w:pgMar w:top="1418" w:right="1418" w:bottom="1418" w:left="1418" w:header="709" w:footer="709" w:gutter="0"/>
          <w:cols w:space="708"/>
          <w:titlePg/>
        </w:sectPr>
      </w:pPr>
    </w:p>
    <w:p w14:paraId="172CC341"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2B4B5248" w14:textId="27A52363" w:rsidR="000755BA" w:rsidRDefault="000C6D93" w:rsidP="000C6D93">
      <w:pPr>
        <w:pStyle w:val="Naslov2"/>
        <w:ind w:left="284"/>
      </w:pPr>
      <w:bookmarkStart w:id="122" w:name="_Toc239072495"/>
      <w:r>
        <w:t xml:space="preserve">7. </w:t>
      </w:r>
      <w:r w:rsidR="00EF1395">
        <w:t>Načelo DNSH</w:t>
      </w:r>
      <w:bookmarkEnd w:id="122"/>
      <w:r w:rsidR="00EF1395">
        <w:t xml:space="preserve"> </w:t>
      </w:r>
    </w:p>
    <w:p w14:paraId="4EDF9B8C" w14:textId="77777777" w:rsidR="000C6D93" w:rsidRPr="000C6D93" w:rsidRDefault="000C6D93" w:rsidP="000C6D93">
      <w:pPr>
        <w:ind w:left="142"/>
      </w:pPr>
    </w:p>
    <w:p w14:paraId="03A05A71"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Načelo »Do No </w:t>
      </w:r>
      <w:proofErr w:type="spellStart"/>
      <w:r>
        <w:rPr>
          <w:rFonts w:ascii="Arial" w:eastAsia="Arial" w:hAnsi="Arial" w:cs="Arial"/>
          <w:color w:val="000000"/>
        </w:rPr>
        <w:t>Significant</w:t>
      </w:r>
      <w:proofErr w:type="spellEnd"/>
      <w:r>
        <w:rPr>
          <w:rFonts w:ascii="Arial" w:eastAsia="Arial" w:hAnsi="Arial" w:cs="Arial"/>
          <w:color w:val="000000"/>
        </w:rPr>
        <w:t xml:space="preserve"> </w:t>
      </w:r>
      <w:proofErr w:type="spellStart"/>
      <w:r>
        <w:rPr>
          <w:rFonts w:ascii="Arial" w:eastAsia="Arial" w:hAnsi="Arial" w:cs="Arial"/>
          <w:color w:val="000000"/>
        </w:rPr>
        <w:t>Harm</w:t>
      </w:r>
      <w:proofErr w:type="spellEnd"/>
      <w:r>
        <w:rPr>
          <w:rFonts w:ascii="Arial" w:eastAsia="Arial" w:hAnsi="Arial" w:cs="Arial"/>
          <w:color w:val="000000"/>
        </w:rPr>
        <w:t xml:space="preserve">« (DNSH) oziroma načelo, da se ne škoduje bistveno, določa, da mora biti vsaka dejavnost zasnovana in izvedena na način, ki ne povzroča bistvene škode nobenemu od </w:t>
      </w:r>
      <w:proofErr w:type="spellStart"/>
      <w:r>
        <w:rPr>
          <w:rFonts w:ascii="Arial" w:eastAsia="Arial" w:hAnsi="Arial" w:cs="Arial"/>
          <w:color w:val="000000"/>
        </w:rPr>
        <w:t>okoljskih</w:t>
      </w:r>
      <w:proofErr w:type="spellEnd"/>
      <w:r>
        <w:rPr>
          <w:rFonts w:ascii="Arial" w:eastAsia="Arial" w:hAnsi="Arial" w:cs="Arial"/>
          <w:color w:val="000000"/>
        </w:rPr>
        <w:t xml:space="preserve"> ciljev Evropske unije, kot so opredeljeni v 17. členu Uredbe (EU) 2020/852.</w:t>
      </w:r>
    </w:p>
    <w:p w14:paraId="39BA6310"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E7737A0"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Skladno s tem načelom morajo biti dejavnosti načrtovane in izvedene v skladu s </w:t>
      </w:r>
      <w:r>
        <w:rPr>
          <w:rFonts w:ascii="Arial" w:eastAsia="Arial" w:hAnsi="Arial" w:cs="Arial"/>
          <w:b/>
          <w:bCs/>
          <w:color w:val="000000"/>
        </w:rPr>
        <w:t>Tehničnimi smernicami za uporabo načela DNSH</w:t>
      </w:r>
      <w:r>
        <w:rPr>
          <w:rFonts w:ascii="Arial" w:eastAsia="Arial" w:hAnsi="Arial" w:cs="Arial"/>
          <w:color w:val="000000"/>
        </w:rPr>
        <w:t xml:space="preserve">, kar pomeni, da dejavnosti, ki se financirajo, </w:t>
      </w:r>
      <w:r>
        <w:rPr>
          <w:rFonts w:ascii="Arial" w:eastAsia="Arial" w:hAnsi="Arial" w:cs="Arial"/>
          <w:b/>
          <w:bCs/>
          <w:color w:val="000000"/>
        </w:rPr>
        <w:t>ne smejo imeti pomembnih negativnih vplivov na okolje</w:t>
      </w:r>
      <w:r>
        <w:rPr>
          <w:rFonts w:ascii="Arial" w:eastAsia="Arial" w:hAnsi="Arial" w:cs="Arial"/>
          <w:color w:val="000000"/>
        </w:rPr>
        <w:t>, bodisi neposredno bodisi posredno, kratkoročno ali dolgoročno.</w:t>
      </w:r>
    </w:p>
    <w:p w14:paraId="7E9DD4A8"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07F42194"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 xml:space="preserve">Izvajanje dejavnosti mora zagotoviti, da ne škoduje nobenemu od naslednjih </w:t>
      </w:r>
      <w:r>
        <w:rPr>
          <w:rFonts w:ascii="Arial" w:eastAsia="Arial" w:hAnsi="Arial" w:cs="Arial"/>
          <w:b/>
          <w:bCs/>
          <w:color w:val="000000"/>
        </w:rPr>
        <w:t xml:space="preserve">šestih </w:t>
      </w:r>
      <w:proofErr w:type="spellStart"/>
      <w:r>
        <w:rPr>
          <w:rFonts w:ascii="Arial" w:eastAsia="Arial" w:hAnsi="Arial" w:cs="Arial"/>
          <w:b/>
          <w:bCs/>
          <w:color w:val="000000"/>
        </w:rPr>
        <w:t>okoljskih</w:t>
      </w:r>
      <w:proofErr w:type="spellEnd"/>
      <w:r>
        <w:rPr>
          <w:rFonts w:ascii="Arial" w:eastAsia="Arial" w:hAnsi="Arial" w:cs="Arial"/>
          <w:b/>
          <w:bCs/>
          <w:color w:val="000000"/>
        </w:rPr>
        <w:t xml:space="preserve"> ciljev Evropske unije</w:t>
      </w:r>
      <w:r>
        <w:rPr>
          <w:rFonts w:ascii="Arial" w:eastAsia="Arial" w:hAnsi="Arial" w:cs="Arial"/>
          <w:color w:val="000000"/>
        </w:rPr>
        <w:t>:</w:t>
      </w:r>
    </w:p>
    <w:p w14:paraId="3BB8D7A6" w14:textId="77777777" w:rsidR="000755BA" w:rsidRDefault="00EF1395">
      <w:pPr>
        <w:numPr>
          <w:ilvl w:val="0"/>
          <w:numId w:val="2"/>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Blaženju podnebnih sprememb</w:t>
      </w:r>
      <w:r>
        <w:rPr>
          <w:rFonts w:ascii="Arial" w:eastAsia="Arial" w:hAnsi="Arial" w:cs="Arial"/>
          <w:color w:val="000000"/>
        </w:rPr>
        <w:t xml:space="preserve"> – dejavnost ne sme voditi do znatnega povečanja emisij toplogrednih plinov.</w:t>
      </w:r>
    </w:p>
    <w:p w14:paraId="3D35CD94" w14:textId="77777777" w:rsidR="000755BA" w:rsidRDefault="00EF1395">
      <w:pPr>
        <w:numPr>
          <w:ilvl w:val="0"/>
          <w:numId w:val="2"/>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Prilagajanju podnebnim spremembam</w:t>
      </w:r>
      <w:r>
        <w:rPr>
          <w:rFonts w:ascii="Arial" w:eastAsia="Arial" w:hAnsi="Arial" w:cs="Arial"/>
          <w:color w:val="000000"/>
        </w:rPr>
        <w:t xml:space="preserve"> – dejavnost ne sme povečevati ranljivosti ali izpostavljenosti škodljivim vplivom podnebnih sprememb, tako v sedanjosti kot v prihodnosti.</w:t>
      </w:r>
    </w:p>
    <w:p w14:paraId="541C6B2D" w14:textId="77777777" w:rsidR="000755BA" w:rsidRDefault="00EF1395">
      <w:pPr>
        <w:numPr>
          <w:ilvl w:val="0"/>
          <w:numId w:val="2"/>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Trajnostni rabi in varstvu vodnih in morskih virov</w:t>
      </w:r>
      <w:r>
        <w:rPr>
          <w:rFonts w:ascii="Arial" w:eastAsia="Arial" w:hAnsi="Arial" w:cs="Arial"/>
          <w:color w:val="000000"/>
        </w:rPr>
        <w:t xml:space="preserve"> – dejavnost ne sme negativno vplivati na stanje ali ekološki potencial površinskih in podzemnih vod ter morskih ekosistemov.</w:t>
      </w:r>
    </w:p>
    <w:p w14:paraId="614870F7" w14:textId="77777777" w:rsidR="000755BA" w:rsidRDefault="00EF1395">
      <w:pPr>
        <w:numPr>
          <w:ilvl w:val="0"/>
          <w:numId w:val="2"/>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Prehodu v krožno gospodarstvo</w:t>
      </w:r>
      <w:r>
        <w:rPr>
          <w:rFonts w:ascii="Arial" w:eastAsia="Arial" w:hAnsi="Arial" w:cs="Arial"/>
          <w:color w:val="000000"/>
        </w:rPr>
        <w:t xml:space="preserve"> – dejavnost ne sme povzročati neučinkovite rabe virov, povečanega nastajanja odpadkov ali dolgoročnega okoljskega bremena zaradi odlaganja ali sežiganja odpadkov.</w:t>
      </w:r>
    </w:p>
    <w:p w14:paraId="3322A8D8" w14:textId="77777777" w:rsidR="000755BA" w:rsidRDefault="00EF1395">
      <w:pPr>
        <w:numPr>
          <w:ilvl w:val="0"/>
          <w:numId w:val="2"/>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Preprečevanju in nadzorovanju onesnaževanja</w:t>
      </w:r>
      <w:r>
        <w:rPr>
          <w:rFonts w:ascii="Arial" w:eastAsia="Arial" w:hAnsi="Arial" w:cs="Arial"/>
          <w:color w:val="000000"/>
        </w:rPr>
        <w:t xml:space="preserve"> – dejavnost ne sme voditi do znatnega povečanja onesnaževanja zraka, vode ali tal.</w:t>
      </w:r>
    </w:p>
    <w:p w14:paraId="44870EB5" w14:textId="1AD9DDA8" w:rsidR="000755BA" w:rsidRPr="000C6D93" w:rsidRDefault="00EF1395" w:rsidP="000C6D93">
      <w:pPr>
        <w:numPr>
          <w:ilvl w:val="0"/>
          <w:numId w:val="2"/>
        </w:num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b/>
          <w:bCs/>
          <w:color w:val="000000"/>
        </w:rPr>
        <w:t>Varstvu in obnovi biotske raznovrstnosti in ekosistemov</w:t>
      </w:r>
      <w:r>
        <w:rPr>
          <w:rFonts w:ascii="Arial" w:eastAsia="Arial" w:hAnsi="Arial" w:cs="Arial"/>
          <w:color w:val="000000"/>
        </w:rPr>
        <w:t xml:space="preserve"> – dejavnost ne sme bistveno škodovati stanju ekosistemov, habitatov ali varstvu vrst, vključno s tistimi, ki so v interesu Evropske unije</w:t>
      </w:r>
    </w:p>
    <w:p w14:paraId="5E71DB35" w14:textId="39BC7F90" w:rsidR="000755BA" w:rsidRDefault="000C6D93" w:rsidP="000C6D93">
      <w:pPr>
        <w:pStyle w:val="Naslov2"/>
        <w:ind w:left="426"/>
      </w:pPr>
      <w:bookmarkStart w:id="123" w:name="_Toc239072496"/>
      <w:r>
        <w:t xml:space="preserve">8. </w:t>
      </w:r>
      <w:r w:rsidR="00EF1395">
        <w:t>Zelena shema slovenskega turizma</w:t>
      </w:r>
      <w:bookmarkEnd w:id="123"/>
      <w:r w:rsidR="00EF1395">
        <w:t xml:space="preserve"> </w:t>
      </w:r>
    </w:p>
    <w:p w14:paraId="50F35F1D"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2394B3BA"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r>
        <w:rPr>
          <w:rFonts w:ascii="Arial" w:eastAsia="Arial" w:hAnsi="Arial" w:cs="Arial"/>
          <w:color w:val="000000"/>
        </w:rPr>
        <w:t>Zelena shema slovenskega turizma (ZSST) je </w:t>
      </w:r>
      <w:r>
        <w:rPr>
          <w:rFonts w:ascii="Arial" w:eastAsia="Arial" w:hAnsi="Arial" w:cs="Arial"/>
          <w:b/>
          <w:bCs/>
          <w:color w:val="000000"/>
        </w:rPr>
        <w:t>nacionalni program in certifikacijska shema</w:t>
      </w:r>
      <w:r>
        <w:rPr>
          <w:rFonts w:ascii="Arial" w:eastAsia="Arial" w:hAnsi="Arial" w:cs="Arial"/>
          <w:color w:val="000000"/>
        </w:rPr>
        <w:t>, oblikovan leta 2014, ki pod krovno znamko SLOVENIA GREEN:</w:t>
      </w:r>
    </w:p>
    <w:p w14:paraId="1ABFB865" w14:textId="77777777" w:rsidR="000755BA" w:rsidRDefault="00EF1395" w:rsidP="00644050">
      <w:pPr>
        <w:numPr>
          <w:ilvl w:val="0"/>
          <w:numId w:val="41"/>
        </w:numPr>
        <w:pBdr>
          <w:top w:val="nil"/>
          <w:left w:val="nil"/>
          <w:bottom w:val="nil"/>
          <w:right w:val="nil"/>
          <w:between w:val="nil"/>
        </w:pBdr>
        <w:spacing w:line="276" w:lineRule="auto"/>
        <w:ind w:left="709"/>
        <w:jc w:val="both"/>
        <w:rPr>
          <w:color w:val="000000"/>
        </w:rPr>
      </w:pPr>
      <w:r>
        <w:rPr>
          <w:rFonts w:ascii="Arial" w:eastAsia="Arial" w:hAnsi="Arial" w:cs="Arial"/>
          <w:color w:val="000000"/>
        </w:rPr>
        <w:t>združuje vsa prizadevanja za trajnostni razvoj turizma v Sloveniji,</w:t>
      </w:r>
    </w:p>
    <w:p w14:paraId="4811BBA7" w14:textId="77777777" w:rsidR="000755BA" w:rsidRDefault="00EF1395" w:rsidP="00644050">
      <w:pPr>
        <w:numPr>
          <w:ilvl w:val="0"/>
          <w:numId w:val="41"/>
        </w:numPr>
        <w:pBdr>
          <w:top w:val="nil"/>
          <w:left w:val="nil"/>
          <w:bottom w:val="nil"/>
          <w:right w:val="nil"/>
          <w:between w:val="nil"/>
        </w:pBdr>
        <w:spacing w:line="276" w:lineRule="auto"/>
        <w:ind w:left="709"/>
        <w:jc w:val="both"/>
        <w:rPr>
          <w:color w:val="000000"/>
        </w:rPr>
      </w:pPr>
      <w:r>
        <w:rPr>
          <w:rFonts w:ascii="Arial" w:eastAsia="Arial" w:hAnsi="Arial" w:cs="Arial"/>
          <w:color w:val="000000"/>
        </w:rPr>
        <w:t>destinacijam in ponudnikom ponuja konkretna orodja za oceno in izboljšanje trajnostnega delovanja,</w:t>
      </w:r>
    </w:p>
    <w:p w14:paraId="6B58E203" w14:textId="77777777" w:rsidR="000755BA" w:rsidRDefault="00EF1395" w:rsidP="00644050">
      <w:pPr>
        <w:numPr>
          <w:ilvl w:val="0"/>
          <w:numId w:val="41"/>
        </w:numPr>
        <w:pBdr>
          <w:top w:val="nil"/>
          <w:left w:val="nil"/>
          <w:bottom w:val="nil"/>
          <w:right w:val="nil"/>
          <w:between w:val="nil"/>
        </w:pBdr>
        <w:spacing w:line="276" w:lineRule="auto"/>
        <w:ind w:left="709"/>
        <w:jc w:val="both"/>
        <w:rPr>
          <w:color w:val="000000"/>
        </w:rPr>
      </w:pPr>
      <w:r>
        <w:rPr>
          <w:rFonts w:ascii="Arial" w:eastAsia="Arial" w:hAnsi="Arial" w:cs="Arial"/>
          <w:color w:val="000000"/>
        </w:rPr>
        <w:t xml:space="preserve">prek znamke </w:t>
      </w:r>
      <w:proofErr w:type="spellStart"/>
      <w:r>
        <w:rPr>
          <w:rFonts w:ascii="Arial" w:eastAsia="Arial" w:hAnsi="Arial" w:cs="Arial"/>
          <w:color w:val="000000"/>
        </w:rPr>
        <w:t>Slovenia</w:t>
      </w:r>
      <w:proofErr w:type="spellEnd"/>
      <w:r>
        <w:rPr>
          <w:rFonts w:ascii="Arial" w:eastAsia="Arial" w:hAnsi="Arial" w:cs="Arial"/>
          <w:color w:val="000000"/>
        </w:rPr>
        <w:t xml:space="preserve"> </w:t>
      </w:r>
      <w:proofErr w:type="spellStart"/>
      <w:r>
        <w:rPr>
          <w:rFonts w:ascii="Arial" w:eastAsia="Arial" w:hAnsi="Arial" w:cs="Arial"/>
          <w:color w:val="000000"/>
        </w:rPr>
        <w:t>Green</w:t>
      </w:r>
      <w:proofErr w:type="spellEnd"/>
      <w:r>
        <w:rPr>
          <w:rFonts w:ascii="Arial" w:eastAsia="Arial" w:hAnsi="Arial" w:cs="Arial"/>
          <w:color w:val="000000"/>
        </w:rPr>
        <w:t xml:space="preserve"> to zeleno delovanje tudi promovira.</w:t>
      </w:r>
    </w:p>
    <w:p w14:paraId="4BE37FF4"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71B09F03" w14:textId="77777777" w:rsidR="000755BA" w:rsidRDefault="00EF1395">
      <w:pPr>
        <w:pBdr>
          <w:top w:val="nil"/>
          <w:left w:val="nil"/>
          <w:bottom w:val="nil"/>
          <w:right w:val="nil"/>
          <w:between w:val="nil"/>
        </w:pBdr>
        <w:spacing w:line="276" w:lineRule="auto"/>
        <w:jc w:val="both"/>
        <w:rPr>
          <w:rFonts w:ascii="Arial" w:eastAsia="Arial" w:hAnsi="Arial" w:cs="Arial"/>
          <w:color w:val="000000"/>
        </w:rPr>
      </w:pPr>
      <w:bookmarkStart w:id="124" w:name="_lpstbl8yo7m" w:colFirst="0" w:colLast="0"/>
      <w:bookmarkEnd w:id="124"/>
      <w:r>
        <w:rPr>
          <w:rFonts w:ascii="Arial" w:eastAsia="Arial" w:hAnsi="Arial" w:cs="Arial"/>
          <w:color w:val="000000"/>
        </w:rPr>
        <w:t xml:space="preserve">Več informacij je na voljo na spletni strani STO: </w:t>
      </w:r>
      <w:hyperlink r:id="rId59">
        <w:r>
          <w:rPr>
            <w:rFonts w:ascii="Arial" w:eastAsia="Arial" w:hAnsi="Arial" w:cs="Arial"/>
            <w:color w:val="0000FF"/>
            <w:u w:val="single"/>
          </w:rPr>
          <w:t>https://www.slovenia.info/sl/poslovne-strani/zelena-shema-slovenskega-turizma</w:t>
        </w:r>
      </w:hyperlink>
      <w:r>
        <w:rPr>
          <w:rFonts w:ascii="Arial" w:eastAsia="Arial" w:hAnsi="Arial" w:cs="Arial"/>
          <w:color w:val="000000"/>
        </w:rPr>
        <w:t xml:space="preserve">. </w:t>
      </w:r>
    </w:p>
    <w:p w14:paraId="1FD11B18" w14:textId="77777777" w:rsidR="000755BA" w:rsidRDefault="000755BA">
      <w:pPr>
        <w:pBdr>
          <w:top w:val="nil"/>
          <w:left w:val="nil"/>
          <w:bottom w:val="nil"/>
          <w:right w:val="nil"/>
          <w:between w:val="nil"/>
        </w:pBdr>
        <w:spacing w:line="276" w:lineRule="auto"/>
        <w:jc w:val="both"/>
        <w:rPr>
          <w:rFonts w:ascii="Arial" w:eastAsia="Arial" w:hAnsi="Arial" w:cs="Arial"/>
          <w:color w:val="000000"/>
        </w:rPr>
      </w:pPr>
    </w:p>
    <w:p w14:paraId="34093BDD"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614A6673" w14:textId="77777777" w:rsidR="000755BA" w:rsidRDefault="000755BA">
      <w:pPr>
        <w:pBdr>
          <w:top w:val="nil"/>
          <w:left w:val="nil"/>
          <w:bottom w:val="nil"/>
          <w:right w:val="nil"/>
          <w:between w:val="nil"/>
        </w:pBdr>
        <w:spacing w:line="276" w:lineRule="auto"/>
        <w:rPr>
          <w:rFonts w:ascii="Arial" w:eastAsia="Arial" w:hAnsi="Arial" w:cs="Arial"/>
          <w:color w:val="000000"/>
        </w:rPr>
      </w:pPr>
    </w:p>
    <w:p w14:paraId="7E492975" w14:textId="77777777" w:rsidR="000755BA" w:rsidRDefault="000755BA">
      <w:pPr>
        <w:pBdr>
          <w:top w:val="nil"/>
          <w:left w:val="nil"/>
          <w:bottom w:val="nil"/>
          <w:right w:val="nil"/>
          <w:between w:val="nil"/>
        </w:pBdr>
        <w:spacing w:after="200" w:line="276" w:lineRule="auto"/>
        <w:jc w:val="both"/>
        <w:rPr>
          <w:rFonts w:ascii="Arial" w:eastAsia="Arial" w:hAnsi="Arial" w:cs="Arial"/>
          <w:color w:val="000000"/>
        </w:rPr>
      </w:pPr>
    </w:p>
    <w:sectPr w:rsidR="000755BA">
      <w:pgSz w:w="11906" w:h="16838"/>
      <w:pgMar w:top="1418" w:right="1418"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F6247" w14:textId="77777777" w:rsidR="003179F1" w:rsidRDefault="003179F1">
      <w:r>
        <w:separator/>
      </w:r>
    </w:p>
  </w:endnote>
  <w:endnote w:type="continuationSeparator" w:id="0">
    <w:p w14:paraId="345E7692" w14:textId="77777777" w:rsidR="003179F1" w:rsidRDefault="00317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tka Small">
    <w:panose1 w:val="02000505000000020004"/>
    <w:charset w:val="EE"/>
    <w:family w:val="auto"/>
    <w:pitch w:val="variable"/>
    <w:sig w:usb0="A00002EF" w:usb1="4000204B" w:usb2="00000000" w:usb3="00000000" w:csb0="0000019F" w:csb1="00000000"/>
    <w:embedRegular r:id="rId1" w:fontKey="{439EA787-52F7-4602-A827-2A06D59EE036}"/>
  </w:font>
  <w:font w:name="Noto Sans Symbols">
    <w:altName w:val="Calibri"/>
    <w:charset w:val="00"/>
    <w:family w:val="auto"/>
    <w:pitch w:val="default"/>
    <w:embedRegular r:id="rId2" w:fontKey="{7A19F8E7-5DE8-4FBB-9E66-020A30B78AFD}"/>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embedRegular r:id="rId3" w:fontKey="{A0147CC2-867A-479B-AED3-8C0CB677CFE2}"/>
  </w:font>
  <w:font w:name="Trebuchet MS">
    <w:panose1 w:val="020B0603020202020204"/>
    <w:charset w:val="EE"/>
    <w:family w:val="swiss"/>
    <w:pitch w:val="variable"/>
    <w:sig w:usb0="00000687" w:usb1="00000000" w:usb2="00000000" w:usb3="00000000" w:csb0="0000009F" w:csb1="00000000"/>
    <w:embedRegular r:id="rId4" w:fontKey="{EF5DE238-C15D-4DDE-BAFD-875D0EE9F765}"/>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5" w:fontKey="{6C4B0899-FE22-4D3D-BB8C-5BB3AD88A007}"/>
    <w:embedBold r:id="rId6" w:fontKey="{4F16719D-42B6-4BEE-9B99-2B4E5A61C4B5}"/>
    <w:embedBoldItalic r:id="rId7" w:fontKey="{C156DFD6-70E8-4E57-96BD-52572EF6F6B3}"/>
  </w:font>
  <w:font w:name="Georgia">
    <w:panose1 w:val="02040502050405020303"/>
    <w:charset w:val="EE"/>
    <w:family w:val="roman"/>
    <w:pitch w:val="variable"/>
    <w:sig w:usb0="00000287" w:usb1="00000000" w:usb2="00000000" w:usb3="00000000" w:csb0="0000009F" w:csb1="00000000"/>
    <w:embedItalic r:id="rId8" w:fontKey="{44F6290B-971C-4822-8586-41886BE7D8CD}"/>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embedRegular r:id="rId9" w:fontKey="{A42C8512-74CE-4C16-B1B7-D59313C2144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0322E" w14:textId="77777777" w:rsidR="000755BA" w:rsidRPr="00644050" w:rsidRDefault="00EF1395">
    <w:pPr>
      <w:pBdr>
        <w:top w:val="nil"/>
        <w:left w:val="nil"/>
        <w:bottom w:val="nil"/>
        <w:right w:val="nil"/>
        <w:between w:val="nil"/>
      </w:pBdr>
      <w:tabs>
        <w:tab w:val="center" w:pos="4536"/>
        <w:tab w:val="right" w:pos="9072"/>
      </w:tabs>
      <w:spacing w:after="200" w:line="276" w:lineRule="auto"/>
      <w:jc w:val="center"/>
      <w:rPr>
        <w:rFonts w:ascii="Arial" w:hAnsi="Arial" w:cs="Arial"/>
        <w:color w:val="000000"/>
      </w:rPr>
    </w:pPr>
    <w:r w:rsidRPr="00644050">
      <w:rPr>
        <w:rFonts w:ascii="Arial" w:hAnsi="Arial" w:cs="Arial"/>
        <w:color w:val="000000"/>
      </w:rPr>
      <w:fldChar w:fldCharType="begin"/>
    </w:r>
    <w:r w:rsidRPr="00644050">
      <w:rPr>
        <w:rFonts w:ascii="Arial" w:hAnsi="Arial" w:cs="Arial"/>
        <w:color w:val="000000"/>
      </w:rPr>
      <w:instrText>PAGE</w:instrText>
    </w:r>
    <w:r w:rsidRPr="00644050">
      <w:rPr>
        <w:rFonts w:ascii="Arial" w:hAnsi="Arial" w:cs="Arial"/>
        <w:color w:val="000000"/>
      </w:rPr>
      <w:fldChar w:fldCharType="separate"/>
    </w:r>
    <w:r w:rsidRPr="00644050">
      <w:rPr>
        <w:rFonts w:ascii="Arial" w:hAnsi="Arial" w:cs="Arial"/>
        <w:noProof/>
        <w:color w:val="000000"/>
      </w:rPr>
      <w:t>2</w:t>
    </w:r>
    <w:r w:rsidRPr="00644050">
      <w:rPr>
        <w:rFonts w:ascii="Arial" w:hAnsi="Arial" w:cs="Arial"/>
        <w:color w:val="000000"/>
      </w:rPr>
      <w:fldChar w:fldCharType="end"/>
    </w:r>
  </w:p>
  <w:p w14:paraId="3361E69A" w14:textId="77777777" w:rsidR="000755BA" w:rsidRDefault="000755BA">
    <w:pPr>
      <w:pBdr>
        <w:top w:val="nil"/>
        <w:left w:val="nil"/>
        <w:bottom w:val="nil"/>
        <w:right w:val="nil"/>
        <w:between w:val="nil"/>
      </w:pBdr>
      <w:tabs>
        <w:tab w:val="center" w:pos="4536"/>
        <w:tab w:val="right" w:pos="9072"/>
      </w:tabs>
      <w:spacing w:after="200" w:line="276" w:lineRule="auto"/>
      <w:rPr>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5134590"/>
      <w:docPartObj>
        <w:docPartGallery w:val="Page Numbers (Bottom of Page)"/>
        <w:docPartUnique/>
      </w:docPartObj>
    </w:sdtPr>
    <w:sdtEndPr/>
    <w:sdtContent>
      <w:p w14:paraId="6BEA7F85" w14:textId="01E27B69" w:rsidR="00644050" w:rsidRDefault="00644050" w:rsidP="00644050">
        <w:pPr>
          <w:pStyle w:val="Noga"/>
          <w:jc w:val="center"/>
        </w:pPr>
        <w:r>
          <w:fldChar w:fldCharType="begin"/>
        </w:r>
        <w:r>
          <w:instrText>PAGE   \* MERGEFORMAT</w:instrText>
        </w:r>
        <w:r>
          <w:fldChar w:fldCharType="separate"/>
        </w:r>
        <w:r>
          <w:rPr>
            <w:lang w:val="sl-SI"/>
          </w:rPr>
          <w:t>2</w:t>
        </w:r>
        <w:r>
          <w:fldChar w:fldCharType="end"/>
        </w:r>
      </w:p>
    </w:sdtContent>
  </w:sdt>
  <w:p w14:paraId="1728551A" w14:textId="77777777" w:rsidR="00644050" w:rsidRDefault="00644050">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713C1" w14:textId="77777777" w:rsidR="003179F1" w:rsidRDefault="003179F1">
      <w:r>
        <w:separator/>
      </w:r>
    </w:p>
  </w:footnote>
  <w:footnote w:type="continuationSeparator" w:id="0">
    <w:p w14:paraId="69A3B81B" w14:textId="77777777" w:rsidR="003179F1" w:rsidRDefault="003179F1">
      <w:r>
        <w:continuationSeparator/>
      </w:r>
    </w:p>
  </w:footnote>
  <w:footnote w:id="1">
    <w:p w14:paraId="64656960" w14:textId="77777777" w:rsidR="000755BA" w:rsidRDefault="00EF1395">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RDO so termin, ki ga uvaja Strategija razvoja turizma 2022 – 2028 in ni nujno, da geografsko sovpadajo s statističnimi ali razvojnimi regijami. Območja RDO-jev so določena v Analizi implementacije Strategije razvoja turizma 2022 – 2028, ukrepa Nadgradnja modela vodilnih destinacij (Priloga št. 2) in temeljijo na do sedaj vzpostavljenih in možnih povezavah z namenom izvajanja funkcij RDO. Ta območja so navedena v poglavju II. točki 1 razpisne dokumentacije. </w:t>
      </w:r>
    </w:p>
  </w:footnote>
  <w:footnote w:id="2">
    <w:p w14:paraId="2188641D" w14:textId="1C107EC4" w:rsidR="000755BA" w:rsidRDefault="00EF1395">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Izjemoma je lahko RDO v letu 202</w:t>
      </w:r>
      <w:r w:rsidR="00344AAE">
        <w:rPr>
          <w:rFonts w:ascii="Arial" w:eastAsia="Arial" w:hAnsi="Arial" w:cs="Arial"/>
          <w:color w:val="000000"/>
          <w:sz w:val="16"/>
          <w:szCs w:val="16"/>
        </w:rPr>
        <w:t>5</w:t>
      </w:r>
      <w:r>
        <w:rPr>
          <w:rFonts w:ascii="Arial" w:eastAsia="Arial" w:hAnsi="Arial" w:cs="Arial"/>
          <w:color w:val="000000"/>
          <w:sz w:val="16"/>
          <w:szCs w:val="16"/>
        </w:rPr>
        <w:t xml:space="preserve"> realizirala tudi vsaj 400.000 prenočitev, v kolikor izpolnjuje naslednje pogoje:</w:t>
      </w:r>
    </w:p>
    <w:p w14:paraId="08757705" w14:textId="77777777" w:rsidR="000755BA" w:rsidRDefault="00EF1395">
      <w:pPr>
        <w:numPr>
          <w:ilvl w:val="0"/>
          <w:numId w:val="39"/>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predstavlja zaokroženo območje vsaj 10 občin in 7,5 % površine Slovenije,</w:t>
      </w:r>
    </w:p>
    <w:p w14:paraId="1D639D10" w14:textId="77777777" w:rsidR="000755BA" w:rsidRDefault="00EF1395">
      <w:pPr>
        <w:numPr>
          <w:ilvl w:val="0"/>
          <w:numId w:val="39"/>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 xml:space="preserve">razvojni zaostanki in izzivi območja zaradi naravnih, obmejnih ali zgodovinskih razlogov (potrebna utemeljitev), </w:t>
      </w:r>
    </w:p>
    <w:p w14:paraId="118D22AB" w14:textId="77777777" w:rsidR="000755BA" w:rsidRDefault="00EF1395">
      <w:pPr>
        <w:numPr>
          <w:ilvl w:val="0"/>
          <w:numId w:val="39"/>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 xml:space="preserve">ključni prispevek regije k podobi in turistični ponudbi slovenskega turizma (potrebna utemeljitev), soglasje vsaj 75 % vseh lokalnih skupnosti (občin) na območju tako oblikovane regije za ustanovitev in izvajanje funkcij RDO vsaj za obdobje do konca leta 2028. </w:t>
      </w:r>
    </w:p>
  </w:footnote>
  <w:footnote w:id="3">
    <w:p w14:paraId="6E77A1E8" w14:textId="77777777" w:rsidR="000755BA" w:rsidRDefault="00EF1395">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PD vpeljuje Strategija slovenskega turizma 2022 – 2028 (</w:t>
      </w:r>
      <w:hyperlink r:id="rId1">
        <w:r>
          <w:rPr>
            <w:rFonts w:ascii="Arial" w:eastAsia="Arial" w:hAnsi="Arial" w:cs="Arial"/>
            <w:color w:val="0000FF"/>
            <w:sz w:val="16"/>
            <w:szCs w:val="16"/>
            <w:u w:val="single"/>
          </w:rPr>
          <w:t>Strategija-slovenskega-turizma-2022-2028-dokument.pdf</w:t>
        </w:r>
      </w:hyperlink>
      <w:r>
        <w:rPr>
          <w:rFonts w:ascii="Arial" w:eastAsia="Arial" w:hAnsi="Arial" w:cs="Arial"/>
          <w:color w:val="000000"/>
          <w:sz w:val="16"/>
          <w:szCs w:val="16"/>
        </w:rPr>
        <w:t>). Potencialne PD so navedene v Analizi implementacije Strategije razvoja turizma 2022 – 2028, ukrepa Nadgradnja modela vodilnih destinacij (Priloga št. 2) in II. poglavju, točki 3 razpisne dokumentacije.</w:t>
      </w:r>
    </w:p>
  </w:footnote>
  <w:footnote w:id="4">
    <w:p w14:paraId="7E8B2C6D" w14:textId="77777777" w:rsidR="000755BA" w:rsidRDefault="00EF1395">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 xml:space="preserve">Ena zaposlitev (zapolnjeno delovno mesto) mora biti realizirana najkasneje na dan prijave na javni razpis, dve zaposlitvi pa sta lahko realizirani do zaključka izvajanja operacije, ki je predmet prijave na javni razpis.  </w:t>
      </w:r>
    </w:p>
  </w:footnote>
  <w:footnote w:id="5">
    <w:p w14:paraId="3C344836" w14:textId="77777777" w:rsidR="000755BA" w:rsidRDefault="00EF1395">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 xml:space="preserve">Ena zaposlitev (zapolnjeno delovno mesto) mora biti realizirana najkasneje na dan prijave na javni razpis, ena zaposlitev pa je lahko realizirana do zaključka izvajanja operacije, ki je predmet prijave na javni razpis.  </w:t>
      </w:r>
    </w:p>
  </w:footnote>
  <w:footnote w:id="6">
    <w:p w14:paraId="3CC307C6" w14:textId="77777777" w:rsidR="000755BA" w:rsidRDefault="00EF1395">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V skladu s 65. členom Uredbe (EU) 2021/1060 mora biti zagotovljena trajnost operacije, pri čemer se mora ohraniti njen namen in ne sme priti do bistvenih sprememb; obveznost trajnosti traja pet let po končnem plačilu za občine, javne zavode in druge javne institucije.</w:t>
      </w:r>
    </w:p>
  </w:footnote>
  <w:footnote w:id="7">
    <w:p w14:paraId="210E0DB3" w14:textId="77777777" w:rsidR="000755BA" w:rsidRDefault="00EF1395">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color w:val="000000"/>
        </w:rPr>
        <w:t xml:space="preserve"> </w:t>
      </w:r>
      <w:r>
        <w:rPr>
          <w:rFonts w:ascii="Arial" w:eastAsia="Arial" w:hAnsi="Arial" w:cs="Arial"/>
          <w:color w:val="000000"/>
          <w:sz w:val="16"/>
          <w:szCs w:val="16"/>
        </w:rPr>
        <w:t xml:space="preserve">V kolikor območje RDO zajema tudi občine, ki niso opredeljene kot vodilne destinacije (VD), je </w:t>
      </w:r>
      <w:proofErr w:type="spellStart"/>
      <w:r>
        <w:rPr>
          <w:rFonts w:ascii="Arial" w:eastAsia="Arial" w:hAnsi="Arial" w:cs="Arial"/>
          <w:color w:val="000000"/>
          <w:sz w:val="16"/>
          <w:szCs w:val="16"/>
        </w:rPr>
        <w:t>konzorcijska</w:t>
      </w:r>
      <w:proofErr w:type="spellEnd"/>
      <w:r>
        <w:rPr>
          <w:rFonts w:ascii="Arial" w:eastAsia="Arial" w:hAnsi="Arial" w:cs="Arial"/>
          <w:color w:val="000000"/>
          <w:sz w:val="16"/>
          <w:szCs w:val="16"/>
        </w:rPr>
        <w:t xml:space="preserve"> pogodba podpisana tudi s predstavniki teh turističnih destinacij (zavodi za turizem, lokalnimi turističnimi organizacijami ipd.), ki imajo mandat občine na območju delovanja za izvajanje funkcij razvoja in promocije turizma. </w:t>
      </w:r>
    </w:p>
  </w:footnote>
  <w:footnote w:id="8">
    <w:p w14:paraId="33304C8B" w14:textId="77777777" w:rsidR="000755BA" w:rsidRDefault="00EF1395">
      <w:pPr>
        <w:pBdr>
          <w:top w:val="nil"/>
          <w:left w:val="nil"/>
          <w:bottom w:val="nil"/>
          <w:right w:val="nil"/>
          <w:between w:val="nil"/>
        </w:pBdr>
        <w:tabs>
          <w:tab w:val="left" w:pos="360"/>
        </w:tabs>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 xml:space="preserve">Vsebina programa dela mora biti skladna z aktivnostmi, ki so predmet prijave na javni razpis, lahko pa zajema tudi aktivnosti, ki niso predmet sofinanciranja v okviru tega javnega razpisa.  </w:t>
      </w:r>
    </w:p>
    <w:p w14:paraId="5EF53308" w14:textId="77777777" w:rsidR="000755BA" w:rsidRDefault="000755BA">
      <w:pPr>
        <w:pBdr>
          <w:top w:val="nil"/>
          <w:left w:val="nil"/>
          <w:bottom w:val="nil"/>
          <w:right w:val="nil"/>
          <w:between w:val="nil"/>
        </w:pBdr>
        <w:spacing w:after="200" w:line="276" w:lineRule="auto"/>
        <w:rPr>
          <w:color w:val="000000"/>
        </w:rPr>
      </w:pPr>
    </w:p>
  </w:footnote>
  <w:footnote w:id="9">
    <w:p w14:paraId="7FB39F21" w14:textId="77777777" w:rsidR="000755BA" w:rsidRDefault="00EF1395">
      <w:pPr>
        <w:pBdr>
          <w:top w:val="nil"/>
          <w:left w:val="nil"/>
          <w:bottom w:val="nil"/>
          <w:right w:val="nil"/>
          <w:between w:val="nil"/>
        </w:pBdr>
        <w:spacing w:after="200" w:line="276" w:lineRule="auto"/>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 xml:space="preserve">Podatkovna baza SI-STAT: </w:t>
      </w:r>
      <w:hyperlink r:id="rId2">
        <w:r>
          <w:rPr>
            <w:rFonts w:ascii="Arial" w:eastAsia="Arial" w:hAnsi="Arial" w:cs="Arial"/>
            <w:color w:val="0000FF"/>
            <w:sz w:val="16"/>
            <w:szCs w:val="16"/>
            <w:u w:val="single"/>
          </w:rPr>
          <w:t xml:space="preserve">Prenočitvene zmogljivosti po: LETO, OBČINE, MERITVE. </w:t>
        </w:r>
        <w:proofErr w:type="spellStart"/>
        <w:r>
          <w:rPr>
            <w:rFonts w:ascii="Arial" w:eastAsia="Arial" w:hAnsi="Arial" w:cs="Arial"/>
            <w:color w:val="0000FF"/>
            <w:sz w:val="16"/>
            <w:szCs w:val="16"/>
            <w:u w:val="single"/>
          </w:rPr>
          <w:t>PxWeb</w:t>
        </w:r>
        <w:proofErr w:type="spellEnd"/>
      </w:hyperlink>
    </w:p>
  </w:footnote>
  <w:footnote w:id="10">
    <w:p w14:paraId="2BCFA0F2" w14:textId="77777777" w:rsidR="00C7060F" w:rsidRPr="00055D6B" w:rsidRDefault="00C7060F" w:rsidP="00055D6B">
      <w:pPr>
        <w:pStyle w:val="Sprotnaopomba-besedilo"/>
        <w:jc w:val="both"/>
        <w:rPr>
          <w:rFonts w:ascii="Arial" w:hAnsi="Arial" w:cs="Arial"/>
          <w:sz w:val="16"/>
          <w:szCs w:val="16"/>
        </w:rPr>
      </w:pPr>
      <w:r w:rsidRPr="00055D6B">
        <w:rPr>
          <w:rStyle w:val="Sprotnaopomba-sklic"/>
          <w:rFonts w:ascii="Arial" w:hAnsi="Arial" w:cs="Arial"/>
          <w:sz w:val="16"/>
          <w:szCs w:val="16"/>
        </w:rPr>
        <w:footnoteRef/>
      </w:r>
      <w:r w:rsidRPr="00055D6B">
        <w:rPr>
          <w:rFonts w:ascii="Arial" w:hAnsi="Arial" w:cs="Arial"/>
          <w:sz w:val="16"/>
          <w:szCs w:val="16"/>
        </w:rPr>
        <w:t xml:space="preserve"> </w:t>
      </w:r>
      <w:r w:rsidRPr="00055D6B">
        <w:rPr>
          <w:rFonts w:ascii="Arial" w:hAnsi="Arial" w:cs="Arial"/>
          <w:sz w:val="16"/>
          <w:szCs w:val="16"/>
        </w:rPr>
        <w:t xml:space="preserve">Promocijske aktivnosti morajo biti usmerjene v promocijo destinacije oziroma </w:t>
      </w:r>
      <w:proofErr w:type="spellStart"/>
      <w:r w:rsidRPr="00055D6B">
        <w:rPr>
          <w:rFonts w:ascii="Arial" w:hAnsi="Arial" w:cs="Arial"/>
          <w:sz w:val="16"/>
          <w:szCs w:val="16"/>
        </w:rPr>
        <w:t>transdestinacijskega</w:t>
      </w:r>
      <w:proofErr w:type="spellEnd"/>
      <w:r w:rsidRPr="00055D6B">
        <w:rPr>
          <w:rFonts w:ascii="Arial" w:hAnsi="Arial" w:cs="Arial"/>
          <w:sz w:val="16"/>
          <w:szCs w:val="16"/>
        </w:rPr>
        <w:t xml:space="preserve"> turističnega produkta kot celote in ne smejo biti namenjene izključno promociji posameznega gospodarskega subjekta ali njegove redne komercialne ponudbe.</w:t>
      </w:r>
    </w:p>
  </w:footnote>
  <w:footnote w:id="11">
    <w:p w14:paraId="28ECC467" w14:textId="77777777" w:rsidR="000755BA" w:rsidRDefault="00EF1395">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 xml:space="preserve">Tematike usposabljanj za deležnike in zaposlene na RDO oz. PD morajo biti vezane na zagotavljanje </w:t>
      </w:r>
      <w:r>
        <w:rPr>
          <w:rFonts w:ascii="Arial" w:eastAsia="Arial" w:hAnsi="Arial" w:cs="Arial"/>
          <w:b/>
          <w:bCs/>
          <w:color w:val="000000"/>
          <w:sz w:val="16"/>
          <w:szCs w:val="16"/>
        </w:rPr>
        <w:t>kakovostne, izvirne in inovativne turistične izkušnje/storitve/produkta, kot sledi:</w:t>
      </w:r>
      <w:r>
        <w:rPr>
          <w:rFonts w:ascii="Arial" w:eastAsia="Arial" w:hAnsi="Arial" w:cs="Arial"/>
          <w:color w:val="000000"/>
          <w:sz w:val="16"/>
          <w:szCs w:val="16"/>
        </w:rPr>
        <w:t xml:space="preserve">   </w:t>
      </w:r>
    </w:p>
    <w:p w14:paraId="1E37705F" w14:textId="77777777" w:rsidR="000755BA" w:rsidRDefault="00EF1395">
      <w:pPr>
        <w:numPr>
          <w:ilvl w:val="0"/>
          <w:numId w:val="26"/>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kakovost ponudbe (</w:t>
      </w:r>
      <w:proofErr w:type="spellStart"/>
      <w:r>
        <w:rPr>
          <w:rFonts w:ascii="Arial" w:eastAsia="Arial" w:hAnsi="Arial" w:cs="Arial"/>
          <w:color w:val="000000"/>
          <w:sz w:val="16"/>
          <w:szCs w:val="16"/>
        </w:rPr>
        <w:t>personalizacija</w:t>
      </w:r>
      <w:proofErr w:type="spellEnd"/>
      <w:r>
        <w:rPr>
          <w:rFonts w:ascii="Arial" w:eastAsia="Arial" w:hAnsi="Arial" w:cs="Arial"/>
          <w:color w:val="000000"/>
          <w:sz w:val="16"/>
          <w:szCs w:val="16"/>
        </w:rPr>
        <w:t xml:space="preserve"> in avtentičnost ponudbe, edinstvenost in ekskluzivnost ponudbe, oblikovanje (design), estetika, brezhibna čistoča, udobje, opremljenost, tržna sposobnost, dostopnost (tudi digitalna itd.), </w:t>
      </w:r>
    </w:p>
    <w:p w14:paraId="4FDEB4E4" w14:textId="77777777" w:rsidR="000755BA" w:rsidRDefault="00EF1395">
      <w:pPr>
        <w:numPr>
          <w:ilvl w:val="0"/>
          <w:numId w:val="26"/>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 xml:space="preserve">vsebine iz naslova kakovostnega izvajanja storitev (skrb za gosta, brezhibna storitev, individualni pristop, zanesljivost, hitrost &amp; učinkovitost, profesionalnost), </w:t>
      </w:r>
    </w:p>
    <w:p w14:paraId="2DCE7A80" w14:textId="77777777" w:rsidR="000755BA" w:rsidRDefault="00EF1395">
      <w:pPr>
        <w:numPr>
          <w:ilvl w:val="0"/>
          <w:numId w:val="26"/>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 xml:space="preserve">vsebine iz naslova medsebojnega komuniciranja, timskega dela in odnosov z javnostmi ter turisti (spoštovanje, prijaznost, pozornost, skrbnost, samostojnost osebja), </w:t>
      </w:r>
    </w:p>
    <w:p w14:paraId="653E5B03" w14:textId="77777777" w:rsidR="000755BA" w:rsidRDefault="00EF1395">
      <w:pPr>
        <w:numPr>
          <w:ilvl w:val="0"/>
          <w:numId w:val="26"/>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 xml:space="preserve">veščine upravljanja težavnih situacij in iskanje rešitev, </w:t>
      </w:r>
    </w:p>
    <w:p w14:paraId="24366C1E" w14:textId="77777777" w:rsidR="000755BA" w:rsidRDefault="00EF1395">
      <w:pPr>
        <w:numPr>
          <w:ilvl w:val="0"/>
          <w:numId w:val="26"/>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 xml:space="preserve">znanja iz identificiranja turistične ponudbe v lokalni destinaciji in širše ter njeno povezovanje v atraktivne turistične paketne produkte in storitve izbrane lokacije, znanja podajanja informacij, nasvetov, namigov turistom,  </w:t>
      </w:r>
    </w:p>
    <w:p w14:paraId="56DE6F33" w14:textId="77777777" w:rsidR="000755BA" w:rsidRDefault="00EF1395">
      <w:pPr>
        <w:numPr>
          <w:ilvl w:val="0"/>
          <w:numId w:val="26"/>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 xml:space="preserve">znanja o pomenu ohranjanja in prezentacije kulturne dediščine turistom in obiskovalcem ter oblikovanje produktov in storitev kulturnega turizma,  </w:t>
      </w:r>
    </w:p>
    <w:p w14:paraId="2E5CC920" w14:textId="77777777" w:rsidR="000755BA" w:rsidRDefault="00EF1395">
      <w:pPr>
        <w:numPr>
          <w:ilvl w:val="0"/>
          <w:numId w:val="26"/>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 xml:space="preserve">znanja o skrbi za naravno okolje  v destinaciji ter vključevanje zelenega okolja v celotne turistične ponudbe destinacij.   </w:t>
      </w:r>
    </w:p>
  </w:footnote>
  <w:footnote w:id="12">
    <w:p w14:paraId="389CA30C" w14:textId="77777777" w:rsidR="000755BA" w:rsidRDefault="00EF1395">
      <w:pPr>
        <w:pBdr>
          <w:top w:val="nil"/>
          <w:left w:val="nil"/>
          <w:bottom w:val="nil"/>
          <w:right w:val="nil"/>
          <w:between w:val="nil"/>
        </w:pBdr>
        <w:spacing w:line="276" w:lineRule="auto"/>
        <w:ind w:left="284"/>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Vezano na  kulturno dediščino, vpisano v Register kulturne dediščine Republike Slovenije (RKD) in naravne vrednote, vpisane v Register naravnih vrednot (območij).</w:t>
      </w:r>
    </w:p>
  </w:footnote>
  <w:footnote w:id="13">
    <w:p w14:paraId="6C27D5B4" w14:textId="77777777" w:rsidR="000755BA" w:rsidRDefault="00EF1395">
      <w:pPr>
        <w:pBdr>
          <w:top w:val="nil"/>
          <w:left w:val="nil"/>
          <w:bottom w:val="nil"/>
          <w:right w:val="nil"/>
          <w:between w:val="nil"/>
        </w:pBdr>
        <w:spacing w:line="276" w:lineRule="auto"/>
        <w:ind w:left="284"/>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 xml:space="preserve">Upravičeni stroški digitalnega inoviranja kulturne dediščine in naravnih vrednot: </w:t>
      </w:r>
    </w:p>
    <w:p w14:paraId="4F3E4C22" w14:textId="77777777" w:rsidR="000755BA" w:rsidRDefault="00EF1395">
      <w:pPr>
        <w:numPr>
          <w:ilvl w:val="0"/>
          <w:numId w:val="27"/>
        </w:numPr>
        <w:pBdr>
          <w:top w:val="nil"/>
          <w:left w:val="nil"/>
          <w:bottom w:val="nil"/>
          <w:right w:val="nil"/>
          <w:between w:val="nil"/>
        </w:pBdr>
        <w:spacing w:line="276" w:lineRule="auto"/>
        <w:ind w:left="993" w:hanging="283"/>
        <w:jc w:val="both"/>
        <w:rPr>
          <w:rFonts w:ascii="Arial" w:eastAsia="Arial" w:hAnsi="Arial" w:cs="Arial"/>
          <w:color w:val="000000"/>
          <w:sz w:val="16"/>
          <w:szCs w:val="16"/>
        </w:rPr>
      </w:pPr>
      <w:r>
        <w:rPr>
          <w:rFonts w:ascii="Arial" w:eastAsia="Arial" w:hAnsi="Arial" w:cs="Arial"/>
          <w:color w:val="000000"/>
          <w:sz w:val="16"/>
          <w:szCs w:val="16"/>
        </w:rPr>
        <w:t>stroški zunanjih izvajalcev, ki so povezani z digitalnim inoviranjem kulturne dediščine (npr.; sodelovanje s področnimi strokovnjaki in strokovnimi združenji (npr. etnologi, rokodelci, arhitekti, strojniki, ...), svetovanje s področja kulturnih in kreativnih industrij z namenom razvoja izvirnih, edinstvenih in avtentičnih turističnih doživetij, produktov in storitev),</w:t>
      </w:r>
    </w:p>
    <w:p w14:paraId="23FB8401" w14:textId="77777777" w:rsidR="000755BA" w:rsidRDefault="00EF1395">
      <w:pPr>
        <w:numPr>
          <w:ilvl w:val="0"/>
          <w:numId w:val="27"/>
        </w:numPr>
        <w:pBdr>
          <w:top w:val="nil"/>
          <w:left w:val="nil"/>
          <w:bottom w:val="nil"/>
          <w:right w:val="nil"/>
          <w:between w:val="nil"/>
        </w:pBdr>
        <w:spacing w:line="276" w:lineRule="auto"/>
        <w:ind w:left="993" w:hanging="283"/>
        <w:rPr>
          <w:rFonts w:ascii="Arial" w:eastAsia="Arial" w:hAnsi="Arial" w:cs="Arial"/>
          <w:color w:val="000000"/>
          <w:sz w:val="16"/>
          <w:szCs w:val="16"/>
        </w:rPr>
      </w:pPr>
      <w:r>
        <w:rPr>
          <w:rFonts w:ascii="Arial" w:eastAsia="Arial" w:hAnsi="Arial" w:cs="Arial"/>
          <w:color w:val="000000"/>
          <w:sz w:val="16"/>
          <w:szCs w:val="16"/>
        </w:rPr>
        <w:t>stroški dobave in montaže strojne/digitalne opreme,</w:t>
      </w:r>
    </w:p>
    <w:p w14:paraId="0303D111" w14:textId="77777777" w:rsidR="000755BA" w:rsidRDefault="00EF1395">
      <w:pPr>
        <w:numPr>
          <w:ilvl w:val="0"/>
          <w:numId w:val="27"/>
        </w:numPr>
        <w:pBdr>
          <w:top w:val="nil"/>
          <w:left w:val="nil"/>
          <w:bottom w:val="nil"/>
          <w:right w:val="nil"/>
          <w:between w:val="nil"/>
        </w:pBdr>
        <w:spacing w:line="276" w:lineRule="auto"/>
        <w:ind w:left="993" w:hanging="283"/>
        <w:rPr>
          <w:rFonts w:ascii="Arial" w:eastAsia="Arial" w:hAnsi="Arial" w:cs="Arial"/>
          <w:color w:val="000000"/>
          <w:sz w:val="16"/>
          <w:szCs w:val="16"/>
        </w:rPr>
      </w:pPr>
      <w:r>
        <w:rPr>
          <w:rFonts w:ascii="Arial" w:eastAsia="Arial" w:hAnsi="Arial" w:cs="Arial"/>
          <w:color w:val="000000"/>
          <w:sz w:val="16"/>
          <w:szCs w:val="16"/>
        </w:rPr>
        <w:t>stroški priprav na digitalizacijo (ogled prostora, scenarij, snemalna knjiga ipd.),</w:t>
      </w:r>
    </w:p>
    <w:p w14:paraId="44781D37" w14:textId="77777777" w:rsidR="000755BA" w:rsidRDefault="00EF1395">
      <w:pPr>
        <w:numPr>
          <w:ilvl w:val="0"/>
          <w:numId w:val="27"/>
        </w:numPr>
        <w:pBdr>
          <w:top w:val="nil"/>
          <w:left w:val="nil"/>
          <w:bottom w:val="nil"/>
          <w:right w:val="nil"/>
          <w:between w:val="nil"/>
        </w:pBdr>
        <w:spacing w:line="276" w:lineRule="auto"/>
        <w:ind w:left="993" w:hanging="283"/>
        <w:rPr>
          <w:rFonts w:ascii="Arial" w:eastAsia="Arial" w:hAnsi="Arial" w:cs="Arial"/>
          <w:color w:val="000000"/>
          <w:sz w:val="16"/>
          <w:szCs w:val="16"/>
        </w:rPr>
      </w:pPr>
      <w:r>
        <w:rPr>
          <w:rFonts w:ascii="Arial" w:eastAsia="Arial" w:hAnsi="Arial" w:cs="Arial"/>
          <w:color w:val="000000"/>
          <w:sz w:val="16"/>
          <w:szCs w:val="16"/>
        </w:rPr>
        <w:t>stroški najema igralcev ter stroški izposoje ali nakupa rekvizitov ter drugih pripomočkov,</w:t>
      </w:r>
    </w:p>
    <w:p w14:paraId="4F05AEFC" w14:textId="77777777" w:rsidR="000755BA" w:rsidRDefault="00EF1395">
      <w:pPr>
        <w:numPr>
          <w:ilvl w:val="0"/>
          <w:numId w:val="27"/>
        </w:numPr>
        <w:pBdr>
          <w:top w:val="nil"/>
          <w:left w:val="nil"/>
          <w:bottom w:val="nil"/>
          <w:right w:val="nil"/>
          <w:between w:val="nil"/>
        </w:pBdr>
        <w:spacing w:line="276" w:lineRule="auto"/>
        <w:ind w:left="993" w:hanging="283"/>
        <w:jc w:val="both"/>
        <w:rPr>
          <w:rFonts w:ascii="Arial" w:eastAsia="Arial" w:hAnsi="Arial" w:cs="Arial"/>
          <w:color w:val="000000"/>
          <w:sz w:val="16"/>
          <w:szCs w:val="16"/>
        </w:rPr>
      </w:pPr>
      <w:r>
        <w:rPr>
          <w:rFonts w:ascii="Arial" w:eastAsia="Arial" w:hAnsi="Arial" w:cs="Arial"/>
          <w:color w:val="000000"/>
          <w:sz w:val="16"/>
          <w:szCs w:val="16"/>
        </w:rPr>
        <w:t xml:space="preserve">stroški digitalizacije enot kulturne dediščine (360° fotografiranje, 360° video snemanje, montaža, </w:t>
      </w:r>
      <w:proofErr w:type="spellStart"/>
      <w:r>
        <w:rPr>
          <w:rFonts w:ascii="Arial" w:eastAsia="Arial" w:hAnsi="Arial" w:cs="Arial"/>
          <w:color w:val="000000"/>
          <w:sz w:val="16"/>
          <w:szCs w:val="16"/>
        </w:rPr>
        <w:t>postprodukcija</w:t>
      </w:r>
      <w:proofErr w:type="spellEnd"/>
      <w:r>
        <w:rPr>
          <w:rFonts w:ascii="Arial" w:eastAsia="Arial" w:hAnsi="Arial" w:cs="Arial"/>
          <w:color w:val="000000"/>
          <w:sz w:val="16"/>
          <w:szCs w:val="16"/>
        </w:rPr>
        <w:t xml:space="preserve">, snemanje zvoka, obdelava zvoka, </w:t>
      </w:r>
      <w:proofErr w:type="spellStart"/>
      <w:r>
        <w:rPr>
          <w:rFonts w:ascii="Arial" w:eastAsia="Arial" w:hAnsi="Arial" w:cs="Arial"/>
          <w:color w:val="000000"/>
          <w:sz w:val="16"/>
          <w:szCs w:val="16"/>
        </w:rPr>
        <w:t>visokoločljivostno</w:t>
      </w:r>
      <w:proofErr w:type="spellEnd"/>
      <w:r>
        <w:rPr>
          <w:rFonts w:ascii="Arial" w:eastAsia="Arial" w:hAnsi="Arial" w:cs="Arial"/>
          <w:color w:val="000000"/>
          <w:sz w:val="16"/>
          <w:szCs w:val="16"/>
        </w:rPr>
        <w:t xml:space="preserve"> skeniranje, </w:t>
      </w:r>
      <w:proofErr w:type="spellStart"/>
      <w:r>
        <w:rPr>
          <w:rFonts w:ascii="Arial" w:eastAsia="Arial" w:hAnsi="Arial" w:cs="Arial"/>
          <w:color w:val="000000"/>
          <w:sz w:val="16"/>
          <w:szCs w:val="16"/>
        </w:rPr>
        <w:t>visokoločljivostno</w:t>
      </w:r>
      <w:proofErr w:type="spellEnd"/>
      <w:r>
        <w:rPr>
          <w:rFonts w:ascii="Arial" w:eastAsia="Arial" w:hAnsi="Arial" w:cs="Arial"/>
          <w:color w:val="000000"/>
          <w:sz w:val="16"/>
          <w:szCs w:val="16"/>
        </w:rPr>
        <w:t xml:space="preserve"> fotografiranje, 3D skeniranje, 3D obdelava 3D modelov, izdelava 3D modelov iz načrtov/skic, fotogrametrija, video snemanje, video montaža, video </w:t>
      </w:r>
      <w:proofErr w:type="spellStart"/>
      <w:r>
        <w:rPr>
          <w:rFonts w:ascii="Arial" w:eastAsia="Arial" w:hAnsi="Arial" w:cs="Arial"/>
          <w:color w:val="000000"/>
          <w:sz w:val="16"/>
          <w:szCs w:val="16"/>
        </w:rPr>
        <w:t>postprodukcija</w:t>
      </w:r>
      <w:proofErr w:type="spellEnd"/>
      <w:r>
        <w:rPr>
          <w:rFonts w:ascii="Arial" w:eastAsia="Arial" w:hAnsi="Arial" w:cs="Arial"/>
          <w:color w:val="000000"/>
          <w:sz w:val="16"/>
          <w:szCs w:val="16"/>
        </w:rPr>
        <w:t>, ...),</w:t>
      </w:r>
    </w:p>
    <w:p w14:paraId="2816C886" w14:textId="77777777" w:rsidR="000755BA" w:rsidRDefault="00EF1395">
      <w:pPr>
        <w:numPr>
          <w:ilvl w:val="0"/>
          <w:numId w:val="27"/>
        </w:numPr>
        <w:pBdr>
          <w:top w:val="nil"/>
          <w:left w:val="nil"/>
          <w:bottom w:val="nil"/>
          <w:right w:val="nil"/>
          <w:between w:val="nil"/>
        </w:pBdr>
        <w:spacing w:line="276" w:lineRule="auto"/>
        <w:ind w:left="993" w:hanging="283"/>
        <w:jc w:val="both"/>
        <w:rPr>
          <w:rFonts w:ascii="Arial" w:eastAsia="Arial" w:hAnsi="Arial" w:cs="Arial"/>
          <w:color w:val="000000"/>
          <w:sz w:val="16"/>
          <w:szCs w:val="16"/>
        </w:rPr>
      </w:pPr>
      <w:r>
        <w:rPr>
          <w:rFonts w:ascii="Arial" w:eastAsia="Arial" w:hAnsi="Arial" w:cs="Arial"/>
          <w:color w:val="000000"/>
          <w:sz w:val="16"/>
          <w:szCs w:val="16"/>
        </w:rPr>
        <w:t xml:space="preserve">stroški digitalne interpretacije (načrtovanje in razvoj XR rešitev - AR/VR/MR, hologrami, </w:t>
      </w:r>
      <w:proofErr w:type="spellStart"/>
      <w:r>
        <w:rPr>
          <w:rFonts w:ascii="Arial" w:eastAsia="Arial" w:hAnsi="Arial" w:cs="Arial"/>
          <w:color w:val="000000"/>
          <w:sz w:val="16"/>
          <w:szCs w:val="16"/>
        </w:rPr>
        <w:t>videomapping</w:t>
      </w:r>
      <w:proofErr w:type="spellEnd"/>
      <w:r>
        <w:rPr>
          <w:rFonts w:ascii="Arial" w:eastAsia="Arial" w:hAnsi="Arial" w:cs="Arial"/>
          <w:color w:val="000000"/>
          <w:sz w:val="16"/>
          <w:szCs w:val="16"/>
        </w:rPr>
        <w:t xml:space="preserve"> projekcije, </w:t>
      </w:r>
      <w:proofErr w:type="spellStart"/>
      <w:r>
        <w:rPr>
          <w:rFonts w:ascii="Arial" w:eastAsia="Arial" w:hAnsi="Arial" w:cs="Arial"/>
          <w:color w:val="000000"/>
          <w:sz w:val="16"/>
          <w:szCs w:val="16"/>
        </w:rPr>
        <w:t>potopitvene</w:t>
      </w:r>
      <w:proofErr w:type="spellEnd"/>
      <w:r>
        <w:rPr>
          <w:rFonts w:ascii="Arial" w:eastAsia="Arial" w:hAnsi="Arial" w:cs="Arial"/>
          <w:color w:val="000000"/>
          <w:sz w:val="16"/>
          <w:szCs w:val="16"/>
        </w:rPr>
        <w:t xml:space="preserve"> izkušnje, video vsebine, mobilne in spletne aplikacije, digitalne rešitve na zaslonih na dotik, ...),</w:t>
      </w:r>
    </w:p>
    <w:p w14:paraId="0D178164" w14:textId="77777777" w:rsidR="000755BA" w:rsidRDefault="00EF1395">
      <w:pPr>
        <w:numPr>
          <w:ilvl w:val="0"/>
          <w:numId w:val="27"/>
        </w:numPr>
        <w:pBdr>
          <w:top w:val="nil"/>
          <w:left w:val="nil"/>
          <w:bottom w:val="nil"/>
          <w:right w:val="nil"/>
          <w:between w:val="nil"/>
        </w:pBdr>
        <w:spacing w:line="276" w:lineRule="auto"/>
        <w:ind w:left="993" w:hanging="283"/>
        <w:jc w:val="both"/>
        <w:rPr>
          <w:rFonts w:ascii="Arial" w:eastAsia="Arial" w:hAnsi="Arial" w:cs="Arial"/>
          <w:color w:val="000000"/>
          <w:sz w:val="16"/>
          <w:szCs w:val="16"/>
        </w:rPr>
      </w:pPr>
      <w:r>
        <w:rPr>
          <w:rFonts w:ascii="Arial" w:eastAsia="Arial" w:hAnsi="Arial" w:cs="Arial"/>
          <w:color w:val="000000"/>
          <w:sz w:val="16"/>
          <w:szCs w:val="16"/>
        </w:rPr>
        <w:t>stroški implementacije naprednih AI orodij na osnovi velikih jezikovnih modelov na področju kulturne dediščine, ki gostujejo na strežnikih v Sloveniji,</w:t>
      </w:r>
    </w:p>
    <w:p w14:paraId="59CBA275" w14:textId="77777777" w:rsidR="000755BA" w:rsidRDefault="00EF1395">
      <w:pPr>
        <w:numPr>
          <w:ilvl w:val="0"/>
          <w:numId w:val="27"/>
        </w:numPr>
        <w:pBdr>
          <w:top w:val="nil"/>
          <w:left w:val="nil"/>
          <w:bottom w:val="nil"/>
          <w:right w:val="nil"/>
          <w:between w:val="nil"/>
        </w:pBdr>
        <w:spacing w:line="276" w:lineRule="auto"/>
        <w:ind w:left="993" w:hanging="283"/>
        <w:rPr>
          <w:rFonts w:ascii="Arial" w:eastAsia="Arial" w:hAnsi="Arial" w:cs="Arial"/>
          <w:color w:val="000000"/>
          <w:sz w:val="16"/>
          <w:szCs w:val="16"/>
        </w:rPr>
      </w:pPr>
      <w:r>
        <w:rPr>
          <w:rFonts w:ascii="Arial" w:eastAsia="Arial" w:hAnsi="Arial" w:cs="Arial"/>
          <w:color w:val="000000"/>
          <w:sz w:val="16"/>
          <w:szCs w:val="16"/>
        </w:rPr>
        <w:t>stroški opremljanja z metapodatki,</w:t>
      </w:r>
    </w:p>
    <w:p w14:paraId="74244721" w14:textId="77777777" w:rsidR="000755BA" w:rsidRDefault="00EF1395">
      <w:pPr>
        <w:numPr>
          <w:ilvl w:val="0"/>
          <w:numId w:val="27"/>
        </w:numPr>
        <w:pBdr>
          <w:top w:val="nil"/>
          <w:left w:val="nil"/>
          <w:bottom w:val="nil"/>
          <w:right w:val="nil"/>
          <w:between w:val="nil"/>
        </w:pBdr>
        <w:spacing w:line="276" w:lineRule="auto"/>
        <w:ind w:left="993" w:hanging="283"/>
        <w:jc w:val="both"/>
        <w:rPr>
          <w:rFonts w:ascii="Arial" w:eastAsia="Arial" w:hAnsi="Arial" w:cs="Arial"/>
          <w:color w:val="000000"/>
          <w:sz w:val="16"/>
          <w:szCs w:val="16"/>
        </w:rPr>
      </w:pPr>
      <w:r>
        <w:rPr>
          <w:rFonts w:ascii="Arial" w:eastAsia="Arial" w:hAnsi="Arial" w:cs="Arial"/>
          <w:color w:val="000000"/>
          <w:sz w:val="16"/>
          <w:szCs w:val="16"/>
        </w:rPr>
        <w:t>stroški 3D rekonstrukcij na video ali 360°, simulacije delne rekonstrukcije (manjkajoči/porušeni/načrtovani elementi),</w:t>
      </w:r>
    </w:p>
    <w:p w14:paraId="2EC9BB05" w14:textId="77777777" w:rsidR="000755BA" w:rsidRDefault="00EF1395">
      <w:pPr>
        <w:numPr>
          <w:ilvl w:val="0"/>
          <w:numId w:val="27"/>
        </w:numPr>
        <w:pBdr>
          <w:top w:val="nil"/>
          <w:left w:val="nil"/>
          <w:bottom w:val="nil"/>
          <w:right w:val="nil"/>
          <w:between w:val="nil"/>
        </w:pBdr>
        <w:spacing w:line="276" w:lineRule="auto"/>
        <w:ind w:left="993" w:hanging="283"/>
        <w:rPr>
          <w:rFonts w:ascii="Arial" w:eastAsia="Arial" w:hAnsi="Arial" w:cs="Arial"/>
          <w:color w:val="000000"/>
          <w:sz w:val="16"/>
          <w:szCs w:val="16"/>
        </w:rPr>
      </w:pPr>
      <w:r>
        <w:rPr>
          <w:rFonts w:ascii="Arial" w:eastAsia="Arial" w:hAnsi="Arial" w:cs="Arial"/>
          <w:color w:val="000000"/>
          <w:sz w:val="16"/>
          <w:szCs w:val="16"/>
        </w:rPr>
        <w:t>stroški 3D tiska in izdelave nadomestnih oglednih kopij na osnovi digitaliziranega gradiva,</w:t>
      </w:r>
    </w:p>
    <w:p w14:paraId="0C187660" w14:textId="77777777" w:rsidR="000755BA" w:rsidRDefault="00EF1395">
      <w:pPr>
        <w:numPr>
          <w:ilvl w:val="0"/>
          <w:numId w:val="27"/>
        </w:numPr>
        <w:pBdr>
          <w:top w:val="nil"/>
          <w:left w:val="nil"/>
          <w:bottom w:val="nil"/>
          <w:right w:val="nil"/>
          <w:between w:val="nil"/>
        </w:pBdr>
        <w:spacing w:line="276" w:lineRule="auto"/>
        <w:ind w:left="993" w:hanging="283"/>
        <w:jc w:val="both"/>
        <w:rPr>
          <w:rFonts w:ascii="Arial" w:eastAsia="Arial" w:hAnsi="Arial" w:cs="Arial"/>
          <w:color w:val="000000"/>
          <w:sz w:val="16"/>
          <w:szCs w:val="16"/>
        </w:rPr>
      </w:pPr>
      <w:r>
        <w:rPr>
          <w:rFonts w:ascii="Arial" w:eastAsia="Arial" w:hAnsi="Arial" w:cs="Arial"/>
          <w:color w:val="000000"/>
          <w:sz w:val="16"/>
          <w:szCs w:val="16"/>
        </w:rPr>
        <w:t xml:space="preserve">stroški obdelave, urejanja in opremljanja </w:t>
      </w:r>
      <w:proofErr w:type="spellStart"/>
      <w:r>
        <w:rPr>
          <w:rFonts w:ascii="Arial" w:eastAsia="Arial" w:hAnsi="Arial" w:cs="Arial"/>
          <w:color w:val="000000"/>
          <w:sz w:val="16"/>
          <w:szCs w:val="16"/>
        </w:rPr>
        <w:t>digitiziranih</w:t>
      </w:r>
      <w:proofErr w:type="spellEnd"/>
      <w:r>
        <w:rPr>
          <w:rFonts w:ascii="Arial" w:eastAsia="Arial" w:hAnsi="Arial" w:cs="Arial"/>
          <w:color w:val="000000"/>
          <w:sz w:val="16"/>
          <w:szCs w:val="16"/>
        </w:rPr>
        <w:t xml:space="preserve"> gradiv z obstoječimi (vizualnimi, besedilnimi, zvokovnimi, ...) gradivi,</w:t>
      </w:r>
    </w:p>
    <w:p w14:paraId="21820643" w14:textId="77777777" w:rsidR="000755BA" w:rsidRDefault="00EF1395">
      <w:pPr>
        <w:numPr>
          <w:ilvl w:val="0"/>
          <w:numId w:val="27"/>
        </w:numPr>
        <w:pBdr>
          <w:top w:val="nil"/>
          <w:left w:val="nil"/>
          <w:bottom w:val="nil"/>
          <w:right w:val="nil"/>
          <w:between w:val="nil"/>
        </w:pBdr>
        <w:spacing w:line="276" w:lineRule="auto"/>
        <w:ind w:left="993" w:hanging="283"/>
        <w:rPr>
          <w:rFonts w:ascii="Arial" w:eastAsia="Arial" w:hAnsi="Arial" w:cs="Arial"/>
          <w:color w:val="000000"/>
          <w:sz w:val="16"/>
          <w:szCs w:val="16"/>
        </w:rPr>
      </w:pPr>
      <w:r>
        <w:rPr>
          <w:rFonts w:ascii="Arial" w:eastAsia="Arial" w:hAnsi="Arial" w:cs="Arial"/>
          <w:color w:val="000000"/>
          <w:sz w:val="16"/>
          <w:szCs w:val="16"/>
        </w:rPr>
        <w:t xml:space="preserve"> stroški razvoja novih digitalnih rešitev za uporabo digitalizirane kulturne dediščine v turistične namene,</w:t>
      </w:r>
    </w:p>
    <w:p w14:paraId="1436F376" w14:textId="77777777" w:rsidR="000755BA" w:rsidRDefault="00EF1395">
      <w:pPr>
        <w:numPr>
          <w:ilvl w:val="0"/>
          <w:numId w:val="27"/>
        </w:numPr>
        <w:pBdr>
          <w:top w:val="nil"/>
          <w:left w:val="nil"/>
          <w:bottom w:val="nil"/>
          <w:right w:val="nil"/>
          <w:between w:val="nil"/>
        </w:pBdr>
        <w:spacing w:line="276" w:lineRule="auto"/>
        <w:ind w:left="993" w:hanging="283"/>
        <w:rPr>
          <w:rFonts w:ascii="Arial" w:eastAsia="Arial" w:hAnsi="Arial" w:cs="Arial"/>
          <w:color w:val="000000"/>
          <w:sz w:val="16"/>
          <w:szCs w:val="16"/>
        </w:rPr>
      </w:pPr>
      <w:r>
        <w:rPr>
          <w:rFonts w:ascii="Arial" w:eastAsia="Arial" w:hAnsi="Arial" w:cs="Arial"/>
          <w:color w:val="000000"/>
          <w:sz w:val="16"/>
          <w:szCs w:val="16"/>
        </w:rPr>
        <w:t xml:space="preserve"> stroški avtorskih pravic iz naslova glasbe in naracije idr.,</w:t>
      </w:r>
    </w:p>
    <w:p w14:paraId="1B26B569" w14:textId="77777777" w:rsidR="000755BA" w:rsidRDefault="00EF1395">
      <w:pPr>
        <w:numPr>
          <w:ilvl w:val="0"/>
          <w:numId w:val="27"/>
        </w:numPr>
        <w:pBdr>
          <w:top w:val="nil"/>
          <w:left w:val="nil"/>
          <w:bottom w:val="nil"/>
          <w:right w:val="nil"/>
          <w:between w:val="nil"/>
        </w:pBdr>
        <w:spacing w:line="276" w:lineRule="auto"/>
        <w:ind w:left="993" w:hanging="283"/>
        <w:rPr>
          <w:rFonts w:ascii="Arial" w:eastAsia="Arial" w:hAnsi="Arial" w:cs="Arial"/>
          <w:color w:val="000000"/>
          <w:sz w:val="16"/>
          <w:szCs w:val="16"/>
        </w:rPr>
      </w:pPr>
      <w:r>
        <w:rPr>
          <w:rFonts w:ascii="Arial" w:eastAsia="Arial" w:hAnsi="Arial" w:cs="Arial"/>
          <w:color w:val="000000"/>
          <w:sz w:val="16"/>
          <w:szCs w:val="16"/>
        </w:rPr>
        <w:t xml:space="preserve"> stroški grafičnega oblikovanja (priprava grafičnih podob, oblikovanje promocijskih gradiv, embalaž, predstavitvenih postavitev, ...),</w:t>
      </w:r>
    </w:p>
    <w:p w14:paraId="370A31D2" w14:textId="77777777" w:rsidR="000755BA" w:rsidRDefault="00EF1395">
      <w:pPr>
        <w:numPr>
          <w:ilvl w:val="0"/>
          <w:numId w:val="27"/>
        </w:numPr>
        <w:pBdr>
          <w:top w:val="nil"/>
          <w:left w:val="nil"/>
          <w:bottom w:val="nil"/>
          <w:right w:val="nil"/>
          <w:between w:val="nil"/>
        </w:pBdr>
        <w:spacing w:line="276" w:lineRule="auto"/>
        <w:ind w:left="993" w:hanging="283"/>
        <w:rPr>
          <w:rFonts w:ascii="Arial" w:eastAsia="Arial" w:hAnsi="Arial" w:cs="Arial"/>
          <w:color w:val="000000"/>
          <w:sz w:val="16"/>
          <w:szCs w:val="16"/>
        </w:rPr>
      </w:pPr>
      <w:r>
        <w:rPr>
          <w:rFonts w:ascii="Arial" w:eastAsia="Arial" w:hAnsi="Arial" w:cs="Arial"/>
          <w:color w:val="000000"/>
          <w:sz w:val="16"/>
          <w:szCs w:val="16"/>
        </w:rPr>
        <w:t xml:space="preserve"> stroški izdelave, prilagoditve in objave na spletnih straneh in mobilnih aplikacijah,</w:t>
      </w:r>
    </w:p>
    <w:p w14:paraId="1D26135E" w14:textId="77777777" w:rsidR="000755BA" w:rsidRDefault="00EF1395">
      <w:pPr>
        <w:numPr>
          <w:ilvl w:val="0"/>
          <w:numId w:val="27"/>
        </w:numPr>
        <w:pBdr>
          <w:top w:val="nil"/>
          <w:left w:val="nil"/>
          <w:bottom w:val="nil"/>
          <w:right w:val="nil"/>
          <w:between w:val="nil"/>
        </w:pBdr>
        <w:spacing w:line="276" w:lineRule="auto"/>
        <w:ind w:left="993" w:hanging="283"/>
        <w:rPr>
          <w:rFonts w:ascii="Arial" w:eastAsia="Arial" w:hAnsi="Arial" w:cs="Arial"/>
          <w:color w:val="000000"/>
          <w:sz w:val="16"/>
          <w:szCs w:val="16"/>
        </w:rPr>
      </w:pPr>
      <w:r>
        <w:rPr>
          <w:rFonts w:ascii="Arial" w:eastAsia="Arial" w:hAnsi="Arial" w:cs="Arial"/>
          <w:color w:val="000000"/>
          <w:sz w:val="16"/>
          <w:szCs w:val="16"/>
        </w:rPr>
        <w:t xml:space="preserve"> stroški izdelave in postavitve razstavnih, informacijskih in drugih premičnih in nepremičnih postavitev na terenu,</w:t>
      </w:r>
    </w:p>
    <w:p w14:paraId="58C1BAF7" w14:textId="77777777" w:rsidR="000755BA" w:rsidRDefault="00EF1395">
      <w:pPr>
        <w:numPr>
          <w:ilvl w:val="0"/>
          <w:numId w:val="27"/>
        </w:numPr>
        <w:pBdr>
          <w:top w:val="nil"/>
          <w:left w:val="nil"/>
          <w:bottom w:val="nil"/>
          <w:right w:val="nil"/>
          <w:between w:val="nil"/>
        </w:pBdr>
        <w:spacing w:line="276" w:lineRule="auto"/>
        <w:ind w:left="993" w:hanging="283"/>
        <w:rPr>
          <w:rFonts w:ascii="Arial" w:eastAsia="Arial" w:hAnsi="Arial" w:cs="Arial"/>
          <w:color w:val="000000"/>
          <w:sz w:val="16"/>
          <w:szCs w:val="16"/>
        </w:rPr>
      </w:pPr>
      <w:r>
        <w:rPr>
          <w:rFonts w:ascii="Arial" w:eastAsia="Arial" w:hAnsi="Arial" w:cs="Arial"/>
          <w:color w:val="000000"/>
          <w:sz w:val="16"/>
          <w:szCs w:val="16"/>
        </w:rPr>
        <w:t xml:space="preserve"> stroški prevodov digitalnih rešitev. </w:t>
      </w:r>
    </w:p>
    <w:p w14:paraId="1B2E69F4" w14:textId="77777777" w:rsidR="000755BA" w:rsidRDefault="000755BA">
      <w:pPr>
        <w:pBdr>
          <w:top w:val="nil"/>
          <w:left w:val="nil"/>
          <w:bottom w:val="nil"/>
          <w:right w:val="nil"/>
          <w:between w:val="nil"/>
        </w:pBdr>
        <w:spacing w:line="276" w:lineRule="auto"/>
        <w:ind w:left="992"/>
        <w:rPr>
          <w:rFonts w:ascii="Arial" w:eastAsia="Arial" w:hAnsi="Arial" w:cs="Arial"/>
          <w:color w:val="000000"/>
          <w:sz w:val="16"/>
          <w:szCs w:val="16"/>
        </w:rPr>
      </w:pPr>
    </w:p>
  </w:footnote>
  <w:footnote w:id="14">
    <w:p w14:paraId="5EA36F69" w14:textId="77777777" w:rsidR="000755BA" w:rsidRDefault="00EF1395">
      <w:pPr>
        <w:pBdr>
          <w:top w:val="nil"/>
          <w:left w:val="nil"/>
          <w:bottom w:val="nil"/>
          <w:right w:val="nil"/>
          <w:between w:val="nil"/>
        </w:pBdr>
        <w:spacing w:after="200" w:line="276" w:lineRule="auto"/>
        <w:jc w:val="both"/>
        <w:rPr>
          <w:color w:val="000000"/>
        </w:rPr>
      </w:pPr>
      <w:r>
        <w:rPr>
          <w:vertAlign w:val="superscript"/>
        </w:rPr>
        <w:footnoteRef/>
      </w:r>
      <w:r>
        <w:rPr>
          <w:color w:val="000000"/>
        </w:rPr>
        <w:t xml:space="preserve"> </w:t>
      </w:r>
      <w:r>
        <w:rPr>
          <w:rFonts w:ascii="Arial" w:eastAsia="Arial" w:hAnsi="Arial" w:cs="Arial"/>
          <w:color w:val="000000"/>
          <w:sz w:val="16"/>
          <w:szCs w:val="16"/>
        </w:rPr>
        <w:t xml:space="preserve">Upravičeni stroški bodo zgolj stroški promocijskega materiala, ki se ne bodo nanašali na promocijo posameznega ponudnika, temveč na promocijo integralnih turističnih proizvodov in tematskih proizvodov. V kolikor promocijski material obsega integralni turistični proizvod ali tematski proizvod, ki presega meje delovanja regionalne </w:t>
      </w:r>
      <w:proofErr w:type="spellStart"/>
      <w:r>
        <w:rPr>
          <w:rFonts w:ascii="Arial" w:eastAsia="Arial" w:hAnsi="Arial" w:cs="Arial"/>
          <w:color w:val="000000"/>
          <w:sz w:val="16"/>
          <w:szCs w:val="16"/>
        </w:rPr>
        <w:t>destinacijske</w:t>
      </w:r>
      <w:proofErr w:type="spellEnd"/>
      <w:r>
        <w:rPr>
          <w:rFonts w:ascii="Arial" w:eastAsia="Arial" w:hAnsi="Arial" w:cs="Arial"/>
          <w:color w:val="000000"/>
          <w:sz w:val="16"/>
          <w:szCs w:val="16"/>
        </w:rPr>
        <w:t xml:space="preserve"> organizacije, je sofinanciran del promocijskega materiala, ki se nanaša na območje delovanja regionalne </w:t>
      </w:r>
      <w:proofErr w:type="spellStart"/>
      <w:r>
        <w:rPr>
          <w:rFonts w:ascii="Arial" w:eastAsia="Arial" w:hAnsi="Arial" w:cs="Arial"/>
          <w:color w:val="000000"/>
          <w:sz w:val="16"/>
          <w:szCs w:val="16"/>
        </w:rPr>
        <w:t>destinacijske</w:t>
      </w:r>
      <w:proofErr w:type="spellEnd"/>
      <w:r>
        <w:rPr>
          <w:rFonts w:ascii="Arial" w:eastAsia="Arial" w:hAnsi="Arial" w:cs="Arial"/>
          <w:color w:val="000000"/>
          <w:sz w:val="16"/>
          <w:szCs w:val="16"/>
        </w:rPr>
        <w:t xml:space="preserve"> organizacije.</w:t>
      </w:r>
    </w:p>
  </w:footnote>
  <w:footnote w:id="15">
    <w:p w14:paraId="3EF5EAB5" w14:textId="77777777" w:rsidR="000755BA" w:rsidRDefault="00EF1395">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22"/>
          <w:szCs w:val="22"/>
        </w:rPr>
        <w:t xml:space="preserve"> </w:t>
      </w:r>
      <w:r>
        <w:rPr>
          <w:rFonts w:ascii="Arial" w:eastAsia="Arial" w:hAnsi="Arial" w:cs="Arial"/>
          <w:color w:val="000000"/>
          <w:sz w:val="16"/>
          <w:szCs w:val="16"/>
        </w:rPr>
        <w:t>Stroški morajo biti v skladu s pravili Slovenskih računovodskih standardov knjiženi kot osnovna sredstva.</w:t>
      </w:r>
    </w:p>
  </w:footnote>
  <w:footnote w:id="16">
    <w:p w14:paraId="7A420A37" w14:textId="77777777" w:rsidR="000755BA" w:rsidRDefault="00EF1395">
      <w:pPr>
        <w:pBdr>
          <w:top w:val="nil"/>
          <w:left w:val="nil"/>
          <w:bottom w:val="nil"/>
          <w:right w:val="nil"/>
          <w:between w:val="nil"/>
        </w:pBdr>
        <w:spacing w:after="200" w:line="276" w:lineRule="auto"/>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Stroški morajo biti v skladu s pravili Slovenskih računovodskih standardov knjiženi kot osnovna sredstva.</w:t>
      </w:r>
    </w:p>
  </w:footnote>
  <w:footnote w:id="17">
    <w:p w14:paraId="528EDD2F" w14:textId="77777777" w:rsidR="00683F46" w:rsidRDefault="00683F46">
      <w:pPr>
        <w:pBdr>
          <w:top w:val="nil"/>
          <w:left w:val="nil"/>
          <w:bottom w:val="nil"/>
          <w:right w:val="nil"/>
          <w:between w:val="nil"/>
        </w:pBdr>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https://www.slovenia.info/uploads/RR2025/STO_Prirocnik_destinacijske_organizacije.pdf</w:t>
      </w:r>
    </w:p>
  </w:footnote>
  <w:footnote w:id="18">
    <w:p w14:paraId="4DC841FE" w14:textId="3CE8A686" w:rsidR="00683F46" w:rsidRDefault="00683F46">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Izpolnjevanje merila se preverja na podlagi opisa vzpostavljenega sistema komuniciranja z lokalno skupnostjo na območju delovanja destinacije, ki vključuje opredeljene komunikacijske kanale (npr. spletna stran, družbena omrežja, e-</w:t>
      </w:r>
      <w:proofErr w:type="spellStart"/>
      <w:r>
        <w:rPr>
          <w:rFonts w:ascii="Arial" w:eastAsia="Arial" w:hAnsi="Arial" w:cs="Arial"/>
          <w:color w:val="000000"/>
          <w:sz w:val="16"/>
          <w:szCs w:val="16"/>
        </w:rPr>
        <w:t>novičniki</w:t>
      </w:r>
      <w:proofErr w:type="spellEnd"/>
      <w:r>
        <w:rPr>
          <w:rFonts w:ascii="Arial" w:eastAsia="Arial" w:hAnsi="Arial" w:cs="Arial"/>
          <w:color w:val="000000"/>
          <w:sz w:val="16"/>
          <w:szCs w:val="16"/>
        </w:rPr>
        <w:t>, javne objave, kontaktna točka), način in pogostost obveščanja ter odgovorne osebe. Ob prijavi (v Obrazcu št. 4) prijavitelj opiše sistem komuniciranja, med izvajanjem operacije pa dokazila o njegovem delovanju (npr. objave, obvestila, zapisniki, posnetki zaslona ali povezave).</w:t>
      </w:r>
    </w:p>
  </w:footnote>
  <w:footnote w:id="19">
    <w:p w14:paraId="16989906" w14:textId="77777777" w:rsidR="00683F46" w:rsidRDefault="00683F46">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color w:val="000000"/>
          <w:sz w:val="16"/>
          <w:szCs w:val="16"/>
        </w:rPr>
        <w:t xml:space="preserve"> </w:t>
      </w:r>
      <w:r>
        <w:rPr>
          <w:rFonts w:ascii="Arial" w:eastAsia="Arial" w:hAnsi="Arial" w:cs="Arial"/>
          <w:color w:val="000000"/>
          <w:sz w:val="16"/>
          <w:szCs w:val="16"/>
        </w:rPr>
        <w:t>Izpolnjevanje merila se preverja na podlagi načrta organizacije letnih srečanj z zainteresiranimi prebivalci na območju delovanja destinacije, ki vključuje predvideno pogostost, ciljno skupino in okvirno vsebino srečanj. Ob prijavi (v Obrazcu št. 4) prijavitelj opiše način organizacije srečanj, med izvajanjem operacije pa dokazila o dejanski izvedbi vsaj enega letnega srečanja (npr. vabila, seznam udeležencev, zapisnik ali povzetek srečanja).</w:t>
      </w:r>
    </w:p>
  </w:footnote>
  <w:footnote w:id="20">
    <w:p w14:paraId="7733364C" w14:textId="77777777" w:rsidR="00683F46" w:rsidRDefault="00683F46">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Izpolnjevanje merila se preverja na podlagi opisa metodologije preverjanja zadovoljstva lokalnega prebivalstva s turizmom na območju delovanja destinacije, ki vključuje opis ciljne skupine, način zbiranja podatkov (npr. anketa, delavnice, fokusne skupine), časovni okvir izvedbe ter način uporabe rezultatov. Ob prijavi (v Obrazcu št. 4) prijavitelj opiše načrt oziroma metodologijo preverjanja zadovoljstva, med izvajanjem operacije pa dokazila o dejanski izvedbi in povzetek rezultatov.</w:t>
      </w:r>
    </w:p>
  </w:footnote>
  <w:footnote w:id="21">
    <w:p w14:paraId="02B6E784" w14:textId="77777777" w:rsidR="00683F46" w:rsidRDefault="00683F46">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color w:val="000000"/>
          <w:sz w:val="16"/>
          <w:szCs w:val="16"/>
        </w:rPr>
        <w:t xml:space="preserve"> </w:t>
      </w:r>
      <w:r>
        <w:rPr>
          <w:rFonts w:ascii="Arial" w:eastAsia="Arial" w:hAnsi="Arial" w:cs="Arial"/>
          <w:color w:val="000000"/>
          <w:sz w:val="16"/>
          <w:szCs w:val="16"/>
        </w:rPr>
        <w:t>Izpolnjevanje merila se preverja na podlagi opisa načrtovanih aktivnosti in investicij (npr. dogodki, javne turistične površine, skupna infrastruktura), ki bodo dostopne in v dobrobit lokalni skupnosti na območju delovanja destinacije. Ob prijavi (v Obrazcu št. 4) prijavitelj opiše načrtovane aktivnosti in investicije, med izvajanjem operacije pa dokazila o njihovi izvedbi in dostopnosti (npr. opisi, fotografije, javne objave ali druga ustrezna dokazila).</w:t>
      </w:r>
    </w:p>
    <w:p w14:paraId="3DDC67A1" w14:textId="77777777" w:rsidR="00683F46" w:rsidRDefault="00683F46">
      <w:pPr>
        <w:pBdr>
          <w:top w:val="nil"/>
          <w:left w:val="nil"/>
          <w:bottom w:val="nil"/>
          <w:right w:val="nil"/>
          <w:between w:val="nil"/>
        </w:pBdr>
        <w:spacing w:after="200" w:line="276" w:lineRule="auto"/>
        <w:jc w:val="both"/>
        <w:rPr>
          <w:color w:val="000000"/>
          <w:sz w:val="16"/>
          <w:szCs w:val="16"/>
        </w:rPr>
      </w:pPr>
    </w:p>
  </w:footnote>
  <w:footnote w:id="22">
    <w:p w14:paraId="4B805991" w14:textId="77777777" w:rsidR="000755BA" w:rsidRDefault="00EF1395">
      <w:pPr>
        <w:pBdr>
          <w:top w:val="nil"/>
          <w:left w:val="nil"/>
          <w:bottom w:val="nil"/>
          <w:right w:val="nil"/>
          <w:between w:val="nil"/>
        </w:pBdr>
        <w:spacing w:line="276" w:lineRule="auto"/>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 xml:space="preserve">Navodila organa upravljanja na področju zagotavljanja prepoznavnosti, preglednosti in komuniciranja evropske kohezijske politike v obdobju 2021–2027:  </w:t>
      </w:r>
      <w:hyperlink r:id="rId3">
        <w:r>
          <w:rPr>
            <w:rFonts w:ascii="Arial" w:eastAsia="Arial" w:hAnsi="Arial" w:cs="Arial"/>
            <w:color w:val="0000FF"/>
            <w:sz w:val="16"/>
            <w:szCs w:val="16"/>
            <w:u w:val="single"/>
          </w:rPr>
          <w:t>https://evropskasredstva.si/app/uploads/2026/03/Navodila_za_komuniciranje_EKP_cistopis_marec_2026.pdf</w:t>
        </w:r>
      </w:hyperlink>
      <w:r>
        <w:rPr>
          <w:rFonts w:ascii="Arial" w:eastAsia="Arial" w:hAnsi="Arial" w:cs="Arial"/>
          <w:color w:val="000000"/>
          <w:sz w:val="16"/>
          <w:szCs w:val="16"/>
        </w:rPr>
        <w:t xml:space="preserve"> </w:t>
      </w:r>
    </w:p>
  </w:footnote>
  <w:footnote w:id="23">
    <w:p w14:paraId="15F8E47F" w14:textId="77777777" w:rsidR="000755BA" w:rsidRDefault="00EF1395">
      <w:pPr>
        <w:pBdr>
          <w:top w:val="nil"/>
          <w:left w:val="nil"/>
          <w:bottom w:val="nil"/>
          <w:right w:val="nil"/>
          <w:between w:val="nil"/>
        </w:pBdr>
        <w:spacing w:line="276" w:lineRule="auto"/>
        <w:rPr>
          <w:color w:val="000000"/>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 xml:space="preserve">Evropska sredstva povezujejo - Celostna grafična podoba 2021-2027: </w:t>
      </w:r>
      <w:hyperlink r:id="rId4">
        <w:r>
          <w:rPr>
            <w:rFonts w:ascii="Arial" w:eastAsia="Arial" w:hAnsi="Arial" w:cs="Arial"/>
            <w:color w:val="0000FF"/>
            <w:sz w:val="16"/>
            <w:szCs w:val="16"/>
            <w:u w:val="single"/>
          </w:rPr>
          <w:t>https://evropskasredstva.si/app/uploads/2023/03/ESP-CGP-2021-2027_300323_koncna.pdf</w:t>
        </w:r>
      </w:hyperlink>
      <w:r>
        <w:rPr>
          <w:rFonts w:ascii="Arial" w:eastAsia="Arial" w:hAnsi="Arial" w:cs="Arial"/>
          <w:color w:val="000000"/>
          <w:sz w:val="16"/>
          <w:szCs w:val="16"/>
        </w:rPr>
        <w:t xml:space="preserve">   </w:t>
      </w:r>
    </w:p>
  </w:footnote>
  <w:footnote w:id="24">
    <w:p w14:paraId="0862A74B"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 xml:space="preserve">Prijavitelj mora imeti pisno izraženo podporo 75 % občin na območju </w:t>
      </w:r>
      <w:proofErr w:type="spellStart"/>
      <w:r>
        <w:rPr>
          <w:rFonts w:ascii="Arial" w:eastAsia="Arial" w:hAnsi="Arial" w:cs="Arial"/>
          <w:color w:val="000000"/>
          <w:sz w:val="16"/>
          <w:szCs w:val="16"/>
        </w:rPr>
        <w:t>destinacijske</w:t>
      </w:r>
      <w:proofErr w:type="spellEnd"/>
      <w:r>
        <w:rPr>
          <w:rFonts w:ascii="Arial" w:eastAsia="Arial" w:hAnsi="Arial" w:cs="Arial"/>
          <w:color w:val="000000"/>
          <w:sz w:val="16"/>
          <w:szCs w:val="16"/>
        </w:rPr>
        <w:t xml:space="preserve"> organizacije za izvajanje funkcij RDO oz. PD vsaj za obdobje do konca leta 2028. Soglasje je potrebno priložiti za vsako občino posebej. </w:t>
      </w:r>
    </w:p>
  </w:footnote>
  <w:footnote w:id="25">
    <w:p w14:paraId="4BB8A2D7" w14:textId="77777777" w:rsidR="000755BA" w:rsidRDefault="00EF1395">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 xml:space="preserve">Regijske </w:t>
      </w:r>
      <w:proofErr w:type="spellStart"/>
      <w:r>
        <w:rPr>
          <w:rFonts w:ascii="Arial" w:eastAsia="Arial" w:hAnsi="Arial" w:cs="Arial"/>
          <w:color w:val="000000"/>
          <w:sz w:val="16"/>
          <w:szCs w:val="16"/>
        </w:rPr>
        <w:t>destinacijske</w:t>
      </w:r>
      <w:proofErr w:type="spellEnd"/>
      <w:r>
        <w:rPr>
          <w:rFonts w:ascii="Arial" w:eastAsia="Arial" w:hAnsi="Arial" w:cs="Arial"/>
          <w:color w:val="000000"/>
          <w:sz w:val="16"/>
          <w:szCs w:val="16"/>
        </w:rPr>
        <w:t xml:space="preserve"> organizacije (RDO) so termin, ki ga uvaja Strategija razvoja turizma 2022 – 2028 in ni nujno, da geografsko sovpadajo s statističnimi ali razvojnimi regijami. Območja RDO-jev so določena v Analizi implementacije Strategije razvoja turizma 2022 – 2028, ukrepa Nadgradnja modela vodilnih destinacij (Priloga št. 2 javnega razpisa) in temeljijo na do sedaj vzpostavljenih in možnih povezavah z namenom izvajanja funkcij RDO. Ta območja so navedena v nadaljevanju te točke razpisne dokumentacije. </w:t>
      </w:r>
    </w:p>
  </w:footnote>
  <w:footnote w:id="26">
    <w:p w14:paraId="054BED99" w14:textId="6FE37F14" w:rsidR="000755BA" w:rsidRDefault="00EF1395">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Izjemoma je lahko RDO v letu 202</w:t>
      </w:r>
      <w:r w:rsidR="00344AAE">
        <w:rPr>
          <w:rFonts w:ascii="Arial" w:eastAsia="Arial" w:hAnsi="Arial" w:cs="Arial"/>
          <w:color w:val="000000"/>
          <w:sz w:val="16"/>
          <w:szCs w:val="16"/>
        </w:rPr>
        <w:t>5</w:t>
      </w:r>
      <w:r>
        <w:rPr>
          <w:rFonts w:ascii="Arial" w:eastAsia="Arial" w:hAnsi="Arial" w:cs="Arial"/>
          <w:color w:val="000000"/>
          <w:sz w:val="16"/>
          <w:szCs w:val="16"/>
        </w:rPr>
        <w:t xml:space="preserve"> realizirala tudi vsaj 400.000 prenočitev, v kolikor izpolnjuje naslednje pogoje:</w:t>
      </w:r>
    </w:p>
    <w:p w14:paraId="4CE6B1BE" w14:textId="77777777" w:rsidR="000755BA" w:rsidRDefault="00EF1395">
      <w:pPr>
        <w:numPr>
          <w:ilvl w:val="0"/>
          <w:numId w:val="39"/>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predstavlja zaokroženo območje vsaj 10 občin in 7,5 % površine Slovenije,</w:t>
      </w:r>
    </w:p>
    <w:p w14:paraId="493D917A" w14:textId="77777777" w:rsidR="000755BA" w:rsidRDefault="00EF1395">
      <w:pPr>
        <w:numPr>
          <w:ilvl w:val="0"/>
          <w:numId w:val="39"/>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 xml:space="preserve">razvojnimi zaostanki in izzivi območja zaradi naravnih, obmejnih ali zgodovinskih razlogov (potrebna utemeljitev), </w:t>
      </w:r>
    </w:p>
    <w:p w14:paraId="5A02CBC9" w14:textId="77777777" w:rsidR="000755BA" w:rsidRDefault="00EF1395">
      <w:pPr>
        <w:numPr>
          <w:ilvl w:val="0"/>
          <w:numId w:val="39"/>
        </w:numPr>
        <w:pBdr>
          <w:top w:val="nil"/>
          <w:left w:val="nil"/>
          <w:bottom w:val="nil"/>
          <w:right w:val="nil"/>
          <w:between w:val="nil"/>
        </w:pBdr>
        <w:spacing w:line="276" w:lineRule="auto"/>
        <w:jc w:val="both"/>
        <w:rPr>
          <w:color w:val="000000"/>
          <w:sz w:val="16"/>
          <w:szCs w:val="16"/>
        </w:rPr>
      </w:pPr>
      <w:r>
        <w:rPr>
          <w:rFonts w:ascii="Arial" w:eastAsia="Arial" w:hAnsi="Arial" w:cs="Arial"/>
          <w:color w:val="000000"/>
          <w:sz w:val="16"/>
          <w:szCs w:val="16"/>
        </w:rPr>
        <w:t xml:space="preserve">ključni prispevek regije k podobi in turistični ponudbi slovenskega turizma (potrebna utemeljitev), soglasje vsaj 75 % vseh lokalnih skupnosti (občin) na območju tako oblikovane regije za ustanovitev in izvajanje funkcij RDO vsaj za obdobje do konca leta 2028. </w:t>
      </w:r>
    </w:p>
  </w:footnote>
  <w:footnote w:id="27">
    <w:p w14:paraId="3850CF63" w14:textId="77777777" w:rsidR="000755BA" w:rsidRDefault="00EF1395">
      <w:pPr>
        <w:pBdr>
          <w:top w:val="nil"/>
          <w:left w:val="nil"/>
          <w:bottom w:val="nil"/>
          <w:right w:val="nil"/>
          <w:between w:val="nil"/>
        </w:pBdr>
        <w:spacing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Vodilne destinacijske organizacije (VD) so opredeljene in poimensko navedene v Strategiji trajnostne rasti slovenskega turizma 2017 – 2021 (</w:t>
      </w:r>
      <w:hyperlink r:id="rId5">
        <w:r>
          <w:rPr>
            <w:rFonts w:ascii="Arial" w:eastAsia="Arial" w:hAnsi="Arial" w:cs="Arial"/>
            <w:color w:val="0000FF"/>
            <w:sz w:val="16"/>
            <w:szCs w:val="16"/>
            <w:u w:val="single"/>
          </w:rPr>
          <w:t>Strategija-trajnostne-rasti-slovenskega-turizma-2017-2021.pdf</w:t>
        </w:r>
      </w:hyperlink>
      <w:r>
        <w:rPr>
          <w:rFonts w:ascii="Arial" w:eastAsia="Arial" w:hAnsi="Arial" w:cs="Arial"/>
          <w:color w:val="000000"/>
          <w:sz w:val="16"/>
          <w:szCs w:val="16"/>
        </w:rPr>
        <w:t xml:space="preserve">). </w:t>
      </w:r>
    </w:p>
  </w:footnote>
  <w:footnote w:id="28">
    <w:p w14:paraId="0F30DBFD" w14:textId="77777777" w:rsidR="000755BA" w:rsidRDefault="00EF1395">
      <w:pPr>
        <w:pBdr>
          <w:top w:val="nil"/>
          <w:left w:val="nil"/>
          <w:bottom w:val="nil"/>
          <w:right w:val="nil"/>
          <w:between w:val="nil"/>
        </w:pBdr>
        <w:spacing w:after="200" w:line="276" w:lineRule="auto"/>
        <w:jc w:val="both"/>
        <w:rPr>
          <w:rFonts w:ascii="Arial" w:eastAsia="Arial" w:hAnsi="Arial" w:cs="Arial"/>
          <w:color w:val="000000"/>
          <w:sz w:val="16"/>
          <w:szCs w:val="16"/>
        </w:rPr>
      </w:pPr>
      <w:r>
        <w:rPr>
          <w:vertAlign w:val="superscript"/>
        </w:rPr>
        <w:footnoteRef/>
      </w:r>
      <w:r>
        <w:rPr>
          <w:rFonts w:ascii="Arial" w:eastAsia="Arial" w:hAnsi="Arial" w:cs="Arial"/>
          <w:color w:val="000000"/>
          <w:sz w:val="16"/>
          <w:szCs w:val="16"/>
        </w:rPr>
        <w:t xml:space="preserve"> </w:t>
      </w:r>
      <w:r>
        <w:rPr>
          <w:rFonts w:ascii="Arial" w:eastAsia="Arial" w:hAnsi="Arial" w:cs="Arial"/>
          <w:color w:val="000000"/>
          <w:sz w:val="16"/>
          <w:szCs w:val="16"/>
        </w:rPr>
        <w:t>Perspektivne destinacijske organizacije (PD) vpeljuje Strategija slovenskega turizma 2022 – 2028 (</w:t>
      </w:r>
      <w:hyperlink r:id="rId6">
        <w:r>
          <w:rPr>
            <w:rFonts w:ascii="Arial" w:eastAsia="Arial" w:hAnsi="Arial" w:cs="Arial"/>
            <w:color w:val="0000FF"/>
            <w:sz w:val="16"/>
            <w:szCs w:val="16"/>
            <w:u w:val="single"/>
          </w:rPr>
          <w:t>Strategija-slovenskega-turizma-2022-2028-dokument.pdf</w:t>
        </w:r>
      </w:hyperlink>
      <w:r>
        <w:rPr>
          <w:rFonts w:ascii="Arial" w:eastAsia="Arial" w:hAnsi="Arial" w:cs="Arial"/>
          <w:color w:val="000000"/>
          <w:sz w:val="16"/>
          <w:szCs w:val="16"/>
        </w:rPr>
        <w:t>). Potencialne PD so navedene v Analizi implementacije Strategije razvoja turizma 2022 – 2028, ukrepu Nadgradnja modela vodilnih destinacij (Priloga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D93CA" w14:textId="6384C6EA" w:rsidR="000755BA" w:rsidRDefault="009E0D71">
    <w:pPr>
      <w:pBdr>
        <w:top w:val="nil"/>
        <w:left w:val="nil"/>
        <w:bottom w:val="nil"/>
        <w:right w:val="nil"/>
        <w:between w:val="nil"/>
      </w:pBdr>
      <w:tabs>
        <w:tab w:val="center" w:pos="4536"/>
        <w:tab w:val="right" w:pos="9072"/>
      </w:tabs>
      <w:spacing w:after="200" w:line="276" w:lineRule="auto"/>
      <w:rPr>
        <w:color w:val="000000"/>
        <w:sz w:val="22"/>
        <w:szCs w:val="22"/>
      </w:rPr>
    </w:pPr>
    <w:r>
      <w:rPr>
        <w:noProof/>
        <w:color w:val="000000"/>
        <w:sz w:val="22"/>
        <w:szCs w:val="22"/>
      </w:rPr>
      <w:drawing>
        <wp:anchor distT="0" distB="0" distL="114300" distR="114300" simplePos="0" relativeHeight="251668480" behindDoc="1" locked="0" layoutInCell="1" allowOverlap="1" wp14:anchorId="2419A4A9" wp14:editId="7A4B6219">
          <wp:simplePos x="0" y="0"/>
          <wp:positionH relativeFrom="column">
            <wp:posOffset>3111898</wp:posOffset>
          </wp:positionH>
          <wp:positionV relativeFrom="paragraph">
            <wp:posOffset>-191069</wp:posOffset>
          </wp:positionV>
          <wp:extent cx="621665" cy="335280"/>
          <wp:effectExtent l="0" t="0" r="6985" b="7620"/>
          <wp:wrapTight wrapText="bothSides">
            <wp:wrapPolygon edited="0">
              <wp:start x="0" y="0"/>
              <wp:lineTo x="0" y="20864"/>
              <wp:lineTo x="21181" y="20864"/>
              <wp:lineTo x="21181" y="0"/>
              <wp:lineTo x="0" y="0"/>
            </wp:wrapPolygon>
          </wp:wrapTight>
          <wp:docPr id="451043399"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665" cy="335280"/>
                  </a:xfrm>
                  <a:prstGeom prst="rect">
                    <a:avLst/>
                  </a:prstGeom>
                  <a:noFill/>
                </pic:spPr>
              </pic:pic>
            </a:graphicData>
          </a:graphic>
        </wp:anchor>
      </w:drawing>
    </w:r>
    <w:r>
      <w:rPr>
        <w:noProof/>
      </w:rPr>
      <w:drawing>
        <wp:anchor distT="0" distB="0" distL="114300" distR="114300" simplePos="0" relativeHeight="251666432" behindDoc="1" locked="0" layoutInCell="1" allowOverlap="1" wp14:anchorId="2263466D" wp14:editId="122B8DC6">
          <wp:simplePos x="0" y="0"/>
          <wp:positionH relativeFrom="column">
            <wp:posOffset>-197893</wp:posOffset>
          </wp:positionH>
          <wp:positionV relativeFrom="paragraph">
            <wp:posOffset>-238883</wp:posOffset>
          </wp:positionV>
          <wp:extent cx="2538095" cy="539750"/>
          <wp:effectExtent l="0" t="0" r="0" b="0"/>
          <wp:wrapThrough wrapText="bothSides">
            <wp:wrapPolygon edited="0">
              <wp:start x="0" y="0"/>
              <wp:lineTo x="0" y="20584"/>
              <wp:lineTo x="21400" y="20584"/>
              <wp:lineTo x="21400" y="0"/>
              <wp:lineTo x="0" y="0"/>
            </wp:wrapPolygon>
          </wp:wrapThrough>
          <wp:docPr id="199404902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93860" name=""/>
                  <pic:cNvPicPr/>
                </pic:nvPicPr>
                <pic:blipFill>
                  <a:blip r:embed="rId2">
                    <a:extLst>
                      <a:ext uri="{28A0092B-C50C-407E-A947-70E740481C1C}">
                        <a14:useLocalDpi xmlns:a14="http://schemas.microsoft.com/office/drawing/2010/main" val="0"/>
                      </a:ext>
                    </a:extLst>
                  </a:blip>
                  <a:stretch>
                    <a:fillRect/>
                  </a:stretch>
                </pic:blipFill>
                <pic:spPr>
                  <a:xfrm>
                    <a:off x="0" y="0"/>
                    <a:ext cx="2538095" cy="539750"/>
                  </a:xfrm>
                  <a:prstGeom prst="rect">
                    <a:avLst/>
                  </a:prstGeom>
                </pic:spPr>
              </pic:pic>
            </a:graphicData>
          </a:graphic>
          <wp14:sizeRelH relativeFrom="margin">
            <wp14:pctWidth>0</wp14:pctWidth>
          </wp14:sizeRelH>
          <wp14:sizeRelV relativeFrom="margin">
            <wp14:pctHeight>0</wp14:pctHeight>
          </wp14:sizeRelV>
        </wp:anchor>
      </w:drawing>
    </w:r>
    <w:r w:rsidR="00EF1395">
      <w:rPr>
        <w:noProof/>
      </w:rPr>
      <w:drawing>
        <wp:anchor distT="0" distB="0" distL="114300" distR="114300" simplePos="0" relativeHeight="251659264" behindDoc="0" locked="0" layoutInCell="1" hidden="0" allowOverlap="1" wp14:anchorId="03A433FA" wp14:editId="0F89B0EB">
          <wp:simplePos x="0" y="0"/>
          <wp:positionH relativeFrom="column">
            <wp:posOffset>4599305</wp:posOffset>
          </wp:positionH>
          <wp:positionV relativeFrom="paragraph">
            <wp:posOffset>-206374</wp:posOffset>
          </wp:positionV>
          <wp:extent cx="1221740" cy="321945"/>
          <wp:effectExtent l="0" t="0" r="0" b="0"/>
          <wp:wrapSquare wrapText="bothSides" distT="0" distB="0" distL="114300" distR="11430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1221740" cy="321945"/>
                  </a:xfrm>
                  <a:prstGeom prst="rect">
                    <a:avLst/>
                  </a:prstGeom>
                  <a:ln/>
                </pic:spPr>
              </pic:pic>
            </a:graphicData>
          </a:graphic>
        </wp:anchor>
      </w:drawing>
    </w:r>
  </w:p>
  <w:p w14:paraId="17AB5273" w14:textId="77777777" w:rsidR="000755BA" w:rsidRDefault="000755BA">
    <w:pPr>
      <w:pBdr>
        <w:top w:val="nil"/>
        <w:left w:val="nil"/>
        <w:bottom w:val="nil"/>
        <w:right w:val="nil"/>
        <w:between w:val="nil"/>
      </w:pBdr>
      <w:tabs>
        <w:tab w:val="center" w:pos="4536"/>
        <w:tab w:val="right" w:pos="9072"/>
      </w:tabs>
      <w:spacing w:after="200" w:line="276" w:lineRule="auto"/>
      <w:rPr>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07B6D" w14:textId="2B120000" w:rsidR="000755BA" w:rsidRDefault="009E0D71">
    <w:pPr>
      <w:pBdr>
        <w:top w:val="nil"/>
        <w:left w:val="nil"/>
        <w:bottom w:val="nil"/>
        <w:right w:val="nil"/>
        <w:between w:val="nil"/>
      </w:pBdr>
      <w:tabs>
        <w:tab w:val="center" w:pos="4536"/>
        <w:tab w:val="right" w:pos="9072"/>
      </w:tabs>
      <w:spacing w:after="200" w:line="276" w:lineRule="auto"/>
      <w:rPr>
        <w:color w:val="000000"/>
        <w:sz w:val="22"/>
        <w:szCs w:val="22"/>
      </w:rPr>
    </w:pPr>
    <w:r>
      <w:rPr>
        <w:noProof/>
        <w:color w:val="000000"/>
        <w:sz w:val="22"/>
        <w:szCs w:val="22"/>
      </w:rPr>
      <w:drawing>
        <wp:anchor distT="0" distB="0" distL="114300" distR="114300" simplePos="0" relativeHeight="251667456" behindDoc="0" locked="0" layoutInCell="1" allowOverlap="1" wp14:anchorId="35A6FA84" wp14:editId="5C429B10">
          <wp:simplePos x="0" y="0"/>
          <wp:positionH relativeFrom="column">
            <wp:posOffset>2948125</wp:posOffset>
          </wp:positionH>
          <wp:positionV relativeFrom="paragraph">
            <wp:posOffset>-170597</wp:posOffset>
          </wp:positionV>
          <wp:extent cx="619125" cy="333375"/>
          <wp:effectExtent l="0" t="0" r="9525" b="9525"/>
          <wp:wrapThrough wrapText="bothSides">
            <wp:wrapPolygon edited="0">
              <wp:start x="0" y="0"/>
              <wp:lineTo x="0" y="20983"/>
              <wp:lineTo x="21268" y="20983"/>
              <wp:lineTo x="20603" y="0"/>
              <wp:lineTo x="0" y="0"/>
            </wp:wrapPolygon>
          </wp:wrapThrough>
          <wp:docPr id="2185568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125" cy="333375"/>
                  </a:xfrm>
                  <a:prstGeom prst="rect">
                    <a:avLst/>
                  </a:prstGeom>
                  <a:noFill/>
                </pic:spPr>
              </pic:pic>
            </a:graphicData>
          </a:graphic>
        </wp:anchor>
      </w:drawing>
    </w:r>
    <w:r>
      <w:rPr>
        <w:noProof/>
      </w:rPr>
      <w:drawing>
        <wp:anchor distT="0" distB="0" distL="114300" distR="114300" simplePos="0" relativeHeight="251664384" behindDoc="1" locked="0" layoutInCell="1" allowOverlap="1" wp14:anchorId="495C40C4" wp14:editId="2610FC8F">
          <wp:simplePos x="0" y="0"/>
          <wp:positionH relativeFrom="column">
            <wp:posOffset>-198111</wp:posOffset>
          </wp:positionH>
          <wp:positionV relativeFrom="paragraph">
            <wp:posOffset>-266548</wp:posOffset>
          </wp:positionV>
          <wp:extent cx="2538095" cy="539750"/>
          <wp:effectExtent l="0" t="0" r="0" b="0"/>
          <wp:wrapTight wrapText="bothSides">
            <wp:wrapPolygon edited="0">
              <wp:start x="0" y="0"/>
              <wp:lineTo x="0" y="20584"/>
              <wp:lineTo x="21400" y="20584"/>
              <wp:lineTo x="21400" y="0"/>
              <wp:lineTo x="0" y="0"/>
            </wp:wrapPolygon>
          </wp:wrapTight>
          <wp:docPr id="182489386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893860" name=""/>
                  <pic:cNvPicPr/>
                </pic:nvPicPr>
                <pic:blipFill>
                  <a:blip r:embed="rId2">
                    <a:extLst>
                      <a:ext uri="{28A0092B-C50C-407E-A947-70E740481C1C}">
                        <a14:useLocalDpi xmlns:a14="http://schemas.microsoft.com/office/drawing/2010/main" val="0"/>
                      </a:ext>
                    </a:extLst>
                  </a:blip>
                  <a:stretch>
                    <a:fillRect/>
                  </a:stretch>
                </pic:blipFill>
                <pic:spPr>
                  <a:xfrm>
                    <a:off x="0" y="0"/>
                    <a:ext cx="2538095" cy="539750"/>
                  </a:xfrm>
                  <a:prstGeom prst="rect">
                    <a:avLst/>
                  </a:prstGeom>
                </pic:spPr>
              </pic:pic>
            </a:graphicData>
          </a:graphic>
          <wp14:sizeRelH relativeFrom="margin">
            <wp14:pctWidth>0</wp14:pctWidth>
          </wp14:sizeRelH>
          <wp14:sizeRelV relativeFrom="margin">
            <wp14:pctHeight>0</wp14:pctHeight>
          </wp14:sizeRelV>
        </wp:anchor>
      </w:drawing>
    </w:r>
    <w:r w:rsidR="00EF1395">
      <w:rPr>
        <w:noProof/>
      </w:rPr>
      <w:drawing>
        <wp:anchor distT="0" distB="0" distL="114300" distR="114300" simplePos="0" relativeHeight="251662336" behindDoc="0" locked="0" layoutInCell="1" hidden="0" allowOverlap="1" wp14:anchorId="66ABC006" wp14:editId="30F6EE6D">
          <wp:simplePos x="0" y="0"/>
          <wp:positionH relativeFrom="column">
            <wp:posOffset>4599305</wp:posOffset>
          </wp:positionH>
          <wp:positionV relativeFrom="paragraph">
            <wp:posOffset>-206374</wp:posOffset>
          </wp:positionV>
          <wp:extent cx="1221740" cy="321945"/>
          <wp:effectExtent l="0" t="0" r="0" b="0"/>
          <wp:wrapSquare wrapText="bothSides" distT="0" distB="0" distL="114300" distR="11430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1221740" cy="32194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2A22"/>
    <w:multiLevelType w:val="multilevel"/>
    <w:tmpl w:val="34BA4A04"/>
    <w:lvl w:ilvl="0">
      <w:start w:val="1"/>
      <w:numFmt w:val="bullet"/>
      <w:lvlText w:val="-"/>
      <w:lvlJc w:val="left"/>
      <w:pPr>
        <w:ind w:left="5747"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bullet"/>
      <w:lvlText w:val="­"/>
      <w:lvlJc w:val="left"/>
      <w:pPr>
        <w:ind w:left="2160" w:hanging="360"/>
      </w:pPr>
      <w:rPr>
        <w:rFonts w:ascii="Sitka Small" w:eastAsia="Sitka Small" w:hAnsi="Sitka Small" w:cs="Sitka Small"/>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1624132"/>
    <w:multiLevelType w:val="multilevel"/>
    <w:tmpl w:val="C144C0DE"/>
    <w:lvl w:ilvl="0">
      <w:start w:val="1"/>
      <w:numFmt w:val="bullet"/>
      <w:lvlText w:val="-"/>
      <w:lvlJc w:val="left"/>
      <w:pPr>
        <w:ind w:left="5747"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032C5B27"/>
    <w:multiLevelType w:val="multilevel"/>
    <w:tmpl w:val="45264CF4"/>
    <w:lvl w:ilvl="0">
      <w:start w:val="1"/>
      <w:numFmt w:val="bullet"/>
      <w:lvlText w:val="-"/>
      <w:lvlJc w:val="left"/>
      <w:pPr>
        <w:ind w:left="5747" w:hanging="360"/>
      </w:pPr>
      <w:rPr>
        <w:rFonts w:ascii="Times New Roman" w:eastAsia="Times New Roman" w:hAnsi="Times New Roman" w:cs="Times New Roman"/>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2"/>
      <w:numFmt w:val="decimal"/>
      <w:lvlText w:val="%3"/>
      <w:lvlJc w:val="left"/>
      <w:pPr>
        <w:ind w:left="2160" w:hanging="360"/>
      </w:pPr>
      <w:rPr>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095C41E1"/>
    <w:multiLevelType w:val="multilevel"/>
    <w:tmpl w:val="29D0540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CA82B02"/>
    <w:multiLevelType w:val="multilevel"/>
    <w:tmpl w:val="49E077E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02D3AA9"/>
    <w:multiLevelType w:val="multilevel"/>
    <w:tmpl w:val="59904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480FA5"/>
    <w:multiLevelType w:val="hybridMultilevel"/>
    <w:tmpl w:val="3210EF2E"/>
    <w:lvl w:ilvl="0" w:tplc="790AFB4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4886213"/>
    <w:multiLevelType w:val="multilevel"/>
    <w:tmpl w:val="9558F77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5447E79"/>
    <w:multiLevelType w:val="multilevel"/>
    <w:tmpl w:val="60AE5FAA"/>
    <w:lvl w:ilvl="0">
      <w:start w:val="1"/>
      <w:numFmt w:val="bullet"/>
      <w:lvlText w:val="●"/>
      <w:lvlJc w:val="left"/>
      <w:pPr>
        <w:ind w:left="1068" w:hanging="360"/>
      </w:pPr>
      <w:rPr>
        <w:rFonts w:ascii="Noto Sans Symbols" w:eastAsia="Noto Sans Symbols" w:hAnsi="Noto Sans Symbols" w:cs="Noto Sans Symbols"/>
        <w:vertAlign w:val="baseline"/>
      </w:rPr>
    </w:lvl>
    <w:lvl w:ilvl="1">
      <w:start w:val="1"/>
      <w:numFmt w:val="lowerLetter"/>
      <w:lvlText w:val="%2."/>
      <w:lvlJc w:val="left"/>
      <w:pPr>
        <w:ind w:left="1788" w:hanging="360"/>
      </w:pPr>
      <w:rPr>
        <w:vertAlign w:val="baseline"/>
      </w:rPr>
    </w:lvl>
    <w:lvl w:ilvl="2">
      <w:start w:val="1"/>
      <w:numFmt w:val="lowerRoman"/>
      <w:lvlText w:val="%3."/>
      <w:lvlJc w:val="right"/>
      <w:pPr>
        <w:ind w:left="2508" w:hanging="180"/>
      </w:pPr>
      <w:rPr>
        <w:vertAlign w:val="baseline"/>
      </w:rPr>
    </w:lvl>
    <w:lvl w:ilvl="3">
      <w:start w:val="1"/>
      <w:numFmt w:val="decimal"/>
      <w:lvlText w:val="%4."/>
      <w:lvlJc w:val="left"/>
      <w:pPr>
        <w:ind w:left="3228" w:hanging="360"/>
      </w:pPr>
      <w:rPr>
        <w:vertAlign w:val="baseline"/>
      </w:rPr>
    </w:lvl>
    <w:lvl w:ilvl="4">
      <w:start w:val="1"/>
      <w:numFmt w:val="lowerLetter"/>
      <w:lvlText w:val="%5."/>
      <w:lvlJc w:val="left"/>
      <w:pPr>
        <w:ind w:left="3948" w:hanging="360"/>
      </w:pPr>
      <w:rPr>
        <w:vertAlign w:val="baseline"/>
      </w:rPr>
    </w:lvl>
    <w:lvl w:ilvl="5">
      <w:start w:val="1"/>
      <w:numFmt w:val="lowerRoman"/>
      <w:lvlText w:val="%6."/>
      <w:lvlJc w:val="right"/>
      <w:pPr>
        <w:ind w:left="4668" w:hanging="180"/>
      </w:pPr>
      <w:rPr>
        <w:vertAlign w:val="baseline"/>
      </w:rPr>
    </w:lvl>
    <w:lvl w:ilvl="6">
      <w:start w:val="1"/>
      <w:numFmt w:val="decimal"/>
      <w:lvlText w:val="%7."/>
      <w:lvlJc w:val="left"/>
      <w:pPr>
        <w:ind w:left="5388" w:hanging="360"/>
      </w:pPr>
      <w:rPr>
        <w:vertAlign w:val="baseline"/>
      </w:rPr>
    </w:lvl>
    <w:lvl w:ilvl="7">
      <w:start w:val="1"/>
      <w:numFmt w:val="lowerLetter"/>
      <w:lvlText w:val="%8."/>
      <w:lvlJc w:val="left"/>
      <w:pPr>
        <w:ind w:left="6108" w:hanging="360"/>
      </w:pPr>
      <w:rPr>
        <w:vertAlign w:val="baseline"/>
      </w:rPr>
    </w:lvl>
    <w:lvl w:ilvl="8">
      <w:start w:val="1"/>
      <w:numFmt w:val="lowerRoman"/>
      <w:lvlText w:val="%9."/>
      <w:lvlJc w:val="right"/>
      <w:pPr>
        <w:ind w:left="6828" w:hanging="180"/>
      </w:pPr>
      <w:rPr>
        <w:vertAlign w:val="baseline"/>
      </w:rPr>
    </w:lvl>
  </w:abstractNum>
  <w:abstractNum w:abstractNumId="9" w15:restartNumberingAfterBreak="0">
    <w:nsid w:val="1858170B"/>
    <w:multiLevelType w:val="multilevel"/>
    <w:tmpl w:val="7ECA76D6"/>
    <w:lvl w:ilvl="0">
      <w:start w:val="1"/>
      <w:numFmt w:val="decimal"/>
      <w:lvlText w:val="%1."/>
      <w:lvlJc w:val="left"/>
      <w:pPr>
        <w:ind w:left="1724" w:hanging="360"/>
      </w:pPr>
      <w:rPr>
        <w:vertAlign w:val="baseline"/>
      </w:rPr>
    </w:lvl>
    <w:lvl w:ilvl="1">
      <w:start w:val="1"/>
      <w:numFmt w:val="lowerLetter"/>
      <w:lvlText w:val="%2."/>
      <w:lvlJc w:val="left"/>
      <w:pPr>
        <w:ind w:left="2444" w:hanging="360"/>
      </w:pPr>
      <w:rPr>
        <w:vertAlign w:val="baseline"/>
      </w:rPr>
    </w:lvl>
    <w:lvl w:ilvl="2">
      <w:start w:val="1"/>
      <w:numFmt w:val="lowerRoman"/>
      <w:lvlText w:val="%3."/>
      <w:lvlJc w:val="right"/>
      <w:pPr>
        <w:ind w:left="3164" w:hanging="180"/>
      </w:pPr>
      <w:rPr>
        <w:vertAlign w:val="baseline"/>
      </w:rPr>
    </w:lvl>
    <w:lvl w:ilvl="3">
      <w:start w:val="1"/>
      <w:numFmt w:val="decimal"/>
      <w:lvlText w:val="%4."/>
      <w:lvlJc w:val="left"/>
      <w:pPr>
        <w:ind w:left="3884" w:hanging="360"/>
      </w:pPr>
      <w:rPr>
        <w:vertAlign w:val="baseline"/>
      </w:rPr>
    </w:lvl>
    <w:lvl w:ilvl="4">
      <w:start w:val="1"/>
      <w:numFmt w:val="lowerLetter"/>
      <w:lvlText w:val="%5."/>
      <w:lvlJc w:val="left"/>
      <w:pPr>
        <w:ind w:left="4604" w:hanging="360"/>
      </w:pPr>
      <w:rPr>
        <w:vertAlign w:val="baseline"/>
      </w:rPr>
    </w:lvl>
    <w:lvl w:ilvl="5">
      <w:start w:val="1"/>
      <w:numFmt w:val="lowerRoman"/>
      <w:lvlText w:val="%6."/>
      <w:lvlJc w:val="right"/>
      <w:pPr>
        <w:ind w:left="5324" w:hanging="180"/>
      </w:pPr>
      <w:rPr>
        <w:vertAlign w:val="baseline"/>
      </w:rPr>
    </w:lvl>
    <w:lvl w:ilvl="6">
      <w:start w:val="1"/>
      <w:numFmt w:val="decimal"/>
      <w:lvlText w:val="%7."/>
      <w:lvlJc w:val="left"/>
      <w:pPr>
        <w:ind w:left="6044" w:hanging="360"/>
      </w:pPr>
      <w:rPr>
        <w:vertAlign w:val="baseline"/>
      </w:rPr>
    </w:lvl>
    <w:lvl w:ilvl="7">
      <w:start w:val="1"/>
      <w:numFmt w:val="lowerLetter"/>
      <w:lvlText w:val="%8."/>
      <w:lvlJc w:val="left"/>
      <w:pPr>
        <w:ind w:left="6764" w:hanging="360"/>
      </w:pPr>
      <w:rPr>
        <w:vertAlign w:val="baseline"/>
      </w:rPr>
    </w:lvl>
    <w:lvl w:ilvl="8">
      <w:start w:val="1"/>
      <w:numFmt w:val="lowerRoman"/>
      <w:lvlText w:val="%9."/>
      <w:lvlJc w:val="right"/>
      <w:pPr>
        <w:ind w:left="7484" w:hanging="180"/>
      </w:pPr>
      <w:rPr>
        <w:vertAlign w:val="baseline"/>
      </w:rPr>
    </w:lvl>
  </w:abstractNum>
  <w:abstractNum w:abstractNumId="10" w15:restartNumberingAfterBreak="0">
    <w:nsid w:val="1E794CAF"/>
    <w:multiLevelType w:val="multilevel"/>
    <w:tmpl w:val="390AB6FA"/>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11" w15:restartNumberingAfterBreak="0">
    <w:nsid w:val="1EE728F2"/>
    <w:multiLevelType w:val="multilevel"/>
    <w:tmpl w:val="1638E894"/>
    <w:lvl w:ilvl="0">
      <w:start w:val="2"/>
      <w:numFmt w:val="bullet"/>
      <w:lvlText w:val="-"/>
      <w:lvlJc w:val="left"/>
      <w:pPr>
        <w:ind w:left="720" w:hanging="360"/>
      </w:pPr>
      <w:rPr>
        <w:rFonts w:ascii="Arial Narrow" w:eastAsia="Arial Narrow" w:hAnsi="Arial Narrow" w:cs="Arial Narrow"/>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27C90D1F"/>
    <w:multiLevelType w:val="multilevel"/>
    <w:tmpl w:val="FC085688"/>
    <w:lvl w:ilvl="0">
      <w:numFmt w:val="bullet"/>
      <w:lvlText w:val="-"/>
      <w:lvlJc w:val="left"/>
      <w:pPr>
        <w:ind w:left="5747" w:hanging="360"/>
      </w:pPr>
      <w:rPr>
        <w:rFonts w:ascii="Arial Narrow" w:eastAsia="Arial Narrow" w:hAnsi="Arial Narrow" w:cs="Arial Narrow"/>
        <w:vertAlign w:val="baseline"/>
      </w:rPr>
    </w:lvl>
    <w:lvl w:ilvl="1">
      <w:start w:val="1"/>
      <w:numFmt w:val="decimal"/>
      <w:lvlText w:val="%2."/>
      <w:lvlJc w:val="left"/>
      <w:pPr>
        <w:ind w:left="1440" w:hanging="360"/>
      </w:pPr>
      <w:rPr>
        <w:vertAlign w:val="baseline"/>
      </w:rPr>
    </w:lvl>
    <w:lvl w:ilvl="2">
      <w:start w:val="1"/>
      <w:numFmt w:val="bullet"/>
      <w:lvlText w:val="-"/>
      <w:lvlJc w:val="left"/>
      <w:pPr>
        <w:ind w:left="5747" w:hanging="360"/>
      </w:pPr>
      <w:rPr>
        <w:rFonts w:ascii="Times New Roman" w:eastAsia="Times New Roman" w:hAnsi="Times New Roman" w:cs="Times New Roman"/>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28B02E85"/>
    <w:multiLevelType w:val="multilevel"/>
    <w:tmpl w:val="5CD6ED0A"/>
    <w:lvl w:ilvl="0">
      <w:start w:val="1"/>
      <w:numFmt w:val="bullet"/>
      <w:lvlText w:val="●"/>
      <w:lvlJc w:val="left"/>
      <w:pPr>
        <w:ind w:left="1440" w:hanging="360"/>
      </w:pPr>
      <w:rPr>
        <w:rFonts w:ascii="Noto Sans Symbols" w:eastAsia="Noto Sans Symbols" w:hAnsi="Noto Sans Symbols" w:cs="Noto Sans Symbols"/>
        <w:sz w:val="20"/>
        <w:szCs w:val="20"/>
        <w:vertAlign w:val="baseline"/>
      </w:rPr>
    </w:lvl>
    <w:lvl w:ilvl="1">
      <w:start w:val="6"/>
      <w:numFmt w:val="decimal"/>
      <w:lvlText w:val="%2."/>
      <w:lvlJc w:val="left"/>
      <w:pPr>
        <w:ind w:left="2160" w:hanging="360"/>
      </w:pPr>
      <w:rPr>
        <w:vertAlign w:val="baseline"/>
      </w:rPr>
    </w:lvl>
    <w:lvl w:ilvl="2">
      <w:start w:val="1"/>
      <w:numFmt w:val="bullet"/>
      <w:lvlText w:val="▪"/>
      <w:lvlJc w:val="left"/>
      <w:pPr>
        <w:ind w:left="2880" w:hanging="360"/>
      </w:pPr>
      <w:rPr>
        <w:rFonts w:ascii="Noto Sans Symbols" w:eastAsia="Noto Sans Symbols" w:hAnsi="Noto Sans Symbols" w:cs="Noto Sans Symbols"/>
        <w:sz w:val="20"/>
        <w:szCs w:val="20"/>
        <w:vertAlign w:val="baseline"/>
      </w:rPr>
    </w:lvl>
    <w:lvl w:ilvl="3">
      <w:start w:val="1"/>
      <w:numFmt w:val="bullet"/>
      <w:lvlText w:val="▪"/>
      <w:lvlJc w:val="left"/>
      <w:pPr>
        <w:ind w:left="3600" w:hanging="360"/>
      </w:pPr>
      <w:rPr>
        <w:rFonts w:ascii="Noto Sans Symbols" w:eastAsia="Noto Sans Symbols" w:hAnsi="Noto Sans Symbols" w:cs="Noto Sans Symbols"/>
        <w:sz w:val="20"/>
        <w:szCs w:val="20"/>
        <w:vertAlign w:val="baseline"/>
      </w:rPr>
    </w:lvl>
    <w:lvl w:ilvl="4">
      <w:start w:val="1"/>
      <w:numFmt w:val="bullet"/>
      <w:lvlText w:val="▪"/>
      <w:lvlJc w:val="left"/>
      <w:pPr>
        <w:ind w:left="4320" w:hanging="360"/>
      </w:pPr>
      <w:rPr>
        <w:rFonts w:ascii="Noto Sans Symbols" w:eastAsia="Noto Sans Symbols" w:hAnsi="Noto Sans Symbols" w:cs="Noto Sans Symbols"/>
        <w:sz w:val="20"/>
        <w:szCs w:val="20"/>
        <w:vertAlign w:val="baseline"/>
      </w:rPr>
    </w:lvl>
    <w:lvl w:ilvl="5">
      <w:start w:val="1"/>
      <w:numFmt w:val="bullet"/>
      <w:lvlText w:val="▪"/>
      <w:lvlJc w:val="left"/>
      <w:pPr>
        <w:ind w:left="5040" w:hanging="360"/>
      </w:pPr>
      <w:rPr>
        <w:rFonts w:ascii="Noto Sans Symbols" w:eastAsia="Noto Sans Symbols" w:hAnsi="Noto Sans Symbols" w:cs="Noto Sans Symbols"/>
        <w:sz w:val="20"/>
        <w:szCs w:val="20"/>
        <w:vertAlign w:val="baseline"/>
      </w:rPr>
    </w:lvl>
    <w:lvl w:ilvl="6">
      <w:start w:val="1"/>
      <w:numFmt w:val="bullet"/>
      <w:lvlText w:val="▪"/>
      <w:lvlJc w:val="left"/>
      <w:pPr>
        <w:ind w:left="5760" w:hanging="360"/>
      </w:pPr>
      <w:rPr>
        <w:rFonts w:ascii="Noto Sans Symbols" w:eastAsia="Noto Sans Symbols" w:hAnsi="Noto Sans Symbols" w:cs="Noto Sans Symbols"/>
        <w:sz w:val="20"/>
        <w:szCs w:val="20"/>
        <w:vertAlign w:val="baseline"/>
      </w:rPr>
    </w:lvl>
    <w:lvl w:ilvl="7">
      <w:start w:val="1"/>
      <w:numFmt w:val="bullet"/>
      <w:lvlText w:val="▪"/>
      <w:lvlJc w:val="left"/>
      <w:pPr>
        <w:ind w:left="6480" w:hanging="360"/>
      </w:pPr>
      <w:rPr>
        <w:rFonts w:ascii="Noto Sans Symbols" w:eastAsia="Noto Sans Symbols" w:hAnsi="Noto Sans Symbols" w:cs="Noto Sans Symbols"/>
        <w:sz w:val="20"/>
        <w:szCs w:val="20"/>
        <w:vertAlign w:val="baseline"/>
      </w:rPr>
    </w:lvl>
    <w:lvl w:ilvl="8">
      <w:start w:val="1"/>
      <w:numFmt w:val="bullet"/>
      <w:lvlText w:val="▪"/>
      <w:lvlJc w:val="left"/>
      <w:pPr>
        <w:ind w:left="7200" w:hanging="360"/>
      </w:pPr>
      <w:rPr>
        <w:rFonts w:ascii="Noto Sans Symbols" w:eastAsia="Noto Sans Symbols" w:hAnsi="Noto Sans Symbols" w:cs="Noto Sans Symbols"/>
        <w:sz w:val="20"/>
        <w:szCs w:val="20"/>
        <w:vertAlign w:val="baseline"/>
      </w:rPr>
    </w:lvl>
  </w:abstractNum>
  <w:abstractNum w:abstractNumId="14" w15:restartNumberingAfterBreak="0">
    <w:nsid w:val="2AA70A50"/>
    <w:multiLevelType w:val="multilevel"/>
    <w:tmpl w:val="A37EC2C4"/>
    <w:lvl w:ilvl="0">
      <w:start w:val="2"/>
      <w:numFmt w:val="bullet"/>
      <w:lvlText w:val="-"/>
      <w:lvlJc w:val="left"/>
      <w:pPr>
        <w:ind w:left="720" w:hanging="360"/>
      </w:pPr>
      <w:rPr>
        <w:rFonts w:ascii="Trebuchet MS" w:eastAsia="Trebuchet MS" w:hAnsi="Trebuchet MS" w:cs="Trebuchet M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32D54C03"/>
    <w:multiLevelType w:val="multilevel"/>
    <w:tmpl w:val="C41A9054"/>
    <w:lvl w:ilvl="0">
      <w:numFmt w:val="bullet"/>
      <w:lvlText w:val="-"/>
      <w:lvlJc w:val="left"/>
      <w:pPr>
        <w:ind w:left="1004" w:hanging="360"/>
      </w:pPr>
      <w:rPr>
        <w:rFonts w:ascii="Arial" w:eastAsia="Arial" w:hAnsi="Arial" w:cs="Arial"/>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16" w15:restartNumberingAfterBreak="0">
    <w:nsid w:val="352E56AD"/>
    <w:multiLevelType w:val="hybridMultilevel"/>
    <w:tmpl w:val="016AAFC6"/>
    <w:lvl w:ilvl="0" w:tplc="3DA658EE">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536267D"/>
    <w:multiLevelType w:val="hybridMultilevel"/>
    <w:tmpl w:val="83BC304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8" w15:restartNumberingAfterBreak="0">
    <w:nsid w:val="364821B7"/>
    <w:multiLevelType w:val="multilevel"/>
    <w:tmpl w:val="2FEE27BA"/>
    <w:lvl w:ilvl="0">
      <w:start w:val="1"/>
      <w:numFmt w:val="bullet"/>
      <w:lvlText w:val="●"/>
      <w:lvlJc w:val="left"/>
      <w:pPr>
        <w:ind w:left="1004" w:hanging="360"/>
      </w:pPr>
      <w:rPr>
        <w:rFonts w:ascii="Noto Sans Symbols" w:eastAsia="Noto Sans Symbols" w:hAnsi="Noto Sans Symbols" w:cs="Noto Sans Symbols"/>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19" w15:restartNumberingAfterBreak="0">
    <w:nsid w:val="3DEC5A3A"/>
    <w:multiLevelType w:val="multilevel"/>
    <w:tmpl w:val="72BE85BC"/>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42E8775D"/>
    <w:multiLevelType w:val="multilevel"/>
    <w:tmpl w:val="DCD430C6"/>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1" w15:restartNumberingAfterBreak="0">
    <w:nsid w:val="433E747F"/>
    <w:multiLevelType w:val="multilevel"/>
    <w:tmpl w:val="D5886E82"/>
    <w:lvl w:ilvl="0">
      <w:start w:val="1"/>
      <w:numFmt w:val="decimal"/>
      <w:lvlText w:val="%1)"/>
      <w:lvlJc w:val="left"/>
      <w:pPr>
        <w:ind w:left="1004" w:hanging="360"/>
      </w:pPr>
      <w:rPr>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22" w15:restartNumberingAfterBreak="0">
    <w:nsid w:val="43C94518"/>
    <w:multiLevelType w:val="multilevel"/>
    <w:tmpl w:val="DE78261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43FC4E3D"/>
    <w:multiLevelType w:val="multilevel"/>
    <w:tmpl w:val="0D2217D6"/>
    <w:lvl w:ilvl="0">
      <w:start w:val="1"/>
      <w:numFmt w:val="bullet"/>
      <w:lvlText w:val=""/>
      <w:lvlJc w:val="left"/>
      <w:pPr>
        <w:ind w:left="1440" w:hanging="360"/>
      </w:pPr>
      <w:rPr>
        <w:rFonts w:ascii="Symbol" w:hAnsi="Symbol" w:hint="default"/>
        <w:sz w:val="20"/>
        <w:szCs w:val="20"/>
        <w:vertAlign w:val="baseline"/>
      </w:rPr>
    </w:lvl>
    <w:lvl w:ilvl="1">
      <w:start w:val="6"/>
      <w:numFmt w:val="decimal"/>
      <w:lvlText w:val="%2."/>
      <w:lvlJc w:val="left"/>
      <w:pPr>
        <w:ind w:left="2160" w:hanging="360"/>
      </w:pPr>
      <w:rPr>
        <w:vertAlign w:val="baseline"/>
      </w:rPr>
    </w:lvl>
    <w:lvl w:ilvl="2">
      <w:start w:val="1"/>
      <w:numFmt w:val="bullet"/>
      <w:lvlText w:val="▪"/>
      <w:lvlJc w:val="left"/>
      <w:pPr>
        <w:ind w:left="2880" w:hanging="360"/>
      </w:pPr>
      <w:rPr>
        <w:rFonts w:ascii="Noto Sans Symbols" w:eastAsia="Noto Sans Symbols" w:hAnsi="Noto Sans Symbols" w:cs="Noto Sans Symbols"/>
        <w:sz w:val="20"/>
        <w:szCs w:val="20"/>
        <w:vertAlign w:val="baseline"/>
      </w:rPr>
    </w:lvl>
    <w:lvl w:ilvl="3">
      <w:start w:val="1"/>
      <w:numFmt w:val="bullet"/>
      <w:lvlText w:val="▪"/>
      <w:lvlJc w:val="left"/>
      <w:pPr>
        <w:ind w:left="3600" w:hanging="360"/>
      </w:pPr>
      <w:rPr>
        <w:rFonts w:ascii="Noto Sans Symbols" w:eastAsia="Noto Sans Symbols" w:hAnsi="Noto Sans Symbols" w:cs="Noto Sans Symbols"/>
        <w:sz w:val="20"/>
        <w:szCs w:val="20"/>
        <w:vertAlign w:val="baseline"/>
      </w:rPr>
    </w:lvl>
    <w:lvl w:ilvl="4">
      <w:start w:val="1"/>
      <w:numFmt w:val="bullet"/>
      <w:lvlText w:val="▪"/>
      <w:lvlJc w:val="left"/>
      <w:pPr>
        <w:ind w:left="4320" w:hanging="360"/>
      </w:pPr>
      <w:rPr>
        <w:rFonts w:ascii="Noto Sans Symbols" w:eastAsia="Noto Sans Symbols" w:hAnsi="Noto Sans Symbols" w:cs="Noto Sans Symbols"/>
        <w:sz w:val="20"/>
        <w:szCs w:val="20"/>
        <w:vertAlign w:val="baseline"/>
      </w:rPr>
    </w:lvl>
    <w:lvl w:ilvl="5">
      <w:start w:val="1"/>
      <w:numFmt w:val="bullet"/>
      <w:lvlText w:val="▪"/>
      <w:lvlJc w:val="left"/>
      <w:pPr>
        <w:ind w:left="5040" w:hanging="360"/>
      </w:pPr>
      <w:rPr>
        <w:rFonts w:ascii="Noto Sans Symbols" w:eastAsia="Noto Sans Symbols" w:hAnsi="Noto Sans Symbols" w:cs="Noto Sans Symbols"/>
        <w:sz w:val="20"/>
        <w:szCs w:val="20"/>
        <w:vertAlign w:val="baseline"/>
      </w:rPr>
    </w:lvl>
    <w:lvl w:ilvl="6">
      <w:start w:val="1"/>
      <w:numFmt w:val="bullet"/>
      <w:lvlText w:val="▪"/>
      <w:lvlJc w:val="left"/>
      <w:pPr>
        <w:ind w:left="5760" w:hanging="360"/>
      </w:pPr>
      <w:rPr>
        <w:rFonts w:ascii="Noto Sans Symbols" w:eastAsia="Noto Sans Symbols" w:hAnsi="Noto Sans Symbols" w:cs="Noto Sans Symbols"/>
        <w:sz w:val="20"/>
        <w:szCs w:val="20"/>
        <w:vertAlign w:val="baseline"/>
      </w:rPr>
    </w:lvl>
    <w:lvl w:ilvl="7">
      <w:start w:val="1"/>
      <w:numFmt w:val="bullet"/>
      <w:lvlText w:val="▪"/>
      <w:lvlJc w:val="left"/>
      <w:pPr>
        <w:ind w:left="6480" w:hanging="360"/>
      </w:pPr>
      <w:rPr>
        <w:rFonts w:ascii="Noto Sans Symbols" w:eastAsia="Noto Sans Symbols" w:hAnsi="Noto Sans Symbols" w:cs="Noto Sans Symbols"/>
        <w:sz w:val="20"/>
        <w:szCs w:val="20"/>
        <w:vertAlign w:val="baseline"/>
      </w:rPr>
    </w:lvl>
    <w:lvl w:ilvl="8">
      <w:start w:val="1"/>
      <w:numFmt w:val="bullet"/>
      <w:lvlText w:val="▪"/>
      <w:lvlJc w:val="left"/>
      <w:pPr>
        <w:ind w:left="7200" w:hanging="360"/>
      </w:pPr>
      <w:rPr>
        <w:rFonts w:ascii="Noto Sans Symbols" w:eastAsia="Noto Sans Symbols" w:hAnsi="Noto Sans Symbols" w:cs="Noto Sans Symbols"/>
        <w:sz w:val="20"/>
        <w:szCs w:val="20"/>
        <w:vertAlign w:val="baseline"/>
      </w:rPr>
    </w:lvl>
  </w:abstractNum>
  <w:abstractNum w:abstractNumId="24" w15:restartNumberingAfterBreak="0">
    <w:nsid w:val="46190299"/>
    <w:multiLevelType w:val="multilevel"/>
    <w:tmpl w:val="C70A59D2"/>
    <w:lvl w:ilvl="0">
      <w:numFmt w:val="bullet"/>
      <w:lvlText w:val="-"/>
      <w:lvlJc w:val="left"/>
      <w:pPr>
        <w:ind w:left="720" w:hanging="360"/>
      </w:pPr>
      <w:rPr>
        <w:rFonts w:ascii="Arial" w:eastAsia="Arial" w:hAnsi="Arial" w:cs="Arial"/>
        <w:b/>
        <w:bCs/>
        <w:i w:val="0"/>
        <w:iCs w:val="0"/>
        <w:color w:val="000000"/>
        <w:sz w:val="16"/>
        <w:szCs w:val="1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5" w15:restartNumberingAfterBreak="0">
    <w:nsid w:val="491E5030"/>
    <w:multiLevelType w:val="hybridMultilevel"/>
    <w:tmpl w:val="9E6C1556"/>
    <w:lvl w:ilvl="0" w:tplc="04240011">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6" w15:restartNumberingAfterBreak="0">
    <w:nsid w:val="49504F38"/>
    <w:multiLevelType w:val="multilevel"/>
    <w:tmpl w:val="99665DFC"/>
    <w:lvl w:ilvl="0">
      <w:numFmt w:val="bullet"/>
      <w:lvlText w:val="-"/>
      <w:lvlJc w:val="left"/>
      <w:pPr>
        <w:ind w:left="5747" w:hanging="360"/>
      </w:pPr>
      <w:rPr>
        <w:rFonts w:ascii="Arial Narrow" w:eastAsia="Arial Narrow" w:hAnsi="Arial Narrow" w:cs="Arial Narrow"/>
        <w:vertAlign w:val="baseline"/>
      </w:rPr>
    </w:lvl>
    <w:lvl w:ilvl="1">
      <w:start w:val="1"/>
      <w:numFmt w:val="decimal"/>
      <w:lvlText w:val="%2."/>
      <w:lvlJc w:val="left"/>
      <w:pPr>
        <w:ind w:left="1440" w:hanging="360"/>
      </w:pPr>
      <w:rPr>
        <w:vertAlign w:val="baseline"/>
      </w:rPr>
    </w:lvl>
    <w:lvl w:ilvl="2">
      <w:start w:val="2"/>
      <w:numFmt w:val="decimal"/>
      <w:lvlText w:val="%3"/>
      <w:lvlJc w:val="left"/>
      <w:pPr>
        <w:ind w:left="2160" w:hanging="360"/>
      </w:pPr>
      <w:rPr>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4CFB76B1"/>
    <w:multiLevelType w:val="multilevel"/>
    <w:tmpl w:val="7368D1FE"/>
    <w:lvl w:ilvl="0">
      <w:start w:val="1"/>
      <w:numFmt w:val="decimal"/>
      <w:lvlText w:val="%1."/>
      <w:lvlJc w:val="left"/>
      <w:pPr>
        <w:ind w:left="14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15:restartNumberingAfterBreak="0">
    <w:nsid w:val="51A606D5"/>
    <w:multiLevelType w:val="multilevel"/>
    <w:tmpl w:val="B7DA957A"/>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523745A4"/>
    <w:multiLevelType w:val="hybridMultilevel"/>
    <w:tmpl w:val="9E6C1556"/>
    <w:lvl w:ilvl="0" w:tplc="FFFFFFFF">
      <w:start w:val="1"/>
      <w:numFmt w:val="decimal"/>
      <w:lvlText w:val="%1)"/>
      <w:lvlJc w:val="left"/>
      <w:pPr>
        <w:ind w:left="1004" w:hanging="360"/>
      </w:pPr>
      <w:rPr>
        <w:rFonts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0" w15:restartNumberingAfterBreak="0">
    <w:nsid w:val="547E205B"/>
    <w:multiLevelType w:val="multilevel"/>
    <w:tmpl w:val="F82EBB58"/>
    <w:lvl w:ilvl="0">
      <w:start w:val="1"/>
      <w:numFmt w:val="decimal"/>
      <w:lvlText w:val="%1"/>
      <w:lvlJc w:val="left"/>
      <w:pPr>
        <w:ind w:left="432" w:hanging="432"/>
      </w:pPr>
      <w:rPr>
        <w:vertAlign w:val="baseline"/>
      </w:rPr>
    </w:lvl>
    <w:lvl w:ilvl="1">
      <w:start w:val="1"/>
      <w:numFmt w:val="decimal"/>
      <w:lvlText w:val="%1.%2"/>
      <w:lvlJc w:val="left"/>
      <w:pPr>
        <w:ind w:left="576" w:hanging="576"/>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31" w15:restartNumberingAfterBreak="0">
    <w:nsid w:val="549466D8"/>
    <w:multiLevelType w:val="multilevel"/>
    <w:tmpl w:val="962ED860"/>
    <w:lvl w:ilvl="0">
      <w:start w:val="1"/>
      <w:numFmt w:val="bullet"/>
      <w:lvlText w:val="-"/>
      <w:lvlJc w:val="left"/>
      <w:pPr>
        <w:ind w:left="5747"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bullet"/>
      <w:lvlText w:val="­"/>
      <w:lvlJc w:val="left"/>
      <w:pPr>
        <w:ind w:left="2160" w:hanging="360"/>
      </w:pPr>
      <w:rPr>
        <w:rFonts w:ascii="Sitka Small" w:eastAsia="Sitka Small" w:hAnsi="Sitka Small" w:cs="Sitka Small"/>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A680734"/>
    <w:multiLevelType w:val="multilevel"/>
    <w:tmpl w:val="FC2A82AC"/>
    <w:lvl w:ilvl="0">
      <w:numFmt w:val="bullet"/>
      <w:lvlText w:val="-"/>
      <w:lvlJc w:val="left"/>
      <w:pPr>
        <w:ind w:left="720" w:hanging="360"/>
      </w:pPr>
      <w:rPr>
        <w:rFonts w:ascii="Arial" w:eastAsia="Arial" w:hAnsi="Arial" w:cs="Arial"/>
        <w:vertAlign w:val="baseline"/>
      </w:rPr>
    </w:lvl>
    <w:lvl w:ilvl="1">
      <w:numFmt w:val="bullet"/>
      <w:lvlText w:val="-"/>
      <w:lvlJc w:val="left"/>
      <w:pPr>
        <w:ind w:left="1440" w:hanging="360"/>
      </w:pPr>
      <w:rPr>
        <w:rFonts w:ascii="Arial" w:eastAsia="Arial" w:hAnsi="Arial" w:cs="Arial"/>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3" w15:restartNumberingAfterBreak="0">
    <w:nsid w:val="5A855D27"/>
    <w:multiLevelType w:val="multilevel"/>
    <w:tmpl w:val="BAC0E332"/>
    <w:lvl w:ilvl="0">
      <w:start w:val="1"/>
      <w:numFmt w:val="bullet"/>
      <w:lvlText w:val="-"/>
      <w:lvlJc w:val="left"/>
      <w:pPr>
        <w:ind w:left="5747" w:hanging="360"/>
      </w:pPr>
      <w:rPr>
        <w:rFonts w:ascii="Times New Roman" w:eastAsia="Times New Roman" w:hAnsi="Times New Roman" w:cs="Times New Roman"/>
        <w:vertAlign w:val="baseline"/>
      </w:rPr>
    </w:lvl>
    <w:lvl w:ilvl="1">
      <w:start w:val="1"/>
      <w:numFmt w:val="decimal"/>
      <w:lvlText w:val="%2."/>
      <w:lvlJc w:val="left"/>
      <w:pPr>
        <w:ind w:left="1440" w:hanging="360"/>
      </w:pPr>
      <w:rPr>
        <w:sz w:val="20"/>
        <w:szCs w:val="20"/>
        <w:vertAlign w:val="baseline"/>
      </w:rPr>
    </w:lvl>
    <w:lvl w:ilvl="2">
      <w:start w:val="2"/>
      <w:numFmt w:val="decimal"/>
      <w:lvlText w:val="%3"/>
      <w:lvlJc w:val="left"/>
      <w:pPr>
        <w:ind w:left="2160" w:hanging="360"/>
      </w:pPr>
      <w:rPr>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4" w15:restartNumberingAfterBreak="0">
    <w:nsid w:val="5B0D5504"/>
    <w:multiLevelType w:val="multilevel"/>
    <w:tmpl w:val="91B2C356"/>
    <w:lvl w:ilvl="0">
      <w:start w:val="3"/>
      <w:numFmt w:val="decimal"/>
      <w:lvlText w:val="%1."/>
      <w:lvlJc w:val="left"/>
      <w:pPr>
        <w:ind w:left="785" w:hanging="360"/>
      </w:pPr>
      <w:rPr>
        <w:i w:val="0"/>
        <w:iCs w:val="0"/>
        <w:sz w:val="22"/>
        <w:szCs w:val="22"/>
        <w:vertAlign w:val="baseline"/>
      </w:rPr>
    </w:lvl>
    <w:lvl w:ilvl="1">
      <w:start w:val="2"/>
      <w:numFmt w:val="decimal"/>
      <w:lvlText w:val="%1.%2"/>
      <w:lvlJc w:val="left"/>
      <w:pPr>
        <w:ind w:left="876" w:hanging="450"/>
      </w:pPr>
      <w:rPr>
        <w:vertAlign w:val="baseline"/>
      </w:rPr>
    </w:lvl>
    <w:lvl w:ilvl="2">
      <w:start w:val="1"/>
      <w:numFmt w:val="decimal"/>
      <w:lvlText w:val="%1.%2.%3"/>
      <w:lvlJc w:val="left"/>
      <w:pPr>
        <w:ind w:left="1147" w:hanging="720"/>
      </w:pPr>
      <w:rPr>
        <w:vertAlign w:val="baseline"/>
      </w:rPr>
    </w:lvl>
    <w:lvl w:ilvl="3">
      <w:start w:val="1"/>
      <w:numFmt w:val="decimal"/>
      <w:lvlText w:val="%1.%2.%3.%4"/>
      <w:lvlJc w:val="left"/>
      <w:pPr>
        <w:ind w:left="1148" w:hanging="720"/>
      </w:pPr>
      <w:rPr>
        <w:vertAlign w:val="baseline"/>
      </w:rPr>
    </w:lvl>
    <w:lvl w:ilvl="4">
      <w:start w:val="1"/>
      <w:numFmt w:val="decimal"/>
      <w:lvlText w:val="%1.%2.%3.%4.%5"/>
      <w:lvlJc w:val="left"/>
      <w:pPr>
        <w:ind w:left="1509" w:hanging="1080"/>
      </w:pPr>
      <w:rPr>
        <w:vertAlign w:val="baseline"/>
      </w:rPr>
    </w:lvl>
    <w:lvl w:ilvl="5">
      <w:start w:val="1"/>
      <w:numFmt w:val="decimal"/>
      <w:lvlText w:val="%1.%2.%3.%4.%5.%6"/>
      <w:lvlJc w:val="left"/>
      <w:pPr>
        <w:ind w:left="1510" w:hanging="1080"/>
      </w:pPr>
      <w:rPr>
        <w:vertAlign w:val="baseline"/>
      </w:rPr>
    </w:lvl>
    <w:lvl w:ilvl="6">
      <w:start w:val="1"/>
      <w:numFmt w:val="decimal"/>
      <w:lvlText w:val="%1.%2.%3.%4.%5.%6.%7"/>
      <w:lvlJc w:val="left"/>
      <w:pPr>
        <w:ind w:left="1871" w:hanging="1440"/>
      </w:pPr>
      <w:rPr>
        <w:vertAlign w:val="baseline"/>
      </w:rPr>
    </w:lvl>
    <w:lvl w:ilvl="7">
      <w:start w:val="1"/>
      <w:numFmt w:val="decimal"/>
      <w:lvlText w:val="%1.%2.%3.%4.%5.%6.%7.%8"/>
      <w:lvlJc w:val="left"/>
      <w:pPr>
        <w:ind w:left="1872" w:hanging="1440"/>
      </w:pPr>
      <w:rPr>
        <w:vertAlign w:val="baseline"/>
      </w:rPr>
    </w:lvl>
    <w:lvl w:ilvl="8">
      <w:start w:val="1"/>
      <w:numFmt w:val="decimal"/>
      <w:lvlText w:val="%1.%2.%3.%4.%5.%6.%7.%8.%9"/>
      <w:lvlJc w:val="left"/>
      <w:pPr>
        <w:ind w:left="1873" w:hanging="1440"/>
      </w:pPr>
      <w:rPr>
        <w:vertAlign w:val="baseline"/>
      </w:rPr>
    </w:lvl>
  </w:abstractNum>
  <w:abstractNum w:abstractNumId="35" w15:restartNumberingAfterBreak="0">
    <w:nsid w:val="5B4E7903"/>
    <w:multiLevelType w:val="multilevel"/>
    <w:tmpl w:val="7C0AF466"/>
    <w:lvl w:ilvl="0">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6" w15:restartNumberingAfterBreak="0">
    <w:nsid w:val="5C266AAD"/>
    <w:multiLevelType w:val="multilevel"/>
    <w:tmpl w:val="983CCECE"/>
    <w:lvl w:ilvl="0">
      <w:start w:val="1"/>
      <w:numFmt w:val="bullet"/>
      <w:lvlText w:val="-"/>
      <w:lvlJc w:val="left"/>
      <w:pPr>
        <w:ind w:left="1080" w:hanging="360"/>
      </w:pPr>
      <w:rPr>
        <w:rFonts w:ascii="Arial" w:eastAsia="Arial" w:hAnsi="Arial" w:cs="Arial"/>
        <w:i/>
        <w:iC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37" w15:restartNumberingAfterBreak="0">
    <w:nsid w:val="5E6C1012"/>
    <w:multiLevelType w:val="multilevel"/>
    <w:tmpl w:val="4EF43910"/>
    <w:lvl w:ilvl="0">
      <w:start w:val="2"/>
      <w:numFmt w:val="bullet"/>
      <w:lvlText w:val="-"/>
      <w:lvlJc w:val="left"/>
      <w:pPr>
        <w:ind w:left="720" w:hanging="360"/>
      </w:pPr>
      <w:rPr>
        <w:rFonts w:ascii="Arial" w:eastAsia="Arial" w:hAnsi="Arial" w:cs="Arial"/>
        <w:color w:val="000000"/>
        <w:vertAlign w:val="baseline"/>
      </w:rPr>
    </w:lvl>
    <w:lvl w:ilvl="1">
      <w:start w:val="1"/>
      <w:numFmt w:val="lowerLetter"/>
      <w:lvlText w:val="%2)"/>
      <w:lvlJc w:val="left"/>
      <w:pPr>
        <w:ind w:left="1440" w:hanging="360"/>
      </w:pPr>
      <w:rPr>
        <w:rFonts w:ascii="Arial" w:eastAsia="Arial" w:hAnsi="Arial" w:cs="Arial"/>
        <w:vertAlign w:val="baseline"/>
      </w:rPr>
    </w:lvl>
    <w:lvl w:ilvl="2">
      <w:start w:val="1"/>
      <w:numFmt w:val="decimal"/>
      <w:lvlText w:val="%3."/>
      <w:lvlJc w:val="left"/>
      <w:pPr>
        <w:ind w:left="2160" w:hanging="360"/>
      </w:pPr>
      <w:rPr>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8" w15:restartNumberingAfterBreak="0">
    <w:nsid w:val="61F53162"/>
    <w:multiLevelType w:val="multilevel"/>
    <w:tmpl w:val="4D2AA232"/>
    <w:lvl w:ilvl="0">
      <w:start w:val="1"/>
      <w:numFmt w:val="decimal"/>
      <w:lvlText w:val="%1."/>
      <w:lvlJc w:val="left"/>
      <w:pPr>
        <w:ind w:left="360" w:hanging="360"/>
      </w:pPr>
      <w:rPr>
        <w:vertAlign w:val="baseline"/>
      </w:rPr>
    </w:lvl>
    <w:lvl w:ilvl="1">
      <w:start w:val="1"/>
      <w:numFmt w:val="decimal"/>
      <w:lvlText w:val="%1.%2."/>
      <w:lvlJc w:val="left"/>
      <w:pPr>
        <w:ind w:left="792" w:hanging="432"/>
      </w:pPr>
      <w:rPr>
        <w:vertAlign w:val="baseline"/>
      </w:rPr>
    </w:lvl>
    <w:lvl w:ilvl="2">
      <w:start w:val="1"/>
      <w:numFmt w:val="decimal"/>
      <w:lvlText w:val="%1.%2.%3."/>
      <w:lvlJc w:val="left"/>
      <w:pPr>
        <w:ind w:left="1224" w:hanging="504"/>
      </w:pPr>
      <w:rPr>
        <w:vertAlign w:val="baseline"/>
      </w:rPr>
    </w:lvl>
    <w:lvl w:ilvl="3">
      <w:start w:val="1"/>
      <w:numFmt w:val="decimal"/>
      <w:lvlText w:val="%1.%2.%3.%4."/>
      <w:lvlJc w:val="left"/>
      <w:pPr>
        <w:ind w:left="1728" w:hanging="647"/>
      </w:pPr>
      <w:rPr>
        <w:vertAlign w:val="baseline"/>
      </w:rPr>
    </w:lvl>
    <w:lvl w:ilvl="4">
      <w:start w:val="1"/>
      <w:numFmt w:val="decimal"/>
      <w:lvlText w:val="%1.%2.%3.%4.%5."/>
      <w:lvlJc w:val="left"/>
      <w:pPr>
        <w:ind w:left="2232" w:hanging="792"/>
      </w:pPr>
      <w:rPr>
        <w:vertAlign w:val="baseline"/>
      </w:rPr>
    </w:lvl>
    <w:lvl w:ilvl="5">
      <w:start w:val="1"/>
      <w:numFmt w:val="decimal"/>
      <w:lvlText w:val="%1.%2.%3.%4.%5.%6."/>
      <w:lvlJc w:val="left"/>
      <w:pPr>
        <w:ind w:left="2736" w:hanging="935"/>
      </w:pPr>
      <w:rPr>
        <w:vertAlign w:val="baseline"/>
      </w:rPr>
    </w:lvl>
    <w:lvl w:ilvl="6">
      <w:start w:val="1"/>
      <w:numFmt w:val="decimal"/>
      <w:lvlText w:val="%1.%2.%3.%4.%5.%6.%7."/>
      <w:lvlJc w:val="left"/>
      <w:pPr>
        <w:ind w:left="3240" w:hanging="1080"/>
      </w:pPr>
      <w:rPr>
        <w:vertAlign w:val="baseline"/>
      </w:rPr>
    </w:lvl>
    <w:lvl w:ilvl="7">
      <w:start w:val="1"/>
      <w:numFmt w:val="decimal"/>
      <w:lvlText w:val="%1.%2.%3.%4.%5.%6.%7.%8."/>
      <w:lvlJc w:val="left"/>
      <w:pPr>
        <w:ind w:left="3744" w:hanging="1224"/>
      </w:pPr>
      <w:rPr>
        <w:vertAlign w:val="baseline"/>
      </w:rPr>
    </w:lvl>
    <w:lvl w:ilvl="8">
      <w:start w:val="1"/>
      <w:numFmt w:val="decimal"/>
      <w:lvlText w:val="%1.%2.%3.%4.%5.%6.%7.%8.%9."/>
      <w:lvlJc w:val="left"/>
      <w:pPr>
        <w:ind w:left="4320" w:hanging="1440"/>
      </w:pPr>
      <w:rPr>
        <w:vertAlign w:val="baseline"/>
      </w:rPr>
    </w:lvl>
  </w:abstractNum>
  <w:abstractNum w:abstractNumId="39" w15:restartNumberingAfterBreak="0">
    <w:nsid w:val="662441BF"/>
    <w:multiLevelType w:val="multilevel"/>
    <w:tmpl w:val="1226817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0" w15:restartNumberingAfterBreak="0">
    <w:nsid w:val="680B2F95"/>
    <w:multiLevelType w:val="multilevel"/>
    <w:tmpl w:val="40AEB46E"/>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1" w15:restartNumberingAfterBreak="0">
    <w:nsid w:val="68F13292"/>
    <w:multiLevelType w:val="hybridMultilevel"/>
    <w:tmpl w:val="81668AD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C1A625D"/>
    <w:multiLevelType w:val="multilevel"/>
    <w:tmpl w:val="BADE5ADA"/>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43" w15:restartNumberingAfterBreak="0">
    <w:nsid w:val="6D6B79F9"/>
    <w:multiLevelType w:val="multilevel"/>
    <w:tmpl w:val="11ECDABA"/>
    <w:lvl w:ilvl="0">
      <w:start w:val="1"/>
      <w:numFmt w:val="decimal"/>
      <w:lvlText w:val="%1."/>
      <w:lvlJc w:val="left"/>
      <w:pPr>
        <w:ind w:left="144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4" w15:restartNumberingAfterBreak="0">
    <w:nsid w:val="73A127B8"/>
    <w:multiLevelType w:val="multilevel"/>
    <w:tmpl w:val="14D0B7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5" w15:restartNumberingAfterBreak="0">
    <w:nsid w:val="798F3497"/>
    <w:multiLevelType w:val="multilevel"/>
    <w:tmpl w:val="78C6CA5C"/>
    <w:lvl w:ilvl="0">
      <w:start w:val="1"/>
      <w:numFmt w:val="decimal"/>
      <w:lvlText w:val="%1."/>
      <w:lvlJc w:val="left"/>
      <w:pPr>
        <w:ind w:left="720" w:hanging="360"/>
      </w:pPr>
      <w:rPr>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5"/>
      <w:numFmt w:val="decimal"/>
      <w:lvlText w:val="%3."/>
      <w:lvlJc w:val="left"/>
      <w:pPr>
        <w:ind w:left="2340" w:hanging="360"/>
      </w:pPr>
      <w:rPr>
        <w:vertAlign w:val="baseline"/>
      </w:rPr>
    </w:lvl>
    <w:lvl w:ilvl="3">
      <w:start w:val="1"/>
      <w:numFmt w:val="decimal"/>
      <w:lvlText w:val="%4."/>
      <w:lvlJc w:val="left"/>
      <w:pPr>
        <w:ind w:left="785" w:hanging="360"/>
      </w:pPr>
      <w:rPr>
        <w:i w:val="0"/>
        <w:iCs w:val="0"/>
        <w:sz w:val="20"/>
        <w:szCs w:val="20"/>
        <w:vertAlign w:val="baseline"/>
      </w:rPr>
    </w:lvl>
    <w:lvl w:ilvl="4">
      <w:start w:val="2"/>
      <w:numFmt w:val="bullet"/>
      <w:lvlText w:val="-"/>
      <w:lvlJc w:val="left"/>
      <w:pPr>
        <w:ind w:left="3600" w:hanging="360"/>
      </w:pPr>
      <w:rPr>
        <w:rFonts w:ascii="Arial" w:eastAsia="Arial" w:hAnsi="Arial" w:cs="Arial"/>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6" w15:restartNumberingAfterBreak="0">
    <w:nsid w:val="7BDA38B8"/>
    <w:multiLevelType w:val="multilevel"/>
    <w:tmpl w:val="3AE0FAFA"/>
    <w:lvl w:ilvl="0">
      <w:start w:val="4"/>
      <w:numFmt w:val="decimal"/>
      <w:lvlText w:val="%1."/>
      <w:lvlJc w:val="left"/>
      <w:pPr>
        <w:ind w:left="360" w:hanging="360"/>
      </w:pPr>
      <w:rPr>
        <w:vertAlign w:val="baseline"/>
      </w:rPr>
    </w:lvl>
    <w:lvl w:ilvl="1">
      <w:numFmt w:val="bullet"/>
      <w:lvlText w:val="-"/>
      <w:lvlJc w:val="left"/>
      <w:pPr>
        <w:ind w:left="5747" w:hanging="360"/>
      </w:pPr>
      <w:rPr>
        <w:rFonts w:ascii="Arial Narrow" w:eastAsia="Arial Narrow" w:hAnsi="Arial Narrow" w:cs="Arial Narrow"/>
        <w:vertAlign w:val="baseline"/>
      </w:rPr>
    </w:lvl>
    <w:lvl w:ilvl="2">
      <w:start w:val="1"/>
      <w:numFmt w:val="decimal"/>
      <w:lvlText w:val="%1.-.%3."/>
      <w:lvlJc w:val="left"/>
      <w:pPr>
        <w:ind w:left="4320" w:hanging="720"/>
      </w:pPr>
      <w:rPr>
        <w:vertAlign w:val="baseline"/>
      </w:rPr>
    </w:lvl>
    <w:lvl w:ilvl="3">
      <w:start w:val="1"/>
      <w:numFmt w:val="decimal"/>
      <w:lvlText w:val="%1.-.%3.%4."/>
      <w:lvlJc w:val="left"/>
      <w:pPr>
        <w:ind w:left="6120" w:hanging="720"/>
      </w:pPr>
      <w:rPr>
        <w:vertAlign w:val="baseline"/>
      </w:rPr>
    </w:lvl>
    <w:lvl w:ilvl="4">
      <w:start w:val="1"/>
      <w:numFmt w:val="decimal"/>
      <w:lvlText w:val="%1.-.%3.%4.%5."/>
      <w:lvlJc w:val="left"/>
      <w:pPr>
        <w:ind w:left="8280" w:hanging="1080"/>
      </w:pPr>
      <w:rPr>
        <w:vertAlign w:val="baseline"/>
      </w:rPr>
    </w:lvl>
    <w:lvl w:ilvl="5">
      <w:start w:val="1"/>
      <w:numFmt w:val="decimal"/>
      <w:lvlText w:val="%1.-.%3.%4.%5.%6."/>
      <w:lvlJc w:val="left"/>
      <w:pPr>
        <w:ind w:left="10080" w:hanging="1080"/>
      </w:pPr>
      <w:rPr>
        <w:vertAlign w:val="baseline"/>
      </w:rPr>
    </w:lvl>
    <w:lvl w:ilvl="6">
      <w:start w:val="1"/>
      <w:numFmt w:val="decimal"/>
      <w:lvlText w:val="%1.-.%3.%4.%5.%6.%7."/>
      <w:lvlJc w:val="left"/>
      <w:pPr>
        <w:ind w:left="12240" w:hanging="1440"/>
      </w:pPr>
      <w:rPr>
        <w:vertAlign w:val="baseline"/>
      </w:rPr>
    </w:lvl>
    <w:lvl w:ilvl="7">
      <w:start w:val="1"/>
      <w:numFmt w:val="decimal"/>
      <w:lvlText w:val="%1.-.%3.%4.%5.%6.%7.%8."/>
      <w:lvlJc w:val="left"/>
      <w:pPr>
        <w:ind w:left="14040" w:hanging="1440"/>
      </w:pPr>
      <w:rPr>
        <w:vertAlign w:val="baseline"/>
      </w:rPr>
    </w:lvl>
    <w:lvl w:ilvl="8">
      <w:start w:val="1"/>
      <w:numFmt w:val="decimal"/>
      <w:lvlText w:val="%1.-.%3.%4.%5.%6.%7.%8.%9."/>
      <w:lvlJc w:val="left"/>
      <w:pPr>
        <w:ind w:left="16200" w:hanging="1800"/>
      </w:pPr>
      <w:rPr>
        <w:vertAlign w:val="baseline"/>
      </w:rPr>
    </w:lvl>
  </w:abstractNum>
  <w:abstractNum w:abstractNumId="47" w15:restartNumberingAfterBreak="0">
    <w:nsid w:val="7BF64DF1"/>
    <w:multiLevelType w:val="multilevel"/>
    <w:tmpl w:val="BFE081B8"/>
    <w:lvl w:ilvl="0">
      <w:start w:val="1"/>
      <w:numFmt w:val="decimal"/>
      <w:lvlText w:val="%1."/>
      <w:lvlJc w:val="left"/>
      <w:pPr>
        <w:ind w:left="21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8" w15:restartNumberingAfterBreak="0">
    <w:nsid w:val="7CBB527F"/>
    <w:multiLevelType w:val="hybridMultilevel"/>
    <w:tmpl w:val="9E6C1556"/>
    <w:lvl w:ilvl="0" w:tplc="FFFFFFFF">
      <w:start w:val="1"/>
      <w:numFmt w:val="decimal"/>
      <w:lvlText w:val="%1)"/>
      <w:lvlJc w:val="left"/>
      <w:pPr>
        <w:ind w:left="1004" w:hanging="360"/>
      </w:pPr>
      <w:rPr>
        <w:rFonts w:hint="default"/>
      </w:rPr>
    </w:lvl>
    <w:lvl w:ilvl="1" w:tplc="FFFFFFFF">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49" w15:restartNumberingAfterBreak="0">
    <w:nsid w:val="7D9A5CA9"/>
    <w:multiLevelType w:val="hybridMultilevel"/>
    <w:tmpl w:val="20DAC57A"/>
    <w:lvl w:ilvl="0" w:tplc="F134DB48">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10930121">
    <w:abstractNumId w:val="13"/>
  </w:num>
  <w:num w:numId="2" w16cid:durableId="1777483157">
    <w:abstractNumId w:val="42"/>
  </w:num>
  <w:num w:numId="3" w16cid:durableId="498885540">
    <w:abstractNumId w:val="43"/>
  </w:num>
  <w:num w:numId="4" w16cid:durableId="2045787088">
    <w:abstractNumId w:val="27"/>
  </w:num>
  <w:num w:numId="5" w16cid:durableId="670643157">
    <w:abstractNumId w:val="46"/>
  </w:num>
  <w:num w:numId="6" w16cid:durableId="477654522">
    <w:abstractNumId w:val="4"/>
  </w:num>
  <w:num w:numId="7" w16cid:durableId="161941340">
    <w:abstractNumId w:val="30"/>
  </w:num>
  <w:num w:numId="8" w16cid:durableId="516584932">
    <w:abstractNumId w:val="34"/>
  </w:num>
  <w:num w:numId="9" w16cid:durableId="683436432">
    <w:abstractNumId w:val="7"/>
  </w:num>
  <w:num w:numId="10" w16cid:durableId="429467907">
    <w:abstractNumId w:val="0"/>
  </w:num>
  <w:num w:numId="11" w16cid:durableId="1099713096">
    <w:abstractNumId w:val="31"/>
  </w:num>
  <w:num w:numId="12" w16cid:durableId="778336781">
    <w:abstractNumId w:val="14"/>
  </w:num>
  <w:num w:numId="13" w16cid:durableId="536625828">
    <w:abstractNumId w:val="3"/>
  </w:num>
  <w:num w:numId="14" w16cid:durableId="1425951837">
    <w:abstractNumId w:val="44"/>
  </w:num>
  <w:num w:numId="15" w16cid:durableId="1539393967">
    <w:abstractNumId w:val="22"/>
  </w:num>
  <w:num w:numId="16" w16cid:durableId="325473940">
    <w:abstractNumId w:val="39"/>
  </w:num>
  <w:num w:numId="17" w16cid:durableId="732579355">
    <w:abstractNumId w:val="19"/>
  </w:num>
  <w:num w:numId="18" w16cid:durableId="1961645416">
    <w:abstractNumId w:val="38"/>
  </w:num>
  <w:num w:numId="19" w16cid:durableId="1482304743">
    <w:abstractNumId w:val="21"/>
  </w:num>
  <w:num w:numId="20" w16cid:durableId="1568607744">
    <w:abstractNumId w:val="1"/>
  </w:num>
  <w:num w:numId="21" w16cid:durableId="1795905464">
    <w:abstractNumId w:val="35"/>
  </w:num>
  <w:num w:numId="22" w16cid:durableId="982738554">
    <w:abstractNumId w:val="32"/>
  </w:num>
  <w:num w:numId="23" w16cid:durableId="955867564">
    <w:abstractNumId w:val="18"/>
  </w:num>
  <w:num w:numId="24" w16cid:durableId="1090082925">
    <w:abstractNumId w:val="24"/>
  </w:num>
  <w:num w:numId="25" w16cid:durableId="645209968">
    <w:abstractNumId w:val="47"/>
  </w:num>
  <w:num w:numId="26" w16cid:durableId="1546671223">
    <w:abstractNumId w:val="20"/>
  </w:num>
  <w:num w:numId="27" w16cid:durableId="987586737">
    <w:abstractNumId w:val="9"/>
  </w:num>
  <w:num w:numId="28" w16cid:durableId="930703810">
    <w:abstractNumId w:val="8"/>
  </w:num>
  <w:num w:numId="29" w16cid:durableId="1208646124">
    <w:abstractNumId w:val="45"/>
  </w:num>
  <w:num w:numId="30" w16cid:durableId="1895387310">
    <w:abstractNumId w:val="10"/>
  </w:num>
  <w:num w:numId="31" w16cid:durableId="1359353351">
    <w:abstractNumId w:val="36"/>
  </w:num>
  <w:num w:numId="32" w16cid:durableId="448403458">
    <w:abstractNumId w:val="11"/>
  </w:num>
  <w:num w:numId="33" w16cid:durableId="1834025377">
    <w:abstractNumId w:val="37"/>
  </w:num>
  <w:num w:numId="34" w16cid:durableId="1936597819">
    <w:abstractNumId w:val="26"/>
  </w:num>
  <w:num w:numId="35" w16cid:durableId="18823518">
    <w:abstractNumId w:val="28"/>
  </w:num>
  <w:num w:numId="36" w16cid:durableId="719330739">
    <w:abstractNumId w:val="15"/>
  </w:num>
  <w:num w:numId="37" w16cid:durableId="1114789161">
    <w:abstractNumId w:val="2"/>
  </w:num>
  <w:num w:numId="38" w16cid:durableId="660036912">
    <w:abstractNumId w:val="33"/>
  </w:num>
  <w:num w:numId="39" w16cid:durableId="2105109975">
    <w:abstractNumId w:val="40"/>
  </w:num>
  <w:num w:numId="40" w16cid:durableId="1504124185">
    <w:abstractNumId w:val="12"/>
  </w:num>
  <w:num w:numId="41" w16cid:durableId="1312715750">
    <w:abstractNumId w:val="23"/>
  </w:num>
  <w:num w:numId="42" w16cid:durableId="174002251">
    <w:abstractNumId w:val="16"/>
  </w:num>
  <w:num w:numId="43" w16cid:durableId="1150946226">
    <w:abstractNumId w:val="41"/>
  </w:num>
  <w:num w:numId="44" w16cid:durableId="1528912303">
    <w:abstractNumId w:val="25"/>
  </w:num>
  <w:num w:numId="45" w16cid:durableId="4045705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65474461">
    <w:abstractNumId w:val="48"/>
  </w:num>
  <w:num w:numId="47" w16cid:durableId="982463525">
    <w:abstractNumId w:val="5"/>
  </w:num>
  <w:num w:numId="48" w16cid:durableId="1615096862">
    <w:abstractNumId w:val="49"/>
  </w:num>
  <w:num w:numId="49" w16cid:durableId="341586618">
    <w:abstractNumId w:val="6"/>
  </w:num>
  <w:num w:numId="50" w16cid:durableId="199853309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BA"/>
    <w:rsid w:val="00000546"/>
    <w:rsid w:val="00023DF5"/>
    <w:rsid w:val="00035497"/>
    <w:rsid w:val="0003605C"/>
    <w:rsid w:val="0004051E"/>
    <w:rsid w:val="00055D6B"/>
    <w:rsid w:val="00072E39"/>
    <w:rsid w:val="000755BA"/>
    <w:rsid w:val="000936A2"/>
    <w:rsid w:val="00096EB7"/>
    <w:rsid w:val="000971B0"/>
    <w:rsid w:val="000A53A9"/>
    <w:rsid w:val="000A6150"/>
    <w:rsid w:val="000C02B1"/>
    <w:rsid w:val="000C6D93"/>
    <w:rsid w:val="000D3A9E"/>
    <w:rsid w:val="000E2464"/>
    <w:rsid w:val="000E625C"/>
    <w:rsid w:val="00111858"/>
    <w:rsid w:val="00124C42"/>
    <w:rsid w:val="0016168B"/>
    <w:rsid w:val="00161C2C"/>
    <w:rsid w:val="0016725D"/>
    <w:rsid w:val="00173C4B"/>
    <w:rsid w:val="0018098B"/>
    <w:rsid w:val="001A0157"/>
    <w:rsid w:val="001B2875"/>
    <w:rsid w:val="001E5EA3"/>
    <w:rsid w:val="001F501F"/>
    <w:rsid w:val="001F7C6A"/>
    <w:rsid w:val="00213D3B"/>
    <w:rsid w:val="00227675"/>
    <w:rsid w:val="002406AC"/>
    <w:rsid w:val="00260A71"/>
    <w:rsid w:val="0026300A"/>
    <w:rsid w:val="00276284"/>
    <w:rsid w:val="002847E9"/>
    <w:rsid w:val="00296719"/>
    <w:rsid w:val="002A65F3"/>
    <w:rsid w:val="002D0580"/>
    <w:rsid w:val="002E4859"/>
    <w:rsid w:val="002E5D5B"/>
    <w:rsid w:val="002F201B"/>
    <w:rsid w:val="00313B09"/>
    <w:rsid w:val="00314169"/>
    <w:rsid w:val="003179F1"/>
    <w:rsid w:val="00344AAE"/>
    <w:rsid w:val="0039163A"/>
    <w:rsid w:val="003C08DB"/>
    <w:rsid w:val="003C1114"/>
    <w:rsid w:val="003E4293"/>
    <w:rsid w:val="00402885"/>
    <w:rsid w:val="00404074"/>
    <w:rsid w:val="00425AA7"/>
    <w:rsid w:val="00440DCF"/>
    <w:rsid w:val="0047327F"/>
    <w:rsid w:val="004C770D"/>
    <w:rsid w:val="004E7C46"/>
    <w:rsid w:val="005077B4"/>
    <w:rsid w:val="00543312"/>
    <w:rsid w:val="0057620D"/>
    <w:rsid w:val="00582553"/>
    <w:rsid w:val="0058393D"/>
    <w:rsid w:val="005871F3"/>
    <w:rsid w:val="005A672C"/>
    <w:rsid w:val="005F24DE"/>
    <w:rsid w:val="005F73E8"/>
    <w:rsid w:val="00616E88"/>
    <w:rsid w:val="006212F2"/>
    <w:rsid w:val="00621A37"/>
    <w:rsid w:val="00630492"/>
    <w:rsid w:val="00644050"/>
    <w:rsid w:val="00652D66"/>
    <w:rsid w:val="006541C2"/>
    <w:rsid w:val="00671709"/>
    <w:rsid w:val="00681EA8"/>
    <w:rsid w:val="00683F46"/>
    <w:rsid w:val="006974D8"/>
    <w:rsid w:val="006A032F"/>
    <w:rsid w:val="007316F9"/>
    <w:rsid w:val="00734098"/>
    <w:rsid w:val="007657B7"/>
    <w:rsid w:val="00766A47"/>
    <w:rsid w:val="0077707F"/>
    <w:rsid w:val="00780246"/>
    <w:rsid w:val="00781044"/>
    <w:rsid w:val="007A2EF4"/>
    <w:rsid w:val="007A7887"/>
    <w:rsid w:val="007D75F4"/>
    <w:rsid w:val="007E14DF"/>
    <w:rsid w:val="007E39FC"/>
    <w:rsid w:val="007E6306"/>
    <w:rsid w:val="0084492C"/>
    <w:rsid w:val="008454DD"/>
    <w:rsid w:val="008827AE"/>
    <w:rsid w:val="00885667"/>
    <w:rsid w:val="008C26A1"/>
    <w:rsid w:val="008C66F4"/>
    <w:rsid w:val="008F1037"/>
    <w:rsid w:val="008F1114"/>
    <w:rsid w:val="008F28D8"/>
    <w:rsid w:val="009245F9"/>
    <w:rsid w:val="009465A4"/>
    <w:rsid w:val="00986ADE"/>
    <w:rsid w:val="00992932"/>
    <w:rsid w:val="00996D0B"/>
    <w:rsid w:val="009B324A"/>
    <w:rsid w:val="009D6744"/>
    <w:rsid w:val="009E0D71"/>
    <w:rsid w:val="00A1528A"/>
    <w:rsid w:val="00A1538C"/>
    <w:rsid w:val="00A223AF"/>
    <w:rsid w:val="00A22BB0"/>
    <w:rsid w:val="00A26348"/>
    <w:rsid w:val="00A34622"/>
    <w:rsid w:val="00A47031"/>
    <w:rsid w:val="00AC38F5"/>
    <w:rsid w:val="00AD28FB"/>
    <w:rsid w:val="00AD30D3"/>
    <w:rsid w:val="00B11D44"/>
    <w:rsid w:val="00B35783"/>
    <w:rsid w:val="00B40163"/>
    <w:rsid w:val="00B44682"/>
    <w:rsid w:val="00B95EB1"/>
    <w:rsid w:val="00BB0494"/>
    <w:rsid w:val="00BB2C6A"/>
    <w:rsid w:val="00BD33B7"/>
    <w:rsid w:val="00BD76F3"/>
    <w:rsid w:val="00BF4517"/>
    <w:rsid w:val="00BF5F5E"/>
    <w:rsid w:val="00C249FC"/>
    <w:rsid w:val="00C27AA8"/>
    <w:rsid w:val="00C556CA"/>
    <w:rsid w:val="00C6707E"/>
    <w:rsid w:val="00C7060F"/>
    <w:rsid w:val="00C80D68"/>
    <w:rsid w:val="00C8456B"/>
    <w:rsid w:val="00CA10D4"/>
    <w:rsid w:val="00CC38A5"/>
    <w:rsid w:val="00CE3CAC"/>
    <w:rsid w:val="00D37B29"/>
    <w:rsid w:val="00D511C5"/>
    <w:rsid w:val="00DA229C"/>
    <w:rsid w:val="00DB189F"/>
    <w:rsid w:val="00DB4A42"/>
    <w:rsid w:val="00DB7E99"/>
    <w:rsid w:val="00DD6C41"/>
    <w:rsid w:val="00DE0FEA"/>
    <w:rsid w:val="00E15D96"/>
    <w:rsid w:val="00E15DFB"/>
    <w:rsid w:val="00E44CC3"/>
    <w:rsid w:val="00E5335A"/>
    <w:rsid w:val="00E6405D"/>
    <w:rsid w:val="00E652C5"/>
    <w:rsid w:val="00E65484"/>
    <w:rsid w:val="00E74E86"/>
    <w:rsid w:val="00EA30AD"/>
    <w:rsid w:val="00EB3765"/>
    <w:rsid w:val="00EE2D5E"/>
    <w:rsid w:val="00EF1395"/>
    <w:rsid w:val="00EF6514"/>
    <w:rsid w:val="00F2316B"/>
    <w:rsid w:val="00F2331B"/>
    <w:rsid w:val="00F30DBA"/>
    <w:rsid w:val="00F36E70"/>
    <w:rsid w:val="00F3765A"/>
    <w:rsid w:val="00F47C4B"/>
    <w:rsid w:val="00F5368C"/>
    <w:rsid w:val="00F83DA2"/>
    <w:rsid w:val="00F95C86"/>
    <w:rsid w:val="00FC3631"/>
    <w:rsid w:val="00FF50CB"/>
    <w:rsid w:val="00FF774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C172C"/>
  <w15:docId w15:val="{213CD5C4-2965-4D9B-89F1-897507AEA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sl"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556CA"/>
  </w:style>
  <w:style w:type="paragraph" w:styleId="Naslov1">
    <w:name w:val="heading 1"/>
    <w:basedOn w:val="Navaden"/>
    <w:next w:val="Navaden"/>
    <w:uiPriority w:val="9"/>
    <w:qFormat/>
    <w:rsid w:val="004C770D"/>
    <w:pPr>
      <w:keepNext/>
      <w:keepLines/>
      <w:spacing w:before="480" w:after="120"/>
      <w:outlineLvl w:val="0"/>
    </w:pPr>
    <w:rPr>
      <w:rFonts w:ascii="Arial" w:hAnsi="Arial"/>
      <w:b/>
      <w:bCs/>
      <w:sz w:val="24"/>
      <w:szCs w:val="48"/>
    </w:rPr>
  </w:style>
  <w:style w:type="paragraph" w:styleId="Naslov2">
    <w:name w:val="heading 2"/>
    <w:basedOn w:val="Navaden"/>
    <w:next w:val="Navaden"/>
    <w:uiPriority w:val="9"/>
    <w:unhideWhenUsed/>
    <w:qFormat/>
    <w:rsid w:val="004C770D"/>
    <w:pPr>
      <w:keepNext/>
      <w:keepLines/>
      <w:spacing w:before="360" w:after="80"/>
      <w:outlineLvl w:val="1"/>
    </w:pPr>
    <w:rPr>
      <w:rFonts w:ascii="Arial" w:hAnsi="Arial"/>
      <w:b/>
      <w:bCs/>
      <w:sz w:val="22"/>
      <w:szCs w:val="36"/>
    </w:rPr>
  </w:style>
  <w:style w:type="paragraph" w:styleId="Naslov3">
    <w:name w:val="heading 3"/>
    <w:basedOn w:val="Navaden"/>
    <w:next w:val="Navaden"/>
    <w:uiPriority w:val="9"/>
    <w:unhideWhenUsed/>
    <w:qFormat/>
    <w:pPr>
      <w:keepNext/>
      <w:keepLines/>
      <w:spacing w:before="280" w:after="80"/>
      <w:outlineLvl w:val="2"/>
    </w:pPr>
    <w:rPr>
      <w:b/>
      <w:bCs/>
      <w:sz w:val="28"/>
      <w:szCs w:val="28"/>
    </w:rPr>
  </w:style>
  <w:style w:type="paragraph" w:styleId="Naslov4">
    <w:name w:val="heading 4"/>
    <w:basedOn w:val="Navaden"/>
    <w:next w:val="Navaden"/>
    <w:uiPriority w:val="9"/>
    <w:semiHidden/>
    <w:unhideWhenUsed/>
    <w:qFormat/>
    <w:pPr>
      <w:keepNext/>
      <w:keepLines/>
      <w:spacing w:before="240" w:after="40"/>
      <w:outlineLvl w:val="3"/>
    </w:pPr>
    <w:rPr>
      <w:b/>
      <w:bCs/>
      <w:sz w:val="24"/>
      <w:szCs w:val="24"/>
    </w:rPr>
  </w:style>
  <w:style w:type="paragraph" w:styleId="Naslov5">
    <w:name w:val="heading 5"/>
    <w:basedOn w:val="Navaden"/>
    <w:next w:val="Navaden"/>
    <w:uiPriority w:val="9"/>
    <w:semiHidden/>
    <w:unhideWhenUsed/>
    <w:qFormat/>
    <w:pPr>
      <w:keepNext/>
      <w:keepLines/>
      <w:spacing w:before="220" w:after="40"/>
      <w:outlineLvl w:val="4"/>
    </w:pPr>
    <w:rPr>
      <w:b/>
      <w:bCs/>
      <w:sz w:val="22"/>
      <w:szCs w:val="22"/>
    </w:rPr>
  </w:style>
  <w:style w:type="paragraph" w:styleId="Naslov6">
    <w:name w:val="heading 6"/>
    <w:basedOn w:val="Navaden"/>
    <w:next w:val="Navaden"/>
    <w:uiPriority w:val="9"/>
    <w:semiHidden/>
    <w:unhideWhenUsed/>
    <w:qFormat/>
    <w:pPr>
      <w:keepNext/>
      <w:keepLines/>
      <w:spacing w:before="200" w:after="40"/>
      <w:outlineLvl w:val="5"/>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avaden"/>
    <w:next w:val="Navaden"/>
    <w:uiPriority w:val="10"/>
    <w:qFormat/>
    <w:pPr>
      <w:keepNext/>
      <w:keepLines/>
      <w:spacing w:before="480" w:after="120"/>
    </w:pPr>
    <w:rPr>
      <w:b/>
      <w:bCs/>
      <w:sz w:val="72"/>
      <w:szCs w:val="72"/>
    </w:rPr>
  </w:style>
  <w:style w:type="paragraph" w:styleId="Podnaslov">
    <w:name w:val="Subtitle"/>
    <w:basedOn w:val="Navaden"/>
    <w:next w:val="Navade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tblPr>
      <w:tblStyleRowBandSize w:val="1"/>
      <w:tblStyleColBandSize w:val="1"/>
      <w:tblCellMar>
        <w:top w:w="0" w:type="dxa"/>
        <w:left w:w="70" w:type="dxa"/>
        <w:bottom w:w="0" w:type="dxa"/>
        <w:right w:w="70" w:type="dxa"/>
      </w:tblCellMar>
    </w:tblPr>
  </w:style>
  <w:style w:type="table" w:customStyle="1" w:styleId="a7">
    <w:basedOn w:val="TableNormal"/>
    <w:tblPr>
      <w:tblStyleRowBandSize w:val="1"/>
      <w:tblStyleColBandSize w:val="1"/>
      <w:tblCellMar>
        <w:top w:w="0" w:type="dxa"/>
        <w:left w:w="70" w:type="dxa"/>
        <w:bottom w:w="0" w:type="dxa"/>
        <w:right w:w="70" w:type="dxa"/>
      </w:tblCellMar>
    </w:tblPr>
  </w:style>
  <w:style w:type="table" w:customStyle="1" w:styleId="a8">
    <w:basedOn w:val="TableNormal"/>
    <w:tblPr>
      <w:tblStyleRowBandSize w:val="1"/>
      <w:tblStyleColBandSize w:val="1"/>
      <w:tblCellMar>
        <w:top w:w="0" w:type="dxa"/>
        <w:left w:w="70" w:type="dxa"/>
        <w:bottom w:w="0" w:type="dxa"/>
        <w:right w:w="70" w:type="dxa"/>
      </w:tblCellMar>
    </w:tblPr>
  </w:style>
  <w:style w:type="table" w:customStyle="1" w:styleId="a9">
    <w:basedOn w:val="TableNormal"/>
    <w:tblPr>
      <w:tblStyleRowBandSize w:val="1"/>
      <w:tblStyleColBandSize w:val="1"/>
      <w:tblCellMar>
        <w:top w:w="0" w:type="dxa"/>
        <w:left w:w="70" w:type="dxa"/>
        <w:bottom w:w="0" w:type="dxa"/>
        <w:right w:w="70" w:type="dxa"/>
      </w:tblCellMar>
    </w:tblPr>
  </w:style>
  <w:style w:type="paragraph" w:styleId="Pripombabesedilo">
    <w:name w:val="annotation text"/>
    <w:basedOn w:val="Navaden"/>
    <w:link w:val="PripombabesediloZnak"/>
    <w:uiPriority w:val="99"/>
    <w:unhideWhenUsed/>
  </w:style>
  <w:style w:type="character" w:customStyle="1" w:styleId="PripombabesediloZnak">
    <w:name w:val="Pripomba – besedilo Znak"/>
    <w:basedOn w:val="Privzetapisavaodstavka"/>
    <w:link w:val="Pripombabesedilo"/>
    <w:uiPriority w:val="99"/>
  </w:style>
  <w:style w:type="character" w:styleId="Pripombasklic">
    <w:name w:val="annotation reference"/>
    <w:basedOn w:val="Privzetapisavaodstavka"/>
    <w:uiPriority w:val="99"/>
    <w:semiHidden/>
    <w:unhideWhenUsed/>
    <w:rPr>
      <w:sz w:val="16"/>
      <w:szCs w:val="16"/>
    </w:rPr>
  </w:style>
  <w:style w:type="paragraph" w:styleId="Glava">
    <w:name w:val="header"/>
    <w:basedOn w:val="Navaden"/>
    <w:link w:val="GlavaZnak"/>
    <w:uiPriority w:val="99"/>
    <w:unhideWhenUsed/>
    <w:rsid w:val="00644050"/>
    <w:pPr>
      <w:tabs>
        <w:tab w:val="center" w:pos="4536"/>
        <w:tab w:val="right" w:pos="9072"/>
      </w:tabs>
    </w:pPr>
  </w:style>
  <w:style w:type="character" w:customStyle="1" w:styleId="GlavaZnak">
    <w:name w:val="Glava Znak"/>
    <w:basedOn w:val="Privzetapisavaodstavka"/>
    <w:link w:val="Glava"/>
    <w:uiPriority w:val="99"/>
    <w:rsid w:val="00644050"/>
  </w:style>
  <w:style w:type="paragraph" w:styleId="Noga">
    <w:name w:val="footer"/>
    <w:basedOn w:val="Navaden"/>
    <w:link w:val="NogaZnak"/>
    <w:uiPriority w:val="99"/>
    <w:unhideWhenUsed/>
    <w:rsid w:val="00644050"/>
    <w:pPr>
      <w:tabs>
        <w:tab w:val="center" w:pos="4536"/>
        <w:tab w:val="right" w:pos="9072"/>
      </w:tabs>
    </w:pPr>
  </w:style>
  <w:style w:type="character" w:customStyle="1" w:styleId="NogaZnak">
    <w:name w:val="Noga Znak"/>
    <w:basedOn w:val="Privzetapisavaodstavka"/>
    <w:link w:val="Noga"/>
    <w:uiPriority w:val="99"/>
    <w:rsid w:val="00644050"/>
  </w:style>
  <w:style w:type="character" w:styleId="Hiperpovezava">
    <w:name w:val="Hyperlink"/>
    <w:basedOn w:val="Privzetapisavaodstavka"/>
    <w:uiPriority w:val="99"/>
    <w:unhideWhenUsed/>
    <w:rsid w:val="00A47031"/>
    <w:rPr>
      <w:color w:val="0000FF" w:themeColor="hyperlink"/>
      <w:u w:val="single"/>
    </w:rPr>
  </w:style>
  <w:style w:type="character" w:styleId="Nerazreenaomemba">
    <w:name w:val="Unresolved Mention"/>
    <w:basedOn w:val="Privzetapisavaodstavka"/>
    <w:uiPriority w:val="99"/>
    <w:semiHidden/>
    <w:unhideWhenUsed/>
    <w:rsid w:val="00A47031"/>
    <w:rPr>
      <w:color w:val="605E5C"/>
      <w:shd w:val="clear" w:color="auto" w:fill="E1DFDD"/>
    </w:rPr>
  </w:style>
  <w:style w:type="paragraph" w:styleId="Revizija">
    <w:name w:val="Revision"/>
    <w:hidden/>
    <w:uiPriority w:val="99"/>
    <w:semiHidden/>
    <w:rsid w:val="00EB3765"/>
  </w:style>
  <w:style w:type="paragraph" w:styleId="Odstavekseznama">
    <w:name w:val="List Paragraph"/>
    <w:aliases w:val="za tekst,Označevanje,List Paragraph2,naslov 1,Bullet 1,Bullet Points,Bullet layer,Colorful List - Accent 11,Dot pt,F5 List Paragraph,Indicator Text,Issue Action POC,List Paragraph Char Char Char,List Paragraph1,MAIN CONTENT,No Spacing1"/>
    <w:basedOn w:val="Navaden"/>
    <w:link w:val="OdstavekseznamaZnak"/>
    <w:uiPriority w:val="34"/>
    <w:qFormat/>
    <w:rsid w:val="00F2331B"/>
    <w:pPr>
      <w:spacing w:after="200" w:line="276" w:lineRule="auto"/>
      <w:ind w:left="708"/>
    </w:pPr>
    <w:rPr>
      <w:rFonts w:cs="Times New Roman"/>
      <w:sz w:val="22"/>
      <w:szCs w:val="22"/>
      <w:lang w:val="sl-SI" w:eastAsia="en-US"/>
    </w:rPr>
  </w:style>
  <w:style w:type="character" w:customStyle="1" w:styleId="OdstavekseznamaZnak">
    <w:name w:val="Odstavek seznama Znak"/>
    <w:aliases w:val="za tekst Znak,Označevanje Znak,List Paragraph2 Znak,naslov 1 Znak,Bullet 1 Znak,Bullet Points Znak,Bullet layer Znak,Colorful List - Accent 11 Znak,Dot pt Znak,F5 List Paragraph Znak,Indicator Text Znak,Issue Action POC Znak"/>
    <w:link w:val="Odstavekseznama"/>
    <w:uiPriority w:val="34"/>
    <w:qFormat/>
    <w:locked/>
    <w:rsid w:val="00F2331B"/>
    <w:rPr>
      <w:rFonts w:cs="Times New Roman"/>
      <w:sz w:val="22"/>
      <w:szCs w:val="22"/>
      <w:lang w:val="sl-SI" w:eastAsia="en-US"/>
    </w:rPr>
  </w:style>
  <w:style w:type="character" w:customStyle="1" w:styleId="TEKSTZnak">
    <w:name w:val="TEKST Znak"/>
    <w:link w:val="TEKST"/>
    <w:locked/>
    <w:rsid w:val="00F2331B"/>
    <w:rPr>
      <w:rFonts w:ascii="Trebuchet MS" w:eastAsia="Times New Roman" w:hAnsi="Trebuchet MS"/>
    </w:rPr>
  </w:style>
  <w:style w:type="paragraph" w:customStyle="1" w:styleId="TEKST">
    <w:name w:val="TEKST"/>
    <w:basedOn w:val="Navaden"/>
    <w:link w:val="TEKSTZnak"/>
    <w:rsid w:val="00F2331B"/>
    <w:pPr>
      <w:spacing w:line="264" w:lineRule="auto"/>
      <w:jc w:val="both"/>
    </w:pPr>
    <w:rPr>
      <w:rFonts w:ascii="Trebuchet MS" w:eastAsia="Times New Roman" w:hAnsi="Trebuchet MS"/>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nhideWhenUsed/>
    <w:qFormat/>
    <w:rsid w:val="00C7060F"/>
    <w:pPr>
      <w:spacing w:after="200" w:line="276" w:lineRule="auto"/>
    </w:pPr>
    <w:rPr>
      <w:rFonts w:cs="Times New Roman"/>
      <w:lang w:val="sl-SI" w:eastAsia="en-US"/>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rsid w:val="00C7060F"/>
    <w:rPr>
      <w:rFonts w:cs="Times New Roman"/>
      <w:lang w:val="sl-SI" w:eastAsia="en-US"/>
    </w:rPr>
  </w:style>
  <w:style w:type="character" w:styleId="Sprotnaopomba-sklic">
    <w:name w:val="footnote reference"/>
    <w:aliases w:val="Footnote symbol,Footnote,Fussnota,BVI fnr, Znak,Footnote reference number,note TESI,SUPERS,EN Footnote Reference,Znak,-E Fußnotenzeichen,number,Times 10 Point,Exposant 3 Point,Footnote Reference_LVL6,Footnote Reference_LVL61"/>
    <w:uiPriority w:val="99"/>
    <w:unhideWhenUsed/>
    <w:qFormat/>
    <w:rsid w:val="00C7060F"/>
    <w:rPr>
      <w:vertAlign w:val="superscript"/>
    </w:rPr>
  </w:style>
  <w:style w:type="paragraph" w:styleId="Zadevapripombe">
    <w:name w:val="annotation subject"/>
    <w:basedOn w:val="Pripombabesedilo"/>
    <w:next w:val="Pripombabesedilo"/>
    <w:link w:val="ZadevapripombeZnak"/>
    <w:uiPriority w:val="99"/>
    <w:semiHidden/>
    <w:unhideWhenUsed/>
    <w:rsid w:val="00D37B29"/>
    <w:rPr>
      <w:b/>
      <w:bCs/>
    </w:rPr>
  </w:style>
  <w:style w:type="character" w:customStyle="1" w:styleId="ZadevapripombeZnak">
    <w:name w:val="Zadeva pripombe Znak"/>
    <w:basedOn w:val="PripombabesediloZnak"/>
    <w:link w:val="Zadevapripombe"/>
    <w:uiPriority w:val="99"/>
    <w:semiHidden/>
    <w:rsid w:val="00D37B29"/>
    <w:rPr>
      <w:b/>
      <w:bCs/>
    </w:rPr>
  </w:style>
  <w:style w:type="paragraph" w:styleId="NaslovTOC">
    <w:name w:val="TOC Heading"/>
    <w:basedOn w:val="Naslov1"/>
    <w:next w:val="Navaden"/>
    <w:uiPriority w:val="39"/>
    <w:unhideWhenUsed/>
    <w:qFormat/>
    <w:rsid w:val="0016168B"/>
    <w:pPr>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sl-SI"/>
    </w:rPr>
  </w:style>
  <w:style w:type="paragraph" w:styleId="Kazalovsebine1">
    <w:name w:val="toc 1"/>
    <w:basedOn w:val="Navaden"/>
    <w:next w:val="Navaden"/>
    <w:autoRedefine/>
    <w:uiPriority w:val="39"/>
    <w:unhideWhenUsed/>
    <w:rsid w:val="0016168B"/>
    <w:pPr>
      <w:spacing w:after="100"/>
    </w:pPr>
  </w:style>
  <w:style w:type="paragraph" w:styleId="Kazalovsebine2">
    <w:name w:val="toc 2"/>
    <w:basedOn w:val="Navaden"/>
    <w:next w:val="Navaden"/>
    <w:autoRedefine/>
    <w:uiPriority w:val="39"/>
    <w:unhideWhenUsed/>
    <w:rsid w:val="0016168B"/>
    <w:pPr>
      <w:spacing w:after="100"/>
      <w:ind w:left="200"/>
    </w:pPr>
  </w:style>
  <w:style w:type="paragraph" w:styleId="Telobesedila">
    <w:name w:val="Body Text"/>
    <w:aliases w:val="SHEME,sheme,Telo besedila_SHEMA,Telo besedila_SHEME,Telo besedila_shema,Body"/>
    <w:basedOn w:val="Navaden"/>
    <w:link w:val="TelobesedilaZnak"/>
    <w:rsid w:val="001B2875"/>
    <w:pPr>
      <w:spacing w:after="120"/>
    </w:pPr>
    <w:rPr>
      <w:rFonts w:ascii="Times New Roman" w:eastAsia="Times New Roman" w:hAnsi="Times New Roman" w:cs="Times New Roman"/>
      <w:sz w:val="24"/>
      <w:szCs w:val="24"/>
      <w:lang w:val="sl-SI"/>
    </w:rPr>
  </w:style>
  <w:style w:type="character" w:customStyle="1" w:styleId="TelobesedilaZnak">
    <w:name w:val="Telo besedila Znak"/>
    <w:aliases w:val="SHEME Znak,sheme Znak,Telo besedila_SHEMA Znak,Telo besedila_SHEME Znak,Telo besedila_shema Znak,Body Znak"/>
    <w:basedOn w:val="Privzetapisavaodstavka"/>
    <w:link w:val="Telobesedila"/>
    <w:rsid w:val="001B2875"/>
    <w:rPr>
      <w:rFonts w:ascii="Times New Roman" w:eastAsia="Times New Roman" w:hAnsi="Times New Roman" w:cs="Times New Roman"/>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ov.si/teme/kohezijski-regiji-v-sloveniji/" TargetMode="External"/><Relationship Id="rId18" Type="http://schemas.openxmlformats.org/officeDocument/2006/relationships/hyperlink" Target="http://www.uradni-list.si/1/objava.jsp?sop=2023-01-1018" TargetMode="External"/><Relationship Id="rId26" Type="http://schemas.openxmlformats.org/officeDocument/2006/relationships/hyperlink" Target="https://www.gov.si/drzavni-organi/ministrstva/ministrstvo-za-gospodarstvo-delo-in-sport/javne-objave/" TargetMode="External"/><Relationship Id="rId39" Type="http://schemas.openxmlformats.org/officeDocument/2006/relationships/image" Target="media/image1.png"/><Relationship Id="rId21" Type="http://schemas.openxmlformats.org/officeDocument/2006/relationships/hyperlink" Target="http://erar.si/omejitve" TargetMode="External"/><Relationship Id="rId34" Type="http://schemas.openxmlformats.org/officeDocument/2006/relationships/hyperlink" Target="https://www.uradni-list.si/glasilo-uradni-list-rs/vsebina/2023-01-0530" TargetMode="External"/><Relationship Id="rId42" Type="http://schemas.openxmlformats.org/officeDocument/2006/relationships/hyperlink" Target="https://evropskasredstva.si/evropska-kohezijska-politika/navodila-in-smernice/" TargetMode="External"/><Relationship Id="rId47" Type="http://schemas.openxmlformats.org/officeDocument/2006/relationships/hyperlink" Target="https://www.uradni-list.si/glasilo-uradni-list-rs/vsebina/2026-01-0348" TargetMode="External"/><Relationship Id="rId50" Type="http://schemas.openxmlformats.org/officeDocument/2006/relationships/hyperlink" Target="mailto:gp.mgds@gov.si" TargetMode="External"/><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radni-list.si/1/objava.jsp?sop=2021-01-3903" TargetMode="External"/><Relationship Id="rId29" Type="http://schemas.openxmlformats.org/officeDocument/2006/relationships/hyperlink" Target="https://www.uradni-list.si/glasilo-uradni-list-rs/vsebina/2018-01-0588" TargetMode="External"/><Relationship Id="rId11" Type="http://schemas.openxmlformats.org/officeDocument/2006/relationships/hyperlink" Target="https://www.gov.si/assets/ministrstva/MGTS/Dokumenti/DTUR/Strategija-trajnostne-rasti-slovenskega-turizma-2017-2021/Strategija-trajnostne-rasti-slovenskega-turizma-2017-2021.pdf" TargetMode="External"/><Relationship Id="rId24" Type="http://schemas.openxmlformats.org/officeDocument/2006/relationships/hyperlink" Target="https://www.slovenia.info/uploads/RR2025/STO_Prirocnik_destinacijske_organizacije.pdf" TargetMode="External"/><Relationship Id="rId32" Type="http://schemas.openxmlformats.org/officeDocument/2006/relationships/hyperlink" Target="https://www.uradni-list.si/glasilo-uradni-list-rs/vsebina/2022-01-1705" TargetMode="External"/><Relationship Id="rId37" Type="http://schemas.openxmlformats.org/officeDocument/2006/relationships/hyperlink" Target="https://evropskasredstva.si/evropska-kohezijska-politika/navodila-in-smernice/%20" TargetMode="External"/><Relationship Id="rId40" Type="http://schemas.openxmlformats.org/officeDocument/2006/relationships/hyperlink" Target="https://evropskasredstva.si/evropska-kohezijska-politika/kljucni-dokumenti/programski-dokumenti-za-obdobje-2021-2027/" TargetMode="External"/><Relationship Id="rId45" Type="http://schemas.openxmlformats.org/officeDocument/2006/relationships/hyperlink" Target="https://www.gov.si/drzavni-organi/ministrstva/ministrstvo-za-gospodarstvo-delo-in-sport/o-ministrstvu/obvestilo-ministrstva-za-gospodarstvo-turizem-in-sport-o-varstvu-osebnih-podatkov/" TargetMode="External"/><Relationship Id="rId53" Type="http://schemas.openxmlformats.org/officeDocument/2006/relationships/hyperlink" Target="https://www.slovenia.info/uploads/RR2025/STO_Prirocnik_destinacijske_organizacije.pdf" TargetMode="External"/><Relationship Id="rId58"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www.uradni-list.si/1/objava.jsp?sop=2023-01-1703" TargetMode="External"/><Relationship Id="rId14" Type="http://schemas.openxmlformats.org/officeDocument/2006/relationships/hyperlink" Target="http://www.uradni-list.si/1/objava.jsp?sop=2021-01-3463" TargetMode="External"/><Relationship Id="rId22" Type="http://schemas.openxmlformats.org/officeDocument/2006/relationships/hyperlink" Target="https://ec.europa.eu/competition-policy/state-aid/procedures/recovery-unlawful-aid_en" TargetMode="External"/><Relationship Id="rId27" Type="http://schemas.openxmlformats.org/officeDocument/2006/relationships/hyperlink" Target="http://eu-skladi.si/sl/ekp/navodila." TargetMode="External"/><Relationship Id="rId30" Type="http://schemas.openxmlformats.org/officeDocument/2006/relationships/hyperlink" Target="https://www.uradni-list.si/glasilo-uradni-list-rs/vsebina/2021-01-2575" TargetMode="External"/><Relationship Id="rId35" Type="http://schemas.openxmlformats.org/officeDocument/2006/relationships/hyperlink" Target="https://www.uradni-list.si/glasilo-uradni-list-rs/vsebina/2023-01-2599" TargetMode="External"/><Relationship Id="rId43" Type="http://schemas.openxmlformats.org/officeDocument/2006/relationships/hyperlink" Target="https://www.uradni-list.si/glasilo-uradni-list-rs/vsebina/2025-01-2264" TargetMode="External"/><Relationship Id="rId48" Type="http://schemas.openxmlformats.org/officeDocument/2006/relationships/hyperlink" Target="https://www.uradni-list.si/glasilo-uradni-list-rs/vsebina/2025-01-1571" TargetMode="External"/><Relationship Id="rId56" Type="http://schemas.openxmlformats.org/officeDocument/2006/relationships/footer" Target="footer1.xml"/><Relationship Id="rId8" Type="http://schemas.openxmlformats.org/officeDocument/2006/relationships/hyperlink" Target="http://www.uradni-list.si/1/objava.jsp?sop=2022-01-0977" TargetMode="External"/><Relationship Id="rId51" Type="http://schemas.openxmlformats.org/officeDocument/2006/relationships/hyperlink" Target="https://www.gov.si/drzavni-organi/ministrstva/ministrstvo-za-gospodarstvo-delo-in-sport/javne-objave/" TargetMode="External"/><Relationship Id="rId3" Type="http://schemas.openxmlformats.org/officeDocument/2006/relationships/styles" Target="styles.xml"/><Relationship Id="rId12" Type="http://schemas.openxmlformats.org/officeDocument/2006/relationships/hyperlink" Target="https://evropskasredstva.si/app/uploads/2024/02/Strategija-S5_verzija_1_1.pdf" TargetMode="External"/><Relationship Id="rId17" Type="http://schemas.openxmlformats.org/officeDocument/2006/relationships/hyperlink" Target="http://www.uradni-list.si/1/objava.jsp?sop=2022-01-3944" TargetMode="External"/><Relationship Id="rId25" Type="http://schemas.openxmlformats.org/officeDocument/2006/relationships/hyperlink" Target="https://www.gov.si/" TargetMode="External"/><Relationship Id="rId33" Type="http://schemas.openxmlformats.org/officeDocument/2006/relationships/hyperlink" Target="https://www.uradni-list.si/glasilo-uradni-list-rs/vsebina/2022-01-2511" TargetMode="External"/><Relationship Id="rId38" Type="http://schemas.openxmlformats.org/officeDocument/2006/relationships/hyperlink" Target="http://www.eu-skladi.si/portal/sl/ekp/izvajanje/e-ma" TargetMode="External"/><Relationship Id="rId46" Type="http://schemas.openxmlformats.org/officeDocument/2006/relationships/hyperlink" Target="https://www.uradni-list.si/glasilo-uradni-list-rs/vsebina/2025-01-1571" TargetMode="External"/><Relationship Id="rId59" Type="http://schemas.openxmlformats.org/officeDocument/2006/relationships/hyperlink" Target="https://www.slovenia.info/sl/poslovne-strani/zelena-shema-slovenskega-turizma" TargetMode="External"/><Relationship Id="rId20" Type="http://schemas.openxmlformats.org/officeDocument/2006/relationships/hyperlink" Target="http://www.uradni-list.si/1/objava.jsp?sop=2023-01-2872" TargetMode="External"/><Relationship Id="rId41" Type="http://schemas.openxmlformats.org/officeDocument/2006/relationships/hyperlink" Target="https://www.gov.si/drzavni-organi/ministrstva/ministrstvo-za-gospodarstvo-delo-in-sport/javne-objave/" TargetMode="External"/><Relationship Id="rId54" Type="http://schemas.openxmlformats.org/officeDocument/2006/relationships/hyperlink" Target="https://www.slovenia.info/uploads/RR2025/STO_Prirocnik_destinacijske_organizacije.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uradni-list.si/1/objava.jsp?sop=2021-21-3524" TargetMode="External"/><Relationship Id="rId23" Type="http://schemas.openxmlformats.org/officeDocument/2006/relationships/hyperlink" Target="http://www.ukom.gov.si/si/promocija_slovenije/znamka_slovenije_i_feel_slovenia" TargetMode="External"/><Relationship Id="rId28" Type="http://schemas.openxmlformats.org/officeDocument/2006/relationships/hyperlink" Target="https://www.uradni-list.si/glasilo-uradni-list-rs/vsebina/2015-01-3570" TargetMode="External"/><Relationship Id="rId36" Type="http://schemas.openxmlformats.org/officeDocument/2006/relationships/hyperlink" Target="https://www.uradni-list.si/glasilo-uradni-list-rs/vsebina/2025-01-2953" TargetMode="External"/><Relationship Id="rId49" Type="http://schemas.openxmlformats.org/officeDocument/2006/relationships/hyperlink" Target="https://www.gov.si/drzavni-organi/ministrstva/ministrstvo-za-gospodarstvo-delo-in-sport/javne-objave/" TargetMode="External"/><Relationship Id="rId57" Type="http://schemas.openxmlformats.org/officeDocument/2006/relationships/header" Target="header2.xml"/><Relationship Id="rId10" Type="http://schemas.openxmlformats.org/officeDocument/2006/relationships/hyperlink" Target="https://www.gov.si/assets/ministrstva/MGDS/Dokumenti/DTUR/Nova-strategija-2022-2028/Strategija-slovenskega-turizma-2022-2028-dokument.pdf" TargetMode="External"/><Relationship Id="rId31" Type="http://schemas.openxmlformats.org/officeDocument/2006/relationships/hyperlink" Target="https://www.uradni-list.si/glasilo-uradni-list-rs/vsebina/2022-01-0107" TargetMode="External"/><Relationship Id="rId44" Type="http://schemas.openxmlformats.org/officeDocument/2006/relationships/hyperlink" Target="https://www.uradni-list.si/glasilo-uradni-list-rs/vsebina/2026-01-0377" TargetMode="External"/><Relationship Id="rId52" Type="http://schemas.openxmlformats.org/officeDocument/2006/relationships/hyperlink" Target="https://www.gov.si/drzavni-organi/ministrstva/ministrstvo-za-gospodarstvo-delo-in-sport/javne-objave/"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uradni-list.si/1/objava.jsp?sop=2022-01-3606"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evropskasredstva.si/app/uploads/2026/03/Navodila_za_komuniciranje_EKP_cistopis_marec_2026.pdf" TargetMode="External"/><Relationship Id="rId2" Type="http://schemas.openxmlformats.org/officeDocument/2006/relationships/hyperlink" Target="https://pxweb.stat.si/SiStatData/pxweb/sl/Data/-/2164527S.px" TargetMode="External"/><Relationship Id="rId1" Type="http://schemas.openxmlformats.org/officeDocument/2006/relationships/hyperlink" Target="https://www.gov.si/assets/ministrstva/MGTS/Dokumenti/DTUR/Nova-strategija-2022-2028/Strategija-slovenskega-turizma-2022-2028-dokument.pdf" TargetMode="External"/><Relationship Id="rId6" Type="http://schemas.openxmlformats.org/officeDocument/2006/relationships/hyperlink" Target="https://www.gov.si/assets/ministrstva/MGTS/Dokumenti/DTUR/Nova-strategija-2022-2028/Strategija-slovenskega-turizma-2022-2028-dokument.pdf" TargetMode="External"/><Relationship Id="rId5" Type="http://schemas.openxmlformats.org/officeDocument/2006/relationships/hyperlink" Target="https://www.gov.si/assets/ministrstva/MGTS/Dokumenti/DTUR/Strategija-trajnostne-rasti-slovenskega-turizma-2017-2021/Strategija-trajnostne-rasti-slovenskega-turizma-2017-2021.pdf" TargetMode="External"/><Relationship Id="rId4" Type="http://schemas.openxmlformats.org/officeDocument/2006/relationships/hyperlink" Target="https://evropskasredstva.si/app/uploads/2023/03/ESP-CGP-2021-2027_300323_koncna.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D7D1B1E-C58F-4087-BC1B-3E1FD9CD8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52</Pages>
  <Words>20510</Words>
  <Characters>116910</Characters>
  <Application>Microsoft Office Word</Application>
  <DocSecurity>0</DocSecurity>
  <Lines>974</Lines>
  <Paragraphs>274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Bojana Mohorčič</dc:creator>
  <cp:lastModifiedBy>Kristina Krstinić</cp:lastModifiedBy>
  <cp:revision>15</cp:revision>
  <dcterms:created xsi:type="dcterms:W3CDTF">2026-08-31T08:37:00Z</dcterms:created>
  <dcterms:modified xsi:type="dcterms:W3CDTF">2026-10-22T10:39:00Z</dcterms:modified>
</cp:coreProperties>
</file>