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6.xml" ContentType="application/vnd.openxmlformats-officedocument.themeOverride+xml"/>
  <Override PartName="/word/drawings/drawing3.xml" ContentType="application/vnd.openxmlformats-officedocument.drawingml.chartshapes+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charts/chart13.xml" ContentType="application/vnd.openxmlformats-officedocument.drawingml.chart+xml"/>
  <Override PartName="/word/theme/themeOverride8.xml" ContentType="application/vnd.openxmlformats-officedocument.themeOverride+xml"/>
  <Override PartName="/word/drawings/drawing4.xml" ContentType="application/vnd.openxmlformats-officedocument.drawingml.chartshapes+xml"/>
  <Override PartName="/word/charts/chart14.xml" ContentType="application/vnd.openxmlformats-officedocument.drawingml.chart+xml"/>
  <Override PartName="/word/charts/chart15.xml" ContentType="application/vnd.openxmlformats-officedocument.drawingml.chart+xml"/>
  <Override PartName="/word/drawings/drawing5.xml" ContentType="application/vnd.openxmlformats-officedocument.drawingml.chartshapes+xml"/>
  <Override PartName="/word/charts/chart16.xml" ContentType="application/vnd.openxmlformats-officedocument.drawingml.chart+xml"/>
  <Override PartName="/word/theme/themeOverride9.xml" ContentType="application/vnd.openxmlformats-officedocument.themeOverride+xml"/>
  <Override PartName="/word/charts/chart17.xml" ContentType="application/vnd.openxmlformats-officedocument.drawingml.chart+xml"/>
  <Override PartName="/word/theme/themeOverride10.xml" ContentType="application/vnd.openxmlformats-officedocument.themeOverride+xml"/>
  <Override PartName="/word/drawings/drawing6.xml" ContentType="application/vnd.openxmlformats-officedocument.drawingml.chartshapes+xml"/>
  <Override PartName="/word/charts/chart18.xml" ContentType="application/vnd.openxmlformats-officedocument.drawingml.chart+xml"/>
  <Override PartName="/word/theme/themeOverride11.xml" ContentType="application/vnd.openxmlformats-officedocument.themeOverride+xml"/>
  <Override PartName="/word/charts/chart19.xml" ContentType="application/vnd.openxmlformats-officedocument.drawingml.chart+xml"/>
  <Override PartName="/word/theme/themeOverride12.xml" ContentType="application/vnd.openxmlformats-officedocument.themeOverride+xml"/>
  <Override PartName="/word/drawings/drawing7.xml" ContentType="application/vnd.openxmlformats-officedocument.drawingml.chartshapes+xml"/>
  <Override PartName="/word/charts/chart20.xml" ContentType="application/vnd.openxmlformats-officedocument.drawingml.chart+xml"/>
  <Override PartName="/word/theme/themeOverride13.xml" ContentType="application/vnd.openxmlformats-officedocument.themeOverride+xml"/>
  <Override PartName="/word/drawings/drawing8.xml" ContentType="application/vnd.openxmlformats-officedocument.drawingml.chartshapes+xml"/>
  <Override PartName="/word/charts/chart21.xml" ContentType="application/vnd.openxmlformats-officedocument.drawingml.chart+xml"/>
  <Override PartName="/word/theme/themeOverride1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868F4D" w14:textId="77777777" w:rsidR="004114DD" w:rsidRDefault="004114DD" w:rsidP="004114DD">
      <w:pPr>
        <w:pStyle w:val="Naslov"/>
      </w:pPr>
      <w:r w:rsidRPr="00BA1BA6">
        <w:rPr>
          <w:noProof/>
          <w:lang w:eastAsia="sl-SI"/>
        </w:rPr>
        <w:drawing>
          <wp:inline distT="0" distB="0" distL="0" distR="0" wp14:anchorId="2E69B740" wp14:editId="28A7CD25">
            <wp:extent cx="2501900" cy="673100"/>
            <wp:effectExtent l="0" t="0" r="0" b="0"/>
            <wp:docPr id="8" name="Slika 8" descr="G:\1-NAVODILA IN OBRAZCI SIT\Podoba MG\logo MGRT\MGRT-S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NAVODILA IN OBRAZCI SIT\Podoba MG\logo MGRT\MGRT-SL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1900" cy="673100"/>
                    </a:xfrm>
                    <a:prstGeom prst="rect">
                      <a:avLst/>
                    </a:prstGeom>
                    <a:noFill/>
                    <a:ln>
                      <a:noFill/>
                    </a:ln>
                  </pic:spPr>
                </pic:pic>
              </a:graphicData>
            </a:graphic>
          </wp:inline>
        </w:drawing>
      </w:r>
    </w:p>
    <w:p w14:paraId="3C3477A1" w14:textId="77777777" w:rsidR="004114DD" w:rsidRDefault="004114DD" w:rsidP="004114DD">
      <w:pPr>
        <w:pStyle w:val="Naslov"/>
      </w:pPr>
    </w:p>
    <w:p w14:paraId="43DE4297" w14:textId="77777777" w:rsidR="004114DD" w:rsidRPr="00BA1BA6" w:rsidRDefault="004114DD" w:rsidP="004114DD"/>
    <w:p w14:paraId="40AD724C" w14:textId="0736F4CB" w:rsidR="004114DD" w:rsidRDefault="000C4F74" w:rsidP="004114DD">
      <w:pPr>
        <w:pStyle w:val="Naslov"/>
      </w:pPr>
      <w:r>
        <w:rPr>
          <w:noProof/>
          <w:lang w:eastAsia="sl-SI"/>
        </w:rPr>
        <mc:AlternateContent>
          <mc:Choice Requires="wps">
            <w:drawing>
              <wp:anchor distT="0" distB="0" distL="114300" distR="114300" simplePos="0" relativeHeight="251664384" behindDoc="0" locked="0" layoutInCell="1" allowOverlap="1" wp14:anchorId="4875D570" wp14:editId="2BEB916E">
                <wp:simplePos x="0" y="0"/>
                <wp:positionH relativeFrom="column">
                  <wp:posOffset>2997200</wp:posOffset>
                </wp:positionH>
                <wp:positionV relativeFrom="paragraph">
                  <wp:posOffset>99060</wp:posOffset>
                </wp:positionV>
                <wp:extent cx="1803400" cy="387350"/>
                <wp:effectExtent l="38100" t="95250" r="101600" b="450850"/>
                <wp:wrapNone/>
                <wp:docPr id="7" name="Pravokotni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0" cy="387350"/>
                        </a:xfrm>
                        <a:prstGeom prst="rect">
                          <a:avLst/>
                        </a:prstGeom>
                        <a:solidFill>
                          <a:srgbClr val="8FB5DF"/>
                        </a:solidFill>
                        <a:ln>
                          <a:solidFill>
                            <a:srgbClr val="8FB5DF"/>
                          </a:solidFill>
                        </a:ln>
                        <a:effectLst>
                          <a:outerShdw blurRad="50800" dist="38100" dir="18900000" algn="bl" rotWithShape="0">
                            <a:prstClr val="black">
                              <a:alpha val="40000"/>
                            </a:prstClr>
                          </a:outerShdw>
                          <a:reflection blurRad="6350" stA="50000" endA="300" endPos="90000" dir="5400000" sy="-100000" algn="bl" rotWithShape="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3B549BC9" id="Pravokotnik 7" o:spid="_x0000_s1026" style="position:absolute;margin-left:236pt;margin-top:7.8pt;width:142pt;height: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" fillcolor="#8fb5df" strokecolor="#8fb5df" strokeweight="2pt">
                <v:shadow on="t" color="black" opacity="26214f" origin="-.5,.5" offset=".74836mm,-.74836mm"/>
                <v:path arrowok="t"/>
              </v:rect>
            </w:pict>
          </mc:Fallback>
        </mc:AlternateContent>
      </w:r>
      <w:r>
        <w:rPr>
          <w:noProof/>
          <w:lang w:eastAsia="sl-SI"/>
        </w:rPr>
        <mc:AlternateContent>
          <mc:Choice Requires="wps">
            <w:drawing>
              <wp:anchor distT="0" distB="0" distL="114300" distR="114300" simplePos="0" relativeHeight="251663360" behindDoc="0" locked="0" layoutInCell="1" allowOverlap="1" wp14:anchorId="6B8A1116" wp14:editId="1A382B97">
                <wp:simplePos x="0" y="0"/>
                <wp:positionH relativeFrom="column">
                  <wp:posOffset>1936750</wp:posOffset>
                </wp:positionH>
                <wp:positionV relativeFrom="paragraph">
                  <wp:posOffset>390525</wp:posOffset>
                </wp:positionV>
                <wp:extent cx="1803400" cy="387350"/>
                <wp:effectExtent l="38100" t="95250" r="101600" b="450850"/>
                <wp:wrapNone/>
                <wp:docPr id="6" name="Pravokotni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0" cy="387350"/>
                        </a:xfrm>
                        <a:prstGeom prst="rect">
                          <a:avLst/>
                        </a:prstGeom>
                        <a:solidFill>
                          <a:srgbClr val="E7B945"/>
                        </a:solidFill>
                        <a:ln>
                          <a:solidFill>
                            <a:srgbClr val="E7B945"/>
                          </a:solidFill>
                        </a:ln>
                        <a:effectLst>
                          <a:outerShdw blurRad="50800" dist="38100" dir="18900000" algn="bl" rotWithShape="0">
                            <a:prstClr val="black">
                              <a:alpha val="40000"/>
                            </a:prstClr>
                          </a:outerShdw>
                          <a:reflection blurRad="6350" stA="50000" endA="300" endPos="90000" dir="5400000" sy="-100000" algn="bl" rotWithShape="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19291301" id="Pravokotnik 6" o:spid="_x0000_s1026" style="position:absolute;margin-left:152.5pt;margin-top:30.75pt;width:142pt;height: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" fillcolor="#e7b945" strokecolor="#e7b945" strokeweight="2pt">
                <v:shadow on="t" color="black" opacity="26214f" origin="-.5,.5" offset=".74836mm,-.74836mm"/>
                <v:path arrowok="t"/>
              </v:rect>
            </w:pict>
          </mc:Fallback>
        </mc:AlternateContent>
      </w:r>
    </w:p>
    <w:p w14:paraId="5906A679" w14:textId="22ABE6AB" w:rsidR="004114DD" w:rsidRDefault="000C4F74" w:rsidP="004114DD">
      <w:pPr>
        <w:jc w:val="center"/>
      </w:pPr>
      <w:r>
        <w:rPr>
          <w:noProof/>
          <w:lang w:eastAsia="sl-SI"/>
        </w:rPr>
        <mc:AlternateContent>
          <mc:Choice Requires="wps">
            <w:drawing>
              <wp:anchor distT="0" distB="0" distL="114300" distR="114300" simplePos="0" relativeHeight="251662336" behindDoc="0" locked="0" layoutInCell="1" allowOverlap="1" wp14:anchorId="2ABE6C4F" wp14:editId="409802B0">
                <wp:simplePos x="0" y="0"/>
                <wp:positionH relativeFrom="column">
                  <wp:posOffset>1157605</wp:posOffset>
                </wp:positionH>
                <wp:positionV relativeFrom="paragraph">
                  <wp:posOffset>233680</wp:posOffset>
                </wp:positionV>
                <wp:extent cx="1803400" cy="387350"/>
                <wp:effectExtent l="38100" t="95250" r="101600" b="450850"/>
                <wp:wrapNone/>
                <wp:docPr id="5"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0" cy="387350"/>
                        </a:xfrm>
                        <a:prstGeom prst="rect">
                          <a:avLst/>
                        </a:prstGeom>
                        <a:solidFill>
                          <a:schemeClr val="accent1">
                            <a:lumMod val="60000"/>
                            <a:lumOff val="40000"/>
                          </a:schemeClr>
                        </a:solidFill>
                        <a:ln>
                          <a:solidFill>
                            <a:schemeClr val="accent1">
                              <a:lumMod val="60000"/>
                              <a:lumOff val="40000"/>
                            </a:schemeClr>
                          </a:solidFill>
                        </a:ln>
                        <a:effectLst>
                          <a:outerShdw blurRad="50800" dist="38100" dir="18900000" algn="bl" rotWithShape="0">
                            <a:prstClr val="black">
                              <a:alpha val="40000"/>
                            </a:prstClr>
                          </a:outerShdw>
                          <a:reflection blurRad="6350" stA="50000" endA="300" endPos="90000" dir="5400000" sy="-100000" algn="bl" rotWithShape="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3CDFEC7D" id="Pravokotnik 5" o:spid="_x0000_s1026" style="position:absolute;margin-left:91.15pt;margin-top:18.4pt;width:142pt;height: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" fillcolor="#93d07c [1940]" strokecolor="#93d07c [1940]" strokeweight="2pt">
                <v:shadow on="t" color="black" opacity="26214f" origin="-.5,.5" offset=".74836mm,-.74836mm"/>
                <v:path arrowok="t"/>
              </v:rect>
            </w:pict>
          </mc:Fallback>
        </mc:AlternateContent>
      </w:r>
    </w:p>
    <w:p w14:paraId="6F2D5A21" w14:textId="77777777" w:rsidR="004114DD" w:rsidRDefault="004114DD" w:rsidP="004114DD"/>
    <w:p w14:paraId="39E78C97" w14:textId="77777777" w:rsidR="004114DD" w:rsidRDefault="004114DD" w:rsidP="004114DD"/>
    <w:p w14:paraId="03094637" w14:textId="77777777" w:rsidR="004114DD" w:rsidRDefault="004114DD" w:rsidP="004114DD"/>
    <w:p w14:paraId="15D758CA" w14:textId="77777777" w:rsidR="004114DD" w:rsidRDefault="004114DD" w:rsidP="004114DD">
      <w:pPr>
        <w:pStyle w:val="Naslov"/>
      </w:pPr>
    </w:p>
    <w:p w14:paraId="017608B1" w14:textId="77777777" w:rsidR="00C32184" w:rsidRPr="00600C9A" w:rsidRDefault="00C32184" w:rsidP="00C32184">
      <w:pPr>
        <w:pStyle w:val="Naslov"/>
        <w:jc w:val="center"/>
        <w:rPr>
          <w:b/>
        </w:rPr>
      </w:pPr>
      <w:r w:rsidRPr="00600C9A">
        <w:rPr>
          <w:b/>
        </w:rPr>
        <w:t>SLOVENSKA IndustrijskA STRATEGIJA 2021-2030</w:t>
      </w:r>
    </w:p>
    <w:p w14:paraId="28382779" w14:textId="7711FC8C" w:rsidR="00BA5AEF" w:rsidRPr="005A5657" w:rsidRDefault="00BA5AEF" w:rsidP="00BA5AEF">
      <w:pPr>
        <w:spacing w:before="0" w:after="0"/>
        <w:jc w:val="center"/>
        <w:rPr>
          <w:color w:val="549E39" w:themeColor="accent1"/>
          <w:sz w:val="32"/>
          <w:u w:val="single"/>
        </w:rPr>
      </w:pPr>
      <w:r w:rsidRPr="005A5657">
        <w:rPr>
          <w:color w:val="549E39" w:themeColor="accent1"/>
          <w:sz w:val="32"/>
          <w:u w:val="single"/>
        </w:rPr>
        <w:t>Osnutek</w:t>
      </w:r>
      <w:r w:rsidR="00F35912" w:rsidRPr="005A5657">
        <w:rPr>
          <w:color w:val="549E39" w:themeColor="accent1"/>
          <w:sz w:val="32"/>
          <w:u w:val="single"/>
        </w:rPr>
        <w:t>:</w:t>
      </w:r>
      <w:r w:rsidRPr="005A5657">
        <w:rPr>
          <w:color w:val="549E39" w:themeColor="accent1"/>
          <w:sz w:val="32"/>
          <w:u w:val="single"/>
        </w:rPr>
        <w:t xml:space="preserve"> </w:t>
      </w:r>
      <w:r w:rsidR="00BC0C95" w:rsidRPr="005A5657">
        <w:rPr>
          <w:color w:val="549E39" w:themeColor="accent1"/>
          <w:sz w:val="32"/>
          <w:u w:val="single"/>
        </w:rPr>
        <w:t>1</w:t>
      </w:r>
      <w:r w:rsidR="00FB2DB8" w:rsidRPr="005A5657">
        <w:rPr>
          <w:color w:val="549E39" w:themeColor="accent1"/>
          <w:sz w:val="32"/>
          <w:u w:val="single"/>
        </w:rPr>
        <w:t>6</w:t>
      </w:r>
      <w:r w:rsidR="002646AF" w:rsidRPr="005A5657">
        <w:rPr>
          <w:color w:val="549E39" w:themeColor="accent1"/>
          <w:sz w:val="32"/>
          <w:u w:val="single"/>
        </w:rPr>
        <w:t>. september</w:t>
      </w:r>
      <w:r w:rsidRPr="005A5657">
        <w:rPr>
          <w:color w:val="549E39" w:themeColor="accent1"/>
          <w:sz w:val="32"/>
          <w:u w:val="single"/>
        </w:rPr>
        <w:t xml:space="preserve"> 2020</w:t>
      </w:r>
      <w:r w:rsidR="00611D86" w:rsidRPr="005A5657">
        <w:rPr>
          <w:color w:val="549E39" w:themeColor="accent1"/>
          <w:sz w:val="32"/>
          <w:u w:val="single"/>
        </w:rPr>
        <w:t xml:space="preserve"> </w:t>
      </w:r>
    </w:p>
    <w:p w14:paraId="0B98C885" w14:textId="77777777" w:rsidR="00460360" w:rsidRDefault="00460360" w:rsidP="00DE50FA">
      <w:pPr>
        <w:spacing w:before="0" w:after="0"/>
        <w:jc w:val="center"/>
        <w:rPr>
          <w:noProof/>
          <w:lang w:eastAsia="sl-SI"/>
        </w:rPr>
      </w:pPr>
    </w:p>
    <w:p w14:paraId="5571088B" w14:textId="77777777" w:rsidR="00460360" w:rsidRDefault="00460360" w:rsidP="00DE50FA">
      <w:pPr>
        <w:spacing w:before="0" w:after="0"/>
        <w:jc w:val="center"/>
        <w:rPr>
          <w:noProof/>
          <w:lang w:eastAsia="sl-SI"/>
        </w:rPr>
      </w:pPr>
    </w:p>
    <w:p w14:paraId="1814EDB0" w14:textId="77777777" w:rsidR="00460360" w:rsidRDefault="00460360" w:rsidP="00DE50FA">
      <w:pPr>
        <w:spacing w:before="0" w:after="0"/>
        <w:jc w:val="center"/>
        <w:rPr>
          <w:noProof/>
          <w:lang w:eastAsia="sl-SI"/>
        </w:rPr>
      </w:pPr>
    </w:p>
    <w:bookmarkStart w:id="0" w:name="_GoBack"/>
    <w:bookmarkEnd w:id="0"/>
    <w:p w14:paraId="321F2AE4" w14:textId="774473A1" w:rsidR="004114DD" w:rsidRDefault="000C4F74" w:rsidP="00DE50FA">
      <w:pPr>
        <w:spacing w:before="0" w:after="0"/>
        <w:jc w:val="center"/>
        <w:rPr>
          <w:noProof/>
          <w:lang w:eastAsia="sl-SI"/>
        </w:rPr>
      </w:pPr>
      <w:r>
        <w:rPr>
          <w:noProof/>
          <w:lang w:eastAsia="sl-SI"/>
        </w:rPr>
        <mc:AlternateContent>
          <mc:Choice Requires="wps">
            <w:drawing>
              <wp:anchor distT="0" distB="0" distL="114300" distR="114300" simplePos="0" relativeHeight="251659264" behindDoc="0" locked="0" layoutInCell="1" allowOverlap="1" wp14:anchorId="664DDB27" wp14:editId="32A49493">
                <wp:simplePos x="0" y="0"/>
                <wp:positionH relativeFrom="column">
                  <wp:posOffset>1157605</wp:posOffset>
                </wp:positionH>
                <wp:positionV relativeFrom="paragraph">
                  <wp:posOffset>233680</wp:posOffset>
                </wp:positionV>
                <wp:extent cx="1803400" cy="387350"/>
                <wp:effectExtent l="38100" t="95250" r="101600" b="450850"/>
                <wp:wrapNone/>
                <wp:docPr id="1" name="Pravokotni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0" cy="387350"/>
                        </a:xfrm>
                        <a:prstGeom prst="rect">
                          <a:avLst/>
                        </a:prstGeom>
                        <a:solidFill>
                          <a:schemeClr val="accent1">
                            <a:lumMod val="60000"/>
                            <a:lumOff val="40000"/>
                          </a:schemeClr>
                        </a:solidFill>
                        <a:ln>
                          <a:solidFill>
                            <a:schemeClr val="accent1">
                              <a:lumMod val="60000"/>
                              <a:lumOff val="40000"/>
                            </a:schemeClr>
                          </a:solidFill>
                        </a:ln>
                        <a:effectLst>
                          <a:outerShdw blurRad="50800" dist="38100" dir="18900000" algn="bl" rotWithShape="0">
                            <a:prstClr val="black">
                              <a:alpha val="40000"/>
                            </a:prstClr>
                          </a:outerShdw>
                          <a:reflection blurRad="6350" stA="50000" endA="300" endPos="90000" dir="5400000" sy="-100000" algn="bl" rotWithShape="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033A0ABC" id="Pravokotnik 1" o:spid="_x0000_s1026" style="position:absolute;margin-left:91.15pt;margin-top:18.4pt;width:142pt;height: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" fillcolor="#93d07c [1940]" strokecolor="#93d07c [1940]" strokeweight="2pt">
                <v:shadow on="t" color="black" opacity="26214f" origin="-.5,.5" offset=".74836mm,-.74836mm"/>
                <v:path arrowok="t"/>
              </v:rect>
            </w:pict>
          </mc:Fallback>
        </mc:AlternateContent>
      </w:r>
    </w:p>
    <w:p w14:paraId="70BD3EA6" w14:textId="126E32E6" w:rsidR="004114DD" w:rsidRDefault="000C4F74" w:rsidP="004114DD">
      <w:r>
        <w:rPr>
          <w:noProof/>
          <w:lang w:eastAsia="sl-SI"/>
        </w:rPr>
        <mc:AlternateContent>
          <mc:Choice Requires="wps">
            <w:drawing>
              <wp:anchor distT="0" distB="0" distL="114300" distR="114300" simplePos="0" relativeHeight="251660288" behindDoc="0" locked="0" layoutInCell="1" allowOverlap="1" wp14:anchorId="53DD59CF" wp14:editId="48FC4EF7">
                <wp:simplePos x="0" y="0"/>
                <wp:positionH relativeFrom="column">
                  <wp:posOffset>1987550</wp:posOffset>
                </wp:positionH>
                <wp:positionV relativeFrom="paragraph">
                  <wp:posOffset>275590</wp:posOffset>
                </wp:positionV>
                <wp:extent cx="1803400" cy="387350"/>
                <wp:effectExtent l="38100" t="95250" r="101600" b="450850"/>
                <wp:wrapNone/>
                <wp:docPr id="2"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0" cy="387350"/>
                        </a:xfrm>
                        <a:prstGeom prst="rect">
                          <a:avLst/>
                        </a:prstGeom>
                        <a:solidFill>
                          <a:srgbClr val="E7B945"/>
                        </a:solidFill>
                        <a:ln>
                          <a:solidFill>
                            <a:srgbClr val="E7B945"/>
                          </a:solidFill>
                        </a:ln>
                        <a:effectLst>
                          <a:outerShdw blurRad="50800" dist="38100" dir="18900000" algn="bl" rotWithShape="0">
                            <a:prstClr val="black">
                              <a:alpha val="40000"/>
                            </a:prstClr>
                          </a:outerShdw>
                          <a:reflection blurRad="6350" stA="50000" endA="300" endPos="90000" dir="5400000" sy="-100000" algn="bl" rotWithShape="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46D1F15D" id="Pravokotnik 2" o:spid="_x0000_s1026" style="position:absolute;margin-left:156.5pt;margin-top:21.7pt;width:142pt;height: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" fillcolor="#e7b945" strokecolor="#e7b945" strokeweight="2pt">
                <v:shadow on="t" color="black" opacity="26214f" origin="-.5,.5" offset=".74836mm,-.74836mm"/>
                <v:path arrowok="t"/>
              </v:rect>
            </w:pict>
          </mc:Fallback>
        </mc:AlternateContent>
      </w:r>
    </w:p>
    <w:p w14:paraId="27194DA2" w14:textId="77777777" w:rsidR="004114DD" w:rsidRDefault="004114DD" w:rsidP="004114DD"/>
    <w:p w14:paraId="10C405EA" w14:textId="5C31A9B3" w:rsidR="004114DD" w:rsidRDefault="000C4F74" w:rsidP="004114DD">
      <w:r>
        <w:rPr>
          <w:noProof/>
          <w:lang w:eastAsia="sl-SI"/>
        </w:rPr>
        <mc:AlternateContent>
          <mc:Choice Requires="wps">
            <w:drawing>
              <wp:anchor distT="0" distB="0" distL="114300" distR="114300" simplePos="0" relativeHeight="251661312" behindDoc="0" locked="0" layoutInCell="1" allowOverlap="1" wp14:anchorId="6DCB3097" wp14:editId="5505D7B9">
                <wp:simplePos x="0" y="0"/>
                <wp:positionH relativeFrom="column">
                  <wp:posOffset>2959100</wp:posOffset>
                </wp:positionH>
                <wp:positionV relativeFrom="paragraph">
                  <wp:posOffset>38735</wp:posOffset>
                </wp:positionV>
                <wp:extent cx="1803400" cy="387350"/>
                <wp:effectExtent l="38100" t="95250" r="101600" b="450850"/>
                <wp:wrapNone/>
                <wp:docPr id="4"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0" cy="387350"/>
                        </a:xfrm>
                        <a:prstGeom prst="rect">
                          <a:avLst/>
                        </a:prstGeom>
                        <a:solidFill>
                          <a:srgbClr val="8FB5DF"/>
                        </a:solidFill>
                        <a:ln>
                          <a:solidFill>
                            <a:srgbClr val="8FB5DF"/>
                          </a:solidFill>
                        </a:ln>
                        <a:effectLst>
                          <a:outerShdw blurRad="50800" dist="38100" dir="18900000" algn="bl" rotWithShape="0">
                            <a:prstClr val="black">
                              <a:alpha val="40000"/>
                            </a:prstClr>
                          </a:outerShdw>
                          <a:reflection blurRad="6350" stA="50000" endA="300" endPos="90000" dir="5400000" sy="-100000" algn="bl" rotWithShape="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717568F1" id="Pravokotnik 4" o:spid="_x0000_s1026" style="position:absolute;margin-left:233pt;margin-top:3.05pt;width:142pt;height: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" fillcolor="#8fb5df" strokecolor="#8fb5df" strokeweight="2pt">
                <v:shadow on="t" color="black" opacity="26214f" origin="-.5,.5" offset=".74836mm,-.74836mm"/>
                <v:path arrowok="t"/>
              </v:rect>
            </w:pict>
          </mc:Fallback>
        </mc:AlternateContent>
      </w:r>
    </w:p>
    <w:p w14:paraId="4B238F1D" w14:textId="77777777" w:rsidR="004114DD" w:rsidRDefault="004114DD" w:rsidP="004114DD"/>
    <w:p w14:paraId="2E3632B6" w14:textId="77777777" w:rsidR="00BA5AEF" w:rsidRDefault="00E30BB1" w:rsidP="00BA5AEF">
      <w:pPr>
        <w:spacing w:before="0" w:after="0"/>
        <w:jc w:val="center"/>
        <w:rPr>
          <w:color w:val="549E39" w:themeColor="accent1"/>
        </w:rPr>
      </w:pPr>
      <w:r>
        <w:br w:type="page"/>
      </w:r>
    </w:p>
    <w:p w14:paraId="70444E86" w14:textId="77777777" w:rsidR="00E30BB1" w:rsidRDefault="00E30BB1"/>
    <w:sdt>
      <w:sdtPr>
        <w:rPr>
          <w:caps w:val="0"/>
          <w:color w:val="auto"/>
          <w:spacing w:val="0"/>
          <w:sz w:val="20"/>
          <w:szCs w:val="20"/>
        </w:rPr>
        <w:id w:val="-1622909333"/>
        <w:docPartObj>
          <w:docPartGallery w:val="Table of Contents"/>
          <w:docPartUnique/>
        </w:docPartObj>
      </w:sdtPr>
      <w:sdtEndPr>
        <w:rPr>
          <w:b/>
          <w:bCs/>
        </w:rPr>
      </w:sdtEndPr>
      <w:sdtContent>
        <w:p w14:paraId="078565CA" w14:textId="77777777" w:rsidR="003810A7" w:rsidRPr="009B538E" w:rsidRDefault="003810A7">
          <w:pPr>
            <w:pStyle w:val="NaslovTOC"/>
            <w:rPr>
              <w:sz w:val="20"/>
            </w:rPr>
          </w:pPr>
          <w:r w:rsidRPr="009B538E">
            <w:rPr>
              <w:sz w:val="20"/>
            </w:rPr>
            <w:t>KAZALO</w:t>
          </w:r>
        </w:p>
        <w:p w14:paraId="3DC5E569" w14:textId="6884B8B4" w:rsidR="007377B8" w:rsidRDefault="0063267A">
          <w:pPr>
            <w:pStyle w:val="Kazalovsebine1"/>
            <w:tabs>
              <w:tab w:val="right" w:leader="dot" w:pos="9062"/>
            </w:tabs>
            <w:rPr>
              <w:rFonts w:cstheme="minorBidi"/>
              <w:noProof/>
              <w:sz w:val="22"/>
            </w:rPr>
          </w:pPr>
          <w:r>
            <w:fldChar w:fldCharType="begin"/>
          </w:r>
          <w:r w:rsidR="003810A7">
            <w:instrText xml:space="preserve"> TOC \o "1-3" \h \z \u </w:instrText>
          </w:r>
          <w:r>
            <w:fldChar w:fldCharType="separate"/>
          </w:r>
          <w:hyperlink w:anchor="_Toc51140492" w:history="1">
            <w:r w:rsidR="007377B8" w:rsidRPr="00AA05CC">
              <w:rPr>
                <w:rStyle w:val="Hiperpovezava"/>
                <w:noProof/>
              </w:rPr>
              <w:t>UVOD</w:t>
            </w:r>
            <w:r w:rsidR="007377B8">
              <w:rPr>
                <w:noProof/>
                <w:webHidden/>
              </w:rPr>
              <w:tab/>
            </w:r>
            <w:r w:rsidR="007377B8">
              <w:rPr>
                <w:noProof/>
                <w:webHidden/>
              </w:rPr>
              <w:fldChar w:fldCharType="begin"/>
            </w:r>
            <w:r w:rsidR="007377B8">
              <w:rPr>
                <w:noProof/>
                <w:webHidden/>
              </w:rPr>
              <w:instrText xml:space="preserve"> PAGEREF _Toc51140492 \h </w:instrText>
            </w:r>
            <w:r w:rsidR="007377B8">
              <w:rPr>
                <w:noProof/>
                <w:webHidden/>
              </w:rPr>
            </w:r>
            <w:r w:rsidR="007377B8">
              <w:rPr>
                <w:noProof/>
                <w:webHidden/>
              </w:rPr>
              <w:fldChar w:fldCharType="separate"/>
            </w:r>
            <w:r w:rsidR="007377B8">
              <w:rPr>
                <w:noProof/>
                <w:webHidden/>
              </w:rPr>
              <w:t>3</w:t>
            </w:r>
            <w:r w:rsidR="007377B8">
              <w:rPr>
                <w:noProof/>
                <w:webHidden/>
              </w:rPr>
              <w:fldChar w:fldCharType="end"/>
            </w:r>
          </w:hyperlink>
        </w:p>
        <w:p w14:paraId="6BFEC077" w14:textId="435A295D" w:rsidR="007377B8" w:rsidRDefault="00ED7524">
          <w:pPr>
            <w:pStyle w:val="Kazalovsebine1"/>
            <w:tabs>
              <w:tab w:val="left" w:pos="440"/>
              <w:tab w:val="right" w:leader="dot" w:pos="9062"/>
            </w:tabs>
            <w:rPr>
              <w:rFonts w:cstheme="minorBidi"/>
              <w:noProof/>
              <w:sz w:val="22"/>
            </w:rPr>
          </w:pPr>
          <w:hyperlink w:anchor="_Toc51140493" w:history="1">
            <w:r w:rsidR="007377B8" w:rsidRPr="00AA05CC">
              <w:rPr>
                <w:rStyle w:val="Hiperpovezava"/>
                <w:noProof/>
              </w:rPr>
              <w:t>1.</w:t>
            </w:r>
            <w:r w:rsidR="007377B8">
              <w:rPr>
                <w:rFonts w:cstheme="minorBidi"/>
                <w:noProof/>
                <w:sz w:val="22"/>
              </w:rPr>
              <w:tab/>
            </w:r>
            <w:r w:rsidR="007377B8" w:rsidRPr="00AA05CC">
              <w:rPr>
                <w:rStyle w:val="Hiperpovezava"/>
                <w:noProof/>
              </w:rPr>
              <w:t>NAMEN, VIZIJA, KAZALNIKI IN OKVIR UKREPANJA</w:t>
            </w:r>
            <w:r w:rsidR="007377B8">
              <w:rPr>
                <w:noProof/>
                <w:webHidden/>
              </w:rPr>
              <w:tab/>
            </w:r>
            <w:r w:rsidR="007377B8">
              <w:rPr>
                <w:noProof/>
                <w:webHidden/>
              </w:rPr>
              <w:fldChar w:fldCharType="begin"/>
            </w:r>
            <w:r w:rsidR="007377B8">
              <w:rPr>
                <w:noProof/>
                <w:webHidden/>
              </w:rPr>
              <w:instrText xml:space="preserve"> PAGEREF _Toc51140493 \h </w:instrText>
            </w:r>
            <w:r w:rsidR="007377B8">
              <w:rPr>
                <w:noProof/>
                <w:webHidden/>
              </w:rPr>
            </w:r>
            <w:r w:rsidR="007377B8">
              <w:rPr>
                <w:noProof/>
                <w:webHidden/>
              </w:rPr>
              <w:fldChar w:fldCharType="separate"/>
            </w:r>
            <w:r w:rsidR="007377B8">
              <w:rPr>
                <w:noProof/>
                <w:webHidden/>
              </w:rPr>
              <w:t>5</w:t>
            </w:r>
            <w:r w:rsidR="007377B8">
              <w:rPr>
                <w:noProof/>
                <w:webHidden/>
              </w:rPr>
              <w:fldChar w:fldCharType="end"/>
            </w:r>
          </w:hyperlink>
        </w:p>
        <w:p w14:paraId="272A79F0" w14:textId="0628ACF2" w:rsidR="007377B8" w:rsidRDefault="00ED7524">
          <w:pPr>
            <w:pStyle w:val="Kazalovsebine2"/>
            <w:tabs>
              <w:tab w:val="left" w:pos="880"/>
              <w:tab w:val="right" w:leader="dot" w:pos="9062"/>
            </w:tabs>
            <w:rPr>
              <w:rFonts w:cstheme="minorBidi"/>
              <w:noProof/>
              <w:sz w:val="22"/>
            </w:rPr>
          </w:pPr>
          <w:hyperlink w:anchor="_Toc51140494" w:history="1">
            <w:r w:rsidR="007377B8" w:rsidRPr="00AA05CC">
              <w:rPr>
                <w:rStyle w:val="Hiperpovezava"/>
                <w:noProof/>
              </w:rPr>
              <w:t>1.1.</w:t>
            </w:r>
            <w:r w:rsidR="007377B8">
              <w:rPr>
                <w:rFonts w:cstheme="minorBidi"/>
                <w:noProof/>
                <w:sz w:val="22"/>
              </w:rPr>
              <w:tab/>
            </w:r>
            <w:r w:rsidR="007377B8" w:rsidRPr="00AA05CC">
              <w:rPr>
                <w:rStyle w:val="Hiperpovezava"/>
                <w:noProof/>
              </w:rPr>
              <w:t>Namen</w:t>
            </w:r>
            <w:r w:rsidR="007377B8">
              <w:rPr>
                <w:noProof/>
                <w:webHidden/>
              </w:rPr>
              <w:tab/>
            </w:r>
            <w:r w:rsidR="007377B8">
              <w:rPr>
                <w:noProof/>
                <w:webHidden/>
              </w:rPr>
              <w:fldChar w:fldCharType="begin"/>
            </w:r>
            <w:r w:rsidR="007377B8">
              <w:rPr>
                <w:noProof/>
                <w:webHidden/>
              </w:rPr>
              <w:instrText xml:space="preserve"> PAGEREF _Toc51140494 \h </w:instrText>
            </w:r>
            <w:r w:rsidR="007377B8">
              <w:rPr>
                <w:noProof/>
                <w:webHidden/>
              </w:rPr>
            </w:r>
            <w:r w:rsidR="007377B8">
              <w:rPr>
                <w:noProof/>
                <w:webHidden/>
              </w:rPr>
              <w:fldChar w:fldCharType="separate"/>
            </w:r>
            <w:r w:rsidR="007377B8">
              <w:rPr>
                <w:noProof/>
                <w:webHidden/>
              </w:rPr>
              <w:t>6</w:t>
            </w:r>
            <w:r w:rsidR="007377B8">
              <w:rPr>
                <w:noProof/>
                <w:webHidden/>
              </w:rPr>
              <w:fldChar w:fldCharType="end"/>
            </w:r>
          </w:hyperlink>
        </w:p>
        <w:p w14:paraId="2394A476" w14:textId="4467AEAD" w:rsidR="007377B8" w:rsidRDefault="00ED7524">
          <w:pPr>
            <w:pStyle w:val="Kazalovsebine2"/>
            <w:tabs>
              <w:tab w:val="left" w:pos="880"/>
              <w:tab w:val="right" w:leader="dot" w:pos="9062"/>
            </w:tabs>
            <w:rPr>
              <w:rFonts w:cstheme="minorBidi"/>
              <w:noProof/>
              <w:sz w:val="22"/>
            </w:rPr>
          </w:pPr>
          <w:hyperlink w:anchor="_Toc51140495" w:history="1">
            <w:r w:rsidR="007377B8" w:rsidRPr="00AA05CC">
              <w:rPr>
                <w:rStyle w:val="Hiperpovezava"/>
                <w:noProof/>
              </w:rPr>
              <w:t>1.2.</w:t>
            </w:r>
            <w:r w:rsidR="007377B8">
              <w:rPr>
                <w:rFonts w:cstheme="minorBidi"/>
                <w:noProof/>
                <w:sz w:val="22"/>
              </w:rPr>
              <w:tab/>
            </w:r>
            <w:r w:rsidR="007377B8" w:rsidRPr="00AA05CC">
              <w:rPr>
                <w:rStyle w:val="Hiperpovezava"/>
                <w:noProof/>
              </w:rPr>
              <w:t>Vizija in poslanstvo</w:t>
            </w:r>
            <w:r w:rsidR="007377B8">
              <w:rPr>
                <w:noProof/>
                <w:webHidden/>
              </w:rPr>
              <w:tab/>
            </w:r>
            <w:r w:rsidR="007377B8">
              <w:rPr>
                <w:noProof/>
                <w:webHidden/>
              </w:rPr>
              <w:fldChar w:fldCharType="begin"/>
            </w:r>
            <w:r w:rsidR="007377B8">
              <w:rPr>
                <w:noProof/>
                <w:webHidden/>
              </w:rPr>
              <w:instrText xml:space="preserve"> PAGEREF _Toc51140495 \h </w:instrText>
            </w:r>
            <w:r w:rsidR="007377B8">
              <w:rPr>
                <w:noProof/>
                <w:webHidden/>
              </w:rPr>
            </w:r>
            <w:r w:rsidR="007377B8">
              <w:rPr>
                <w:noProof/>
                <w:webHidden/>
              </w:rPr>
              <w:fldChar w:fldCharType="separate"/>
            </w:r>
            <w:r w:rsidR="007377B8">
              <w:rPr>
                <w:noProof/>
                <w:webHidden/>
              </w:rPr>
              <w:t>7</w:t>
            </w:r>
            <w:r w:rsidR="007377B8">
              <w:rPr>
                <w:noProof/>
                <w:webHidden/>
              </w:rPr>
              <w:fldChar w:fldCharType="end"/>
            </w:r>
          </w:hyperlink>
        </w:p>
        <w:p w14:paraId="18760628" w14:textId="7B0C6F62" w:rsidR="007377B8" w:rsidRDefault="00ED7524">
          <w:pPr>
            <w:pStyle w:val="Kazalovsebine2"/>
            <w:tabs>
              <w:tab w:val="left" w:pos="880"/>
              <w:tab w:val="right" w:leader="dot" w:pos="9062"/>
            </w:tabs>
            <w:rPr>
              <w:rFonts w:cstheme="minorBidi"/>
              <w:noProof/>
              <w:sz w:val="22"/>
            </w:rPr>
          </w:pPr>
          <w:hyperlink w:anchor="_Toc51140496" w:history="1">
            <w:r w:rsidR="007377B8" w:rsidRPr="00AA05CC">
              <w:rPr>
                <w:rStyle w:val="Hiperpovezava"/>
                <w:noProof/>
              </w:rPr>
              <w:t>1.3.</w:t>
            </w:r>
            <w:r w:rsidR="007377B8">
              <w:rPr>
                <w:rFonts w:cstheme="minorBidi"/>
                <w:noProof/>
                <w:sz w:val="22"/>
              </w:rPr>
              <w:tab/>
            </w:r>
            <w:r w:rsidR="007377B8" w:rsidRPr="00AA05CC">
              <w:rPr>
                <w:rStyle w:val="Hiperpovezava"/>
                <w:noProof/>
              </w:rPr>
              <w:t>Cilji in kazalniki</w:t>
            </w:r>
            <w:r w:rsidR="007377B8">
              <w:rPr>
                <w:noProof/>
                <w:webHidden/>
              </w:rPr>
              <w:tab/>
            </w:r>
            <w:r w:rsidR="007377B8">
              <w:rPr>
                <w:noProof/>
                <w:webHidden/>
              </w:rPr>
              <w:fldChar w:fldCharType="begin"/>
            </w:r>
            <w:r w:rsidR="007377B8">
              <w:rPr>
                <w:noProof/>
                <w:webHidden/>
              </w:rPr>
              <w:instrText xml:space="preserve"> PAGEREF _Toc51140496 \h </w:instrText>
            </w:r>
            <w:r w:rsidR="007377B8">
              <w:rPr>
                <w:noProof/>
                <w:webHidden/>
              </w:rPr>
            </w:r>
            <w:r w:rsidR="007377B8">
              <w:rPr>
                <w:noProof/>
                <w:webHidden/>
              </w:rPr>
              <w:fldChar w:fldCharType="separate"/>
            </w:r>
            <w:r w:rsidR="007377B8">
              <w:rPr>
                <w:noProof/>
                <w:webHidden/>
              </w:rPr>
              <w:t>8</w:t>
            </w:r>
            <w:r w:rsidR="007377B8">
              <w:rPr>
                <w:noProof/>
                <w:webHidden/>
              </w:rPr>
              <w:fldChar w:fldCharType="end"/>
            </w:r>
          </w:hyperlink>
        </w:p>
        <w:p w14:paraId="02D6E45B" w14:textId="3CF428E0" w:rsidR="007377B8" w:rsidRDefault="00ED7524">
          <w:pPr>
            <w:pStyle w:val="Kazalovsebine2"/>
            <w:tabs>
              <w:tab w:val="left" w:pos="880"/>
              <w:tab w:val="right" w:leader="dot" w:pos="9062"/>
            </w:tabs>
            <w:rPr>
              <w:rFonts w:cstheme="minorBidi"/>
              <w:noProof/>
              <w:sz w:val="22"/>
            </w:rPr>
          </w:pPr>
          <w:hyperlink w:anchor="_Toc51140497" w:history="1">
            <w:r w:rsidR="007377B8" w:rsidRPr="00AA05CC">
              <w:rPr>
                <w:rStyle w:val="Hiperpovezava"/>
                <w:noProof/>
              </w:rPr>
              <w:t>1.4.</w:t>
            </w:r>
            <w:r w:rsidR="007377B8">
              <w:rPr>
                <w:rFonts w:cstheme="minorBidi"/>
                <w:noProof/>
                <w:sz w:val="22"/>
              </w:rPr>
              <w:tab/>
            </w:r>
            <w:r w:rsidR="007377B8" w:rsidRPr="00AA05CC">
              <w:rPr>
                <w:rStyle w:val="Hiperpovezava"/>
                <w:noProof/>
              </w:rPr>
              <w:t>Nabor ukrepov in institucionalni okvir</w:t>
            </w:r>
            <w:r w:rsidR="007377B8">
              <w:rPr>
                <w:noProof/>
                <w:webHidden/>
              </w:rPr>
              <w:tab/>
            </w:r>
            <w:r w:rsidR="007377B8">
              <w:rPr>
                <w:noProof/>
                <w:webHidden/>
              </w:rPr>
              <w:fldChar w:fldCharType="begin"/>
            </w:r>
            <w:r w:rsidR="007377B8">
              <w:rPr>
                <w:noProof/>
                <w:webHidden/>
              </w:rPr>
              <w:instrText xml:space="preserve"> PAGEREF _Toc51140497 \h </w:instrText>
            </w:r>
            <w:r w:rsidR="007377B8">
              <w:rPr>
                <w:noProof/>
                <w:webHidden/>
              </w:rPr>
            </w:r>
            <w:r w:rsidR="007377B8">
              <w:rPr>
                <w:noProof/>
                <w:webHidden/>
              </w:rPr>
              <w:fldChar w:fldCharType="separate"/>
            </w:r>
            <w:r w:rsidR="007377B8">
              <w:rPr>
                <w:noProof/>
                <w:webHidden/>
              </w:rPr>
              <w:t>11</w:t>
            </w:r>
            <w:r w:rsidR="007377B8">
              <w:rPr>
                <w:noProof/>
                <w:webHidden/>
              </w:rPr>
              <w:fldChar w:fldCharType="end"/>
            </w:r>
          </w:hyperlink>
        </w:p>
        <w:p w14:paraId="090336E7" w14:textId="79D47A23" w:rsidR="007377B8" w:rsidRDefault="00ED7524">
          <w:pPr>
            <w:pStyle w:val="Kazalovsebine1"/>
            <w:tabs>
              <w:tab w:val="left" w:pos="440"/>
              <w:tab w:val="right" w:leader="dot" w:pos="9062"/>
            </w:tabs>
            <w:rPr>
              <w:rFonts w:cstheme="minorBidi"/>
              <w:noProof/>
              <w:sz w:val="22"/>
            </w:rPr>
          </w:pPr>
          <w:hyperlink w:anchor="_Toc51140498" w:history="1">
            <w:r w:rsidR="007377B8" w:rsidRPr="00AA05CC">
              <w:rPr>
                <w:rStyle w:val="Hiperpovezava"/>
                <w:noProof/>
              </w:rPr>
              <w:t>2.</w:t>
            </w:r>
            <w:r w:rsidR="007377B8">
              <w:rPr>
                <w:rFonts w:cstheme="minorBidi"/>
                <w:noProof/>
                <w:sz w:val="22"/>
              </w:rPr>
              <w:tab/>
            </w:r>
            <w:r w:rsidR="007377B8" w:rsidRPr="00AA05CC">
              <w:rPr>
                <w:rStyle w:val="Hiperpovezava"/>
                <w:noProof/>
              </w:rPr>
              <w:t>PREDELOVALNE DEJAVNOSTI V SLOVENIJI IN EU</w:t>
            </w:r>
            <w:r w:rsidR="007377B8">
              <w:rPr>
                <w:noProof/>
                <w:webHidden/>
              </w:rPr>
              <w:tab/>
            </w:r>
            <w:r w:rsidR="007377B8">
              <w:rPr>
                <w:noProof/>
                <w:webHidden/>
              </w:rPr>
              <w:fldChar w:fldCharType="begin"/>
            </w:r>
            <w:r w:rsidR="007377B8">
              <w:rPr>
                <w:noProof/>
                <w:webHidden/>
              </w:rPr>
              <w:instrText xml:space="preserve"> PAGEREF _Toc51140498 \h </w:instrText>
            </w:r>
            <w:r w:rsidR="007377B8">
              <w:rPr>
                <w:noProof/>
                <w:webHidden/>
              </w:rPr>
            </w:r>
            <w:r w:rsidR="007377B8">
              <w:rPr>
                <w:noProof/>
                <w:webHidden/>
              </w:rPr>
              <w:fldChar w:fldCharType="separate"/>
            </w:r>
            <w:r w:rsidR="007377B8">
              <w:rPr>
                <w:noProof/>
                <w:webHidden/>
              </w:rPr>
              <w:t>12</w:t>
            </w:r>
            <w:r w:rsidR="007377B8">
              <w:rPr>
                <w:noProof/>
                <w:webHidden/>
              </w:rPr>
              <w:fldChar w:fldCharType="end"/>
            </w:r>
          </w:hyperlink>
        </w:p>
        <w:p w14:paraId="5B5DE61B" w14:textId="79A20B64" w:rsidR="007377B8" w:rsidRDefault="00ED7524">
          <w:pPr>
            <w:pStyle w:val="Kazalovsebine2"/>
            <w:tabs>
              <w:tab w:val="left" w:pos="880"/>
              <w:tab w:val="right" w:leader="dot" w:pos="9062"/>
            </w:tabs>
            <w:rPr>
              <w:rFonts w:cstheme="minorBidi"/>
              <w:noProof/>
              <w:sz w:val="22"/>
            </w:rPr>
          </w:pPr>
          <w:hyperlink w:anchor="_Toc51140499" w:history="1">
            <w:r w:rsidR="007377B8" w:rsidRPr="00AA05CC">
              <w:rPr>
                <w:rStyle w:val="Hiperpovezava"/>
                <w:noProof/>
              </w:rPr>
              <w:t>2.1.</w:t>
            </w:r>
            <w:r w:rsidR="007377B8">
              <w:rPr>
                <w:rFonts w:cstheme="minorBidi"/>
                <w:noProof/>
                <w:sz w:val="22"/>
              </w:rPr>
              <w:tab/>
            </w:r>
            <w:r w:rsidR="007377B8" w:rsidRPr="00AA05CC">
              <w:rPr>
                <w:rStyle w:val="Hiperpovezava"/>
                <w:noProof/>
              </w:rPr>
              <w:t>Predelovalne dejavnosti v Sloveniji v 2008-2018</w:t>
            </w:r>
            <w:r w:rsidR="007377B8">
              <w:rPr>
                <w:noProof/>
                <w:webHidden/>
              </w:rPr>
              <w:tab/>
            </w:r>
            <w:r w:rsidR="007377B8">
              <w:rPr>
                <w:noProof/>
                <w:webHidden/>
              </w:rPr>
              <w:fldChar w:fldCharType="begin"/>
            </w:r>
            <w:r w:rsidR="007377B8">
              <w:rPr>
                <w:noProof/>
                <w:webHidden/>
              </w:rPr>
              <w:instrText xml:space="preserve"> PAGEREF _Toc51140499 \h </w:instrText>
            </w:r>
            <w:r w:rsidR="007377B8">
              <w:rPr>
                <w:noProof/>
                <w:webHidden/>
              </w:rPr>
            </w:r>
            <w:r w:rsidR="007377B8">
              <w:rPr>
                <w:noProof/>
                <w:webHidden/>
              </w:rPr>
              <w:fldChar w:fldCharType="separate"/>
            </w:r>
            <w:r w:rsidR="007377B8">
              <w:rPr>
                <w:noProof/>
                <w:webHidden/>
              </w:rPr>
              <w:t>12</w:t>
            </w:r>
            <w:r w:rsidR="007377B8">
              <w:rPr>
                <w:noProof/>
                <w:webHidden/>
              </w:rPr>
              <w:fldChar w:fldCharType="end"/>
            </w:r>
          </w:hyperlink>
        </w:p>
        <w:p w14:paraId="3C516E65" w14:textId="056BC5AE" w:rsidR="007377B8" w:rsidRDefault="00ED7524">
          <w:pPr>
            <w:pStyle w:val="Kazalovsebine2"/>
            <w:tabs>
              <w:tab w:val="left" w:pos="880"/>
              <w:tab w:val="right" w:leader="dot" w:pos="9062"/>
            </w:tabs>
            <w:rPr>
              <w:rFonts w:cstheme="minorBidi"/>
              <w:noProof/>
              <w:sz w:val="22"/>
            </w:rPr>
          </w:pPr>
          <w:hyperlink w:anchor="_Toc51140500" w:history="1">
            <w:r w:rsidR="007377B8" w:rsidRPr="00AA05CC">
              <w:rPr>
                <w:rStyle w:val="Hiperpovezava"/>
                <w:noProof/>
              </w:rPr>
              <w:t>2.2.</w:t>
            </w:r>
            <w:r w:rsidR="007377B8">
              <w:rPr>
                <w:rFonts w:cstheme="minorBidi"/>
                <w:noProof/>
                <w:sz w:val="22"/>
              </w:rPr>
              <w:tab/>
            </w:r>
            <w:r w:rsidR="007377B8" w:rsidRPr="00AA05CC">
              <w:rPr>
                <w:rStyle w:val="Hiperpovezava"/>
                <w:noProof/>
              </w:rPr>
              <w:t>Predelovalne dejavnosti v Sloveniji, EU-27 in skupini primerljivih srednjeevropskih držav (CEE-4) v 2008-2017</w:t>
            </w:r>
            <w:r w:rsidR="007377B8">
              <w:rPr>
                <w:noProof/>
                <w:webHidden/>
              </w:rPr>
              <w:tab/>
            </w:r>
            <w:r w:rsidR="007377B8">
              <w:rPr>
                <w:noProof/>
                <w:webHidden/>
              </w:rPr>
              <w:fldChar w:fldCharType="begin"/>
            </w:r>
            <w:r w:rsidR="007377B8">
              <w:rPr>
                <w:noProof/>
                <w:webHidden/>
              </w:rPr>
              <w:instrText xml:space="preserve"> PAGEREF _Toc51140500 \h </w:instrText>
            </w:r>
            <w:r w:rsidR="007377B8">
              <w:rPr>
                <w:noProof/>
                <w:webHidden/>
              </w:rPr>
            </w:r>
            <w:r w:rsidR="007377B8">
              <w:rPr>
                <w:noProof/>
                <w:webHidden/>
              </w:rPr>
              <w:fldChar w:fldCharType="separate"/>
            </w:r>
            <w:r w:rsidR="007377B8">
              <w:rPr>
                <w:noProof/>
                <w:webHidden/>
              </w:rPr>
              <w:t>14</w:t>
            </w:r>
            <w:r w:rsidR="007377B8">
              <w:rPr>
                <w:noProof/>
                <w:webHidden/>
              </w:rPr>
              <w:fldChar w:fldCharType="end"/>
            </w:r>
          </w:hyperlink>
        </w:p>
        <w:p w14:paraId="1B04E605" w14:textId="2421E2FF" w:rsidR="007377B8" w:rsidRDefault="00ED7524">
          <w:pPr>
            <w:pStyle w:val="Kazalovsebine2"/>
            <w:tabs>
              <w:tab w:val="left" w:pos="880"/>
              <w:tab w:val="right" w:leader="dot" w:pos="9062"/>
            </w:tabs>
            <w:rPr>
              <w:rFonts w:cstheme="minorBidi"/>
              <w:noProof/>
              <w:sz w:val="22"/>
            </w:rPr>
          </w:pPr>
          <w:hyperlink w:anchor="_Toc51140501" w:history="1">
            <w:r w:rsidR="007377B8" w:rsidRPr="00AA05CC">
              <w:rPr>
                <w:rStyle w:val="Hiperpovezava"/>
                <w:noProof/>
              </w:rPr>
              <w:t>2.3.</w:t>
            </w:r>
            <w:r w:rsidR="007377B8">
              <w:rPr>
                <w:rFonts w:cstheme="minorBidi"/>
                <w:noProof/>
                <w:sz w:val="22"/>
              </w:rPr>
              <w:tab/>
            </w:r>
            <w:r w:rsidR="007377B8" w:rsidRPr="00AA05CC">
              <w:rPr>
                <w:rStyle w:val="Hiperpovezava"/>
                <w:noProof/>
              </w:rPr>
              <w:t>Evropski okvir</w:t>
            </w:r>
            <w:r w:rsidR="007377B8">
              <w:rPr>
                <w:noProof/>
                <w:webHidden/>
              </w:rPr>
              <w:tab/>
            </w:r>
            <w:r w:rsidR="007377B8">
              <w:rPr>
                <w:noProof/>
                <w:webHidden/>
              </w:rPr>
              <w:fldChar w:fldCharType="begin"/>
            </w:r>
            <w:r w:rsidR="007377B8">
              <w:rPr>
                <w:noProof/>
                <w:webHidden/>
              </w:rPr>
              <w:instrText xml:space="preserve"> PAGEREF _Toc51140501 \h </w:instrText>
            </w:r>
            <w:r w:rsidR="007377B8">
              <w:rPr>
                <w:noProof/>
                <w:webHidden/>
              </w:rPr>
            </w:r>
            <w:r w:rsidR="007377B8">
              <w:rPr>
                <w:noProof/>
                <w:webHidden/>
              </w:rPr>
              <w:fldChar w:fldCharType="separate"/>
            </w:r>
            <w:r w:rsidR="007377B8">
              <w:rPr>
                <w:noProof/>
                <w:webHidden/>
              </w:rPr>
              <w:t>15</w:t>
            </w:r>
            <w:r w:rsidR="007377B8">
              <w:rPr>
                <w:noProof/>
                <w:webHidden/>
              </w:rPr>
              <w:fldChar w:fldCharType="end"/>
            </w:r>
          </w:hyperlink>
        </w:p>
        <w:p w14:paraId="25F912AD" w14:textId="2FF9F3FC" w:rsidR="007377B8" w:rsidRDefault="00ED7524">
          <w:pPr>
            <w:pStyle w:val="Kazalovsebine2"/>
            <w:tabs>
              <w:tab w:val="left" w:pos="880"/>
              <w:tab w:val="right" w:leader="dot" w:pos="9062"/>
            </w:tabs>
            <w:rPr>
              <w:rFonts w:cstheme="minorBidi"/>
              <w:noProof/>
              <w:sz w:val="22"/>
            </w:rPr>
          </w:pPr>
          <w:hyperlink w:anchor="_Toc51140502" w:history="1">
            <w:r w:rsidR="007377B8" w:rsidRPr="00AA05CC">
              <w:rPr>
                <w:rStyle w:val="Hiperpovezava"/>
                <w:noProof/>
              </w:rPr>
              <w:t>2.4.</w:t>
            </w:r>
            <w:r w:rsidR="007377B8">
              <w:rPr>
                <w:rFonts w:cstheme="minorBidi"/>
                <w:noProof/>
                <w:sz w:val="22"/>
              </w:rPr>
              <w:tab/>
            </w:r>
            <w:r w:rsidR="007377B8" w:rsidRPr="00AA05CC">
              <w:rPr>
                <w:rStyle w:val="Hiperpovezava"/>
                <w:noProof/>
              </w:rPr>
              <w:t>Napovedi 2021-2030</w:t>
            </w:r>
            <w:r w:rsidR="007377B8">
              <w:rPr>
                <w:noProof/>
                <w:webHidden/>
              </w:rPr>
              <w:tab/>
            </w:r>
            <w:r w:rsidR="007377B8">
              <w:rPr>
                <w:noProof/>
                <w:webHidden/>
              </w:rPr>
              <w:fldChar w:fldCharType="begin"/>
            </w:r>
            <w:r w:rsidR="007377B8">
              <w:rPr>
                <w:noProof/>
                <w:webHidden/>
              </w:rPr>
              <w:instrText xml:space="preserve"> PAGEREF _Toc51140502 \h </w:instrText>
            </w:r>
            <w:r w:rsidR="007377B8">
              <w:rPr>
                <w:noProof/>
                <w:webHidden/>
              </w:rPr>
            </w:r>
            <w:r w:rsidR="007377B8">
              <w:rPr>
                <w:noProof/>
                <w:webHidden/>
              </w:rPr>
              <w:fldChar w:fldCharType="separate"/>
            </w:r>
            <w:r w:rsidR="007377B8">
              <w:rPr>
                <w:noProof/>
                <w:webHidden/>
              </w:rPr>
              <w:t>18</w:t>
            </w:r>
            <w:r w:rsidR="007377B8">
              <w:rPr>
                <w:noProof/>
                <w:webHidden/>
              </w:rPr>
              <w:fldChar w:fldCharType="end"/>
            </w:r>
          </w:hyperlink>
        </w:p>
        <w:p w14:paraId="5F4E4DEA" w14:textId="58ADCCDF" w:rsidR="007377B8" w:rsidRDefault="00ED7524">
          <w:pPr>
            <w:pStyle w:val="Kazalovsebine1"/>
            <w:tabs>
              <w:tab w:val="left" w:pos="440"/>
              <w:tab w:val="right" w:leader="dot" w:pos="9062"/>
            </w:tabs>
            <w:rPr>
              <w:rFonts w:cstheme="minorBidi"/>
              <w:noProof/>
              <w:sz w:val="22"/>
            </w:rPr>
          </w:pPr>
          <w:hyperlink w:anchor="_Toc51140503" w:history="1">
            <w:r w:rsidR="007377B8" w:rsidRPr="00AA05CC">
              <w:rPr>
                <w:rStyle w:val="Hiperpovezava"/>
                <w:noProof/>
              </w:rPr>
              <w:t>3.</w:t>
            </w:r>
            <w:r w:rsidR="007377B8">
              <w:rPr>
                <w:rFonts w:cstheme="minorBidi"/>
                <w:noProof/>
                <w:sz w:val="22"/>
              </w:rPr>
              <w:tab/>
            </w:r>
            <w:r w:rsidR="007377B8" w:rsidRPr="00AA05CC">
              <w:rPr>
                <w:rStyle w:val="Hiperpovezava"/>
                <w:noProof/>
              </w:rPr>
              <w:t>ZELENI RAZVOJ</w:t>
            </w:r>
            <w:r w:rsidR="007377B8">
              <w:rPr>
                <w:noProof/>
                <w:webHidden/>
              </w:rPr>
              <w:tab/>
            </w:r>
            <w:r w:rsidR="007377B8">
              <w:rPr>
                <w:noProof/>
                <w:webHidden/>
              </w:rPr>
              <w:fldChar w:fldCharType="begin"/>
            </w:r>
            <w:r w:rsidR="007377B8">
              <w:rPr>
                <w:noProof/>
                <w:webHidden/>
              </w:rPr>
              <w:instrText xml:space="preserve"> PAGEREF _Toc51140503 \h </w:instrText>
            </w:r>
            <w:r w:rsidR="007377B8">
              <w:rPr>
                <w:noProof/>
                <w:webHidden/>
              </w:rPr>
            </w:r>
            <w:r w:rsidR="007377B8">
              <w:rPr>
                <w:noProof/>
                <w:webHidden/>
              </w:rPr>
              <w:fldChar w:fldCharType="separate"/>
            </w:r>
            <w:r w:rsidR="007377B8">
              <w:rPr>
                <w:noProof/>
                <w:webHidden/>
              </w:rPr>
              <w:t>23</w:t>
            </w:r>
            <w:r w:rsidR="007377B8">
              <w:rPr>
                <w:noProof/>
                <w:webHidden/>
              </w:rPr>
              <w:fldChar w:fldCharType="end"/>
            </w:r>
          </w:hyperlink>
        </w:p>
        <w:p w14:paraId="5A0FE665" w14:textId="201306F5" w:rsidR="007377B8" w:rsidRDefault="00ED7524">
          <w:pPr>
            <w:pStyle w:val="Kazalovsebine2"/>
            <w:tabs>
              <w:tab w:val="left" w:pos="880"/>
              <w:tab w:val="right" w:leader="dot" w:pos="9062"/>
            </w:tabs>
            <w:rPr>
              <w:rFonts w:cstheme="minorBidi"/>
              <w:noProof/>
              <w:sz w:val="22"/>
            </w:rPr>
          </w:pPr>
          <w:hyperlink w:anchor="_Toc51140504" w:history="1">
            <w:r w:rsidR="007377B8" w:rsidRPr="00AA05CC">
              <w:rPr>
                <w:rStyle w:val="Hiperpovezava"/>
                <w:rFonts w:eastAsia="Times New Roman"/>
                <w:noProof/>
              </w:rPr>
              <w:t>3.1.</w:t>
            </w:r>
            <w:r w:rsidR="007377B8">
              <w:rPr>
                <w:rFonts w:cstheme="minorBidi"/>
                <w:noProof/>
                <w:sz w:val="22"/>
              </w:rPr>
              <w:tab/>
            </w:r>
            <w:r w:rsidR="007377B8" w:rsidRPr="00AA05CC">
              <w:rPr>
                <w:rStyle w:val="Hiperpovezava"/>
                <w:rFonts w:eastAsia="Times New Roman"/>
                <w:noProof/>
              </w:rPr>
              <w:t>Celoviti strateški projekt razogljičenja preko prehoda v krožno gospodarstvo</w:t>
            </w:r>
            <w:r w:rsidR="007377B8">
              <w:rPr>
                <w:noProof/>
                <w:webHidden/>
              </w:rPr>
              <w:tab/>
            </w:r>
            <w:r w:rsidR="007377B8">
              <w:rPr>
                <w:noProof/>
                <w:webHidden/>
              </w:rPr>
              <w:fldChar w:fldCharType="begin"/>
            </w:r>
            <w:r w:rsidR="007377B8">
              <w:rPr>
                <w:noProof/>
                <w:webHidden/>
              </w:rPr>
              <w:instrText xml:space="preserve"> PAGEREF _Toc51140504 \h </w:instrText>
            </w:r>
            <w:r w:rsidR="007377B8">
              <w:rPr>
                <w:noProof/>
                <w:webHidden/>
              </w:rPr>
            </w:r>
            <w:r w:rsidR="007377B8">
              <w:rPr>
                <w:noProof/>
                <w:webHidden/>
              </w:rPr>
              <w:fldChar w:fldCharType="separate"/>
            </w:r>
            <w:r w:rsidR="007377B8">
              <w:rPr>
                <w:noProof/>
                <w:webHidden/>
              </w:rPr>
              <w:t>25</w:t>
            </w:r>
            <w:r w:rsidR="007377B8">
              <w:rPr>
                <w:noProof/>
                <w:webHidden/>
              </w:rPr>
              <w:fldChar w:fldCharType="end"/>
            </w:r>
          </w:hyperlink>
        </w:p>
        <w:p w14:paraId="2F06891C" w14:textId="7438EBA0" w:rsidR="007377B8" w:rsidRDefault="00ED7524">
          <w:pPr>
            <w:pStyle w:val="Kazalovsebine2"/>
            <w:tabs>
              <w:tab w:val="left" w:pos="880"/>
              <w:tab w:val="right" w:leader="dot" w:pos="9062"/>
            </w:tabs>
            <w:rPr>
              <w:rFonts w:cstheme="minorBidi"/>
              <w:noProof/>
              <w:sz w:val="22"/>
            </w:rPr>
          </w:pPr>
          <w:hyperlink w:anchor="_Toc51140505" w:history="1">
            <w:r w:rsidR="007377B8" w:rsidRPr="00AA05CC">
              <w:rPr>
                <w:rStyle w:val="Hiperpovezava"/>
                <w:rFonts w:eastAsia="Times New Roman"/>
                <w:noProof/>
              </w:rPr>
              <w:t>3.2.</w:t>
            </w:r>
            <w:r w:rsidR="007377B8">
              <w:rPr>
                <w:rFonts w:cstheme="minorBidi"/>
                <w:noProof/>
                <w:sz w:val="22"/>
              </w:rPr>
              <w:tab/>
            </w:r>
            <w:r w:rsidR="007377B8" w:rsidRPr="00AA05CC">
              <w:rPr>
                <w:rStyle w:val="Hiperpovezava"/>
                <w:rFonts w:eastAsia="Times New Roman"/>
                <w:noProof/>
              </w:rPr>
              <w:t>Energetsko intenzivna industrija</w:t>
            </w:r>
            <w:r w:rsidR="007377B8">
              <w:rPr>
                <w:noProof/>
                <w:webHidden/>
              </w:rPr>
              <w:tab/>
            </w:r>
            <w:r w:rsidR="007377B8">
              <w:rPr>
                <w:noProof/>
                <w:webHidden/>
              </w:rPr>
              <w:fldChar w:fldCharType="begin"/>
            </w:r>
            <w:r w:rsidR="007377B8">
              <w:rPr>
                <w:noProof/>
                <w:webHidden/>
              </w:rPr>
              <w:instrText xml:space="preserve"> PAGEREF _Toc51140505 \h </w:instrText>
            </w:r>
            <w:r w:rsidR="007377B8">
              <w:rPr>
                <w:noProof/>
                <w:webHidden/>
              </w:rPr>
            </w:r>
            <w:r w:rsidR="007377B8">
              <w:rPr>
                <w:noProof/>
                <w:webHidden/>
              </w:rPr>
              <w:fldChar w:fldCharType="separate"/>
            </w:r>
            <w:r w:rsidR="007377B8">
              <w:rPr>
                <w:noProof/>
                <w:webHidden/>
              </w:rPr>
              <w:t>25</w:t>
            </w:r>
            <w:r w:rsidR="007377B8">
              <w:rPr>
                <w:noProof/>
                <w:webHidden/>
              </w:rPr>
              <w:fldChar w:fldCharType="end"/>
            </w:r>
          </w:hyperlink>
        </w:p>
        <w:p w14:paraId="28C6B789" w14:textId="2907870B" w:rsidR="007377B8" w:rsidRDefault="00ED7524">
          <w:pPr>
            <w:pStyle w:val="Kazalovsebine2"/>
            <w:tabs>
              <w:tab w:val="left" w:pos="880"/>
              <w:tab w:val="right" w:leader="dot" w:pos="9062"/>
            </w:tabs>
            <w:rPr>
              <w:rFonts w:cstheme="minorBidi"/>
              <w:noProof/>
              <w:sz w:val="22"/>
            </w:rPr>
          </w:pPr>
          <w:hyperlink w:anchor="_Toc51140506" w:history="1">
            <w:r w:rsidR="007377B8" w:rsidRPr="00AA05CC">
              <w:rPr>
                <w:rStyle w:val="Hiperpovezava"/>
                <w:noProof/>
              </w:rPr>
              <w:t>3.3.</w:t>
            </w:r>
            <w:r w:rsidR="007377B8">
              <w:rPr>
                <w:rFonts w:cstheme="minorBidi"/>
                <w:noProof/>
                <w:sz w:val="22"/>
              </w:rPr>
              <w:tab/>
            </w:r>
            <w:r w:rsidR="007377B8" w:rsidRPr="00AA05CC">
              <w:rPr>
                <w:rStyle w:val="Hiperpovezava"/>
                <w:noProof/>
              </w:rPr>
              <w:t>Trajnostna mobilnost</w:t>
            </w:r>
            <w:r w:rsidR="007377B8">
              <w:rPr>
                <w:noProof/>
                <w:webHidden/>
              </w:rPr>
              <w:tab/>
            </w:r>
            <w:r w:rsidR="007377B8">
              <w:rPr>
                <w:noProof/>
                <w:webHidden/>
              </w:rPr>
              <w:fldChar w:fldCharType="begin"/>
            </w:r>
            <w:r w:rsidR="007377B8">
              <w:rPr>
                <w:noProof/>
                <w:webHidden/>
              </w:rPr>
              <w:instrText xml:space="preserve"> PAGEREF _Toc51140506 \h </w:instrText>
            </w:r>
            <w:r w:rsidR="007377B8">
              <w:rPr>
                <w:noProof/>
                <w:webHidden/>
              </w:rPr>
            </w:r>
            <w:r w:rsidR="007377B8">
              <w:rPr>
                <w:noProof/>
                <w:webHidden/>
              </w:rPr>
              <w:fldChar w:fldCharType="separate"/>
            </w:r>
            <w:r w:rsidR="007377B8">
              <w:rPr>
                <w:noProof/>
                <w:webHidden/>
              </w:rPr>
              <w:t>26</w:t>
            </w:r>
            <w:r w:rsidR="007377B8">
              <w:rPr>
                <w:noProof/>
                <w:webHidden/>
              </w:rPr>
              <w:fldChar w:fldCharType="end"/>
            </w:r>
          </w:hyperlink>
        </w:p>
        <w:p w14:paraId="6A7BDDBB" w14:textId="086BC8E6" w:rsidR="007377B8" w:rsidRDefault="00ED7524">
          <w:pPr>
            <w:pStyle w:val="Kazalovsebine2"/>
            <w:tabs>
              <w:tab w:val="left" w:pos="880"/>
              <w:tab w:val="right" w:leader="dot" w:pos="9062"/>
            </w:tabs>
            <w:rPr>
              <w:rFonts w:cstheme="minorBidi"/>
              <w:noProof/>
              <w:sz w:val="22"/>
            </w:rPr>
          </w:pPr>
          <w:hyperlink w:anchor="_Toc51140507" w:history="1">
            <w:r w:rsidR="007377B8" w:rsidRPr="00AA05CC">
              <w:rPr>
                <w:rStyle w:val="Hiperpovezava"/>
                <w:rFonts w:eastAsia="Times New Roman"/>
                <w:noProof/>
              </w:rPr>
              <w:t>3.4.</w:t>
            </w:r>
            <w:r w:rsidR="007377B8">
              <w:rPr>
                <w:rFonts w:cstheme="minorBidi"/>
                <w:noProof/>
                <w:sz w:val="22"/>
              </w:rPr>
              <w:tab/>
            </w:r>
            <w:r w:rsidR="007377B8" w:rsidRPr="00AA05CC">
              <w:rPr>
                <w:rStyle w:val="Hiperpovezava"/>
                <w:rFonts w:eastAsia="Times New Roman"/>
                <w:noProof/>
              </w:rPr>
              <w:t>Industrija, temelječa na lesu in ostalih naravnih obnovljivih materialih</w:t>
            </w:r>
            <w:r w:rsidR="007377B8">
              <w:rPr>
                <w:noProof/>
                <w:webHidden/>
              </w:rPr>
              <w:tab/>
            </w:r>
            <w:r w:rsidR="007377B8">
              <w:rPr>
                <w:noProof/>
                <w:webHidden/>
              </w:rPr>
              <w:fldChar w:fldCharType="begin"/>
            </w:r>
            <w:r w:rsidR="007377B8">
              <w:rPr>
                <w:noProof/>
                <w:webHidden/>
              </w:rPr>
              <w:instrText xml:space="preserve"> PAGEREF _Toc51140507 \h </w:instrText>
            </w:r>
            <w:r w:rsidR="007377B8">
              <w:rPr>
                <w:noProof/>
                <w:webHidden/>
              </w:rPr>
            </w:r>
            <w:r w:rsidR="007377B8">
              <w:rPr>
                <w:noProof/>
                <w:webHidden/>
              </w:rPr>
              <w:fldChar w:fldCharType="separate"/>
            </w:r>
            <w:r w:rsidR="007377B8">
              <w:rPr>
                <w:noProof/>
                <w:webHidden/>
              </w:rPr>
              <w:t>27</w:t>
            </w:r>
            <w:r w:rsidR="007377B8">
              <w:rPr>
                <w:noProof/>
                <w:webHidden/>
              </w:rPr>
              <w:fldChar w:fldCharType="end"/>
            </w:r>
          </w:hyperlink>
        </w:p>
        <w:p w14:paraId="2CF63C68" w14:textId="2D383134" w:rsidR="007377B8" w:rsidRDefault="00ED7524">
          <w:pPr>
            <w:pStyle w:val="Kazalovsebine1"/>
            <w:tabs>
              <w:tab w:val="left" w:pos="440"/>
              <w:tab w:val="right" w:leader="dot" w:pos="9062"/>
            </w:tabs>
            <w:rPr>
              <w:rFonts w:cstheme="minorBidi"/>
              <w:noProof/>
              <w:sz w:val="22"/>
            </w:rPr>
          </w:pPr>
          <w:hyperlink w:anchor="_Toc51140508" w:history="1">
            <w:r w:rsidR="007377B8" w:rsidRPr="00AA05CC">
              <w:rPr>
                <w:rStyle w:val="Hiperpovezava"/>
                <w:noProof/>
              </w:rPr>
              <w:t>4.</w:t>
            </w:r>
            <w:r w:rsidR="007377B8">
              <w:rPr>
                <w:rFonts w:cstheme="minorBidi"/>
                <w:noProof/>
                <w:sz w:val="22"/>
              </w:rPr>
              <w:tab/>
            </w:r>
            <w:r w:rsidR="007377B8" w:rsidRPr="00AA05CC">
              <w:rPr>
                <w:rStyle w:val="Hiperpovezava"/>
                <w:noProof/>
              </w:rPr>
              <w:t>USTVARJALNI RAZVOJ</w:t>
            </w:r>
            <w:r w:rsidR="007377B8">
              <w:rPr>
                <w:noProof/>
                <w:webHidden/>
              </w:rPr>
              <w:tab/>
            </w:r>
            <w:r w:rsidR="007377B8">
              <w:rPr>
                <w:noProof/>
                <w:webHidden/>
              </w:rPr>
              <w:fldChar w:fldCharType="begin"/>
            </w:r>
            <w:r w:rsidR="007377B8">
              <w:rPr>
                <w:noProof/>
                <w:webHidden/>
              </w:rPr>
              <w:instrText xml:space="preserve"> PAGEREF _Toc51140508 \h </w:instrText>
            </w:r>
            <w:r w:rsidR="007377B8">
              <w:rPr>
                <w:noProof/>
                <w:webHidden/>
              </w:rPr>
            </w:r>
            <w:r w:rsidR="007377B8">
              <w:rPr>
                <w:noProof/>
                <w:webHidden/>
              </w:rPr>
              <w:fldChar w:fldCharType="separate"/>
            </w:r>
            <w:r w:rsidR="007377B8">
              <w:rPr>
                <w:noProof/>
                <w:webHidden/>
              </w:rPr>
              <w:t>29</w:t>
            </w:r>
            <w:r w:rsidR="007377B8">
              <w:rPr>
                <w:noProof/>
                <w:webHidden/>
              </w:rPr>
              <w:fldChar w:fldCharType="end"/>
            </w:r>
          </w:hyperlink>
        </w:p>
        <w:p w14:paraId="7D7823B7" w14:textId="2D4A2F4A" w:rsidR="007377B8" w:rsidRDefault="00ED7524">
          <w:pPr>
            <w:pStyle w:val="Kazalovsebine2"/>
            <w:tabs>
              <w:tab w:val="left" w:pos="880"/>
              <w:tab w:val="right" w:leader="dot" w:pos="9062"/>
            </w:tabs>
            <w:rPr>
              <w:rFonts w:cstheme="minorBidi"/>
              <w:noProof/>
              <w:sz w:val="22"/>
            </w:rPr>
          </w:pPr>
          <w:hyperlink w:anchor="_Toc51140509" w:history="1">
            <w:r w:rsidR="007377B8" w:rsidRPr="00AA05CC">
              <w:rPr>
                <w:rStyle w:val="Hiperpovezava"/>
                <w:noProof/>
                <w:spacing w:val="15"/>
              </w:rPr>
              <w:t>4.1.</w:t>
            </w:r>
            <w:r w:rsidR="007377B8">
              <w:rPr>
                <w:rFonts w:cstheme="minorBidi"/>
                <w:noProof/>
                <w:sz w:val="22"/>
              </w:rPr>
              <w:tab/>
            </w:r>
            <w:r w:rsidR="007377B8" w:rsidRPr="00AA05CC">
              <w:rPr>
                <w:rStyle w:val="Hiperpovezava"/>
                <w:noProof/>
                <w:spacing w:val="15"/>
              </w:rPr>
              <w:t>Skrb za ustvarjalno, podjetno in inovativno podporno okolje</w:t>
            </w:r>
            <w:r w:rsidR="007377B8">
              <w:rPr>
                <w:noProof/>
                <w:webHidden/>
              </w:rPr>
              <w:tab/>
            </w:r>
            <w:r w:rsidR="007377B8">
              <w:rPr>
                <w:noProof/>
                <w:webHidden/>
              </w:rPr>
              <w:fldChar w:fldCharType="begin"/>
            </w:r>
            <w:r w:rsidR="007377B8">
              <w:rPr>
                <w:noProof/>
                <w:webHidden/>
              </w:rPr>
              <w:instrText xml:space="preserve"> PAGEREF _Toc51140509 \h </w:instrText>
            </w:r>
            <w:r w:rsidR="007377B8">
              <w:rPr>
                <w:noProof/>
                <w:webHidden/>
              </w:rPr>
            </w:r>
            <w:r w:rsidR="007377B8">
              <w:rPr>
                <w:noProof/>
                <w:webHidden/>
              </w:rPr>
              <w:fldChar w:fldCharType="separate"/>
            </w:r>
            <w:r w:rsidR="007377B8">
              <w:rPr>
                <w:noProof/>
                <w:webHidden/>
              </w:rPr>
              <w:t>29</w:t>
            </w:r>
            <w:r w:rsidR="007377B8">
              <w:rPr>
                <w:noProof/>
                <w:webHidden/>
              </w:rPr>
              <w:fldChar w:fldCharType="end"/>
            </w:r>
          </w:hyperlink>
        </w:p>
        <w:p w14:paraId="04FF1DB1" w14:textId="141A4CDB" w:rsidR="007377B8" w:rsidRDefault="00ED7524">
          <w:pPr>
            <w:pStyle w:val="Kazalovsebine2"/>
            <w:tabs>
              <w:tab w:val="left" w:pos="880"/>
              <w:tab w:val="right" w:leader="dot" w:pos="9062"/>
            </w:tabs>
            <w:rPr>
              <w:rFonts w:cstheme="minorBidi"/>
              <w:noProof/>
              <w:sz w:val="22"/>
            </w:rPr>
          </w:pPr>
          <w:hyperlink w:anchor="_Toc51140510" w:history="1">
            <w:r w:rsidR="007377B8" w:rsidRPr="00AA05CC">
              <w:rPr>
                <w:rStyle w:val="Hiperpovezava"/>
                <w:noProof/>
              </w:rPr>
              <w:t>4.2.</w:t>
            </w:r>
            <w:r w:rsidR="007377B8">
              <w:rPr>
                <w:rFonts w:cstheme="minorBidi"/>
                <w:noProof/>
                <w:sz w:val="22"/>
              </w:rPr>
              <w:tab/>
            </w:r>
            <w:r w:rsidR="007377B8" w:rsidRPr="00AA05CC">
              <w:rPr>
                <w:rStyle w:val="Hiperpovezava"/>
                <w:noProof/>
              </w:rPr>
              <w:t>Promocija ustvarjalnosti, podjetnosti in inovativnosti</w:t>
            </w:r>
            <w:r w:rsidR="007377B8">
              <w:rPr>
                <w:noProof/>
                <w:webHidden/>
              </w:rPr>
              <w:tab/>
            </w:r>
            <w:r w:rsidR="007377B8">
              <w:rPr>
                <w:noProof/>
                <w:webHidden/>
              </w:rPr>
              <w:fldChar w:fldCharType="begin"/>
            </w:r>
            <w:r w:rsidR="007377B8">
              <w:rPr>
                <w:noProof/>
                <w:webHidden/>
              </w:rPr>
              <w:instrText xml:space="preserve"> PAGEREF _Toc51140510 \h </w:instrText>
            </w:r>
            <w:r w:rsidR="007377B8">
              <w:rPr>
                <w:noProof/>
                <w:webHidden/>
              </w:rPr>
            </w:r>
            <w:r w:rsidR="007377B8">
              <w:rPr>
                <w:noProof/>
                <w:webHidden/>
              </w:rPr>
              <w:fldChar w:fldCharType="separate"/>
            </w:r>
            <w:r w:rsidR="007377B8">
              <w:rPr>
                <w:noProof/>
                <w:webHidden/>
              </w:rPr>
              <w:t>31</w:t>
            </w:r>
            <w:r w:rsidR="007377B8">
              <w:rPr>
                <w:noProof/>
                <w:webHidden/>
              </w:rPr>
              <w:fldChar w:fldCharType="end"/>
            </w:r>
          </w:hyperlink>
        </w:p>
        <w:p w14:paraId="4A22CCAB" w14:textId="38B01BA2" w:rsidR="007377B8" w:rsidRDefault="00ED7524">
          <w:pPr>
            <w:pStyle w:val="Kazalovsebine2"/>
            <w:tabs>
              <w:tab w:val="left" w:pos="880"/>
              <w:tab w:val="right" w:leader="dot" w:pos="9062"/>
            </w:tabs>
            <w:rPr>
              <w:rFonts w:cstheme="minorBidi"/>
              <w:noProof/>
              <w:sz w:val="22"/>
            </w:rPr>
          </w:pPr>
          <w:hyperlink w:anchor="_Toc51140511" w:history="1">
            <w:r w:rsidR="007377B8" w:rsidRPr="00AA05CC">
              <w:rPr>
                <w:rStyle w:val="Hiperpovezava"/>
                <w:bCs/>
                <w:noProof/>
              </w:rPr>
              <w:t>4.3.</w:t>
            </w:r>
            <w:r w:rsidR="007377B8">
              <w:rPr>
                <w:rFonts w:cstheme="minorBidi"/>
                <w:noProof/>
                <w:sz w:val="22"/>
              </w:rPr>
              <w:tab/>
            </w:r>
            <w:r w:rsidR="007377B8" w:rsidRPr="00AA05CC">
              <w:rPr>
                <w:rStyle w:val="Hiperpovezava"/>
                <w:bCs/>
                <w:noProof/>
              </w:rPr>
              <w:t xml:space="preserve">Podpora zagonu, </w:t>
            </w:r>
            <w:r w:rsidR="007377B8" w:rsidRPr="00AA05CC">
              <w:rPr>
                <w:rStyle w:val="Hiperpovezava"/>
                <w:noProof/>
              </w:rPr>
              <w:t>rasti in razvoju podjetij</w:t>
            </w:r>
            <w:r w:rsidR="007377B8">
              <w:rPr>
                <w:noProof/>
                <w:webHidden/>
              </w:rPr>
              <w:tab/>
            </w:r>
            <w:r w:rsidR="007377B8">
              <w:rPr>
                <w:noProof/>
                <w:webHidden/>
              </w:rPr>
              <w:fldChar w:fldCharType="begin"/>
            </w:r>
            <w:r w:rsidR="007377B8">
              <w:rPr>
                <w:noProof/>
                <w:webHidden/>
              </w:rPr>
              <w:instrText xml:space="preserve"> PAGEREF _Toc51140511 \h </w:instrText>
            </w:r>
            <w:r w:rsidR="007377B8">
              <w:rPr>
                <w:noProof/>
                <w:webHidden/>
              </w:rPr>
            </w:r>
            <w:r w:rsidR="007377B8">
              <w:rPr>
                <w:noProof/>
                <w:webHidden/>
              </w:rPr>
              <w:fldChar w:fldCharType="separate"/>
            </w:r>
            <w:r w:rsidR="007377B8">
              <w:rPr>
                <w:noProof/>
                <w:webHidden/>
              </w:rPr>
              <w:t>31</w:t>
            </w:r>
            <w:r w:rsidR="007377B8">
              <w:rPr>
                <w:noProof/>
                <w:webHidden/>
              </w:rPr>
              <w:fldChar w:fldCharType="end"/>
            </w:r>
          </w:hyperlink>
        </w:p>
        <w:p w14:paraId="34128CE5" w14:textId="019799AC" w:rsidR="007377B8" w:rsidRDefault="00ED7524">
          <w:pPr>
            <w:pStyle w:val="Kazalovsebine2"/>
            <w:tabs>
              <w:tab w:val="left" w:pos="880"/>
              <w:tab w:val="right" w:leader="dot" w:pos="9062"/>
            </w:tabs>
            <w:rPr>
              <w:rFonts w:cstheme="minorBidi"/>
              <w:noProof/>
              <w:sz w:val="22"/>
            </w:rPr>
          </w:pPr>
          <w:hyperlink w:anchor="_Toc51140512" w:history="1">
            <w:r w:rsidR="007377B8" w:rsidRPr="00AA05CC">
              <w:rPr>
                <w:rStyle w:val="Hiperpovezava"/>
                <w:bCs/>
                <w:noProof/>
              </w:rPr>
              <w:t>4.4.</w:t>
            </w:r>
            <w:r w:rsidR="007377B8">
              <w:rPr>
                <w:rFonts w:cstheme="minorBidi"/>
                <w:noProof/>
                <w:sz w:val="22"/>
              </w:rPr>
              <w:tab/>
            </w:r>
            <w:r w:rsidR="007377B8" w:rsidRPr="00AA05CC">
              <w:rPr>
                <w:rStyle w:val="Hiperpovezava"/>
                <w:bCs/>
                <w:noProof/>
              </w:rPr>
              <w:t xml:space="preserve">Krepitev </w:t>
            </w:r>
            <w:r w:rsidR="007377B8" w:rsidRPr="00AA05CC">
              <w:rPr>
                <w:rStyle w:val="Hiperpovezava"/>
                <w:noProof/>
              </w:rPr>
              <w:t>netehnoloških</w:t>
            </w:r>
            <w:r w:rsidR="007377B8" w:rsidRPr="00AA05CC">
              <w:rPr>
                <w:rStyle w:val="Hiperpovezava"/>
                <w:bCs/>
                <w:noProof/>
              </w:rPr>
              <w:t xml:space="preserve"> inovacij</w:t>
            </w:r>
            <w:r w:rsidR="007377B8">
              <w:rPr>
                <w:noProof/>
                <w:webHidden/>
              </w:rPr>
              <w:tab/>
            </w:r>
            <w:r w:rsidR="007377B8">
              <w:rPr>
                <w:noProof/>
                <w:webHidden/>
              </w:rPr>
              <w:fldChar w:fldCharType="begin"/>
            </w:r>
            <w:r w:rsidR="007377B8">
              <w:rPr>
                <w:noProof/>
                <w:webHidden/>
              </w:rPr>
              <w:instrText xml:space="preserve"> PAGEREF _Toc51140512 \h </w:instrText>
            </w:r>
            <w:r w:rsidR="007377B8">
              <w:rPr>
                <w:noProof/>
                <w:webHidden/>
              </w:rPr>
            </w:r>
            <w:r w:rsidR="007377B8">
              <w:rPr>
                <w:noProof/>
                <w:webHidden/>
              </w:rPr>
              <w:fldChar w:fldCharType="separate"/>
            </w:r>
            <w:r w:rsidR="007377B8">
              <w:rPr>
                <w:noProof/>
                <w:webHidden/>
              </w:rPr>
              <w:t>32</w:t>
            </w:r>
            <w:r w:rsidR="007377B8">
              <w:rPr>
                <w:noProof/>
                <w:webHidden/>
              </w:rPr>
              <w:fldChar w:fldCharType="end"/>
            </w:r>
          </w:hyperlink>
        </w:p>
        <w:p w14:paraId="46B3FFB0" w14:textId="582A72D6" w:rsidR="007377B8" w:rsidRDefault="00ED7524">
          <w:pPr>
            <w:pStyle w:val="Kazalovsebine1"/>
            <w:tabs>
              <w:tab w:val="left" w:pos="440"/>
              <w:tab w:val="right" w:leader="dot" w:pos="9062"/>
            </w:tabs>
            <w:rPr>
              <w:rFonts w:cstheme="minorBidi"/>
              <w:noProof/>
              <w:sz w:val="22"/>
            </w:rPr>
          </w:pPr>
          <w:hyperlink w:anchor="_Toc51140513" w:history="1">
            <w:r w:rsidR="007377B8" w:rsidRPr="00AA05CC">
              <w:rPr>
                <w:rStyle w:val="Hiperpovezava"/>
                <w:noProof/>
              </w:rPr>
              <w:t>5.</w:t>
            </w:r>
            <w:r w:rsidR="007377B8">
              <w:rPr>
                <w:rFonts w:cstheme="minorBidi"/>
                <w:noProof/>
                <w:sz w:val="22"/>
              </w:rPr>
              <w:tab/>
            </w:r>
            <w:r w:rsidR="007377B8" w:rsidRPr="00AA05CC">
              <w:rPr>
                <w:rStyle w:val="Hiperpovezava"/>
                <w:noProof/>
              </w:rPr>
              <w:t>PAMETNI RAZVOJ</w:t>
            </w:r>
            <w:r w:rsidR="007377B8">
              <w:rPr>
                <w:noProof/>
                <w:webHidden/>
              </w:rPr>
              <w:tab/>
            </w:r>
            <w:r w:rsidR="007377B8">
              <w:rPr>
                <w:noProof/>
                <w:webHidden/>
              </w:rPr>
              <w:fldChar w:fldCharType="begin"/>
            </w:r>
            <w:r w:rsidR="007377B8">
              <w:rPr>
                <w:noProof/>
                <w:webHidden/>
              </w:rPr>
              <w:instrText xml:space="preserve"> PAGEREF _Toc51140513 \h </w:instrText>
            </w:r>
            <w:r w:rsidR="007377B8">
              <w:rPr>
                <w:noProof/>
                <w:webHidden/>
              </w:rPr>
            </w:r>
            <w:r w:rsidR="007377B8">
              <w:rPr>
                <w:noProof/>
                <w:webHidden/>
              </w:rPr>
              <w:fldChar w:fldCharType="separate"/>
            </w:r>
            <w:r w:rsidR="007377B8">
              <w:rPr>
                <w:noProof/>
                <w:webHidden/>
              </w:rPr>
              <w:t>33</w:t>
            </w:r>
            <w:r w:rsidR="007377B8">
              <w:rPr>
                <w:noProof/>
                <w:webHidden/>
              </w:rPr>
              <w:fldChar w:fldCharType="end"/>
            </w:r>
          </w:hyperlink>
        </w:p>
        <w:p w14:paraId="0264DC42" w14:textId="4ED2C2D2" w:rsidR="007377B8" w:rsidRDefault="00ED7524">
          <w:pPr>
            <w:pStyle w:val="Kazalovsebine2"/>
            <w:tabs>
              <w:tab w:val="left" w:pos="880"/>
              <w:tab w:val="right" w:leader="dot" w:pos="9062"/>
            </w:tabs>
            <w:rPr>
              <w:rFonts w:cstheme="minorBidi"/>
              <w:noProof/>
              <w:sz w:val="22"/>
            </w:rPr>
          </w:pPr>
          <w:hyperlink w:anchor="_Toc51140514" w:history="1">
            <w:r w:rsidR="007377B8" w:rsidRPr="00AA05CC">
              <w:rPr>
                <w:rStyle w:val="Hiperpovezava"/>
                <w:bCs/>
                <w:noProof/>
              </w:rPr>
              <w:t>5.1.</w:t>
            </w:r>
            <w:r w:rsidR="007377B8">
              <w:rPr>
                <w:rFonts w:cstheme="minorBidi"/>
                <w:noProof/>
                <w:sz w:val="22"/>
              </w:rPr>
              <w:tab/>
            </w:r>
            <w:r w:rsidR="007377B8" w:rsidRPr="00AA05CC">
              <w:rPr>
                <w:rStyle w:val="Hiperpovezava"/>
                <w:bCs/>
                <w:noProof/>
              </w:rPr>
              <w:t>Krepitev digitalizacije in pametnih rešitev</w:t>
            </w:r>
            <w:r w:rsidR="007377B8">
              <w:rPr>
                <w:noProof/>
                <w:webHidden/>
              </w:rPr>
              <w:tab/>
            </w:r>
            <w:r w:rsidR="007377B8">
              <w:rPr>
                <w:noProof/>
                <w:webHidden/>
              </w:rPr>
              <w:fldChar w:fldCharType="begin"/>
            </w:r>
            <w:r w:rsidR="007377B8">
              <w:rPr>
                <w:noProof/>
                <w:webHidden/>
              </w:rPr>
              <w:instrText xml:space="preserve"> PAGEREF _Toc51140514 \h </w:instrText>
            </w:r>
            <w:r w:rsidR="007377B8">
              <w:rPr>
                <w:noProof/>
                <w:webHidden/>
              </w:rPr>
            </w:r>
            <w:r w:rsidR="007377B8">
              <w:rPr>
                <w:noProof/>
                <w:webHidden/>
              </w:rPr>
              <w:fldChar w:fldCharType="separate"/>
            </w:r>
            <w:r w:rsidR="007377B8">
              <w:rPr>
                <w:noProof/>
                <w:webHidden/>
              </w:rPr>
              <w:t>33</w:t>
            </w:r>
            <w:r w:rsidR="007377B8">
              <w:rPr>
                <w:noProof/>
                <w:webHidden/>
              </w:rPr>
              <w:fldChar w:fldCharType="end"/>
            </w:r>
          </w:hyperlink>
        </w:p>
        <w:p w14:paraId="726270DE" w14:textId="47479A1D" w:rsidR="007377B8" w:rsidRDefault="00ED7524">
          <w:pPr>
            <w:pStyle w:val="Kazalovsebine2"/>
            <w:tabs>
              <w:tab w:val="left" w:pos="880"/>
              <w:tab w:val="right" w:leader="dot" w:pos="9062"/>
            </w:tabs>
            <w:rPr>
              <w:rFonts w:cstheme="minorBidi"/>
              <w:noProof/>
              <w:sz w:val="22"/>
            </w:rPr>
          </w:pPr>
          <w:hyperlink w:anchor="_Toc51140515" w:history="1">
            <w:r w:rsidR="007377B8" w:rsidRPr="00AA05CC">
              <w:rPr>
                <w:rStyle w:val="Hiperpovezava"/>
                <w:bCs/>
                <w:noProof/>
              </w:rPr>
              <w:t>5.2.</w:t>
            </w:r>
            <w:r w:rsidR="007377B8">
              <w:rPr>
                <w:rFonts w:cstheme="minorBidi"/>
                <w:noProof/>
                <w:sz w:val="22"/>
              </w:rPr>
              <w:tab/>
            </w:r>
            <w:r w:rsidR="007377B8" w:rsidRPr="00AA05CC">
              <w:rPr>
                <w:rStyle w:val="Hiperpovezava"/>
                <w:bCs/>
                <w:noProof/>
              </w:rPr>
              <w:t>Spodbujanje razvojno-raziskovalnega in inovacijskega ciklusa</w:t>
            </w:r>
            <w:r w:rsidR="007377B8">
              <w:rPr>
                <w:noProof/>
                <w:webHidden/>
              </w:rPr>
              <w:tab/>
            </w:r>
            <w:r w:rsidR="007377B8">
              <w:rPr>
                <w:noProof/>
                <w:webHidden/>
              </w:rPr>
              <w:fldChar w:fldCharType="begin"/>
            </w:r>
            <w:r w:rsidR="007377B8">
              <w:rPr>
                <w:noProof/>
                <w:webHidden/>
              </w:rPr>
              <w:instrText xml:space="preserve"> PAGEREF _Toc51140515 \h </w:instrText>
            </w:r>
            <w:r w:rsidR="007377B8">
              <w:rPr>
                <w:noProof/>
                <w:webHidden/>
              </w:rPr>
            </w:r>
            <w:r w:rsidR="007377B8">
              <w:rPr>
                <w:noProof/>
                <w:webHidden/>
              </w:rPr>
              <w:fldChar w:fldCharType="separate"/>
            </w:r>
            <w:r w:rsidR="007377B8">
              <w:rPr>
                <w:noProof/>
                <w:webHidden/>
              </w:rPr>
              <w:t>34</w:t>
            </w:r>
            <w:r w:rsidR="007377B8">
              <w:rPr>
                <w:noProof/>
                <w:webHidden/>
              </w:rPr>
              <w:fldChar w:fldCharType="end"/>
            </w:r>
          </w:hyperlink>
        </w:p>
        <w:p w14:paraId="4590EAE3" w14:textId="5EB7CAB0" w:rsidR="007377B8" w:rsidRDefault="00ED7524">
          <w:pPr>
            <w:pStyle w:val="Kazalovsebine2"/>
            <w:tabs>
              <w:tab w:val="left" w:pos="880"/>
              <w:tab w:val="right" w:leader="dot" w:pos="9062"/>
            </w:tabs>
            <w:rPr>
              <w:rFonts w:cstheme="minorBidi"/>
              <w:noProof/>
              <w:sz w:val="22"/>
            </w:rPr>
          </w:pPr>
          <w:hyperlink w:anchor="_Toc51140516" w:history="1">
            <w:r w:rsidR="007377B8" w:rsidRPr="00AA05CC">
              <w:rPr>
                <w:rStyle w:val="Hiperpovezava"/>
                <w:bCs/>
                <w:noProof/>
              </w:rPr>
              <w:t>5.3.</w:t>
            </w:r>
            <w:r w:rsidR="007377B8">
              <w:rPr>
                <w:rFonts w:cstheme="minorBidi"/>
                <w:noProof/>
                <w:sz w:val="22"/>
              </w:rPr>
              <w:tab/>
            </w:r>
            <w:r w:rsidR="007377B8" w:rsidRPr="00AA05CC">
              <w:rPr>
                <w:rStyle w:val="Hiperpovezava"/>
                <w:bCs/>
                <w:noProof/>
              </w:rPr>
              <w:t>Mreženje in povezovanje</w:t>
            </w:r>
            <w:r w:rsidR="007377B8">
              <w:rPr>
                <w:noProof/>
                <w:webHidden/>
              </w:rPr>
              <w:tab/>
            </w:r>
            <w:r w:rsidR="007377B8">
              <w:rPr>
                <w:noProof/>
                <w:webHidden/>
              </w:rPr>
              <w:fldChar w:fldCharType="begin"/>
            </w:r>
            <w:r w:rsidR="007377B8">
              <w:rPr>
                <w:noProof/>
                <w:webHidden/>
              </w:rPr>
              <w:instrText xml:space="preserve"> PAGEREF _Toc51140516 \h </w:instrText>
            </w:r>
            <w:r w:rsidR="007377B8">
              <w:rPr>
                <w:noProof/>
                <w:webHidden/>
              </w:rPr>
            </w:r>
            <w:r w:rsidR="007377B8">
              <w:rPr>
                <w:noProof/>
                <w:webHidden/>
              </w:rPr>
              <w:fldChar w:fldCharType="separate"/>
            </w:r>
            <w:r w:rsidR="007377B8">
              <w:rPr>
                <w:noProof/>
                <w:webHidden/>
              </w:rPr>
              <w:t>35</w:t>
            </w:r>
            <w:r w:rsidR="007377B8">
              <w:rPr>
                <w:noProof/>
                <w:webHidden/>
              </w:rPr>
              <w:fldChar w:fldCharType="end"/>
            </w:r>
          </w:hyperlink>
        </w:p>
        <w:p w14:paraId="638FE925" w14:textId="399A92E1" w:rsidR="007377B8" w:rsidRDefault="00ED7524">
          <w:pPr>
            <w:pStyle w:val="Kazalovsebine2"/>
            <w:tabs>
              <w:tab w:val="left" w:pos="880"/>
              <w:tab w:val="right" w:leader="dot" w:pos="9062"/>
            </w:tabs>
            <w:rPr>
              <w:rFonts w:cstheme="minorBidi"/>
              <w:noProof/>
              <w:sz w:val="22"/>
            </w:rPr>
          </w:pPr>
          <w:hyperlink w:anchor="_Toc51140517" w:history="1">
            <w:r w:rsidR="007377B8" w:rsidRPr="00AA05CC">
              <w:rPr>
                <w:rStyle w:val="Hiperpovezava"/>
                <w:bCs/>
                <w:noProof/>
              </w:rPr>
              <w:t>5.4.</w:t>
            </w:r>
            <w:r w:rsidR="007377B8">
              <w:rPr>
                <w:rFonts w:cstheme="minorBidi"/>
                <w:noProof/>
                <w:sz w:val="22"/>
              </w:rPr>
              <w:tab/>
            </w:r>
            <w:r w:rsidR="007377B8" w:rsidRPr="00AA05CC">
              <w:rPr>
                <w:rStyle w:val="Hiperpovezava"/>
                <w:bCs/>
                <w:noProof/>
              </w:rPr>
              <w:t>Krepitev in razvoj novih kompetenc, prekvalifikacija, nove oblike dela</w:t>
            </w:r>
            <w:r w:rsidR="007377B8">
              <w:rPr>
                <w:noProof/>
                <w:webHidden/>
              </w:rPr>
              <w:tab/>
            </w:r>
            <w:r w:rsidR="007377B8">
              <w:rPr>
                <w:noProof/>
                <w:webHidden/>
              </w:rPr>
              <w:fldChar w:fldCharType="begin"/>
            </w:r>
            <w:r w:rsidR="007377B8">
              <w:rPr>
                <w:noProof/>
                <w:webHidden/>
              </w:rPr>
              <w:instrText xml:space="preserve"> PAGEREF _Toc51140517 \h </w:instrText>
            </w:r>
            <w:r w:rsidR="007377B8">
              <w:rPr>
                <w:noProof/>
                <w:webHidden/>
              </w:rPr>
            </w:r>
            <w:r w:rsidR="007377B8">
              <w:rPr>
                <w:noProof/>
                <w:webHidden/>
              </w:rPr>
              <w:fldChar w:fldCharType="separate"/>
            </w:r>
            <w:r w:rsidR="007377B8">
              <w:rPr>
                <w:noProof/>
                <w:webHidden/>
              </w:rPr>
              <w:t>35</w:t>
            </w:r>
            <w:r w:rsidR="007377B8">
              <w:rPr>
                <w:noProof/>
                <w:webHidden/>
              </w:rPr>
              <w:fldChar w:fldCharType="end"/>
            </w:r>
          </w:hyperlink>
        </w:p>
        <w:p w14:paraId="22F012C0" w14:textId="3B7474FD" w:rsidR="007377B8" w:rsidRDefault="00ED7524">
          <w:pPr>
            <w:pStyle w:val="Kazalovsebine2"/>
            <w:tabs>
              <w:tab w:val="left" w:pos="880"/>
              <w:tab w:val="right" w:leader="dot" w:pos="9062"/>
            </w:tabs>
            <w:rPr>
              <w:rFonts w:cstheme="minorBidi"/>
              <w:noProof/>
              <w:sz w:val="22"/>
            </w:rPr>
          </w:pPr>
          <w:hyperlink w:anchor="_Toc51140518" w:history="1">
            <w:r w:rsidR="007377B8" w:rsidRPr="00AA05CC">
              <w:rPr>
                <w:rStyle w:val="Hiperpovezava"/>
                <w:noProof/>
              </w:rPr>
              <w:t>5.1.</w:t>
            </w:r>
            <w:r w:rsidR="007377B8">
              <w:rPr>
                <w:rFonts w:cstheme="minorBidi"/>
                <w:noProof/>
                <w:sz w:val="22"/>
              </w:rPr>
              <w:tab/>
            </w:r>
            <w:r w:rsidR="007377B8" w:rsidRPr="00AA05CC">
              <w:rPr>
                <w:rStyle w:val="Hiperpovezava"/>
                <w:noProof/>
              </w:rPr>
              <w:t>Internacionalizacija</w:t>
            </w:r>
            <w:r w:rsidR="007377B8">
              <w:rPr>
                <w:noProof/>
                <w:webHidden/>
              </w:rPr>
              <w:tab/>
            </w:r>
            <w:r w:rsidR="007377B8">
              <w:rPr>
                <w:noProof/>
                <w:webHidden/>
              </w:rPr>
              <w:fldChar w:fldCharType="begin"/>
            </w:r>
            <w:r w:rsidR="007377B8">
              <w:rPr>
                <w:noProof/>
                <w:webHidden/>
              </w:rPr>
              <w:instrText xml:space="preserve"> PAGEREF _Toc51140518 \h </w:instrText>
            </w:r>
            <w:r w:rsidR="007377B8">
              <w:rPr>
                <w:noProof/>
                <w:webHidden/>
              </w:rPr>
            </w:r>
            <w:r w:rsidR="007377B8">
              <w:rPr>
                <w:noProof/>
                <w:webHidden/>
              </w:rPr>
              <w:fldChar w:fldCharType="separate"/>
            </w:r>
            <w:r w:rsidR="007377B8">
              <w:rPr>
                <w:noProof/>
                <w:webHidden/>
              </w:rPr>
              <w:t>35</w:t>
            </w:r>
            <w:r w:rsidR="007377B8">
              <w:rPr>
                <w:noProof/>
                <w:webHidden/>
              </w:rPr>
              <w:fldChar w:fldCharType="end"/>
            </w:r>
          </w:hyperlink>
        </w:p>
        <w:p w14:paraId="6F0C0F36" w14:textId="20201EE5" w:rsidR="007377B8" w:rsidRDefault="00ED7524">
          <w:pPr>
            <w:pStyle w:val="Kazalovsebine1"/>
            <w:tabs>
              <w:tab w:val="left" w:pos="440"/>
              <w:tab w:val="right" w:leader="dot" w:pos="9062"/>
            </w:tabs>
            <w:rPr>
              <w:rFonts w:cstheme="minorBidi"/>
              <w:noProof/>
              <w:sz w:val="22"/>
            </w:rPr>
          </w:pPr>
          <w:hyperlink w:anchor="_Toc51140519" w:history="1">
            <w:r w:rsidR="007377B8" w:rsidRPr="00AA05CC">
              <w:rPr>
                <w:rStyle w:val="Hiperpovezava"/>
                <w:noProof/>
              </w:rPr>
              <w:t>6.</w:t>
            </w:r>
            <w:r w:rsidR="007377B8">
              <w:rPr>
                <w:rFonts w:cstheme="minorBidi"/>
                <w:noProof/>
                <w:sz w:val="22"/>
              </w:rPr>
              <w:tab/>
            </w:r>
            <w:r w:rsidR="007377B8" w:rsidRPr="00AA05CC">
              <w:rPr>
                <w:rStyle w:val="Hiperpovezava"/>
                <w:noProof/>
              </w:rPr>
              <w:t>USMERITVE ZA POVEZAN ZELENI, USTVARJALNI IN PAMETNI RAZVOJ</w:t>
            </w:r>
            <w:r w:rsidR="007377B8">
              <w:rPr>
                <w:noProof/>
                <w:webHidden/>
              </w:rPr>
              <w:tab/>
            </w:r>
            <w:r w:rsidR="007377B8">
              <w:rPr>
                <w:noProof/>
                <w:webHidden/>
              </w:rPr>
              <w:fldChar w:fldCharType="begin"/>
            </w:r>
            <w:r w:rsidR="007377B8">
              <w:rPr>
                <w:noProof/>
                <w:webHidden/>
              </w:rPr>
              <w:instrText xml:space="preserve"> PAGEREF _Toc51140519 \h </w:instrText>
            </w:r>
            <w:r w:rsidR="007377B8">
              <w:rPr>
                <w:noProof/>
                <w:webHidden/>
              </w:rPr>
            </w:r>
            <w:r w:rsidR="007377B8">
              <w:rPr>
                <w:noProof/>
                <w:webHidden/>
              </w:rPr>
              <w:fldChar w:fldCharType="separate"/>
            </w:r>
            <w:r w:rsidR="007377B8">
              <w:rPr>
                <w:noProof/>
                <w:webHidden/>
              </w:rPr>
              <w:t>37</w:t>
            </w:r>
            <w:r w:rsidR="007377B8">
              <w:rPr>
                <w:noProof/>
                <w:webHidden/>
              </w:rPr>
              <w:fldChar w:fldCharType="end"/>
            </w:r>
          </w:hyperlink>
        </w:p>
        <w:p w14:paraId="3CB0850D" w14:textId="34B5C5BE" w:rsidR="007377B8" w:rsidRDefault="00ED7524">
          <w:pPr>
            <w:pStyle w:val="Kazalovsebine1"/>
            <w:tabs>
              <w:tab w:val="left" w:pos="440"/>
              <w:tab w:val="right" w:leader="dot" w:pos="9062"/>
            </w:tabs>
            <w:rPr>
              <w:rFonts w:cstheme="minorBidi"/>
              <w:noProof/>
              <w:sz w:val="22"/>
            </w:rPr>
          </w:pPr>
          <w:hyperlink w:anchor="_Toc51140520" w:history="1">
            <w:r w:rsidR="007377B8" w:rsidRPr="00AA05CC">
              <w:rPr>
                <w:rStyle w:val="Hiperpovezava"/>
                <w:noProof/>
              </w:rPr>
              <w:t>7.</w:t>
            </w:r>
            <w:r w:rsidR="007377B8">
              <w:rPr>
                <w:rFonts w:cstheme="minorBidi"/>
                <w:noProof/>
                <w:sz w:val="22"/>
              </w:rPr>
              <w:tab/>
            </w:r>
            <w:r w:rsidR="007377B8" w:rsidRPr="00AA05CC">
              <w:rPr>
                <w:rStyle w:val="Hiperpovezava"/>
                <w:noProof/>
              </w:rPr>
              <w:t>ZAKLJUČEK</w:t>
            </w:r>
            <w:r w:rsidR="007377B8">
              <w:rPr>
                <w:noProof/>
                <w:webHidden/>
              </w:rPr>
              <w:tab/>
            </w:r>
            <w:r w:rsidR="007377B8">
              <w:rPr>
                <w:noProof/>
                <w:webHidden/>
              </w:rPr>
              <w:fldChar w:fldCharType="begin"/>
            </w:r>
            <w:r w:rsidR="007377B8">
              <w:rPr>
                <w:noProof/>
                <w:webHidden/>
              </w:rPr>
              <w:instrText xml:space="preserve"> PAGEREF _Toc51140520 \h </w:instrText>
            </w:r>
            <w:r w:rsidR="007377B8">
              <w:rPr>
                <w:noProof/>
                <w:webHidden/>
              </w:rPr>
            </w:r>
            <w:r w:rsidR="007377B8">
              <w:rPr>
                <w:noProof/>
                <w:webHidden/>
              </w:rPr>
              <w:fldChar w:fldCharType="separate"/>
            </w:r>
            <w:r w:rsidR="007377B8">
              <w:rPr>
                <w:noProof/>
                <w:webHidden/>
              </w:rPr>
              <w:t>41</w:t>
            </w:r>
            <w:r w:rsidR="007377B8">
              <w:rPr>
                <w:noProof/>
                <w:webHidden/>
              </w:rPr>
              <w:fldChar w:fldCharType="end"/>
            </w:r>
          </w:hyperlink>
        </w:p>
        <w:p w14:paraId="5AED1611" w14:textId="76B634E8" w:rsidR="007377B8" w:rsidRDefault="00ED7524">
          <w:pPr>
            <w:pStyle w:val="Kazalovsebine1"/>
            <w:tabs>
              <w:tab w:val="right" w:leader="dot" w:pos="9062"/>
            </w:tabs>
            <w:rPr>
              <w:rFonts w:cstheme="minorBidi"/>
              <w:noProof/>
              <w:sz w:val="22"/>
            </w:rPr>
          </w:pPr>
          <w:hyperlink w:anchor="_Toc51140521" w:history="1">
            <w:r w:rsidR="007377B8" w:rsidRPr="00AA05CC">
              <w:rPr>
                <w:rStyle w:val="Hiperpovezava"/>
                <w:noProof/>
              </w:rPr>
              <w:t>PRILOGE</w:t>
            </w:r>
            <w:r w:rsidR="007377B8">
              <w:rPr>
                <w:noProof/>
                <w:webHidden/>
              </w:rPr>
              <w:tab/>
            </w:r>
            <w:r w:rsidR="007377B8">
              <w:rPr>
                <w:noProof/>
                <w:webHidden/>
              </w:rPr>
              <w:fldChar w:fldCharType="begin"/>
            </w:r>
            <w:r w:rsidR="007377B8">
              <w:rPr>
                <w:noProof/>
                <w:webHidden/>
              </w:rPr>
              <w:instrText xml:space="preserve"> PAGEREF _Toc51140521 \h </w:instrText>
            </w:r>
            <w:r w:rsidR="007377B8">
              <w:rPr>
                <w:noProof/>
                <w:webHidden/>
              </w:rPr>
            </w:r>
            <w:r w:rsidR="007377B8">
              <w:rPr>
                <w:noProof/>
                <w:webHidden/>
              </w:rPr>
              <w:fldChar w:fldCharType="separate"/>
            </w:r>
            <w:r w:rsidR="007377B8">
              <w:rPr>
                <w:noProof/>
                <w:webHidden/>
              </w:rPr>
              <w:t>42</w:t>
            </w:r>
            <w:r w:rsidR="007377B8">
              <w:rPr>
                <w:noProof/>
                <w:webHidden/>
              </w:rPr>
              <w:fldChar w:fldCharType="end"/>
            </w:r>
          </w:hyperlink>
        </w:p>
        <w:p w14:paraId="44295C16" w14:textId="0101D145" w:rsidR="003810A7" w:rsidRDefault="0063267A">
          <w:r>
            <w:rPr>
              <w:b/>
              <w:bCs/>
            </w:rPr>
            <w:fldChar w:fldCharType="end"/>
          </w:r>
        </w:p>
      </w:sdtContent>
    </w:sdt>
    <w:p w14:paraId="01BEA252" w14:textId="77777777" w:rsidR="003810A7" w:rsidRDefault="003810A7">
      <w:pPr>
        <w:rPr>
          <w:caps/>
          <w:color w:val="FFFFFF" w:themeColor="background1"/>
          <w:spacing w:val="15"/>
          <w:szCs w:val="22"/>
        </w:rPr>
      </w:pPr>
      <w:r>
        <w:br w:type="page"/>
      </w:r>
    </w:p>
    <w:p w14:paraId="0965CD9A" w14:textId="77777777" w:rsidR="00E30BB1" w:rsidRPr="009B538E" w:rsidRDefault="00D26F85" w:rsidP="00E30BB1">
      <w:pPr>
        <w:pStyle w:val="Naslov1"/>
        <w:rPr>
          <w:sz w:val="20"/>
        </w:rPr>
      </w:pPr>
      <w:bookmarkStart w:id="1" w:name="_Toc51140492"/>
      <w:r w:rsidRPr="009B538E">
        <w:rPr>
          <w:sz w:val="20"/>
        </w:rPr>
        <w:lastRenderedPageBreak/>
        <w:t>UVOD</w:t>
      </w:r>
      <w:bookmarkEnd w:id="1"/>
    </w:p>
    <w:p w14:paraId="218D4E10" w14:textId="76C2916B" w:rsidR="007B721C" w:rsidRDefault="00F915F5" w:rsidP="00D45E94">
      <w:pPr>
        <w:jc w:val="both"/>
      </w:pPr>
      <w:r>
        <w:t>Industrija s svojo izvozno usmerjenostjo in inovativnostjo predstavlja temelje blaginje in razvoja Slovenije</w:t>
      </w:r>
      <w:r w:rsidR="00B25468">
        <w:t xml:space="preserve"> ter je vitalni del njenega gospodarstva, zato ji je treba nameniti ustrezno pozornost</w:t>
      </w:r>
      <w:r w:rsidR="00B25468" w:rsidRPr="00FD4C45">
        <w:t>.</w:t>
      </w:r>
      <w:r>
        <w:t xml:space="preserve"> V ožjem smislu se industrija nanaša na </w:t>
      </w:r>
      <w:r w:rsidR="00EB54E3">
        <w:t>proizvodno</w:t>
      </w:r>
      <w:r w:rsidR="00587B29" w:rsidRPr="00FD4C45">
        <w:t>-</w:t>
      </w:r>
      <w:r>
        <w:t xml:space="preserve">predelovalne dejavnosti, ki v Sloveniji zaposlujejo </w:t>
      </w:r>
      <w:r w:rsidRPr="00410167">
        <w:t xml:space="preserve">preko </w:t>
      </w:r>
      <w:r w:rsidR="007F2173" w:rsidRPr="00410167">
        <w:t>201.</w:t>
      </w:r>
      <w:r w:rsidR="00355D82">
        <w:t>722</w:t>
      </w:r>
      <w:r w:rsidRPr="00410167">
        <w:t xml:space="preserve"> ljudi v </w:t>
      </w:r>
      <w:r w:rsidR="007F2173" w:rsidRPr="00410167">
        <w:t>19</w:t>
      </w:r>
      <w:r w:rsidR="00355D82">
        <w:t>.671</w:t>
      </w:r>
      <w:r w:rsidRPr="00410167">
        <w:t xml:space="preserve"> podjetjih.</w:t>
      </w:r>
      <w:r>
        <w:t xml:space="preserve"> </w:t>
      </w:r>
      <w:r w:rsidR="00DA748C" w:rsidRPr="00DA748C">
        <w:t xml:space="preserve">Slovenska predelovalna dejavnost je v letu 2019 skupno prispevala 23,2 % k dodani vrednosti gospodarstva, kar jo uvršča na </w:t>
      </w:r>
      <w:r w:rsidR="00DA748C" w:rsidRPr="00FD4C45">
        <w:t>tretj</w:t>
      </w:r>
      <w:r w:rsidR="00587B29" w:rsidRPr="00FD4C45">
        <w:t>e</w:t>
      </w:r>
      <w:r w:rsidR="00DA748C" w:rsidRPr="00DA748C">
        <w:t xml:space="preserve"> mesto v EU-27, za Irsko in Češko. Povprečje EU-27 je 16,7 %. </w:t>
      </w:r>
      <w:r w:rsidR="00DA748C">
        <w:t>Slovenska</w:t>
      </w:r>
      <w:r>
        <w:t xml:space="preserve"> podjetja </w:t>
      </w:r>
      <w:r w:rsidR="00DA748C">
        <w:t xml:space="preserve">v predelovalni dejavnosti </w:t>
      </w:r>
      <w:r>
        <w:t xml:space="preserve">ustvarijo skoraj tretjino celotne prodaje in dve tretjini celotnega izvoza. </w:t>
      </w:r>
      <w:r w:rsidR="006E31C7">
        <w:t>Predelovalne dejavnosti so</w:t>
      </w:r>
      <w:r w:rsidR="007B721C">
        <w:t xml:space="preserve"> </w:t>
      </w:r>
      <w:r w:rsidR="007B721C" w:rsidRPr="006E31C7">
        <w:t>zaslužn</w:t>
      </w:r>
      <w:r w:rsidR="006E31C7" w:rsidRPr="006E31C7">
        <w:t>e</w:t>
      </w:r>
      <w:r w:rsidR="007B721C" w:rsidRPr="006E31C7">
        <w:t xml:space="preserve"> za okoli </w:t>
      </w:r>
      <w:r w:rsidR="006E31C7" w:rsidRPr="006E31C7">
        <w:t>7</w:t>
      </w:r>
      <w:r w:rsidR="007B721C" w:rsidRPr="006E31C7">
        <w:t>5</w:t>
      </w:r>
      <w:r w:rsidR="00355D82">
        <w:t xml:space="preserve"> </w:t>
      </w:r>
      <w:r w:rsidR="007B721C" w:rsidRPr="006E31C7">
        <w:t>%</w:t>
      </w:r>
      <w:r w:rsidR="00355D82">
        <w:t xml:space="preserve"> </w:t>
      </w:r>
      <w:r w:rsidR="007B721C" w:rsidRPr="006E31C7">
        <w:t>vlaganj v raziskave in razvoj</w:t>
      </w:r>
      <w:r w:rsidR="00355D82">
        <w:t xml:space="preserve"> (RRD)</w:t>
      </w:r>
      <w:r w:rsidR="006E31C7" w:rsidRPr="006E31C7">
        <w:t xml:space="preserve"> v </w:t>
      </w:r>
      <w:r w:rsidR="00355D82">
        <w:t>poslovnem</w:t>
      </w:r>
      <w:r w:rsidR="006E31C7" w:rsidRPr="006E31C7">
        <w:t xml:space="preserve"> sektorju</w:t>
      </w:r>
      <w:r w:rsidR="007B721C" w:rsidRPr="006E31C7">
        <w:t xml:space="preserve">. </w:t>
      </w:r>
      <w:r w:rsidRPr="006E31C7">
        <w:t>Poleg tega je na industrijo</w:t>
      </w:r>
      <w:r>
        <w:t xml:space="preserve"> vezanih več kot četrtina storitvenih dejavnosti.</w:t>
      </w:r>
      <w:r w:rsidR="00D45E94">
        <w:t xml:space="preserve"> </w:t>
      </w:r>
      <w:r w:rsidR="007B721C">
        <w:t>M</w:t>
      </w:r>
      <w:r w:rsidR="007B721C" w:rsidRPr="007B721C">
        <w:t xml:space="preserve">eje med proizvodnjo in storitvami so postale zamegljene in interakcije med storitvami in proizvodnjo se </w:t>
      </w:r>
      <w:r w:rsidR="003947C5" w:rsidRPr="007B721C">
        <w:t xml:space="preserve">v vseh panogah </w:t>
      </w:r>
      <w:r w:rsidR="007B721C" w:rsidRPr="007B721C">
        <w:t>povečujejo.</w:t>
      </w:r>
      <w:r w:rsidR="007B721C">
        <w:t xml:space="preserve"> </w:t>
      </w:r>
      <w:r w:rsidR="00924AA2">
        <w:t xml:space="preserve">Zato pričujoča industrijska strategija zajema širši pogled na industrijo in vključuje tudi z njo povezane storitve. </w:t>
      </w:r>
    </w:p>
    <w:p w14:paraId="44F8805D" w14:textId="77777777" w:rsidR="00A501C0" w:rsidRDefault="0065682E" w:rsidP="00A501C0">
      <w:pPr>
        <w:jc w:val="both"/>
      </w:pPr>
      <w:r w:rsidRPr="0065682E">
        <w:rPr>
          <w:rFonts w:ascii="Trebuchet MS" w:hAnsi="Trebuchet MS" w:cstheme="minorHAnsi"/>
          <w:color w:val="000000"/>
          <w:szCs w:val="22"/>
        </w:rPr>
        <w:t xml:space="preserve">Industrijska </w:t>
      </w:r>
      <w:r w:rsidR="00476BFB">
        <w:rPr>
          <w:rFonts w:ascii="Trebuchet MS" w:hAnsi="Trebuchet MS" w:cstheme="minorHAnsi"/>
          <w:color w:val="000000"/>
          <w:szCs w:val="22"/>
        </w:rPr>
        <w:t>strategija</w:t>
      </w:r>
      <w:r w:rsidRPr="0065682E">
        <w:rPr>
          <w:rFonts w:ascii="Trebuchet MS" w:hAnsi="Trebuchet MS" w:cstheme="minorHAnsi"/>
          <w:color w:val="000000"/>
          <w:szCs w:val="22"/>
        </w:rPr>
        <w:t xml:space="preserve"> povezuje različne industrijske verige, velika podjetja, </w:t>
      </w:r>
      <w:proofErr w:type="spellStart"/>
      <w:r w:rsidR="0049700B">
        <w:rPr>
          <w:rFonts w:ascii="Trebuchet MS" w:hAnsi="Trebuchet MS" w:cstheme="minorHAnsi"/>
          <w:color w:val="000000"/>
          <w:szCs w:val="22"/>
        </w:rPr>
        <w:t>mikro</w:t>
      </w:r>
      <w:proofErr w:type="spellEnd"/>
      <w:r w:rsidR="0049700B">
        <w:rPr>
          <w:rFonts w:ascii="Trebuchet MS" w:hAnsi="Trebuchet MS" w:cstheme="minorHAnsi"/>
          <w:color w:val="000000"/>
          <w:szCs w:val="22"/>
        </w:rPr>
        <w:t xml:space="preserve">, </w:t>
      </w:r>
      <w:r w:rsidR="00FD402D">
        <w:rPr>
          <w:rFonts w:ascii="Trebuchet MS" w:hAnsi="Trebuchet MS" w:cstheme="minorHAnsi"/>
          <w:color w:val="000000"/>
          <w:szCs w:val="22"/>
        </w:rPr>
        <w:t>mala in srednje velika</w:t>
      </w:r>
      <w:r w:rsidRPr="0065682E">
        <w:rPr>
          <w:rFonts w:ascii="Trebuchet MS" w:hAnsi="Trebuchet MS" w:cstheme="minorHAnsi"/>
          <w:color w:val="000000"/>
          <w:szCs w:val="22"/>
        </w:rPr>
        <w:t xml:space="preserve"> podjetja</w:t>
      </w:r>
      <w:r w:rsidR="0049700B">
        <w:rPr>
          <w:rFonts w:ascii="Trebuchet MS" w:hAnsi="Trebuchet MS" w:cstheme="minorHAnsi"/>
          <w:color w:val="000000"/>
          <w:szCs w:val="22"/>
        </w:rPr>
        <w:t>, vključno z zagonskimi podjetji</w:t>
      </w:r>
      <w:r w:rsidR="00FD402D">
        <w:rPr>
          <w:rFonts w:ascii="Trebuchet MS" w:hAnsi="Trebuchet MS" w:cstheme="minorHAnsi"/>
          <w:color w:val="000000"/>
          <w:szCs w:val="22"/>
        </w:rPr>
        <w:t xml:space="preserve"> (v nadaljevanju MSP</w:t>
      </w:r>
      <w:r w:rsidR="00FD402D" w:rsidRPr="00FD4C45">
        <w:rPr>
          <w:rFonts w:ascii="Trebuchet MS" w:hAnsi="Trebuchet MS" w:cstheme="minorHAnsi"/>
          <w:color w:val="000000"/>
        </w:rPr>
        <w:t>)</w:t>
      </w:r>
      <w:r w:rsidRPr="00FD4C45">
        <w:rPr>
          <w:rFonts w:ascii="Trebuchet MS" w:hAnsi="Trebuchet MS" w:cstheme="minorHAnsi"/>
          <w:color w:val="000000"/>
        </w:rPr>
        <w:t>,</w:t>
      </w:r>
      <w:r w:rsidRPr="0065682E">
        <w:rPr>
          <w:rFonts w:ascii="Trebuchet MS" w:hAnsi="Trebuchet MS" w:cstheme="minorHAnsi"/>
          <w:color w:val="000000"/>
          <w:szCs w:val="22"/>
        </w:rPr>
        <w:t xml:space="preserve"> akademske in raziskovalne inštitute</w:t>
      </w:r>
      <w:r w:rsidR="00FD402D">
        <w:rPr>
          <w:rFonts w:ascii="Trebuchet MS" w:hAnsi="Trebuchet MS" w:cstheme="minorHAnsi"/>
          <w:color w:val="000000"/>
          <w:szCs w:val="22"/>
        </w:rPr>
        <w:t xml:space="preserve"> ter druge deležnike</w:t>
      </w:r>
      <w:r w:rsidRPr="0065682E">
        <w:rPr>
          <w:rFonts w:ascii="Trebuchet MS" w:hAnsi="Trebuchet MS" w:cstheme="minorHAnsi"/>
          <w:color w:val="000000"/>
          <w:szCs w:val="22"/>
        </w:rPr>
        <w:t xml:space="preserve">. </w:t>
      </w:r>
      <w:r w:rsidR="00FD402D">
        <w:rPr>
          <w:rFonts w:ascii="Trebuchet MS" w:hAnsi="Trebuchet MS" w:cstheme="minorHAnsi"/>
          <w:color w:val="000000"/>
          <w:szCs w:val="22"/>
        </w:rPr>
        <w:t xml:space="preserve">Glavno gonilo razvoja so </w:t>
      </w:r>
      <w:r w:rsidR="00A501C0">
        <w:rPr>
          <w:rFonts w:ascii="Trebuchet MS" w:hAnsi="Trebuchet MS" w:cstheme="minorHAnsi"/>
          <w:color w:val="000000"/>
          <w:szCs w:val="22"/>
        </w:rPr>
        <w:t>r</w:t>
      </w:r>
      <w:r w:rsidR="00FD402D">
        <w:rPr>
          <w:rFonts w:ascii="Trebuchet MS" w:hAnsi="Trebuchet MS" w:cstheme="minorHAnsi"/>
          <w:color w:val="000000"/>
          <w:szCs w:val="22"/>
        </w:rPr>
        <w:t xml:space="preserve">aziskave, razvoj in inovacije. Ena izmed </w:t>
      </w:r>
      <w:r w:rsidR="004512E4">
        <w:rPr>
          <w:rFonts w:ascii="Trebuchet MS" w:hAnsi="Trebuchet MS" w:cstheme="minorHAnsi"/>
          <w:color w:val="000000"/>
          <w:szCs w:val="22"/>
        </w:rPr>
        <w:t>ključnih</w:t>
      </w:r>
      <w:r w:rsidR="00FD402D">
        <w:rPr>
          <w:rFonts w:ascii="Trebuchet MS" w:hAnsi="Trebuchet MS" w:cstheme="minorHAnsi"/>
          <w:color w:val="000000"/>
          <w:szCs w:val="22"/>
        </w:rPr>
        <w:t xml:space="preserve"> nalog </w:t>
      </w:r>
      <w:r w:rsidR="00711DCA">
        <w:rPr>
          <w:rFonts w:ascii="Trebuchet MS" w:hAnsi="Trebuchet MS" w:cstheme="minorHAnsi"/>
          <w:color w:val="000000"/>
          <w:szCs w:val="22"/>
        </w:rPr>
        <w:t>strategije</w:t>
      </w:r>
      <w:r w:rsidR="00FD402D">
        <w:rPr>
          <w:rFonts w:ascii="Trebuchet MS" w:hAnsi="Trebuchet MS" w:cstheme="minorHAnsi"/>
          <w:color w:val="000000"/>
          <w:szCs w:val="22"/>
        </w:rPr>
        <w:t xml:space="preserve"> je, da </w:t>
      </w:r>
      <w:r w:rsidR="004512E4">
        <w:rPr>
          <w:rFonts w:ascii="Trebuchet MS" w:hAnsi="Trebuchet MS" w:cstheme="minorHAnsi"/>
          <w:color w:val="000000"/>
          <w:szCs w:val="22"/>
        </w:rPr>
        <w:t xml:space="preserve">ustvari pogoje za </w:t>
      </w:r>
      <w:r w:rsidR="00FD402D">
        <w:rPr>
          <w:rFonts w:ascii="Trebuchet MS" w:hAnsi="Trebuchet MS" w:cstheme="minorHAnsi"/>
          <w:color w:val="000000"/>
          <w:szCs w:val="22"/>
        </w:rPr>
        <w:t>povez</w:t>
      </w:r>
      <w:r w:rsidR="004512E4">
        <w:rPr>
          <w:rFonts w:ascii="Trebuchet MS" w:hAnsi="Trebuchet MS" w:cstheme="minorHAnsi"/>
          <w:color w:val="000000"/>
          <w:szCs w:val="22"/>
        </w:rPr>
        <w:t>ovanje</w:t>
      </w:r>
      <w:r w:rsidR="00FD402D">
        <w:rPr>
          <w:rFonts w:ascii="Trebuchet MS" w:hAnsi="Trebuchet MS" w:cstheme="minorHAnsi"/>
          <w:color w:val="000000"/>
          <w:szCs w:val="22"/>
        </w:rPr>
        <w:t xml:space="preserve"> različn</w:t>
      </w:r>
      <w:r w:rsidR="004512E4">
        <w:rPr>
          <w:rFonts w:ascii="Trebuchet MS" w:hAnsi="Trebuchet MS" w:cstheme="minorHAnsi"/>
          <w:color w:val="000000"/>
          <w:szCs w:val="22"/>
        </w:rPr>
        <w:t>ih</w:t>
      </w:r>
      <w:r w:rsidR="00FD402D">
        <w:rPr>
          <w:rFonts w:ascii="Trebuchet MS" w:hAnsi="Trebuchet MS" w:cstheme="minorHAnsi"/>
          <w:color w:val="000000"/>
          <w:szCs w:val="22"/>
        </w:rPr>
        <w:t xml:space="preserve"> akterje</w:t>
      </w:r>
      <w:r w:rsidR="004512E4">
        <w:rPr>
          <w:rFonts w:ascii="Trebuchet MS" w:hAnsi="Trebuchet MS" w:cstheme="minorHAnsi"/>
          <w:color w:val="000000"/>
          <w:szCs w:val="22"/>
        </w:rPr>
        <w:t>v</w:t>
      </w:r>
      <w:r w:rsidR="00FD402D">
        <w:rPr>
          <w:rFonts w:ascii="Trebuchet MS" w:hAnsi="Trebuchet MS" w:cstheme="minorHAnsi"/>
          <w:color w:val="000000"/>
          <w:szCs w:val="22"/>
        </w:rPr>
        <w:t xml:space="preserve"> in za učenje </w:t>
      </w:r>
      <w:r w:rsidR="004512E4">
        <w:rPr>
          <w:rFonts w:ascii="Trebuchet MS" w:hAnsi="Trebuchet MS" w:cstheme="minorHAnsi"/>
          <w:color w:val="000000"/>
          <w:szCs w:val="22"/>
        </w:rPr>
        <w:t>ter</w:t>
      </w:r>
      <w:r w:rsidR="00FD402D">
        <w:rPr>
          <w:rFonts w:ascii="Trebuchet MS" w:hAnsi="Trebuchet MS" w:cstheme="minorHAnsi"/>
          <w:color w:val="000000"/>
          <w:szCs w:val="22"/>
        </w:rPr>
        <w:t xml:space="preserve"> izpeljavo novih inovativnih projektov, ki premikajo meje razvoja.</w:t>
      </w:r>
      <w:r w:rsidR="00A501C0">
        <w:rPr>
          <w:rFonts w:ascii="Trebuchet MS" w:hAnsi="Trebuchet MS" w:cstheme="minorHAnsi"/>
          <w:color w:val="000000"/>
          <w:szCs w:val="22"/>
        </w:rPr>
        <w:t xml:space="preserve"> </w:t>
      </w:r>
      <w:r w:rsidR="00A501C0">
        <w:t>Nove tehnologije, dolžina življenjskega cikla izdelkov, nujnost izkoriščenja surovin iz odpadkov in naraščajoča globalna konkurenca povečujejo pomen inovacij ne le za prihodnji razvoj podjetij, temveč tudi za njihovo preživetje na dolgi rok.</w:t>
      </w:r>
      <w:r w:rsidR="00A501C0" w:rsidRPr="00842E64">
        <w:t xml:space="preserve"> </w:t>
      </w:r>
      <w:r w:rsidR="00A501C0">
        <w:t>Zaradi prepletanja in soodvisnosti naštetih izzivov je treba iskati sistemske rešitve.</w:t>
      </w:r>
    </w:p>
    <w:p w14:paraId="0C614219" w14:textId="77777777" w:rsidR="00FD402D" w:rsidRDefault="00FD402D" w:rsidP="00FD402D">
      <w:pPr>
        <w:jc w:val="both"/>
      </w:pPr>
      <w:r>
        <w:t>Industrija v Sloveniji se je skozi čas nenehno spreminjala:</w:t>
      </w:r>
      <w:r w:rsidRPr="00D45E94">
        <w:t xml:space="preserve"> </w:t>
      </w:r>
      <w:r>
        <w:t xml:space="preserve">od delovno intenzivne v tehnološko intenzivno, od  predelave  surovin v  izdelavo vse zahtevnejših visokotehnoloških izdelkov,  od  manj zahtevnih trgov do najbolj zahtevnih, od velikih emisijsko intenzivnih tovarn v sodobne </w:t>
      </w:r>
      <w:proofErr w:type="spellStart"/>
      <w:r>
        <w:t>nizkoogljične</w:t>
      </w:r>
      <w:proofErr w:type="spellEnd"/>
      <w:r>
        <w:t xml:space="preserve"> pametne tovarne prihodnosti</w:t>
      </w:r>
      <w:r w:rsidR="003378DB" w:rsidRPr="003378DB">
        <w:t xml:space="preserve">, kar nam omogoča </w:t>
      </w:r>
      <w:r w:rsidR="00711DCA">
        <w:t>tehnološki napredek</w:t>
      </w:r>
      <w:r w:rsidR="00FE0878">
        <w:t>,</w:t>
      </w:r>
      <w:r w:rsidR="00711DCA">
        <w:t xml:space="preserve"> vključno z </w:t>
      </w:r>
      <w:r w:rsidR="003378DB" w:rsidRPr="003378DB">
        <w:t>digitalizacij</w:t>
      </w:r>
      <w:r w:rsidR="00711DCA">
        <w:t>o</w:t>
      </w:r>
      <w:r>
        <w:t>.</w:t>
      </w:r>
    </w:p>
    <w:p w14:paraId="0A316DD6" w14:textId="67402DB6" w:rsidR="00842E64" w:rsidRDefault="00FD402D" w:rsidP="00842E64">
      <w:pPr>
        <w:jc w:val="both"/>
      </w:pPr>
      <w:r>
        <w:t xml:space="preserve">Ta preobrazba še zdaleč ni končana. </w:t>
      </w:r>
      <w:r w:rsidR="00F35E4C">
        <w:t xml:space="preserve">Industrija v Evropi in svetu doživlja preporod. </w:t>
      </w:r>
      <w:r w:rsidR="00711DCA">
        <w:t>T</w:t>
      </w:r>
      <w:r w:rsidR="00574CA8" w:rsidRPr="00600C9A">
        <w:t xml:space="preserve">rendi, kot so digitalizacija in prehod v </w:t>
      </w:r>
      <w:proofErr w:type="spellStart"/>
      <w:r w:rsidR="00574CA8" w:rsidRPr="00600C9A">
        <w:t>nizkoogljično</w:t>
      </w:r>
      <w:proofErr w:type="spellEnd"/>
      <w:r w:rsidR="00574CA8" w:rsidRPr="00600C9A">
        <w:t xml:space="preserve"> krožno gospodarstvo</w:t>
      </w:r>
      <w:r>
        <w:t xml:space="preserve">, temeljito spreminjajo okolje in način delovanja gospodarstva. S seboj prinašajo ogromno priložnosti, a hkrati tudi izzivov, s katerimi se je potrebno soočiti. </w:t>
      </w:r>
      <w:r w:rsidRPr="0049700B">
        <w:t xml:space="preserve">Ritem razvoja, </w:t>
      </w:r>
      <w:r w:rsidR="0049700B" w:rsidRPr="0049700B">
        <w:t>ki ga</w:t>
      </w:r>
      <w:r w:rsidRPr="0049700B">
        <w:t xml:space="preserve"> narekujejo nove tehnologije in družbeni izzivi</w:t>
      </w:r>
      <w:r w:rsidR="005D2A64">
        <w:t>,</w:t>
      </w:r>
      <w:r w:rsidRPr="0049700B">
        <w:t xml:space="preserve"> kot so globalizacija, boj proti podnebnim spremembam, potreba po učinkovitejši rabi surovin, demografske spremembe</w:t>
      </w:r>
      <w:r w:rsidR="0049700B" w:rsidRPr="0049700B">
        <w:t xml:space="preserve"> in zdravstveni izzivi, je čedalje hitrejši</w:t>
      </w:r>
      <w:r w:rsidRPr="0049700B">
        <w:t>.</w:t>
      </w:r>
      <w:r w:rsidR="0095614E" w:rsidRPr="0049700B">
        <w:rPr>
          <w:i/>
        </w:rPr>
        <w:t xml:space="preserve"> </w:t>
      </w:r>
      <w:r w:rsidR="0095614E">
        <w:t xml:space="preserve">Glede na </w:t>
      </w:r>
      <w:r w:rsidR="00842E64">
        <w:t xml:space="preserve">pričakovani trend naraščanja cen surovin in energentov je treba spodbujati razvoj tistih področij gospodarstva, ki bodo dolgoročno zahtevali čim manj surovin za ustvarjanje (nove) dodane vrednosti. Hkrati s tem pa je seveda treba vzpostaviti pogoje, da bodo obstoječi gospodarski sistemi lahko </w:t>
      </w:r>
      <w:r w:rsidR="00A501C0">
        <w:t>naslavljali</w:t>
      </w:r>
      <w:r w:rsidR="00842E64">
        <w:t xml:space="preserve"> zahtevan</w:t>
      </w:r>
      <w:r w:rsidR="00A501C0">
        <w:t>e</w:t>
      </w:r>
      <w:r w:rsidR="00842E64">
        <w:t xml:space="preserve"> sprememb</w:t>
      </w:r>
      <w:r w:rsidR="00A501C0">
        <w:t>e za dosego zelenega in digitalnega prehoda.</w:t>
      </w:r>
      <w:r w:rsidR="00842E64">
        <w:t xml:space="preserve"> </w:t>
      </w:r>
    </w:p>
    <w:p w14:paraId="254F596D" w14:textId="77777777" w:rsidR="00842E64" w:rsidRDefault="00FD402D" w:rsidP="00842E64">
      <w:pPr>
        <w:jc w:val="both"/>
      </w:pPr>
      <w:r>
        <w:t>Industrija mora slediti</w:t>
      </w:r>
      <w:r w:rsidR="00711DCA">
        <w:t>,</w:t>
      </w:r>
      <w:r>
        <w:t xml:space="preserve"> soustvarjati trende</w:t>
      </w:r>
      <w:r w:rsidR="00711DCA">
        <w:t xml:space="preserve"> in</w:t>
      </w:r>
      <w:r>
        <w:t xml:space="preserve"> se stalno posodabljati, da ostane konkurenčna in dviguje produktivnost. To velja tudi za tradicionalne industrije, ki se digitalizirajo, postajajo »pametne« in stremijo k znižanju okoljskega odtisa. </w:t>
      </w:r>
      <w:r w:rsidR="00842E64">
        <w:t>Če želimo doseči podnebno nevtralnost</w:t>
      </w:r>
      <w:r w:rsidR="00711DCA">
        <w:t xml:space="preserve"> do leta 2050</w:t>
      </w:r>
      <w:r w:rsidR="00842E64">
        <w:t xml:space="preserve"> in preiti v </w:t>
      </w:r>
      <w:proofErr w:type="spellStart"/>
      <w:r w:rsidR="00711DCA">
        <w:t>nizkoogljično</w:t>
      </w:r>
      <w:proofErr w:type="spellEnd"/>
      <w:r w:rsidR="00711DCA">
        <w:t xml:space="preserve"> </w:t>
      </w:r>
      <w:r w:rsidR="00842E64">
        <w:t>krožno gospodarstvo</w:t>
      </w:r>
      <w:r w:rsidR="008444EF" w:rsidRPr="00FD4C45">
        <w:t>,</w:t>
      </w:r>
      <w:r w:rsidR="00842E64">
        <w:t xml:space="preserve"> so nujne tudi spremembe potrošniških navad</w:t>
      </w:r>
      <w:r w:rsidR="008444EF" w:rsidRPr="00FD4C45">
        <w:t>,</w:t>
      </w:r>
      <w:r w:rsidR="00842E64">
        <w:t xml:space="preserve"> česar brez proaktivne vloge industrije ne bo možno doseči.</w:t>
      </w:r>
      <w:r w:rsidR="00842E64" w:rsidRPr="00842E64">
        <w:t xml:space="preserve"> </w:t>
      </w:r>
      <w:r w:rsidR="00842E64">
        <w:t xml:space="preserve">Posledično bo to prispevalo k dvigu družbene odgovornosti in </w:t>
      </w:r>
      <w:r w:rsidR="00842E64" w:rsidRPr="00FD4C45">
        <w:t>mednarodnem</w:t>
      </w:r>
      <w:r w:rsidR="008444EF" w:rsidRPr="00FD4C45">
        <w:t>u</w:t>
      </w:r>
      <w:r w:rsidR="00842E64">
        <w:t xml:space="preserve"> ugledu slovenskih podjetij. </w:t>
      </w:r>
    </w:p>
    <w:p w14:paraId="7026644A" w14:textId="7315601F" w:rsidR="00FD402D" w:rsidRDefault="00FD402D" w:rsidP="00FD402D">
      <w:pPr>
        <w:jc w:val="both"/>
      </w:pPr>
      <w:r w:rsidRPr="00D45E94">
        <w:rPr>
          <w:b/>
        </w:rPr>
        <w:t>Cilj</w:t>
      </w:r>
      <w:r>
        <w:t xml:space="preserve"> je oblikovati </w:t>
      </w:r>
      <w:r w:rsidRPr="00054E30">
        <w:rPr>
          <w:b/>
        </w:rPr>
        <w:t xml:space="preserve">trajnostno industrijsko </w:t>
      </w:r>
      <w:r w:rsidR="00711DCA">
        <w:rPr>
          <w:b/>
        </w:rPr>
        <w:t>strategijo</w:t>
      </w:r>
      <w:r>
        <w:t xml:space="preserve">, ki bo </w:t>
      </w:r>
      <w:r w:rsidR="00537010">
        <w:t>skladno s strategijo</w:t>
      </w:r>
      <w:r>
        <w:t xml:space="preserve"> </w:t>
      </w:r>
      <w:r w:rsidRPr="00FD402D">
        <w:t>pametne specializacije</w:t>
      </w:r>
      <w:r w:rsidR="00537010">
        <w:t xml:space="preserve"> in drugimi razvojnimi usmeritvami</w:t>
      </w:r>
      <w:r>
        <w:t xml:space="preserve"> spodbujala inovativne rešitve, vpeljavo najsodobnejših tehnologij ter prehod na </w:t>
      </w:r>
      <w:proofErr w:type="spellStart"/>
      <w:r w:rsidR="00C949A5" w:rsidRPr="00600C9A">
        <w:rPr>
          <w:b/>
        </w:rPr>
        <w:t>nizkoogljično</w:t>
      </w:r>
      <w:proofErr w:type="spellEnd"/>
      <w:r w:rsidR="00C949A5" w:rsidRPr="00600C9A">
        <w:rPr>
          <w:b/>
        </w:rPr>
        <w:t xml:space="preserve"> </w:t>
      </w:r>
      <w:r w:rsidRPr="00054E30">
        <w:rPr>
          <w:b/>
        </w:rPr>
        <w:t>krožno gospodarstvo</w:t>
      </w:r>
      <w:r>
        <w:t>.</w:t>
      </w:r>
      <w:r w:rsidR="00262EB0">
        <w:t xml:space="preserve"> Čas je za novo industrijsko </w:t>
      </w:r>
      <w:r w:rsidR="00711DCA">
        <w:t>strategijo</w:t>
      </w:r>
      <w:r w:rsidR="00262EB0">
        <w:t xml:space="preserve">, ki bo upoštevala tudi primerjalne prednosti Slovenije in spremenjene </w:t>
      </w:r>
      <w:r w:rsidR="00262EB0">
        <w:lastRenderedPageBreak/>
        <w:t xml:space="preserve">okoliščine v svetu, </w:t>
      </w:r>
      <w:r w:rsidR="00054E30">
        <w:t>ki so</w:t>
      </w:r>
      <w:r w:rsidR="00262EB0">
        <w:t xml:space="preserve"> posledic</w:t>
      </w:r>
      <w:r w:rsidR="00054E30">
        <w:t>a</w:t>
      </w:r>
      <w:r w:rsidR="00262EB0">
        <w:t xml:space="preserve"> vedno težjega obvladovanja podnebnih sprememb in pandemij. </w:t>
      </w:r>
      <w:r w:rsidRPr="00711DCA">
        <w:rPr>
          <w:bCs/>
        </w:rPr>
        <w:t>Ukrepi</w:t>
      </w:r>
      <w:r>
        <w:t xml:space="preserve"> morajo omogočiti industriji lažje obvladovanje</w:t>
      </w:r>
      <w:r w:rsidR="00711DCA">
        <w:t xml:space="preserve"> in prilagajanje na</w:t>
      </w:r>
      <w:r>
        <w:t xml:space="preserve"> sprememb</w:t>
      </w:r>
      <w:r w:rsidR="00711DCA">
        <w:t>e</w:t>
      </w:r>
      <w:r>
        <w:t xml:space="preserve"> </w:t>
      </w:r>
      <w:r w:rsidR="00711DCA">
        <w:t>ter</w:t>
      </w:r>
      <w:r>
        <w:t xml:space="preserve"> tehnološk</w:t>
      </w:r>
      <w:r w:rsidR="00711DCA">
        <w:t>i</w:t>
      </w:r>
      <w:r>
        <w:t xml:space="preserve"> napred</w:t>
      </w:r>
      <w:r w:rsidR="00711DCA">
        <w:t>e</w:t>
      </w:r>
      <w:r>
        <w:t>k, kar je ključ</w:t>
      </w:r>
      <w:r w:rsidR="005D2A64">
        <w:t>ni</w:t>
      </w:r>
      <w:r>
        <w:t xml:space="preserve"> dejavnik uspeha v 21. stoletju.</w:t>
      </w:r>
    </w:p>
    <w:p w14:paraId="0BE265D8" w14:textId="7A3D0645" w:rsidR="002B4C49" w:rsidRDefault="00FD402D" w:rsidP="00FD402D">
      <w:pPr>
        <w:jc w:val="both"/>
      </w:pPr>
      <w:r w:rsidRPr="00E40D76">
        <w:t xml:space="preserve">Pomemben je proaktiven </w:t>
      </w:r>
      <w:r w:rsidR="00AF0676" w:rsidRPr="00E40D76">
        <w:t xml:space="preserve">in usklajen </w:t>
      </w:r>
      <w:r w:rsidRPr="00E40D76">
        <w:t>pristop, tako države</w:t>
      </w:r>
      <w:r w:rsidR="005D2A64">
        <w:t xml:space="preserve"> kot</w:t>
      </w:r>
      <w:r w:rsidRPr="00E40D76">
        <w:t xml:space="preserve"> podjetij</w:t>
      </w:r>
      <w:r w:rsidR="00AF0676" w:rsidRPr="00E40D76">
        <w:t>, javnih raz</w:t>
      </w:r>
      <w:r w:rsidR="00A71F2E">
        <w:t>iskovalnih in izobraževalnih ins</w:t>
      </w:r>
      <w:r w:rsidR="00AF0676" w:rsidRPr="00E40D76">
        <w:t>titucij</w:t>
      </w:r>
      <w:r w:rsidRPr="00E40D76">
        <w:t xml:space="preserve"> </w:t>
      </w:r>
      <w:r w:rsidR="00E40D76" w:rsidRPr="00E40D76">
        <w:t>ter</w:t>
      </w:r>
      <w:r w:rsidRPr="00E40D76">
        <w:t xml:space="preserve"> drugih deležnikov</w:t>
      </w:r>
      <w:r>
        <w:t xml:space="preserve">. </w:t>
      </w:r>
      <w:r w:rsidR="0053766A">
        <w:t xml:space="preserve">S </w:t>
      </w:r>
      <w:r w:rsidR="00473DF2">
        <w:t>skrbno</w:t>
      </w:r>
      <w:r>
        <w:t xml:space="preserve"> zasnovo novih proizvodov, ki</w:t>
      </w:r>
      <w:r w:rsidR="00473DF2">
        <w:t xml:space="preserve"> upošteva</w:t>
      </w:r>
      <w:r>
        <w:t xml:space="preserve"> </w:t>
      </w:r>
      <w:r w:rsidR="00473DF2">
        <w:t>krožne in digitalne vidike</w:t>
      </w:r>
      <w:r>
        <w:t xml:space="preserve">, </w:t>
      </w:r>
      <w:r w:rsidR="00473DF2">
        <w:t xml:space="preserve">z </w:t>
      </w:r>
      <w:r>
        <w:t xml:space="preserve">novimi trajnostnimi tehnologijami, novimi delovnimi mesti in prekvalifikacijo je </w:t>
      </w:r>
      <w:r w:rsidRPr="0053766A">
        <w:rPr>
          <w:b/>
        </w:rPr>
        <w:t>potrebno predvideti spremembe</w:t>
      </w:r>
      <w:r>
        <w:t>, se jim prilagoditi in jih obvladati.</w:t>
      </w:r>
      <w:r w:rsidR="005D6D56" w:rsidRPr="005D6D56">
        <w:t xml:space="preserve"> Izziv je, kako vzpostaviti sistem</w:t>
      </w:r>
      <w:r w:rsidR="008444EF" w:rsidRPr="00FD4C45">
        <w:t>,</w:t>
      </w:r>
      <w:r w:rsidR="005D6D56" w:rsidRPr="005D6D56">
        <w:t xml:space="preserve"> skozi katerega se bomo lahko nenehno učili in prilagajali </w:t>
      </w:r>
      <w:r w:rsidR="00AF0676" w:rsidRPr="00E40D76">
        <w:t>spremembam</w:t>
      </w:r>
      <w:r w:rsidR="005D6D56" w:rsidRPr="005D6D56">
        <w:t>.</w:t>
      </w:r>
      <w:r w:rsidRPr="00BB2EBA">
        <w:t xml:space="preserve"> Pri tem so bistvenega pomena </w:t>
      </w:r>
      <w:r w:rsidRPr="0051615D">
        <w:t xml:space="preserve">inovacije, naložbe in </w:t>
      </w:r>
      <w:r w:rsidR="00AF0676" w:rsidRPr="0051615D">
        <w:t>razvoj novih znanj in kompetenc</w:t>
      </w:r>
      <w:r w:rsidRPr="0051615D">
        <w:t>.</w:t>
      </w:r>
      <w:r w:rsidR="00C949A5">
        <w:t xml:space="preserve"> </w:t>
      </w:r>
    </w:p>
    <w:p w14:paraId="0769C5CC" w14:textId="1E4E418C" w:rsidR="0098448E" w:rsidRDefault="003378DB" w:rsidP="0098448E">
      <w:pPr>
        <w:jc w:val="both"/>
        <w:rPr>
          <w:rFonts w:ascii="Trebuchet MS" w:eastAsia="Trebuchet MS" w:hAnsi="Trebuchet MS" w:cs="Trebuchet MS"/>
        </w:rPr>
      </w:pPr>
      <w:r w:rsidRPr="68F3CF9F">
        <w:rPr>
          <w:rFonts w:ascii="Trebuchet MS" w:eastAsia="Trebuchet MS" w:hAnsi="Trebuchet MS" w:cs="Trebuchet MS"/>
        </w:rPr>
        <w:t>V začetku marca 2020 je Evropska komisija objavila industrijsko strategijo</w:t>
      </w:r>
      <w:r w:rsidR="00781B99">
        <w:rPr>
          <w:rFonts w:ascii="Trebuchet MS" w:eastAsia="Trebuchet MS" w:hAnsi="Trebuchet MS" w:cs="Trebuchet MS"/>
        </w:rPr>
        <w:t xml:space="preserve"> EU</w:t>
      </w:r>
      <w:r w:rsidRPr="68F3CF9F">
        <w:rPr>
          <w:rFonts w:ascii="Trebuchet MS" w:eastAsia="Trebuchet MS" w:hAnsi="Trebuchet MS" w:cs="Trebuchet MS"/>
        </w:rPr>
        <w:t xml:space="preserve"> z glavnimi poudarki na enotnem trgu, kar je osnova za konkurenčnost </w:t>
      </w:r>
      <w:r w:rsidR="00781B99">
        <w:rPr>
          <w:rFonts w:ascii="Trebuchet MS" w:eastAsia="Trebuchet MS" w:hAnsi="Trebuchet MS" w:cs="Trebuchet MS"/>
        </w:rPr>
        <w:t>EU</w:t>
      </w:r>
      <w:r w:rsidRPr="68F3CF9F">
        <w:rPr>
          <w:rFonts w:ascii="Trebuchet MS" w:eastAsia="Trebuchet MS" w:hAnsi="Trebuchet MS" w:cs="Trebuchet MS"/>
        </w:rPr>
        <w:t xml:space="preserve"> na globalnem trgu. Naslednja strateška usmeritev je podnebna nevtralnost</w:t>
      </w:r>
      <w:r w:rsidR="00473DF2">
        <w:rPr>
          <w:rFonts w:ascii="Trebuchet MS" w:eastAsia="Trebuchet MS" w:hAnsi="Trebuchet MS" w:cs="Trebuchet MS"/>
        </w:rPr>
        <w:t xml:space="preserve"> do leta 2050</w:t>
      </w:r>
      <w:r w:rsidRPr="68F3CF9F">
        <w:rPr>
          <w:rFonts w:ascii="Trebuchet MS" w:eastAsia="Trebuchet MS" w:hAnsi="Trebuchet MS" w:cs="Trebuchet MS"/>
        </w:rPr>
        <w:t xml:space="preserve"> z zahtevo po zanesljivi oskrbi</w:t>
      </w:r>
      <w:r w:rsidR="00473DF2">
        <w:rPr>
          <w:rFonts w:ascii="Trebuchet MS" w:eastAsia="Trebuchet MS" w:hAnsi="Trebuchet MS" w:cs="Trebuchet MS"/>
        </w:rPr>
        <w:t xml:space="preserve"> </w:t>
      </w:r>
      <w:r w:rsidR="005D2A64">
        <w:rPr>
          <w:rFonts w:ascii="Trebuchet MS" w:eastAsia="Trebuchet MS" w:hAnsi="Trebuchet MS" w:cs="Trebuchet MS"/>
        </w:rPr>
        <w:t xml:space="preserve">s </w:t>
      </w:r>
      <w:r w:rsidR="00473DF2">
        <w:rPr>
          <w:rFonts w:ascii="Trebuchet MS" w:eastAsia="Trebuchet MS" w:hAnsi="Trebuchet MS" w:cs="Trebuchet MS"/>
        </w:rPr>
        <w:t>surovinami</w:t>
      </w:r>
      <w:r w:rsidR="0098448E">
        <w:rPr>
          <w:rFonts w:ascii="Trebuchet MS" w:eastAsia="Trebuchet MS" w:hAnsi="Trebuchet MS" w:cs="Trebuchet MS"/>
        </w:rPr>
        <w:t xml:space="preserve"> ter</w:t>
      </w:r>
      <w:r w:rsidRPr="68F3CF9F">
        <w:rPr>
          <w:rFonts w:ascii="Trebuchet MS" w:eastAsia="Trebuchet MS" w:hAnsi="Trebuchet MS" w:cs="Trebuchet MS"/>
        </w:rPr>
        <w:t xml:space="preserve"> čist</w:t>
      </w:r>
      <w:r w:rsidR="00473DF2">
        <w:rPr>
          <w:rFonts w:ascii="Trebuchet MS" w:eastAsia="Trebuchet MS" w:hAnsi="Trebuchet MS" w:cs="Trebuchet MS"/>
        </w:rPr>
        <w:t>i</w:t>
      </w:r>
      <w:r w:rsidRPr="68F3CF9F">
        <w:rPr>
          <w:rFonts w:ascii="Trebuchet MS" w:eastAsia="Trebuchet MS" w:hAnsi="Trebuchet MS" w:cs="Trebuchet MS"/>
        </w:rPr>
        <w:t xml:space="preserve"> in cenovno dostopn</w:t>
      </w:r>
      <w:r w:rsidR="00473DF2">
        <w:rPr>
          <w:rFonts w:ascii="Trebuchet MS" w:eastAsia="Trebuchet MS" w:hAnsi="Trebuchet MS" w:cs="Trebuchet MS"/>
        </w:rPr>
        <w:t>i</w:t>
      </w:r>
      <w:r w:rsidRPr="68F3CF9F">
        <w:rPr>
          <w:rFonts w:ascii="Trebuchet MS" w:eastAsia="Trebuchet MS" w:hAnsi="Trebuchet MS" w:cs="Trebuchet MS"/>
        </w:rPr>
        <w:t xml:space="preserve"> energij</w:t>
      </w:r>
      <w:r w:rsidR="00473DF2">
        <w:rPr>
          <w:rFonts w:ascii="Trebuchet MS" w:eastAsia="Trebuchet MS" w:hAnsi="Trebuchet MS" w:cs="Trebuchet MS"/>
        </w:rPr>
        <w:t>i</w:t>
      </w:r>
      <w:r w:rsidR="0098448E">
        <w:rPr>
          <w:rFonts w:ascii="Trebuchet MS" w:eastAsia="Trebuchet MS" w:hAnsi="Trebuchet MS" w:cs="Trebuchet MS"/>
        </w:rPr>
        <w:t>.</w:t>
      </w:r>
      <w:r w:rsidRPr="68F3CF9F">
        <w:rPr>
          <w:rFonts w:ascii="Trebuchet MS" w:eastAsia="Trebuchet MS" w:hAnsi="Trebuchet MS" w:cs="Trebuchet MS"/>
        </w:rPr>
        <w:t xml:space="preserve"> </w:t>
      </w:r>
      <w:r w:rsidR="0098448E">
        <w:rPr>
          <w:rFonts w:ascii="Trebuchet MS" w:eastAsia="Trebuchet MS" w:hAnsi="Trebuchet MS" w:cs="Trebuchet MS"/>
        </w:rPr>
        <w:t>Poudarjene so d</w:t>
      </w:r>
      <w:r w:rsidRPr="68F3CF9F">
        <w:rPr>
          <w:rFonts w:ascii="Trebuchet MS" w:eastAsia="Trebuchet MS" w:hAnsi="Trebuchet MS" w:cs="Trebuchet MS"/>
        </w:rPr>
        <w:t>igitalne tehnologije</w:t>
      </w:r>
      <w:r w:rsidR="0098448E">
        <w:rPr>
          <w:rFonts w:ascii="Trebuchet MS" w:eastAsia="Trebuchet MS" w:hAnsi="Trebuchet MS" w:cs="Trebuchet MS"/>
        </w:rPr>
        <w:t>, ki</w:t>
      </w:r>
      <w:r w:rsidRPr="68F3CF9F">
        <w:rPr>
          <w:rFonts w:ascii="Trebuchet MS" w:eastAsia="Trebuchet MS" w:hAnsi="Trebuchet MS" w:cs="Trebuchet MS"/>
        </w:rPr>
        <w:t xml:space="preserve"> spreminjajo podobo industrije in način poslovanja</w:t>
      </w:r>
      <w:r w:rsidR="00781B99">
        <w:rPr>
          <w:rFonts w:ascii="Trebuchet MS" w:eastAsia="Trebuchet MS" w:hAnsi="Trebuchet MS" w:cs="Trebuchet MS"/>
        </w:rPr>
        <w:t xml:space="preserve"> ter omogočajo prehod v </w:t>
      </w:r>
      <w:proofErr w:type="spellStart"/>
      <w:r w:rsidR="00781B99">
        <w:rPr>
          <w:rFonts w:ascii="Trebuchet MS" w:eastAsia="Trebuchet MS" w:hAnsi="Trebuchet MS" w:cs="Trebuchet MS"/>
        </w:rPr>
        <w:t>nizkoogljično</w:t>
      </w:r>
      <w:proofErr w:type="spellEnd"/>
      <w:r w:rsidR="00781B99">
        <w:rPr>
          <w:rFonts w:ascii="Trebuchet MS" w:eastAsia="Trebuchet MS" w:hAnsi="Trebuchet MS" w:cs="Trebuchet MS"/>
        </w:rPr>
        <w:t xml:space="preserve"> krožno gospodarstvo</w:t>
      </w:r>
      <w:r w:rsidRPr="68F3CF9F">
        <w:rPr>
          <w:rFonts w:ascii="Trebuchet MS" w:eastAsia="Trebuchet MS" w:hAnsi="Trebuchet MS" w:cs="Trebuchet MS"/>
        </w:rPr>
        <w:t xml:space="preserve">. Ustvarjajo nove poslovne modele, industriji omogočajo, da je produktivnejša, delavcem zagotavljajo nove spretnosti in podpirajo razogljičenje našega gospodarstva. Digitalni sektor bo prispeval tudi k </w:t>
      </w:r>
      <w:r w:rsidR="00781B99">
        <w:rPr>
          <w:rFonts w:ascii="Trebuchet MS" w:eastAsia="Trebuchet MS" w:hAnsi="Trebuchet MS" w:cs="Trebuchet MS"/>
        </w:rPr>
        <w:t>E</w:t>
      </w:r>
      <w:r w:rsidRPr="68F3CF9F">
        <w:rPr>
          <w:rFonts w:ascii="Trebuchet MS" w:eastAsia="Trebuchet MS" w:hAnsi="Trebuchet MS" w:cs="Trebuchet MS"/>
        </w:rPr>
        <w:t xml:space="preserve">vropskemu zelenemu dogovoru, in sicer kot vir čistih tehnoloških rešitev ter s tem, da bo zmanjšal svoj </w:t>
      </w:r>
      <w:proofErr w:type="spellStart"/>
      <w:r w:rsidRPr="68F3CF9F">
        <w:rPr>
          <w:rFonts w:ascii="Trebuchet MS" w:eastAsia="Trebuchet MS" w:hAnsi="Trebuchet MS" w:cs="Trebuchet MS"/>
        </w:rPr>
        <w:t>ogljični</w:t>
      </w:r>
      <w:proofErr w:type="spellEnd"/>
      <w:r w:rsidRPr="68F3CF9F">
        <w:rPr>
          <w:rFonts w:ascii="Trebuchet MS" w:eastAsia="Trebuchet MS" w:hAnsi="Trebuchet MS" w:cs="Trebuchet MS"/>
        </w:rPr>
        <w:t xml:space="preserve"> odtis.</w:t>
      </w:r>
      <w:r w:rsidR="0098448E" w:rsidRPr="0098448E">
        <w:rPr>
          <w:rFonts w:ascii="Trebuchet MS" w:eastAsia="Trebuchet MS" w:hAnsi="Trebuchet MS" w:cs="Trebuchet MS"/>
        </w:rPr>
        <w:t xml:space="preserve"> </w:t>
      </w:r>
      <w:r w:rsidR="0098448E" w:rsidRPr="68F3CF9F">
        <w:rPr>
          <w:rFonts w:ascii="Trebuchet MS" w:eastAsia="Trebuchet MS" w:hAnsi="Trebuchet MS" w:cs="Trebuchet MS"/>
        </w:rPr>
        <w:t>Digitalizacija gospodarstva je horizontalna glede na vse ostale dejavnosti</w:t>
      </w:r>
      <w:r w:rsidR="0098448E">
        <w:rPr>
          <w:rFonts w:ascii="Trebuchet MS" w:eastAsia="Trebuchet MS" w:hAnsi="Trebuchet MS" w:cs="Trebuchet MS"/>
        </w:rPr>
        <w:t xml:space="preserve"> in vsa tri razvojna področja te strategije</w:t>
      </w:r>
      <w:r w:rsidR="0098448E" w:rsidRPr="68F3CF9F">
        <w:rPr>
          <w:rFonts w:ascii="Trebuchet MS" w:eastAsia="Trebuchet MS" w:hAnsi="Trebuchet MS" w:cs="Trebuchet MS"/>
        </w:rPr>
        <w:t xml:space="preserve">, saj omogoča, da se lahko zaveze glede </w:t>
      </w:r>
      <w:proofErr w:type="spellStart"/>
      <w:r w:rsidR="0098448E" w:rsidRPr="68F3CF9F">
        <w:rPr>
          <w:rFonts w:ascii="Trebuchet MS" w:eastAsia="Trebuchet MS" w:hAnsi="Trebuchet MS" w:cs="Trebuchet MS"/>
        </w:rPr>
        <w:t>nizkoogljične</w:t>
      </w:r>
      <w:r w:rsidR="0098448E">
        <w:rPr>
          <w:rFonts w:ascii="Trebuchet MS" w:eastAsia="Trebuchet MS" w:hAnsi="Trebuchet MS" w:cs="Trebuchet MS"/>
        </w:rPr>
        <w:t>ga</w:t>
      </w:r>
      <w:proofErr w:type="spellEnd"/>
      <w:r w:rsidR="0098448E" w:rsidRPr="68F3CF9F">
        <w:rPr>
          <w:rFonts w:ascii="Trebuchet MS" w:eastAsia="Trebuchet MS" w:hAnsi="Trebuchet MS" w:cs="Trebuchet MS"/>
        </w:rPr>
        <w:t xml:space="preserve"> </w:t>
      </w:r>
      <w:r w:rsidR="0098448E">
        <w:rPr>
          <w:rFonts w:ascii="Trebuchet MS" w:eastAsia="Trebuchet MS" w:hAnsi="Trebuchet MS" w:cs="Trebuchet MS"/>
        </w:rPr>
        <w:t>krožnega gospodarstva</w:t>
      </w:r>
      <w:r w:rsidR="0098448E" w:rsidRPr="68F3CF9F">
        <w:rPr>
          <w:rFonts w:ascii="Trebuchet MS" w:eastAsia="Trebuchet MS" w:hAnsi="Trebuchet MS" w:cs="Trebuchet MS"/>
        </w:rPr>
        <w:t xml:space="preserve">, </w:t>
      </w:r>
      <w:r w:rsidR="0098448E">
        <w:rPr>
          <w:rFonts w:ascii="Trebuchet MS" w:eastAsia="Trebuchet MS" w:hAnsi="Trebuchet MS" w:cs="Trebuchet MS"/>
        </w:rPr>
        <w:t xml:space="preserve">ustvarjalne, </w:t>
      </w:r>
      <w:r w:rsidR="0098448E" w:rsidRPr="68F3CF9F">
        <w:rPr>
          <w:rFonts w:ascii="Trebuchet MS" w:eastAsia="Trebuchet MS" w:hAnsi="Trebuchet MS" w:cs="Trebuchet MS"/>
        </w:rPr>
        <w:t xml:space="preserve">inovativne in razvojno naravnane </w:t>
      </w:r>
      <w:r w:rsidR="0098448E">
        <w:rPr>
          <w:rFonts w:ascii="Trebuchet MS" w:eastAsia="Trebuchet MS" w:hAnsi="Trebuchet MS" w:cs="Trebuchet MS"/>
        </w:rPr>
        <w:t xml:space="preserve">pametne </w:t>
      </w:r>
      <w:r w:rsidR="0098448E" w:rsidRPr="68F3CF9F">
        <w:rPr>
          <w:rFonts w:ascii="Trebuchet MS" w:eastAsia="Trebuchet MS" w:hAnsi="Trebuchet MS" w:cs="Trebuchet MS"/>
        </w:rPr>
        <w:t>industrije sploh uresničijo.</w:t>
      </w:r>
    </w:p>
    <w:p w14:paraId="7FD5CAAB" w14:textId="6F1F9398" w:rsidR="003378DB" w:rsidRDefault="003378DB" w:rsidP="003378DB">
      <w:pPr>
        <w:jc w:val="both"/>
        <w:rPr>
          <w:rFonts w:ascii="Trebuchet MS" w:eastAsia="Trebuchet MS" w:hAnsi="Trebuchet MS" w:cs="Trebuchet MS"/>
        </w:rPr>
      </w:pPr>
      <w:r w:rsidRPr="68F3CF9F">
        <w:rPr>
          <w:rFonts w:ascii="Trebuchet MS" w:eastAsia="Trebuchet MS" w:hAnsi="Trebuchet MS" w:cs="Trebuchet MS"/>
        </w:rPr>
        <w:t xml:space="preserve">Slovenija </w:t>
      </w:r>
      <w:r w:rsidR="0098448E">
        <w:rPr>
          <w:rFonts w:ascii="Trebuchet MS" w:eastAsia="Trebuchet MS" w:hAnsi="Trebuchet MS" w:cs="Trebuchet MS"/>
        </w:rPr>
        <w:t>z</w:t>
      </w:r>
      <w:r w:rsidRPr="68F3CF9F">
        <w:rPr>
          <w:rFonts w:ascii="Trebuchet MS" w:eastAsia="Trebuchet MS" w:hAnsi="Trebuchet MS" w:cs="Trebuchet MS"/>
        </w:rPr>
        <w:t xml:space="preserve"> namen</w:t>
      </w:r>
      <w:r w:rsidR="0098448E">
        <w:rPr>
          <w:rFonts w:ascii="Trebuchet MS" w:eastAsia="Trebuchet MS" w:hAnsi="Trebuchet MS" w:cs="Trebuchet MS"/>
        </w:rPr>
        <w:t>om</w:t>
      </w:r>
      <w:r w:rsidRPr="68F3CF9F">
        <w:rPr>
          <w:rFonts w:ascii="Trebuchet MS" w:eastAsia="Trebuchet MS" w:hAnsi="Trebuchet MS" w:cs="Trebuchet MS"/>
        </w:rPr>
        <w:t xml:space="preserve"> ustvarjanja </w:t>
      </w:r>
      <w:r w:rsidR="0098448E">
        <w:rPr>
          <w:rFonts w:ascii="Trebuchet MS" w:eastAsia="Trebuchet MS" w:hAnsi="Trebuchet MS" w:cs="Trebuchet MS"/>
        </w:rPr>
        <w:t xml:space="preserve">ter krepitve </w:t>
      </w:r>
      <w:r w:rsidRPr="68F3CF9F">
        <w:rPr>
          <w:rFonts w:ascii="Trebuchet MS" w:eastAsia="Trebuchet MS" w:hAnsi="Trebuchet MS" w:cs="Trebuchet MS"/>
        </w:rPr>
        <w:t>enotnega trga</w:t>
      </w:r>
      <w:r w:rsidR="0098448E">
        <w:rPr>
          <w:rFonts w:ascii="Trebuchet MS" w:eastAsia="Trebuchet MS" w:hAnsi="Trebuchet MS" w:cs="Trebuchet MS"/>
        </w:rPr>
        <w:t xml:space="preserve"> EU</w:t>
      </w:r>
      <w:r w:rsidRPr="68F3CF9F">
        <w:rPr>
          <w:rFonts w:ascii="Trebuchet MS" w:eastAsia="Trebuchet MS" w:hAnsi="Trebuchet MS" w:cs="Trebuchet MS"/>
        </w:rPr>
        <w:t xml:space="preserve"> kot tudi zagotavljanja konkurenčnosti slovenskih podjetij v evropskem in globalnem prostoru</w:t>
      </w:r>
      <w:r w:rsidR="0098448E">
        <w:rPr>
          <w:rFonts w:ascii="Trebuchet MS" w:eastAsia="Trebuchet MS" w:hAnsi="Trebuchet MS" w:cs="Trebuchet MS"/>
        </w:rPr>
        <w:t xml:space="preserve"> </w:t>
      </w:r>
      <w:r w:rsidR="0098448E" w:rsidRPr="68F3CF9F">
        <w:rPr>
          <w:rFonts w:ascii="Trebuchet MS" w:eastAsia="Trebuchet MS" w:hAnsi="Trebuchet MS" w:cs="Trebuchet MS"/>
        </w:rPr>
        <w:t xml:space="preserve">pri ustvarjanju nacionalne industrijske strategije </w:t>
      </w:r>
      <w:r w:rsidR="0098448E">
        <w:rPr>
          <w:rFonts w:ascii="Trebuchet MS" w:eastAsia="Trebuchet MS" w:hAnsi="Trebuchet MS" w:cs="Trebuchet MS"/>
        </w:rPr>
        <w:t>upošteva usmeritve industrijske strategije</w:t>
      </w:r>
      <w:r w:rsidR="00781B99">
        <w:rPr>
          <w:rFonts w:ascii="Trebuchet MS" w:eastAsia="Trebuchet MS" w:hAnsi="Trebuchet MS" w:cs="Trebuchet MS"/>
        </w:rPr>
        <w:t xml:space="preserve"> EU</w:t>
      </w:r>
      <w:r w:rsidR="0098448E">
        <w:rPr>
          <w:rFonts w:ascii="Trebuchet MS" w:eastAsia="Trebuchet MS" w:hAnsi="Trebuchet MS" w:cs="Trebuchet MS"/>
        </w:rPr>
        <w:t xml:space="preserve"> in ostalih relevantnih dokumentov</w:t>
      </w:r>
      <w:r w:rsidRPr="68F3CF9F">
        <w:rPr>
          <w:rFonts w:ascii="Trebuchet MS" w:eastAsia="Trebuchet MS" w:hAnsi="Trebuchet MS" w:cs="Trebuchet MS"/>
        </w:rPr>
        <w:t xml:space="preserve">. </w:t>
      </w:r>
    </w:p>
    <w:p w14:paraId="47CCFEBA" w14:textId="77777777" w:rsidR="00C949A5" w:rsidRDefault="00C949A5" w:rsidP="00FD402D">
      <w:pPr>
        <w:jc w:val="both"/>
      </w:pPr>
    </w:p>
    <w:p w14:paraId="1E55021C" w14:textId="77777777" w:rsidR="000D3813" w:rsidRDefault="000D3813">
      <w:r>
        <w:br w:type="page"/>
      </w:r>
    </w:p>
    <w:p w14:paraId="3E3EAC29" w14:textId="77777777" w:rsidR="00C949A5" w:rsidRPr="0051615D" w:rsidRDefault="00C949A5" w:rsidP="00FD402D">
      <w:pPr>
        <w:jc w:val="both"/>
      </w:pPr>
    </w:p>
    <w:p w14:paraId="055F7F62" w14:textId="77777777" w:rsidR="000D3813" w:rsidRPr="009B538E" w:rsidRDefault="00BB232D" w:rsidP="000D3813">
      <w:pPr>
        <w:pStyle w:val="Naslov1"/>
        <w:numPr>
          <w:ilvl w:val="0"/>
          <w:numId w:val="5"/>
        </w:numPr>
        <w:rPr>
          <w:caps w:val="0"/>
          <w:sz w:val="20"/>
        </w:rPr>
      </w:pPr>
      <w:bookmarkStart w:id="2" w:name="_Toc51140493"/>
      <w:r>
        <w:rPr>
          <w:caps w:val="0"/>
          <w:sz w:val="20"/>
        </w:rPr>
        <w:t xml:space="preserve">NAMEN, VIZIJA, </w:t>
      </w:r>
      <w:r w:rsidR="000D3813" w:rsidRPr="009B538E">
        <w:rPr>
          <w:caps w:val="0"/>
          <w:sz w:val="20"/>
        </w:rPr>
        <w:t>KAZALNIKI</w:t>
      </w:r>
      <w:r>
        <w:rPr>
          <w:caps w:val="0"/>
          <w:sz w:val="20"/>
        </w:rPr>
        <w:t xml:space="preserve"> IN </w:t>
      </w:r>
      <w:r w:rsidR="004D590C">
        <w:rPr>
          <w:caps w:val="0"/>
          <w:sz w:val="20"/>
        </w:rPr>
        <w:t>OKVIR UKREPANJA</w:t>
      </w:r>
      <w:bookmarkEnd w:id="2"/>
    </w:p>
    <w:p w14:paraId="3BA687F3" w14:textId="20F9EFB1" w:rsidR="000D3813" w:rsidRDefault="00ED7524" w:rsidP="000D3813">
      <w:pPr>
        <w:jc w:val="both"/>
      </w:pPr>
      <w:hyperlink r:id="rId13" w:tgtFrame="_blank" w:tooltip="Slovenska industrijska politika 2014-2020" w:history="1">
        <w:r w:rsidR="00971C6C">
          <w:t>V letu 2013 je Vlada Republike Slovenije sprejela dokument</w:t>
        </w:r>
        <w:r w:rsidR="000D3813" w:rsidRPr="00BF0A3B">
          <w:t xml:space="preserve"> </w:t>
        </w:r>
        <w:r w:rsidR="00971C6C">
          <w:t>»</w:t>
        </w:r>
        <w:r w:rsidR="000D3813" w:rsidRPr="00BF0A3B">
          <w:t>Slovenska industrijska politika</w:t>
        </w:r>
        <w:r w:rsidR="00971C6C">
          <w:t xml:space="preserve"> - SIP«, ki je </w:t>
        </w:r>
      </w:hyperlink>
      <w:r w:rsidR="000D3813" w:rsidRPr="00BF0A3B">
        <w:t>postavil prioritete razvoja industrije in gospodarstva za obdobje 2014-2020. Vseboval je usmeritv</w:t>
      </w:r>
      <w:r w:rsidR="00971C6C">
        <w:t>e</w:t>
      </w:r>
      <w:r w:rsidR="000D3813" w:rsidRPr="00BF0A3B">
        <w:t xml:space="preserve"> za povečanje konkurenčnosti poslovnega okolja, za krepitev podjetništva in inovacijske sposobnosti gospodarstva, za učinkovit odgovor na družbene izzive ter aktivnosti za trajnostni razvoj slovenske industrije. V minulem obdobju je bila vizija industrijske politike, da</w:t>
      </w:r>
      <w:r w:rsidR="00971C6C">
        <w:t xml:space="preserve"> se</w:t>
      </w:r>
      <w:r w:rsidR="000D3813" w:rsidRPr="00BF0A3B">
        <w:t xml:space="preserve"> preko izboljšanja poslovnega okolja, podpore podjetništvu in inovacijam ter preko razvoja perspektivnih tehnoloških in industrijskih področij, ki odgovarj</w:t>
      </w:r>
      <w:r w:rsidR="00971C6C">
        <w:t>ajo na družbene izzive, ustvari</w:t>
      </w:r>
      <w:r w:rsidR="000D3813" w:rsidRPr="00BF0A3B">
        <w:t xml:space="preserve"> pogoje za kontinuirano prestrukturiranje obstoječe industrije v energetsko, materialno, okoljsko in družbeno učinkovito industrijo znanja in inovativnosti za nova, trajnejša in kvalitetnejša delovna mesta ter večjo vpetost v mednarodne tokove poslovanja. </w:t>
      </w:r>
    </w:p>
    <w:p w14:paraId="7EBA5BB3" w14:textId="26C897BB" w:rsidR="000D3813" w:rsidRDefault="000D3813" w:rsidP="000D3813">
      <w:pPr>
        <w:jc w:val="both"/>
      </w:pPr>
      <w:r>
        <w:t>Ocenjujemo, da je bilo uresničevanje Slovenske industrijske politike le deloma uspešno, saj je bilo v veliki meri vezano na sredstva finančne perspektive EU 2014-2020 in pogojeno z dobrim sodelovanjem vseh resorjev glede na pristojnost. Ugotavljamo, da je manjkal sistematič</w:t>
      </w:r>
      <w:r w:rsidR="00B04B09">
        <w:t>en</w:t>
      </w:r>
      <w:r>
        <w:t xml:space="preserve"> pristop in povezovanje ukrepov, ki izhajajo iz podanih usmeritev. Hkrati je treba poudariti, da gre za proces, ki se ne sme ustaviti, pač pa je treba strategijo nadgraditi z novimi spoznanji in usmeritvami ter pospešiti njeno izvajanje v praksi.</w:t>
      </w:r>
      <w:r w:rsidRPr="006F4F4D">
        <w:t xml:space="preserve"> </w:t>
      </w:r>
      <w:r>
        <w:t xml:space="preserve">Pri tem bo poseben poudarek </w:t>
      </w:r>
      <w:r w:rsidR="0086107A">
        <w:t xml:space="preserve">dan </w:t>
      </w:r>
      <w:r>
        <w:t>povezovanju med gospodarstvom, institucijami znanja in vsemi ministrstvi ter odločanju o prioritetah znotraj Strategije pametne specializacije. Samo takšno povezovanje bo lahko ob implementaciji industrijske strategije uspešno identificiralo priložnosti za slovensko vključevanje v globalne verige vrednosti ob hkratni krepitvi strateške avtonomije slovenskega in EU gospodarstva. V evalvaciji delovanja s</w:t>
      </w:r>
      <w:r w:rsidRPr="00FD4C45">
        <w:t>trateških</w:t>
      </w:r>
      <w:r>
        <w:t xml:space="preserve"> razvojno-inovacijskih partnerstev (SRIP-ov)</w:t>
      </w:r>
      <w:r>
        <w:rPr>
          <w:rStyle w:val="Sprotnaopomba-sklic"/>
        </w:rPr>
        <w:footnoteReference w:id="2"/>
      </w:r>
      <w:r>
        <w:t xml:space="preserve"> se ocenjuje, da je potrebno tudi njihovo bistveno intenzivnejše vključevanje v oblikovanje industrijske in raziskovalne politike. </w:t>
      </w:r>
      <w:r w:rsidR="00007A1A">
        <w:t>S tega vidika je pomembna nadaljnja krepitev podpornega okolja, kar je izpostavljeno v okviru poglavja »Ustvarjalni razvoj«</w:t>
      </w:r>
      <w:r w:rsidRPr="00183AAD">
        <w:t xml:space="preserve">.  </w:t>
      </w:r>
    </w:p>
    <w:p w14:paraId="4E5CEDD8" w14:textId="53BA7A51" w:rsidR="006D79A8" w:rsidRDefault="000D3813" w:rsidP="000D3813">
      <w:pPr>
        <w:jc w:val="both"/>
        <w:rPr>
          <w:rFonts w:asciiTheme="majorHAnsi" w:eastAsia="Times New Roman" w:hAnsiTheme="majorHAnsi" w:cs="Times New Roman"/>
          <w:b/>
          <w:bCs/>
          <w:szCs w:val="22"/>
          <w:lang w:eastAsia="sl-SI"/>
        </w:rPr>
      </w:pPr>
      <w:r w:rsidRPr="00453CD1">
        <w:rPr>
          <w:rFonts w:asciiTheme="majorHAnsi" w:eastAsia="Times New Roman" w:hAnsiTheme="majorHAnsi" w:cs="Times New Roman"/>
          <w:szCs w:val="22"/>
          <w:lang w:eastAsia="sl-SI"/>
        </w:rPr>
        <w:t xml:space="preserve">Pričujoča </w:t>
      </w:r>
      <w:r w:rsidRPr="00710DC8">
        <w:rPr>
          <w:rFonts w:asciiTheme="majorHAnsi" w:eastAsia="Times New Roman" w:hAnsiTheme="majorHAnsi" w:cs="Times New Roman"/>
          <w:b/>
          <w:bCs/>
          <w:szCs w:val="22"/>
          <w:lang w:eastAsia="sl-SI"/>
        </w:rPr>
        <w:t xml:space="preserve">Slovenska industrijska strategija </w:t>
      </w:r>
      <w:r w:rsidR="00710DC8" w:rsidRPr="00710DC8">
        <w:rPr>
          <w:rFonts w:asciiTheme="majorHAnsi" w:eastAsia="Times New Roman" w:hAnsiTheme="majorHAnsi" w:cs="Times New Roman"/>
          <w:szCs w:val="22"/>
          <w:lang w:eastAsia="sl-SI"/>
        </w:rPr>
        <w:t>za obdobje</w:t>
      </w:r>
      <w:r w:rsidR="00710DC8">
        <w:rPr>
          <w:rFonts w:asciiTheme="majorHAnsi" w:eastAsia="Times New Roman" w:hAnsiTheme="majorHAnsi" w:cs="Times New Roman"/>
          <w:b/>
          <w:bCs/>
          <w:szCs w:val="22"/>
          <w:lang w:eastAsia="sl-SI"/>
        </w:rPr>
        <w:t xml:space="preserve"> </w:t>
      </w:r>
      <w:r w:rsidRPr="00710DC8">
        <w:rPr>
          <w:rFonts w:asciiTheme="majorHAnsi" w:eastAsia="Times New Roman" w:hAnsiTheme="majorHAnsi" w:cs="Times New Roman"/>
          <w:b/>
          <w:bCs/>
          <w:szCs w:val="22"/>
          <w:lang w:eastAsia="sl-SI"/>
        </w:rPr>
        <w:t>2021-2030</w:t>
      </w:r>
      <w:r w:rsidRPr="00453CD1">
        <w:rPr>
          <w:rFonts w:asciiTheme="majorHAnsi" w:eastAsia="Times New Roman" w:hAnsiTheme="majorHAnsi" w:cs="Times New Roman"/>
          <w:szCs w:val="22"/>
          <w:lang w:eastAsia="sl-SI"/>
        </w:rPr>
        <w:t xml:space="preserve"> pomeni </w:t>
      </w:r>
      <w:r w:rsidRPr="00710DC8">
        <w:rPr>
          <w:rFonts w:asciiTheme="majorHAnsi" w:eastAsia="Times New Roman" w:hAnsiTheme="majorHAnsi" w:cs="Times New Roman"/>
          <w:b/>
          <w:bCs/>
          <w:szCs w:val="22"/>
          <w:lang w:eastAsia="sl-SI"/>
        </w:rPr>
        <w:t>nadgradnjo</w:t>
      </w:r>
      <w:r w:rsidRPr="00453CD1">
        <w:rPr>
          <w:rFonts w:asciiTheme="majorHAnsi" w:eastAsia="Times New Roman" w:hAnsiTheme="majorHAnsi" w:cs="Times New Roman"/>
          <w:szCs w:val="22"/>
          <w:lang w:eastAsia="sl-SI"/>
        </w:rPr>
        <w:t xml:space="preserve"> v skladu z </w:t>
      </w:r>
      <w:r w:rsidR="00710DC8">
        <w:rPr>
          <w:rFonts w:asciiTheme="majorHAnsi" w:eastAsia="Times New Roman" w:hAnsiTheme="majorHAnsi" w:cs="Times New Roman"/>
          <w:szCs w:val="22"/>
          <w:lang w:eastAsia="sl-SI"/>
        </w:rPr>
        <w:t>aktualnimi</w:t>
      </w:r>
      <w:r w:rsidRPr="00453CD1">
        <w:rPr>
          <w:rFonts w:asciiTheme="majorHAnsi" w:eastAsia="Times New Roman" w:hAnsiTheme="majorHAnsi" w:cs="Times New Roman"/>
          <w:szCs w:val="22"/>
          <w:lang w:eastAsia="sl-SI"/>
        </w:rPr>
        <w:t xml:space="preserve"> evropskimi in domačimi </w:t>
      </w:r>
      <w:r w:rsidRPr="00BF0A3B">
        <w:t>strateškimi</w:t>
      </w:r>
      <w:r w:rsidRPr="00453CD1">
        <w:rPr>
          <w:rFonts w:asciiTheme="majorHAnsi" w:eastAsia="Times New Roman" w:hAnsiTheme="majorHAnsi" w:cs="Times New Roman"/>
          <w:szCs w:val="22"/>
          <w:lang w:eastAsia="sl-SI"/>
        </w:rPr>
        <w:t xml:space="preserve"> dokumenti </w:t>
      </w:r>
      <w:r w:rsidR="00710DC8">
        <w:rPr>
          <w:rFonts w:asciiTheme="majorHAnsi" w:eastAsia="Times New Roman" w:hAnsiTheme="majorHAnsi" w:cs="Times New Roman"/>
          <w:szCs w:val="22"/>
          <w:lang w:eastAsia="sl-SI"/>
        </w:rPr>
        <w:t xml:space="preserve">ter usmeritvami </w:t>
      </w:r>
      <w:r w:rsidRPr="00453CD1">
        <w:rPr>
          <w:rFonts w:asciiTheme="majorHAnsi" w:eastAsia="Times New Roman" w:hAnsiTheme="majorHAnsi" w:cs="Times New Roman"/>
          <w:szCs w:val="22"/>
          <w:lang w:eastAsia="sl-SI"/>
        </w:rPr>
        <w:t xml:space="preserve">pod skupnim imenovalcem </w:t>
      </w:r>
      <w:r w:rsidRPr="00453CD1">
        <w:rPr>
          <w:rFonts w:asciiTheme="majorHAnsi" w:eastAsia="Times New Roman" w:hAnsiTheme="majorHAnsi" w:cs="Times New Roman"/>
          <w:b/>
          <w:bCs/>
          <w:szCs w:val="22"/>
          <w:lang w:eastAsia="sl-SI"/>
        </w:rPr>
        <w:t>»zelen</w:t>
      </w:r>
      <w:r w:rsidR="00710DC8">
        <w:rPr>
          <w:rFonts w:asciiTheme="majorHAnsi" w:eastAsia="Times New Roman" w:hAnsiTheme="majorHAnsi" w:cs="Times New Roman"/>
          <w:b/>
          <w:bCs/>
          <w:szCs w:val="22"/>
          <w:lang w:eastAsia="sl-SI"/>
        </w:rPr>
        <w:t>i</w:t>
      </w:r>
      <w:r w:rsidRPr="00453CD1">
        <w:rPr>
          <w:rFonts w:asciiTheme="majorHAnsi" w:eastAsia="Times New Roman" w:hAnsiTheme="majorHAnsi" w:cs="Times New Roman"/>
          <w:b/>
          <w:bCs/>
          <w:szCs w:val="22"/>
          <w:lang w:eastAsia="sl-SI"/>
        </w:rPr>
        <w:t>, ustvarjaln</w:t>
      </w:r>
      <w:r w:rsidR="00710DC8">
        <w:rPr>
          <w:rFonts w:asciiTheme="majorHAnsi" w:eastAsia="Times New Roman" w:hAnsiTheme="majorHAnsi" w:cs="Times New Roman"/>
          <w:b/>
          <w:bCs/>
          <w:szCs w:val="22"/>
          <w:lang w:eastAsia="sl-SI"/>
        </w:rPr>
        <w:t>i in</w:t>
      </w:r>
      <w:r w:rsidRPr="00453CD1">
        <w:rPr>
          <w:rFonts w:asciiTheme="majorHAnsi" w:eastAsia="Times New Roman" w:hAnsiTheme="majorHAnsi" w:cs="Times New Roman"/>
          <w:b/>
          <w:bCs/>
          <w:szCs w:val="22"/>
          <w:lang w:eastAsia="sl-SI"/>
        </w:rPr>
        <w:t xml:space="preserve"> pametn</w:t>
      </w:r>
      <w:r w:rsidR="00710DC8">
        <w:rPr>
          <w:rFonts w:asciiTheme="majorHAnsi" w:eastAsia="Times New Roman" w:hAnsiTheme="majorHAnsi" w:cs="Times New Roman"/>
          <w:b/>
          <w:bCs/>
          <w:szCs w:val="22"/>
          <w:lang w:eastAsia="sl-SI"/>
        </w:rPr>
        <w:t>i razvoj</w:t>
      </w:r>
      <w:r w:rsidRPr="00453CD1">
        <w:rPr>
          <w:rFonts w:asciiTheme="majorHAnsi" w:eastAsia="Times New Roman" w:hAnsiTheme="majorHAnsi" w:cs="Times New Roman"/>
          <w:b/>
          <w:bCs/>
          <w:szCs w:val="22"/>
          <w:lang w:eastAsia="sl-SI"/>
        </w:rPr>
        <w:t>«</w:t>
      </w:r>
      <w:r w:rsidR="00E21514" w:rsidRPr="00453CD1">
        <w:rPr>
          <w:rFonts w:asciiTheme="majorHAnsi" w:eastAsia="Times New Roman" w:hAnsiTheme="majorHAnsi" w:cs="Times New Roman"/>
          <w:b/>
          <w:bCs/>
          <w:szCs w:val="22"/>
          <w:lang w:eastAsia="sl-SI"/>
        </w:rPr>
        <w:t>.</w:t>
      </w:r>
      <w:r w:rsidR="00710DC8">
        <w:rPr>
          <w:rFonts w:asciiTheme="majorHAnsi" w:eastAsia="Times New Roman" w:hAnsiTheme="majorHAnsi" w:cs="Times New Roman"/>
          <w:b/>
          <w:bCs/>
          <w:szCs w:val="22"/>
          <w:lang w:eastAsia="sl-SI"/>
        </w:rPr>
        <w:t xml:space="preserve"> </w:t>
      </w:r>
    </w:p>
    <w:p w14:paraId="5E1D4F35" w14:textId="3FDA4CC4" w:rsidR="000D3813" w:rsidRDefault="000D3813" w:rsidP="000D3813">
      <w:pPr>
        <w:jc w:val="both"/>
        <w:rPr>
          <w:rFonts w:asciiTheme="majorHAnsi" w:eastAsia="Times New Roman" w:hAnsiTheme="majorHAnsi" w:cs="Times New Roman"/>
          <w:szCs w:val="22"/>
          <w:lang w:eastAsia="sl-SI"/>
        </w:rPr>
      </w:pPr>
      <w:r w:rsidRPr="00476BFB">
        <w:rPr>
          <w:rFonts w:asciiTheme="majorHAnsi" w:eastAsia="Times New Roman" w:hAnsiTheme="majorHAnsi" w:cs="Times New Roman"/>
          <w:szCs w:val="22"/>
          <w:lang w:eastAsia="sl-SI"/>
        </w:rPr>
        <w:t xml:space="preserve">Slovenska industrijska strategija </w:t>
      </w:r>
      <w:r w:rsidRPr="00BF0A3B">
        <w:rPr>
          <w:rFonts w:asciiTheme="majorHAnsi" w:eastAsia="Times New Roman" w:hAnsiTheme="majorHAnsi" w:cs="Times New Roman"/>
          <w:szCs w:val="22"/>
          <w:lang w:eastAsia="sl-SI"/>
        </w:rPr>
        <w:t>bo</w:t>
      </w:r>
      <w:r w:rsidR="00710DC8">
        <w:rPr>
          <w:rFonts w:asciiTheme="majorHAnsi" w:eastAsia="Times New Roman" w:hAnsiTheme="majorHAnsi" w:cs="Times New Roman"/>
          <w:szCs w:val="22"/>
          <w:lang w:eastAsia="sl-SI"/>
        </w:rPr>
        <w:t xml:space="preserve"> s spodbujanjem zelenega in digitalnega prehoda</w:t>
      </w:r>
      <w:r w:rsidRPr="00BF0A3B">
        <w:rPr>
          <w:rFonts w:asciiTheme="majorHAnsi" w:eastAsia="Times New Roman" w:hAnsiTheme="majorHAnsi" w:cs="Times New Roman"/>
          <w:szCs w:val="22"/>
          <w:lang w:eastAsia="sl-SI"/>
        </w:rPr>
        <w:t xml:space="preserve"> </w:t>
      </w:r>
      <w:r w:rsidR="00710DC8">
        <w:rPr>
          <w:rFonts w:asciiTheme="majorHAnsi" w:eastAsia="Times New Roman" w:hAnsiTheme="majorHAnsi" w:cs="Times New Roman"/>
          <w:szCs w:val="22"/>
          <w:lang w:eastAsia="sl-SI"/>
        </w:rPr>
        <w:t>prispevala k izpeljavi</w:t>
      </w:r>
      <w:r w:rsidRPr="00BF0A3B">
        <w:rPr>
          <w:rFonts w:asciiTheme="majorHAnsi" w:eastAsia="Times New Roman" w:hAnsiTheme="majorHAnsi" w:cs="Times New Roman"/>
          <w:szCs w:val="22"/>
          <w:lang w:eastAsia="sl-SI"/>
        </w:rPr>
        <w:t xml:space="preserve"> </w:t>
      </w:r>
      <w:r w:rsidR="00710DC8">
        <w:rPr>
          <w:rFonts w:asciiTheme="majorHAnsi" w:eastAsia="Times New Roman" w:hAnsiTheme="majorHAnsi" w:cs="Times New Roman"/>
          <w:szCs w:val="22"/>
          <w:lang w:eastAsia="sl-SI"/>
        </w:rPr>
        <w:t>Načrta</w:t>
      </w:r>
      <w:r w:rsidRPr="00BF0A3B">
        <w:rPr>
          <w:rFonts w:asciiTheme="majorHAnsi" w:eastAsia="Times New Roman" w:hAnsiTheme="majorHAnsi" w:cs="Times New Roman"/>
          <w:szCs w:val="22"/>
          <w:lang w:eastAsia="sl-SI"/>
        </w:rPr>
        <w:t xml:space="preserve"> za okrevanje</w:t>
      </w:r>
      <w:r w:rsidR="00710DC8">
        <w:rPr>
          <w:rFonts w:asciiTheme="majorHAnsi" w:eastAsia="Times New Roman" w:hAnsiTheme="majorHAnsi" w:cs="Times New Roman"/>
          <w:szCs w:val="22"/>
          <w:lang w:eastAsia="sl-SI"/>
        </w:rPr>
        <w:t xml:space="preserve"> in odpornost</w:t>
      </w:r>
      <w:r w:rsidRPr="00BF0A3B">
        <w:rPr>
          <w:rFonts w:asciiTheme="majorHAnsi" w:eastAsia="Times New Roman" w:hAnsiTheme="majorHAnsi" w:cs="Times New Roman"/>
          <w:szCs w:val="22"/>
          <w:lang w:eastAsia="sl-SI"/>
        </w:rPr>
        <w:t xml:space="preserve"> po pandemiji COVID-19 </w:t>
      </w:r>
      <w:r w:rsidR="00710DC8">
        <w:rPr>
          <w:rFonts w:asciiTheme="majorHAnsi" w:eastAsia="Times New Roman" w:hAnsiTheme="majorHAnsi" w:cs="Times New Roman"/>
          <w:szCs w:val="22"/>
          <w:lang w:eastAsia="sl-SI"/>
        </w:rPr>
        <w:t>skladno</w:t>
      </w:r>
      <w:r w:rsidRPr="00BF0A3B">
        <w:rPr>
          <w:rFonts w:asciiTheme="majorHAnsi" w:eastAsia="Times New Roman" w:hAnsiTheme="majorHAnsi" w:cs="Times New Roman"/>
          <w:szCs w:val="22"/>
          <w:lang w:eastAsia="sl-SI"/>
        </w:rPr>
        <w:t xml:space="preserve"> s priporočili in ukrepi EU na tem področju.</w:t>
      </w:r>
      <w:r w:rsidRPr="00BF0A3B">
        <w:rPr>
          <w:rFonts w:eastAsia="Times New Roman" w:cs="Times New Roman"/>
          <w:vertAlign w:val="superscript"/>
          <w:lang w:eastAsia="sl-SI"/>
        </w:rPr>
        <w:footnoteReference w:id="3"/>
      </w:r>
      <w:r w:rsidRPr="00BF0A3B">
        <w:rPr>
          <w:rFonts w:asciiTheme="majorHAnsi" w:eastAsia="Times New Roman" w:hAnsiTheme="majorHAnsi" w:cs="Times New Roman"/>
          <w:szCs w:val="22"/>
          <w:lang w:eastAsia="sl-SI"/>
        </w:rPr>
        <w:t xml:space="preserve"> </w:t>
      </w:r>
    </w:p>
    <w:p w14:paraId="257498FE" w14:textId="77777777" w:rsidR="000D3813" w:rsidRDefault="000D3813" w:rsidP="000D3813">
      <w:pPr>
        <w:rPr>
          <w:b/>
        </w:rPr>
      </w:pPr>
      <w:r>
        <w:rPr>
          <w:b/>
        </w:rPr>
        <w:br w:type="page"/>
      </w:r>
    </w:p>
    <w:p w14:paraId="7BC81D5F" w14:textId="3725E602" w:rsidR="002A64C0" w:rsidRDefault="002A64C0" w:rsidP="002A64C0">
      <w:pPr>
        <w:rPr>
          <w:rFonts w:asciiTheme="majorHAnsi" w:eastAsia="Times New Roman" w:hAnsiTheme="majorHAnsi" w:cs="Times New Roman"/>
          <w:szCs w:val="22"/>
          <w:lang w:eastAsia="sl-SI"/>
        </w:rPr>
      </w:pPr>
      <w:r>
        <w:rPr>
          <w:b/>
          <w:noProof/>
          <w:lang w:eastAsia="sl-SI"/>
        </w:rPr>
        <w:lastRenderedPageBreak/>
        <mc:AlternateContent>
          <mc:Choice Requires="wps">
            <w:drawing>
              <wp:anchor distT="0" distB="0" distL="114300" distR="114300" simplePos="0" relativeHeight="251667456" behindDoc="0" locked="0" layoutInCell="1" allowOverlap="1" wp14:anchorId="449AC3C1" wp14:editId="059C65A2">
                <wp:simplePos x="0" y="0"/>
                <wp:positionH relativeFrom="column">
                  <wp:posOffset>1398270</wp:posOffset>
                </wp:positionH>
                <wp:positionV relativeFrom="paragraph">
                  <wp:posOffset>2363994</wp:posOffset>
                </wp:positionV>
                <wp:extent cx="410210" cy="5715"/>
                <wp:effectExtent l="19050" t="19050" r="8890" b="13335"/>
                <wp:wrapNone/>
                <wp:docPr id="11" name="Raven puščični povezovalnik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210" cy="5715"/>
                        </a:xfrm>
                        <a:prstGeom prst="straightConnector1">
                          <a:avLst/>
                        </a:prstGeom>
                        <a:noFill/>
                        <a:ln w="31750" cap="rnd">
                          <a:solidFill>
                            <a:srgbClr val="8064A2"/>
                          </a:solidFill>
                          <a:prstDash val="sysDot"/>
                          <a:round/>
                          <a:headEnd/>
                          <a:tailEnd/>
                        </a:ln>
                        <a:effec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type w14:anchorId="228F762F" id="_x0000_t32" coordsize="21600,21600" o:spt="32" o:oned="t" path="m,l21600,21600e" filled="f">
                <v:path arrowok="t" fillok="f" o:connecttype="none"/>
                <o:lock v:ext="edit" shapetype="t"/>
              </v:shapetype>
              <v:shape id="Raven puščični povezovalnik 11" o:spid="_x0000_s1026" type="#_x0000_t32" style="position:absolute;margin-left:110.1pt;margin-top:186.15pt;width:32.3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" strokecolor="#8064a2" strokeweight="2.5pt">
                <v:stroke dashstyle="1 1" endcap="round"/>
              </v:shape>
            </w:pict>
          </mc:Fallback>
        </mc:AlternateContent>
      </w:r>
      <w:r w:rsidR="000D3813" w:rsidRPr="003F63BA">
        <w:rPr>
          <w:b/>
        </w:rPr>
        <w:t>Slika 1: Umestitev SIS v dokumente razvojnega načrtovanja</w:t>
      </w:r>
      <w:r w:rsidR="000D3813">
        <w:rPr>
          <w:rFonts w:asciiTheme="majorHAnsi" w:eastAsia="Times New Roman" w:hAnsiTheme="majorHAnsi" w:cs="Times New Roman"/>
          <w:szCs w:val="22"/>
          <w:lang w:eastAsia="sl-SI"/>
        </w:rPr>
        <w:t xml:space="preserve"> </w:t>
      </w:r>
      <w:bookmarkStart w:id="3" w:name="_Hlk42600215"/>
      <w:bookmarkEnd w:id="3"/>
      <w:r w:rsidR="00ED7524">
        <w:pict w14:anchorId="42F3450F">
          <v:group id="_x0000_s1221" editas="radial" style="width:426.6pt;height:324.15pt;mso-position-horizontal-relative:char;mso-position-vertical-relative:line" coordorigin="1633,-2039" coordsize="8640,8640">
            <o:lock v:ext="edit" rotation="t" aspectratio="t" position="t"/>
            <o:diagram v:ext="edit" dgmstyle="0" dgmscalex="65798" dgmscaley="49997" dgmfontsize="9" constrainbounds="1849,0,10057,6385" autolayout="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22" type="#_x0000_t75" style="position:absolute;left:1633;top:-2039;width:8640;height:8640" o:preferrelative="f" filled="t" stroked="t" strokecolor="#4bacc6" strokeweight="1pt">
              <v:fill o:detectmouseclick="t"/>
              <v:shadow on="t" opacity=".5" offset="6pt,6pt"/>
              <v:path o:extrusionok="t" o:connecttype="none"/>
              <o:lock v:ext="edit" text="t"/>
            </v:shape>
            <v:oval id="_s1031" o:spid="_x0000_s1223" style="position:absolute;left:5054;top:791;width:1707;height:2219;v-text-anchor:middle" o:dgmnodekind="0" fillcolor="#4bacc6" stroked="f" strokeweight="0">
              <v:fill color2="#308298" focusposition=".5,.5" focussize="" focus="100%" type="gradientRadial"/>
              <v:shadow on="t" type="perspective" color="#205867" offset="1pt" offset2="-3pt"/>
              <v:textbox inset="0,0,0,0">
                <w:txbxContent>
                  <w:p w14:paraId="09AD2E57" w14:textId="77777777" w:rsidR="00C55975" w:rsidRPr="004C5E5A" w:rsidRDefault="00C55975" w:rsidP="002A64C0">
                    <w:pPr>
                      <w:jc w:val="center"/>
                      <w:rPr>
                        <w:b/>
                        <w:i/>
                        <w:sz w:val="18"/>
                      </w:rPr>
                    </w:pPr>
                    <w:r w:rsidRPr="004C5E5A">
                      <w:rPr>
                        <w:b/>
                        <w:i/>
                        <w:sz w:val="18"/>
                      </w:rPr>
                      <w:t xml:space="preserve">»Slovenska industrijska strategija« – SIS </w:t>
                    </w:r>
                  </w:p>
                  <w:p w14:paraId="53D76392" w14:textId="77777777" w:rsidR="00C55975" w:rsidRDefault="00C55975" w:rsidP="002A64C0"/>
                </w:txbxContent>
              </v:textbox>
            </v:oval>
            <v:oval id="_s1031" o:spid="_x0000_s1224" style="position:absolute;left:5054;top:-2039;width:1605;height:2084;v-text-anchor:middle" o:dgmnodekind="0" fillcolor="#92cddc" strokecolor="#4bacc6" strokeweight="1pt">
              <v:fill color2="#4bacc6" focus="50%" type="gradient"/>
              <v:shadow on="t" type="perspective" color="#205867" offset="1pt" offset2="-3pt"/>
              <v:textbox inset="0,0,0,0">
                <w:txbxContent>
                  <w:p w14:paraId="0913B913" w14:textId="77777777" w:rsidR="00C55975" w:rsidRPr="004C5E5A" w:rsidRDefault="00C55975" w:rsidP="002A64C0">
                    <w:pPr>
                      <w:jc w:val="center"/>
                      <w:rPr>
                        <w:b/>
                        <w:sz w:val="18"/>
                      </w:rPr>
                    </w:pPr>
                    <w:r w:rsidRPr="004C5E5A">
                      <w:rPr>
                        <w:b/>
                        <w:sz w:val="18"/>
                      </w:rPr>
                      <w:t>Strategija razvoja Slovenije - SRS 2030</w:t>
                    </w:r>
                  </w:p>
                </w:txbxContent>
              </v:textbox>
            </v:oval>
            <v:oval id="_s1031" o:spid="_x0000_s1225" style="position:absolute;left:2970;top:3261;width:1859;height:2367;v-text-anchor:middle" o:dgmnodekind="0" strokecolor="#4bacc6" strokeweight="5pt">
              <v:stroke linestyle="thickThin"/>
              <v:shadow color="#868686"/>
              <v:textbox inset="0,0,0,0">
                <w:txbxContent>
                  <w:p w14:paraId="54AFC9FE" w14:textId="77777777" w:rsidR="00C55975" w:rsidRPr="00DC1724" w:rsidRDefault="00C55975" w:rsidP="002A64C0">
                    <w:pPr>
                      <w:jc w:val="center"/>
                      <w:rPr>
                        <w:b/>
                        <w:sz w:val="16"/>
                      </w:rPr>
                    </w:pPr>
                    <w:r>
                      <w:rPr>
                        <w:b/>
                        <w:sz w:val="16"/>
                      </w:rPr>
                      <w:t>Program izvajanja finančnih spodbud MGRT</w:t>
                    </w:r>
                  </w:p>
                </w:txbxContent>
              </v:textbox>
            </v:oval>
            <v:oval id="_s1031" o:spid="_x0000_s1226" style="position:absolute;left:6993;top:3141;width:1745;height:2367;v-text-anchor:middle" o:dgmnodekind="0" strokecolor="#4bacc6" strokeweight="5pt">
              <v:stroke linestyle="thickThin"/>
              <v:shadow color="#868686"/>
              <v:textbox inset="0,0,0,0">
                <w:txbxContent>
                  <w:p w14:paraId="76E50909" w14:textId="77777777" w:rsidR="00C55975" w:rsidRPr="00DC1724" w:rsidRDefault="00C55975" w:rsidP="002A64C0">
                    <w:pPr>
                      <w:jc w:val="center"/>
                      <w:rPr>
                        <w:b/>
                        <w:sz w:val="16"/>
                      </w:rPr>
                    </w:pPr>
                    <w:r>
                      <w:rPr>
                        <w:b/>
                        <w:sz w:val="16"/>
                      </w:rPr>
                      <w:t xml:space="preserve">Akcijski načrti posameznih </w:t>
                    </w:r>
                    <w:r w:rsidRPr="00DC1724">
                      <w:rPr>
                        <w:b/>
                        <w:sz w:val="16"/>
                      </w:rPr>
                      <w:t xml:space="preserve"> področ</w:t>
                    </w:r>
                    <w:r>
                      <w:rPr>
                        <w:b/>
                        <w:sz w:val="16"/>
                      </w:rPr>
                      <w:t>i</w:t>
                    </w:r>
                    <w:r w:rsidRPr="00DC1724">
                      <w:rPr>
                        <w:b/>
                        <w:sz w:val="16"/>
                      </w:rPr>
                      <w:t>j</w:t>
                    </w:r>
                  </w:p>
                </w:txbxContent>
              </v:textbox>
            </v:oval>
            <v:shapetype id="_x0000_t202" coordsize="21600,21600" o:spt="202" path="m,l,21600r21600,l21600,xe">
              <v:stroke joinstyle="miter"/>
              <v:path gradientshapeok="t" o:connecttype="rect"/>
            </v:shapetype>
            <v:shape id="_x0000_s1227" type="#_x0000_t202" style="position:absolute;left:8140;top:-1595;width:1909;height:586" strokecolor="#fabf8f" strokeweight="1pt">
              <v:fill color2="#fbd4b4" focusposition="1" focussize="" focus="100%" type="gradient"/>
              <v:shadow on="t" type="perspective" color="#974706" opacity=".5" offset="1pt" offset2="-3pt"/>
              <v:textbox style="mso-next-textbox:#_x0000_s1227">
                <w:txbxContent>
                  <w:p w14:paraId="4B989076" w14:textId="77777777" w:rsidR="00C55975" w:rsidRPr="00582B79" w:rsidRDefault="00C55975" w:rsidP="002A64C0">
                    <w:pPr>
                      <w:rPr>
                        <w:b/>
                        <w:sz w:val="14"/>
                      </w:rPr>
                    </w:pPr>
                    <w:r>
                      <w:rPr>
                        <w:b/>
                        <w:sz w:val="14"/>
                      </w:rPr>
                      <w:t>Kohezijska politika EU</w:t>
                    </w:r>
                  </w:p>
                  <w:p w14:paraId="36EAD1D0" w14:textId="77777777" w:rsidR="00C55975" w:rsidRPr="00582B79" w:rsidRDefault="00C55975" w:rsidP="002A64C0">
                    <w:pPr>
                      <w:rPr>
                        <w:b/>
                        <w:sz w:val="14"/>
                      </w:rPr>
                    </w:pPr>
                  </w:p>
                </w:txbxContent>
              </v:textbox>
            </v:shape>
            <v:shape id="_x0000_s1228" type="#_x0000_t202" style="position:absolute;left:8168;top:1395;width:1881;height:868" strokecolor="#fabf8f" strokeweight="1pt">
              <v:fill color2="#fbd4b4" focusposition="1" focussize="" focus="100%" type="gradient"/>
              <v:shadow on="t" type="perspective" color="#974706" opacity=".5" offset="1pt" offset2="-3pt"/>
              <v:textbox style="mso-next-textbox:#_x0000_s1228">
                <w:txbxContent>
                  <w:p w14:paraId="697FF552" w14:textId="77777777" w:rsidR="00C55975" w:rsidRPr="00582B79" w:rsidRDefault="00C55975" w:rsidP="002A64C0">
                    <w:pPr>
                      <w:rPr>
                        <w:b/>
                        <w:sz w:val="14"/>
                      </w:rPr>
                    </w:pPr>
                    <w:r>
                      <w:rPr>
                        <w:b/>
                        <w:sz w:val="14"/>
                      </w:rPr>
                      <w:t>Program razvoja podeželja</w:t>
                    </w:r>
                  </w:p>
                </w:txbxContent>
              </v:textbox>
            </v:shape>
            <v:shape id="_x0000_s1229" type="#_x0000_t202" style="position:absolute;left:8168;top:-832;width:1881;height:895" strokecolor="#fabf8f" strokeweight="1pt">
              <v:fill color2="#fbd4b4" focusposition="1" focussize="" focus="100%" type="gradient"/>
              <v:shadow on="t" type="perspective" color="#974706" opacity=".5" offset="1pt" offset2="-3pt"/>
              <v:textbox style="mso-next-textbox:#_x0000_s1229">
                <w:txbxContent>
                  <w:p w14:paraId="6CF3460B" w14:textId="77777777" w:rsidR="00C55975" w:rsidRPr="00C06296" w:rsidRDefault="00C55975" w:rsidP="002A64C0">
                    <w:pPr>
                      <w:rPr>
                        <w:b/>
                        <w:sz w:val="14"/>
                      </w:rPr>
                    </w:pPr>
                    <w:r>
                      <w:rPr>
                        <w:b/>
                        <w:sz w:val="14"/>
                      </w:rPr>
                      <w:t>Načrt za okrevanje in odpornost</w:t>
                    </w:r>
                  </w:p>
                </w:txbxContent>
              </v:textbox>
            </v:shape>
            <v:shape id="_x0000_s1230" type="#_x0000_t202" style="position:absolute;left:1836;top:-1595;width:1909;height:849" strokecolor="#b2a1c7" strokeweight="1pt">
              <v:fill color2="#ccc0d9" focusposition="1" focussize="" focus="100%" type="gradient"/>
              <v:shadow on="t" type="perspective" color="#3f3151" opacity=".5" offset="1pt" offset2="-3pt"/>
              <v:textbox style="mso-next-textbox:#_x0000_s1230">
                <w:txbxContent>
                  <w:p w14:paraId="4BD30C7B" w14:textId="77777777" w:rsidR="00C55975" w:rsidRPr="00582B79" w:rsidRDefault="00C55975" w:rsidP="002A64C0">
                    <w:pPr>
                      <w:rPr>
                        <w:b/>
                        <w:sz w:val="14"/>
                      </w:rPr>
                    </w:pPr>
                    <w:r>
                      <w:rPr>
                        <w:b/>
                        <w:sz w:val="14"/>
                      </w:rPr>
                      <w:t>Raziskovalna in inovacijska strategija</w:t>
                    </w:r>
                  </w:p>
                </w:txbxContent>
              </v:textbox>
            </v:shape>
            <v:shape id="_x0000_s1231" type="#_x0000_t202" style="position:absolute;left:1836;top:-490;width:1909;height:801" strokecolor="#b2a1c7" strokeweight="1pt">
              <v:fill color2="#ccc0d9" focusposition="1" focussize="" focus="100%" type="gradient"/>
              <v:shadow on="t" type="perspective" color="#3f3151" opacity=".5" offset="1pt" offset2="-3pt"/>
              <v:textbox style="mso-next-textbox:#_x0000_s1231">
                <w:txbxContent>
                  <w:p w14:paraId="7A92A784" w14:textId="77777777" w:rsidR="00C55975" w:rsidRPr="00582B79" w:rsidRDefault="00C55975" w:rsidP="002A64C0">
                    <w:pPr>
                      <w:rPr>
                        <w:b/>
                        <w:sz w:val="14"/>
                      </w:rPr>
                    </w:pPr>
                    <w:r>
                      <w:rPr>
                        <w:b/>
                        <w:sz w:val="14"/>
                      </w:rPr>
                      <w:t xml:space="preserve">Strategija pametne  specializacije – S4 </w:t>
                    </w:r>
                  </w:p>
                </w:txbxContent>
              </v:textbox>
            </v:shape>
            <v:shape id="_x0000_s1232" type="#_x0000_t202" style="position:absolute;left:1836;top:566;width:1909;height:586" strokecolor="#b2a1c7" strokeweight="1pt">
              <v:fill color2="#ccc0d9" focusposition="1" focussize="" focus="100%" type="gradient"/>
              <v:shadow on="t" type="perspective" color="#3f3151" opacity=".5" offset="1pt" offset2="-3pt"/>
              <v:textbox style="mso-next-textbox:#_x0000_s1232">
                <w:txbxContent>
                  <w:p w14:paraId="6731752D" w14:textId="77777777" w:rsidR="00C55975" w:rsidRPr="00582B79" w:rsidRDefault="00C55975" w:rsidP="002A64C0">
                    <w:pPr>
                      <w:rPr>
                        <w:b/>
                        <w:sz w:val="14"/>
                      </w:rPr>
                    </w:pPr>
                    <w:r>
                      <w:rPr>
                        <w:b/>
                        <w:sz w:val="14"/>
                      </w:rPr>
                      <w:t>Digitalna Slovenija</w:t>
                    </w:r>
                  </w:p>
                </w:txbxContent>
              </v:textbox>
            </v:shape>
            <v:shapetype id="_x0000_t32" coordsize="21600,21600" o:spt="32" o:oned="t" path="m,l21600,21600e" filled="f">
              <v:path arrowok="t" fillok="f" o:connecttype="none"/>
              <o:lock v:ext="edit" shapetype="t"/>
            </v:shapetype>
            <v:shape id="_x0000_s1233" type="#_x0000_t32" style="position:absolute;left:3745;top:-89;width:655;height:13" o:connectortype="straight" strokecolor="#8064a2" strokeweight="2.5pt">
              <v:stroke dashstyle="1 1" endcap="round"/>
              <v:shadow color="#868686"/>
            </v:shape>
            <v:shape id="_x0000_s1234" type="#_x0000_t32" style="position:absolute;left:3745;top:928;width:655;height:12" o:connectortype="straight" strokecolor="#8064a2" strokeweight="2.5pt">
              <v:stroke dashstyle="1 1" endcap="round"/>
              <v:shadow color="#868686"/>
            </v:shape>
            <v:shape id="_x0000_s1235" type="#_x0000_t32" style="position:absolute;left:7437;top:670;width:778;height:14;flip:x" o:connectortype="straight" strokecolor="#f79646" strokeweight="2.5pt">
              <v:stroke dashstyle="1 1" endcap="round"/>
              <v:shadow color="#868686"/>
            </v:shape>
            <v:shape id="_x0000_s1236" type="#_x0000_t32" style="position:absolute;left:6659;top:-883;width:778;height:12;flip:x" o:connectortype="straight" strokecolor="#f79646" strokeweight="2.5pt">
              <v:stroke dashstyle="1 1" endcap="round"/>
              <v:shadow color="#868686"/>
            </v:shape>
            <v:shape id="_x0000_s1237" type="#_x0000_t32" style="position:absolute;left:4399;top:-871;width:655;height:13" o:connectortype="straight" strokecolor="#8064a2" strokeweight="2.5pt">
              <v:stroke dashstyle="1 1" endcap="round"/>
              <v:shadow color="#868686"/>
            </v:shape>
            <v:oval id="_s1031" o:spid="_x0000_s1238" style="position:absolute;left:5054;top:3858;width:1673;height:2203;v-text-anchor:middle" o:dgmnodekind="0" strokecolor="#4bacc6" strokeweight="5pt">
              <v:fill opacity="44564f" o:opacity2="43909f" recolor="t"/>
              <v:stroke linestyle="thickThin"/>
              <v:shadow color="#868686"/>
              <v:textbox inset="0,0,0,0">
                <w:txbxContent>
                  <w:p w14:paraId="6F6933DC" w14:textId="77777777" w:rsidR="00C55975" w:rsidRPr="00DC1724" w:rsidRDefault="00C55975" w:rsidP="002A64C0">
                    <w:pPr>
                      <w:jc w:val="center"/>
                      <w:rPr>
                        <w:b/>
                        <w:i/>
                        <w:sz w:val="18"/>
                      </w:rPr>
                    </w:pPr>
                    <w:r w:rsidRPr="00DC1724">
                      <w:rPr>
                        <w:b/>
                        <w:i/>
                        <w:sz w:val="18"/>
                      </w:rPr>
                      <w:t xml:space="preserve"> </w:t>
                    </w:r>
                    <w:r w:rsidRPr="00055C12">
                      <w:rPr>
                        <w:b/>
                        <w:sz w:val="16"/>
                      </w:rPr>
                      <w:t>Razvojni programi ostalih politik</w:t>
                    </w:r>
                    <w:r w:rsidRPr="00DC1724">
                      <w:rPr>
                        <w:b/>
                        <w:i/>
                        <w:sz w:val="18"/>
                      </w:rPr>
                      <w:t xml:space="preserve"> </w:t>
                    </w:r>
                  </w:p>
                </w:txbxContent>
              </v:textbox>
            </v:oval>
            <v:shape id="_x0000_s1239" type="#_x0000_t32" style="position:absolute;left:5907;top:63;width:46;height:727" o:connectortype="straight" strokecolor="#4f81bd" strokeweight="2.25pt">
              <v:stroke dashstyle="1 1" endarrow="block" endcap="round"/>
            </v:shape>
            <v:shape id="_x0000_s1240" type="#_x0000_t32" style="position:absolute;left:5907;top:3011;width:98;height:847;flip:x y" o:connectortype="straight" strokecolor="#0070c0" strokeweight="2pt">
              <v:stroke dashstyle="1 1" startarrow="block" endarrow="block"/>
              <v:shadow type="perspective" color="#205867" opacity=".5" offset="1pt" offset2="-1pt"/>
            </v:shape>
            <v:shape id="_x0000_s1241" type="#_x0000_t202" style="position:absolute;left:8140;top:311;width:1909;height:841" strokecolor="#fabf8f" strokeweight="1pt">
              <v:fill color2="#fbd4b4" focusposition="1" focussize="" focus="100%" type="gradient"/>
              <v:shadow on="t" type="perspective" color="#974706" opacity=".5" offset="1pt" offset2="-3pt"/>
              <v:textbox style="mso-next-textbox:#_x0000_s1241">
                <w:txbxContent>
                  <w:p w14:paraId="31F76A12" w14:textId="77777777" w:rsidR="00C55975" w:rsidRPr="00582B79" w:rsidRDefault="00C55975" w:rsidP="002A64C0">
                    <w:pPr>
                      <w:rPr>
                        <w:b/>
                        <w:sz w:val="14"/>
                      </w:rPr>
                    </w:pPr>
                    <w:r>
                      <w:rPr>
                        <w:b/>
                        <w:sz w:val="14"/>
                      </w:rPr>
                      <w:t xml:space="preserve">Obzorje, </w:t>
                    </w:r>
                    <w:proofErr w:type="spellStart"/>
                    <w:r>
                      <w:rPr>
                        <w:b/>
                        <w:sz w:val="14"/>
                      </w:rPr>
                      <w:t>InvestEU</w:t>
                    </w:r>
                    <w:proofErr w:type="spellEnd"/>
                    <w:r>
                      <w:rPr>
                        <w:b/>
                        <w:sz w:val="14"/>
                      </w:rPr>
                      <w:t xml:space="preserve"> in drugi </w:t>
                    </w:r>
                    <w:proofErr w:type="spellStart"/>
                    <w:r>
                      <w:rPr>
                        <w:b/>
                        <w:sz w:val="14"/>
                      </w:rPr>
                      <w:t>evr</w:t>
                    </w:r>
                    <w:proofErr w:type="spellEnd"/>
                    <w:r>
                      <w:rPr>
                        <w:b/>
                        <w:sz w:val="14"/>
                      </w:rPr>
                      <w:t>. programi</w:t>
                    </w:r>
                  </w:p>
                </w:txbxContent>
              </v:textbox>
            </v:shape>
            <v:shape id="_x0000_s1242" type="#_x0000_t32" style="position:absolute;left:7437;top:-416;width:731;height:32;flip:x y" o:connectortype="straight" strokecolor="#f79646" strokeweight="2.5pt">
              <v:stroke dashstyle="1 1" endcap="round"/>
              <v:shadow color="#868686"/>
            </v:shape>
            <v:shape id="_x0000_s1243" type="#_x0000_t202" style="position:absolute;left:8215;top:2426;width:1909;height:585" strokecolor="#fabf8f" strokeweight="1pt">
              <v:fill color2="#fbd4b4" focusposition="1" focussize="" focus="100%" type="gradient"/>
              <v:shadow on="t" type="perspective" color="#974706" opacity=".5" offset="1pt" offset2="-3pt"/>
              <v:textbox style="mso-next-textbox:#_x0000_s1243">
                <w:txbxContent>
                  <w:p w14:paraId="7BAD04C9" w14:textId="77777777" w:rsidR="00C55975" w:rsidRPr="00582B79" w:rsidRDefault="00C55975" w:rsidP="002A64C0">
                    <w:pPr>
                      <w:rPr>
                        <w:b/>
                        <w:sz w:val="14"/>
                      </w:rPr>
                    </w:pPr>
                    <w:r>
                      <w:rPr>
                        <w:b/>
                        <w:sz w:val="14"/>
                      </w:rPr>
                      <w:t>Proračun RS</w:t>
                    </w:r>
                  </w:p>
                </w:txbxContent>
              </v:textbox>
            </v:shape>
            <v:shape id="_x0000_s1244" type="#_x0000_t32" style="position:absolute;left:7438;top:1763;width:778;height:14;flip:x" o:connectortype="straight" strokecolor="#f79646" strokeweight="2.5pt">
              <v:stroke dashstyle="1 1" endcap="round"/>
              <v:shadow color="#868686"/>
            </v:shape>
            <v:shape id="_x0000_s1245" type="#_x0000_t32" style="position:absolute;left:7437;top:2672;width:778;height:13;flip:x" o:connectortype="straight" strokecolor="#f79646" strokeweight="2.5pt">
              <v:stroke dashstyle="1 1" endcap="round"/>
              <v:shadow color="#868686"/>
            </v:shape>
            <v:shape id="_x0000_s1246" type="#_x0000_t32" style="position:absolute;left:7437;top:-1334;width:1;height:4006;flip:y" o:connectortype="straight" strokecolor="#f79646" strokeweight="2.5pt">
              <v:stroke dashstyle="1 1" endcap="round"/>
              <v:shadow color="#868686"/>
            </v:shape>
            <v:shape id="_x0000_s1247" type="#_x0000_t202" style="position:absolute;left:1836;top:1395;width:1909;height:585" strokecolor="#b2a1c7" strokeweight="1pt">
              <v:fill color2="#ccc0d9" focusposition="1" focussize="" focus="100%" type="gradient"/>
              <v:shadow on="t" type="perspective" color="#3f3151" opacity=".5" offset="1pt" offset2="-3pt"/>
              <v:textbox style="mso-next-textbox:#_x0000_s1247">
                <w:txbxContent>
                  <w:p w14:paraId="379D8177" w14:textId="77777777" w:rsidR="00C55975" w:rsidRPr="00582B79" w:rsidRDefault="00C55975" w:rsidP="002A64C0">
                    <w:pPr>
                      <w:rPr>
                        <w:b/>
                        <w:sz w:val="14"/>
                      </w:rPr>
                    </w:pPr>
                    <w:r>
                      <w:rPr>
                        <w:b/>
                        <w:sz w:val="14"/>
                      </w:rPr>
                      <w:t>NEPN 2030</w:t>
                    </w:r>
                  </w:p>
                </w:txbxContent>
              </v:textbox>
            </v:shape>
            <v:shape id="_x0000_s1248" type="#_x0000_t202" style="position:absolute;left:1836;top:2100;width:1909;height:911" strokecolor="#b2a1c7" strokeweight="1pt">
              <v:fill color2="#ccc0d9" focusposition="1" focussize="" focus="100%" type="gradient"/>
              <v:shadow on="t" type="perspective" color="#3f3151" opacity=".5" offset="1pt" offset2="-3pt"/>
              <v:textbox style="mso-next-textbox:#_x0000_s1248">
                <w:txbxContent>
                  <w:p w14:paraId="307C822E" w14:textId="77777777" w:rsidR="00C55975" w:rsidRPr="00582B79" w:rsidRDefault="00C55975" w:rsidP="002A64C0">
                    <w:pPr>
                      <w:rPr>
                        <w:b/>
                        <w:sz w:val="14"/>
                      </w:rPr>
                    </w:pPr>
                    <w:r>
                      <w:rPr>
                        <w:b/>
                        <w:sz w:val="14"/>
                      </w:rPr>
                      <w:t>Dolgoročna podnebna strategija 2050</w:t>
                    </w:r>
                  </w:p>
                </w:txbxContent>
              </v:textbox>
            </v:shape>
            <v:shape id="_x0000_s1249" type="#_x0000_t32" style="position:absolute;left:4399;top:-1321;width:2;height:3937" o:connectortype="straight" strokecolor="#8064a2" strokeweight="2.5pt">
              <v:stroke dashstyle="1 1" endcap="round"/>
              <v:shadow color="#868686"/>
            </v:shape>
            <v:shape id="_x0000_s1250" type="#_x0000_t32" style="position:absolute;left:4543;top:2616;width:748;height:848;flip:y" o:connectortype="straight" strokecolor="#0070c0" strokeweight="2pt">
              <v:stroke dashstyle="1 1" startarrow="block" endarrow="block"/>
              <v:shadow type="perspective" color="#205867" opacity=".5" offset="1pt" offset2="-1pt"/>
            </v:shape>
            <v:shape id="_x0000_s1251" type="#_x0000_t32" style="position:absolute;left:7389;top:-1347;width:779;height:13;flip:x" o:connectortype="straight" strokecolor="#f79646" strokeweight="2.5pt">
              <v:stroke dashstyle="1 1" endcap="round"/>
              <v:shadow color="#868686"/>
            </v:shape>
            <v:shape id="_x0000_s1252" type="#_x0000_t32" style="position:absolute;left:3743;top:-1361;width:656;height:14" o:connectortype="straight" strokecolor="#8064a2" strokeweight="2.5pt">
              <v:stroke dashstyle="1 1" endcap="round"/>
              <v:shadow color="#868686"/>
            </v:shape>
            <v:shape id="_x0000_s1253" type="#_x0000_t32" style="position:absolute;left:3746;top:1751;width:655;height:12" o:connectortype="straight" strokecolor="#8064a2" strokeweight="2.5pt">
              <v:stroke dashstyle="1 1" endcap="round"/>
              <v:shadow color="#868686"/>
            </v:shape>
            <v:shape id="_x0000_s1254" type="#_x0000_t32" style="position:absolute;left:6511;top:2685;width:737;height:736" o:connectortype="straight" strokecolor="#0070c0" strokeweight="2pt">
              <v:stroke dashstyle="1 1" startarrow="block" endarrow="block"/>
              <v:shadow type="perspective" color="#205867" opacity=".5" offset="1pt" offset2="-1pt"/>
            </v:shape>
            <w10:wrap type="none"/>
            <w10:anchorlock/>
          </v:group>
        </w:pict>
      </w:r>
    </w:p>
    <w:p w14:paraId="7009C477" w14:textId="0CF706AF" w:rsidR="000D3813" w:rsidRPr="002A64C0" w:rsidRDefault="000D3813" w:rsidP="002A64C0">
      <w:r w:rsidRPr="000265FB">
        <w:rPr>
          <w:rFonts w:asciiTheme="majorHAnsi" w:eastAsia="Times New Roman" w:hAnsiTheme="majorHAnsi" w:cs="Times New Roman"/>
          <w:sz w:val="18"/>
          <w:szCs w:val="22"/>
          <w:lang w:eastAsia="sl-SI"/>
        </w:rPr>
        <w:t>Vir: MGRT</w:t>
      </w:r>
    </w:p>
    <w:p w14:paraId="41C2EADD" w14:textId="77777777" w:rsidR="000D3813" w:rsidRDefault="000D3813" w:rsidP="000D3813">
      <w:pPr>
        <w:pStyle w:val="Naslov2"/>
        <w:numPr>
          <w:ilvl w:val="1"/>
          <w:numId w:val="9"/>
        </w:numPr>
      </w:pPr>
      <w:bookmarkStart w:id="4" w:name="_Toc51140494"/>
      <w:r>
        <w:rPr>
          <w:caps w:val="0"/>
        </w:rPr>
        <w:t>Namen</w:t>
      </w:r>
      <w:bookmarkEnd w:id="4"/>
    </w:p>
    <w:p w14:paraId="6DB8EDD5" w14:textId="77777777" w:rsidR="000D3813" w:rsidRDefault="000D3813" w:rsidP="000D3813">
      <w:pPr>
        <w:jc w:val="both"/>
      </w:pPr>
      <w:r w:rsidRPr="003F63BA">
        <w:t xml:space="preserve">Namen </w:t>
      </w:r>
      <w:r>
        <w:t>Slovenske industrijske strategije</w:t>
      </w:r>
      <w:r w:rsidR="00766246">
        <w:t xml:space="preserve"> (v nadaljevanju SIS)</w:t>
      </w:r>
      <w:r>
        <w:t xml:space="preserve"> je </w:t>
      </w:r>
      <w:r w:rsidR="006D79A8">
        <w:t>postaviti usmeritve za nadaljnji razvoj slovenske industrije v širšem smislu</w:t>
      </w:r>
      <w:r w:rsidR="006D79A8">
        <w:rPr>
          <w:rStyle w:val="Sprotnaopomba-sklic"/>
        </w:rPr>
        <w:footnoteReference w:id="4"/>
      </w:r>
      <w:r>
        <w:t xml:space="preserve"> za obdobje 2021-2030. Industrijska politika se namreč v zadnjih desetletjih v razvitih državah krepi. Krepi se tudi sistemski</w:t>
      </w:r>
      <w:r w:rsidRPr="00B10333">
        <w:t xml:space="preserve"> pristop</w:t>
      </w:r>
      <w:r>
        <w:t xml:space="preserve"> k industrijski politiki, ki poudarja </w:t>
      </w:r>
      <w:r w:rsidRPr="00B10333">
        <w:t>ustvarjanj</w:t>
      </w:r>
      <w:r>
        <w:t xml:space="preserve">e trgov (npr. za </w:t>
      </w:r>
      <w:proofErr w:type="spellStart"/>
      <w:r>
        <w:t>nizkoogljične</w:t>
      </w:r>
      <w:proofErr w:type="spellEnd"/>
      <w:r>
        <w:t xml:space="preserve"> tehnologije in produkte), zasledovanje</w:t>
      </w:r>
      <w:r w:rsidRPr="00B10333">
        <w:t xml:space="preserve"> stratešk</w:t>
      </w:r>
      <w:r>
        <w:t>ih</w:t>
      </w:r>
      <w:r w:rsidRPr="00B10333">
        <w:t xml:space="preserve"> cilj</w:t>
      </w:r>
      <w:r>
        <w:t xml:space="preserve">ev ter povezovanje struktur, institucij in politik. </w:t>
      </w:r>
      <w:r w:rsidRPr="00B55988">
        <w:t xml:space="preserve"> </w:t>
      </w:r>
    </w:p>
    <w:p w14:paraId="6A890481" w14:textId="77777777" w:rsidR="000D3813" w:rsidRDefault="000D3813" w:rsidP="000D3813">
      <w:pPr>
        <w:jc w:val="both"/>
      </w:pPr>
      <w:r>
        <w:t xml:space="preserve">Slovenija se, tako kot celotna Evropska unija, sooča z mnogimi izzivi: tehnološke spremembe, družbeno-politične spremembe, globalizacija, kopičenje (neobdelanih) odpadkov, vse težji dostop do strateških surovin, podnebne spremembe in izzivi, povezani z zdravjem. Vsi ti izzivi predstavljajo na eni strani grožnjo, na drugi pa tudi priložnost, odvisno od tega, kako uspešno se z njimi soočamo. </w:t>
      </w:r>
    </w:p>
    <w:p w14:paraId="257EBA15" w14:textId="77777777" w:rsidR="000D3813" w:rsidRDefault="000D3813" w:rsidP="000D3813">
      <w:pPr>
        <w:jc w:val="both"/>
      </w:pPr>
      <w:r>
        <w:t xml:space="preserve">Slovenija </w:t>
      </w:r>
      <w:r w:rsidRPr="00C532E5">
        <w:t>potrebuje močno industrijsko</w:t>
      </w:r>
      <w:r>
        <w:t xml:space="preserve"> bazo, ki se bo lahko soočala z mednarodno </w:t>
      </w:r>
      <w:r w:rsidRPr="00C532E5">
        <w:t>konkurenco, pa tudi z izzivi, ki jih prinašata digitalizacija ter prehod na podnebno nevtralno in krožno gospodarstvo.</w:t>
      </w:r>
    </w:p>
    <w:p w14:paraId="09B57CB7" w14:textId="6CF36B05" w:rsidR="000D3813" w:rsidRDefault="000D3813" w:rsidP="000D3813">
      <w:pPr>
        <w:jc w:val="both"/>
      </w:pPr>
      <w:r>
        <w:t xml:space="preserve">Evropski observatorij za grozde in spremembe v industriji je opredelil deset </w:t>
      </w:r>
      <w:proofErr w:type="spellStart"/>
      <w:r>
        <w:t>megatrendov</w:t>
      </w:r>
      <w:proofErr w:type="spellEnd"/>
      <w:r>
        <w:t>, ki so zelo pomembni za industrijski razvoj v Evropi (Evropski observatorij za grozde in spremembe v industriji, 2019). Ob tem izpostavljamo tudi vidik negotovosti napovedovanja prihodnjega razvoja, kar se je pokazalo v globalnih krizah, tudi sedanji, povezani s pandemijo COVID-19. V skladu s tem se pojavlja potreba po mehanizmu, s pomočjo katerega bi se povečal</w:t>
      </w:r>
      <w:r w:rsidR="0040305C">
        <w:t>i</w:t>
      </w:r>
      <w:r>
        <w:t xml:space="preserve"> hitrost in odzivnost na dane </w:t>
      </w:r>
      <w:r>
        <w:lastRenderedPageBreak/>
        <w:t xml:space="preserve">izzive. Obravnavani </w:t>
      </w:r>
      <w:proofErr w:type="spellStart"/>
      <w:r>
        <w:t>megatrendi</w:t>
      </w:r>
      <w:proofErr w:type="spellEnd"/>
      <w:r>
        <w:t xml:space="preserve"> se razvrščajo v tri kategorije s posebnimi grožnjami in možnostmi (priloga 1):</w:t>
      </w:r>
    </w:p>
    <w:p w14:paraId="127E3E18" w14:textId="77777777" w:rsidR="000D3813" w:rsidRDefault="000D3813" w:rsidP="000D3813">
      <w:pPr>
        <w:pStyle w:val="Odstavekseznama"/>
        <w:numPr>
          <w:ilvl w:val="0"/>
          <w:numId w:val="2"/>
        </w:numPr>
      </w:pPr>
      <w:r w:rsidRPr="00D1398B">
        <w:rPr>
          <w:b/>
        </w:rPr>
        <w:t xml:space="preserve">Tehnološki </w:t>
      </w:r>
      <w:proofErr w:type="spellStart"/>
      <w:r w:rsidRPr="00D1398B">
        <w:rPr>
          <w:b/>
        </w:rPr>
        <w:t>megatrendi</w:t>
      </w:r>
      <w:proofErr w:type="spellEnd"/>
      <w:r>
        <w:t>, vključno z avtomatizacijo, integracijo predmetov in objektov, umetno inteligenco, kibernetsko varnostjo</w:t>
      </w:r>
      <w:r w:rsidRPr="008D488E">
        <w:t>.</w:t>
      </w:r>
    </w:p>
    <w:p w14:paraId="1020C862" w14:textId="77777777" w:rsidR="000D3813" w:rsidRDefault="000D3813" w:rsidP="000D3813">
      <w:pPr>
        <w:pStyle w:val="Odstavekseznama"/>
        <w:numPr>
          <w:ilvl w:val="0"/>
          <w:numId w:val="2"/>
        </w:numPr>
      </w:pPr>
      <w:r w:rsidRPr="00D1398B">
        <w:rPr>
          <w:b/>
        </w:rPr>
        <w:t xml:space="preserve">Socialno-politični </w:t>
      </w:r>
      <w:proofErr w:type="spellStart"/>
      <w:r w:rsidRPr="00D1398B">
        <w:rPr>
          <w:b/>
        </w:rPr>
        <w:t>megatrendi</w:t>
      </w:r>
      <w:proofErr w:type="spellEnd"/>
      <w:r>
        <w:t>, ki zajemajo globalizacijo, geopolitiko ter demografske premike</w:t>
      </w:r>
      <w:r w:rsidRPr="008D488E">
        <w:t>.</w:t>
      </w:r>
    </w:p>
    <w:p w14:paraId="54B40AC7" w14:textId="77777777" w:rsidR="000D3813" w:rsidRDefault="000D3813" w:rsidP="000D3813">
      <w:pPr>
        <w:pStyle w:val="Odstavekseznama"/>
        <w:numPr>
          <w:ilvl w:val="0"/>
          <w:numId w:val="2"/>
        </w:numPr>
      </w:pPr>
      <w:proofErr w:type="spellStart"/>
      <w:r w:rsidRPr="00D1398B">
        <w:rPr>
          <w:b/>
        </w:rPr>
        <w:t>Megatrendi</w:t>
      </w:r>
      <w:proofErr w:type="spellEnd"/>
      <w:r w:rsidRPr="00D1398B">
        <w:rPr>
          <w:b/>
        </w:rPr>
        <w:t xml:space="preserve"> okoljskega in pametnega gospodarstva</w:t>
      </w:r>
      <w:r>
        <w:t>, ki so bolj specifični za kontekst EU, vključno z zelenim in krožnim gospodarstvom, urbanizacijo ter pametnimi mesti in pametno mobilnostjo.</w:t>
      </w:r>
    </w:p>
    <w:p w14:paraId="1A0E5075" w14:textId="77777777" w:rsidR="000D3813" w:rsidRPr="00600C9A" w:rsidRDefault="000D3813" w:rsidP="000D3813">
      <w:r w:rsidRPr="003F63BA">
        <w:t xml:space="preserve">V skladu s trendi in izzivi SIS </w:t>
      </w:r>
      <w:r>
        <w:t>naslavlja</w:t>
      </w:r>
      <w:r w:rsidRPr="003F63BA">
        <w:t>:</w:t>
      </w:r>
    </w:p>
    <w:p w14:paraId="32315C04" w14:textId="77777777" w:rsidR="000D3813" w:rsidRDefault="000D3813" w:rsidP="000D3813">
      <w:pPr>
        <w:pStyle w:val="Odstavekseznama"/>
        <w:numPr>
          <w:ilvl w:val="0"/>
          <w:numId w:val="1"/>
        </w:numPr>
      </w:pPr>
      <w:r>
        <w:t>horizontalno naravo industrijske politike in potrebo po izboljšanju okvirnih pogojev in poslovnega okolja,</w:t>
      </w:r>
    </w:p>
    <w:p w14:paraId="2AA3D22E" w14:textId="77777777" w:rsidR="000D3813" w:rsidRDefault="000D3813" w:rsidP="000D3813">
      <w:pPr>
        <w:pStyle w:val="Odstavekseznama"/>
        <w:numPr>
          <w:ilvl w:val="0"/>
          <w:numId w:val="1"/>
        </w:numPr>
      </w:pPr>
      <w:r>
        <w:t xml:space="preserve">tematski pristop, ki pomeni odgovor na družbene izzive (prehod v </w:t>
      </w:r>
      <w:proofErr w:type="spellStart"/>
      <w:r>
        <w:t>nizkogljično</w:t>
      </w:r>
      <w:proofErr w:type="spellEnd"/>
      <w:r>
        <w:t xml:space="preserve"> krožno gospodarstvo, digitalizacija in Industrija 4.0),</w:t>
      </w:r>
    </w:p>
    <w:p w14:paraId="69C3088C" w14:textId="77777777" w:rsidR="000D3813" w:rsidRDefault="000D3813" w:rsidP="000D3813">
      <w:pPr>
        <w:pStyle w:val="Odstavekseznama"/>
        <w:numPr>
          <w:ilvl w:val="0"/>
          <w:numId w:val="1"/>
        </w:numPr>
      </w:pPr>
      <w:r>
        <w:t>krepitev strateških verig vrednosti</w:t>
      </w:r>
      <w:r w:rsidR="00602381">
        <w:t>, predvsem</w:t>
      </w:r>
      <w:r>
        <w:t xml:space="preserve"> na prednostnih področjih slovenske Strategije pametne specializacije in</w:t>
      </w:r>
    </w:p>
    <w:p w14:paraId="7A2BDAE4" w14:textId="77777777" w:rsidR="000D3813" w:rsidRDefault="000D3813" w:rsidP="000D3813">
      <w:pPr>
        <w:pStyle w:val="Odstavekseznama"/>
        <w:numPr>
          <w:ilvl w:val="0"/>
          <w:numId w:val="1"/>
        </w:numPr>
      </w:pPr>
      <w:r w:rsidRPr="00453FC6">
        <w:t xml:space="preserve">dvig odpornosti in odzivnosti na zunanje dejavnike, ki jih prinašajo globalni </w:t>
      </w:r>
      <w:proofErr w:type="spellStart"/>
      <w:r w:rsidRPr="00453FC6">
        <w:t>megatrendi</w:t>
      </w:r>
      <w:proofErr w:type="spellEnd"/>
      <w:r w:rsidRPr="00453FC6">
        <w:t xml:space="preserve"> in nepričakovane motnje (t.</w:t>
      </w:r>
      <w:r w:rsidR="00181F05">
        <w:t xml:space="preserve"> </w:t>
      </w:r>
      <w:r w:rsidRPr="00453FC6">
        <w:t xml:space="preserve">i. </w:t>
      </w:r>
      <w:proofErr w:type="spellStart"/>
      <w:r w:rsidRPr="00453FC6">
        <w:t>black</w:t>
      </w:r>
      <w:proofErr w:type="spellEnd"/>
      <w:r w:rsidRPr="00453FC6">
        <w:t xml:space="preserve"> </w:t>
      </w:r>
      <w:proofErr w:type="spellStart"/>
      <w:r w:rsidRPr="00453FC6">
        <w:t>swans</w:t>
      </w:r>
      <w:proofErr w:type="spellEnd"/>
      <w:r w:rsidRPr="00453FC6">
        <w:t>).</w:t>
      </w:r>
    </w:p>
    <w:p w14:paraId="7F795C94" w14:textId="77777777" w:rsidR="000D3813" w:rsidRDefault="000D3813" w:rsidP="000D3813">
      <w:pPr>
        <w:pStyle w:val="Odstavekseznama"/>
      </w:pPr>
    </w:p>
    <w:p w14:paraId="6DE18E6D" w14:textId="77777777" w:rsidR="000D3813" w:rsidRPr="002C23D6" w:rsidRDefault="000D3813" w:rsidP="000D3813">
      <w:pPr>
        <w:pStyle w:val="Naslov2"/>
        <w:numPr>
          <w:ilvl w:val="1"/>
          <w:numId w:val="9"/>
        </w:numPr>
        <w:rPr>
          <w:caps w:val="0"/>
        </w:rPr>
      </w:pPr>
      <w:bookmarkStart w:id="5" w:name="_Toc51140495"/>
      <w:r>
        <w:rPr>
          <w:caps w:val="0"/>
        </w:rPr>
        <w:t>Vizija in poslanstvo</w:t>
      </w:r>
      <w:bookmarkEnd w:id="5"/>
      <w:r>
        <w:rPr>
          <w:caps w:val="0"/>
        </w:rPr>
        <w:t xml:space="preserve"> </w:t>
      </w:r>
    </w:p>
    <w:p w14:paraId="0121E4C3" w14:textId="77777777" w:rsidR="000D3813" w:rsidRPr="000D3813" w:rsidRDefault="000D3813" w:rsidP="000D3813">
      <w:pPr>
        <w:shd w:val="clear" w:color="auto" w:fill="FFFFFF" w:themeFill="background1"/>
        <w:spacing w:before="240"/>
        <w:rPr>
          <w:b/>
          <w:bCs/>
        </w:rPr>
      </w:pPr>
      <w:r w:rsidRPr="000D3813">
        <w:rPr>
          <w:b/>
          <w:bCs/>
        </w:rPr>
        <w:t>Vizija:</w:t>
      </w:r>
    </w:p>
    <w:p w14:paraId="0C51B561" w14:textId="77777777" w:rsidR="000D3813" w:rsidRDefault="000D3813" w:rsidP="000D3813">
      <w:pPr>
        <w:pBdr>
          <w:top w:val="single" w:sz="4" w:space="1" w:color="auto"/>
          <w:left w:val="single" w:sz="4" w:space="4" w:color="auto"/>
          <w:bottom w:val="single" w:sz="4" w:space="1" w:color="auto"/>
          <w:right w:val="single" w:sz="4" w:space="4" w:color="auto"/>
        </w:pBdr>
        <w:shd w:val="clear" w:color="auto" w:fill="B7DFA8" w:themeFill="accent1" w:themeFillTint="66"/>
        <w:spacing w:before="0" w:after="0"/>
        <w:jc w:val="center"/>
        <w:rPr>
          <w:b/>
        </w:rPr>
      </w:pPr>
    </w:p>
    <w:p w14:paraId="35A807FB" w14:textId="77777777" w:rsidR="000D3813" w:rsidRPr="008F495A" w:rsidRDefault="000D3813" w:rsidP="000D3813">
      <w:pPr>
        <w:pBdr>
          <w:top w:val="single" w:sz="4" w:space="1" w:color="auto"/>
          <w:left w:val="single" w:sz="4" w:space="4" w:color="auto"/>
          <w:bottom w:val="single" w:sz="4" w:space="1" w:color="auto"/>
          <w:right w:val="single" w:sz="4" w:space="4" w:color="auto"/>
        </w:pBdr>
        <w:shd w:val="clear" w:color="auto" w:fill="B7DFA8" w:themeFill="accent1" w:themeFillTint="66"/>
        <w:spacing w:before="0" w:after="0"/>
        <w:jc w:val="center"/>
        <w:rPr>
          <w:b/>
        </w:rPr>
      </w:pPr>
      <w:r w:rsidRPr="008F495A">
        <w:rPr>
          <w:b/>
        </w:rPr>
        <w:t>Slovenska industrija je zelena, ustvarjalna in pametna</w:t>
      </w:r>
      <w:r w:rsidRPr="008F495A">
        <w:rPr>
          <w:b/>
          <w:bCs/>
          <w:sz w:val="24"/>
        </w:rPr>
        <w:t>.</w:t>
      </w:r>
    </w:p>
    <w:p w14:paraId="0A4700F1" w14:textId="77777777" w:rsidR="000D3813" w:rsidRPr="00F4218F" w:rsidRDefault="000D3813" w:rsidP="000D3813">
      <w:pPr>
        <w:pBdr>
          <w:top w:val="single" w:sz="4" w:space="1" w:color="auto"/>
          <w:left w:val="single" w:sz="4" w:space="4" w:color="auto"/>
          <w:bottom w:val="single" w:sz="4" w:space="1" w:color="auto"/>
          <w:right w:val="single" w:sz="4" w:space="4" w:color="auto"/>
        </w:pBdr>
        <w:shd w:val="clear" w:color="auto" w:fill="B7DFA8" w:themeFill="accent1" w:themeFillTint="66"/>
        <w:spacing w:before="0" w:after="0"/>
        <w:jc w:val="center"/>
        <w:rPr>
          <w:b/>
        </w:rPr>
      </w:pPr>
    </w:p>
    <w:p w14:paraId="60FBC3C3" w14:textId="77777777" w:rsidR="000D3813" w:rsidRDefault="000D3813" w:rsidP="000D3813">
      <w:pPr>
        <w:shd w:val="clear" w:color="auto" w:fill="FFFFFF" w:themeFill="background1"/>
        <w:jc w:val="center"/>
      </w:pPr>
    </w:p>
    <w:p w14:paraId="3592021B" w14:textId="77777777" w:rsidR="00686A2A" w:rsidRDefault="00686A2A" w:rsidP="00686A2A">
      <w:pPr>
        <w:shd w:val="clear" w:color="auto" w:fill="FFFFFF" w:themeFill="background1"/>
      </w:pPr>
      <w:r>
        <w:t>Slika 2: Prikaz prepletanja treh področij</w:t>
      </w:r>
    </w:p>
    <w:p w14:paraId="3D679FB9" w14:textId="77777777" w:rsidR="000D3813" w:rsidRDefault="000D3813" w:rsidP="000D3813">
      <w:pPr>
        <w:jc w:val="center"/>
      </w:pPr>
      <w:r w:rsidRPr="002A3E7C">
        <w:rPr>
          <w:noProof/>
          <w:lang w:eastAsia="sl-SI"/>
        </w:rPr>
        <w:drawing>
          <wp:inline distT="0" distB="0" distL="0" distR="0" wp14:anchorId="231E7492" wp14:editId="626AC480">
            <wp:extent cx="4572000" cy="2743200"/>
            <wp:effectExtent l="0" t="0" r="0" b="0"/>
            <wp:docPr id="15" name="Slika 15" descr="C:\Users\MCebular\Downloads\vzpostavitev prese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Cebular\Downloads\vzpostavitev preseka.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4B6754D9" w14:textId="749F3585" w:rsidR="000D3813" w:rsidRDefault="000D3813" w:rsidP="000D3813">
      <w:pPr>
        <w:autoSpaceDE w:val="0"/>
        <w:autoSpaceDN w:val="0"/>
        <w:adjustRightInd w:val="0"/>
        <w:spacing w:after="0"/>
        <w:jc w:val="both"/>
        <w:rPr>
          <w:rFonts w:cs="Verdana-Bold"/>
          <w:szCs w:val="22"/>
        </w:rPr>
      </w:pPr>
      <w:r>
        <w:rPr>
          <w:rFonts w:cs="Verdana-Bold"/>
          <w:szCs w:val="22"/>
        </w:rPr>
        <w:t xml:space="preserve">Zeleni, ustvarjalni in pametni razvoj se med sabo prepletajo in dopolnjujejo. </w:t>
      </w:r>
      <w:r w:rsidR="00181F05">
        <w:rPr>
          <w:rFonts w:cs="Verdana-Bold"/>
          <w:szCs w:val="22"/>
        </w:rPr>
        <w:t>P</w:t>
      </w:r>
      <w:r>
        <w:rPr>
          <w:rFonts w:cs="Verdana-Bold"/>
          <w:szCs w:val="22"/>
        </w:rPr>
        <w:t xml:space="preserve">rehoda v </w:t>
      </w:r>
      <w:proofErr w:type="spellStart"/>
      <w:r>
        <w:rPr>
          <w:rFonts w:cs="Verdana-Bold"/>
          <w:bCs/>
          <w:szCs w:val="22"/>
        </w:rPr>
        <w:t>nizkoogljično</w:t>
      </w:r>
      <w:proofErr w:type="spellEnd"/>
      <w:r w:rsidRPr="003F63BA">
        <w:rPr>
          <w:rFonts w:cs="Verdana-Bold"/>
          <w:bCs/>
          <w:szCs w:val="22"/>
        </w:rPr>
        <w:t xml:space="preserve"> krožno gospodarstvo </w:t>
      </w:r>
      <w:r w:rsidR="00181F05">
        <w:rPr>
          <w:rFonts w:cs="Verdana-Bold"/>
          <w:bCs/>
          <w:szCs w:val="22"/>
        </w:rPr>
        <w:t xml:space="preserve">na primer </w:t>
      </w:r>
      <w:r>
        <w:rPr>
          <w:rFonts w:cs="Verdana-Bold"/>
          <w:szCs w:val="22"/>
        </w:rPr>
        <w:t xml:space="preserve">ne bomo dosegli brez uvajanja sistemskega pristopa in </w:t>
      </w:r>
      <w:r>
        <w:rPr>
          <w:rFonts w:cs="Verdana-Bold"/>
          <w:szCs w:val="22"/>
        </w:rPr>
        <w:lastRenderedPageBreak/>
        <w:t xml:space="preserve">brez visoke stopnje ustvarjalnosti, ob podpori rešitev, ki jih prinaša digitalizacija in uvajanje pametnih rešitev.  </w:t>
      </w:r>
      <w:r w:rsidRPr="0043014A">
        <w:rPr>
          <w:rFonts w:cs="Verdana-Bold"/>
          <w:szCs w:val="22"/>
        </w:rPr>
        <w:t>Zato je treba usmeritve</w:t>
      </w:r>
      <w:r w:rsidR="0043014A" w:rsidRPr="0043014A">
        <w:rPr>
          <w:rFonts w:cs="Verdana-Bold"/>
          <w:szCs w:val="22"/>
        </w:rPr>
        <w:t xml:space="preserve"> razvoja</w:t>
      </w:r>
      <w:r w:rsidRPr="0043014A">
        <w:rPr>
          <w:rFonts w:cs="Verdana-Bold"/>
          <w:szCs w:val="22"/>
        </w:rPr>
        <w:t xml:space="preserve"> obravnavati, predvsem pa tudi izvajati</w:t>
      </w:r>
      <w:r w:rsidR="004337CA">
        <w:rPr>
          <w:rFonts w:cs="Verdana-Bold"/>
          <w:szCs w:val="22"/>
        </w:rPr>
        <w:t>,</w:t>
      </w:r>
      <w:r w:rsidRPr="0043014A">
        <w:rPr>
          <w:rFonts w:cs="Verdana-Bold"/>
          <w:szCs w:val="22"/>
        </w:rPr>
        <w:t xml:space="preserve"> povezano. </w:t>
      </w:r>
      <w:r>
        <w:rPr>
          <w:rFonts w:cs="Verdana-Bold"/>
          <w:szCs w:val="22"/>
        </w:rPr>
        <w:t>Vsaka od izvedbenih rešitev, ki jih bomo oblikovali na podlagi predlagane strategije</w:t>
      </w:r>
      <w:r w:rsidR="004337CA">
        <w:rPr>
          <w:rFonts w:cs="Verdana-Bold"/>
          <w:szCs w:val="22"/>
        </w:rPr>
        <w:t>,</w:t>
      </w:r>
      <w:r>
        <w:rPr>
          <w:rFonts w:cs="Verdana-Bold"/>
          <w:szCs w:val="22"/>
        </w:rPr>
        <w:t xml:space="preserve"> bo smiselno vključevala vse tri komponente in vidike ter tako prispevala k doseganju </w:t>
      </w:r>
      <w:proofErr w:type="spellStart"/>
      <w:r>
        <w:rPr>
          <w:rFonts w:cs="Verdana-Bold"/>
          <w:szCs w:val="22"/>
        </w:rPr>
        <w:t>sinergijskih</w:t>
      </w:r>
      <w:proofErr w:type="spellEnd"/>
      <w:r>
        <w:rPr>
          <w:rFonts w:cs="Verdana-Bold"/>
          <w:szCs w:val="22"/>
        </w:rPr>
        <w:t xml:space="preserve"> učinkov in bolj učinkoviti porabi javnih in zasebnih virov. </w:t>
      </w:r>
      <w:r w:rsidRPr="006D0B48">
        <w:rPr>
          <w:rFonts w:cs="Verdana-Bold"/>
          <w:szCs w:val="22"/>
        </w:rPr>
        <w:t xml:space="preserve"> </w:t>
      </w:r>
    </w:p>
    <w:p w14:paraId="562EDE19" w14:textId="77777777" w:rsidR="000D3813" w:rsidRDefault="000D3813" w:rsidP="000D3813">
      <w:pPr>
        <w:shd w:val="clear" w:color="auto" w:fill="FFFFFF" w:themeFill="background1"/>
      </w:pPr>
      <w:r w:rsidRPr="00E06413">
        <w:rPr>
          <w:b/>
        </w:rPr>
        <w:t>Poslanstvo</w:t>
      </w:r>
      <w:r>
        <w:t>:</w:t>
      </w:r>
    </w:p>
    <w:p w14:paraId="5F0B5A0B" w14:textId="77777777" w:rsidR="000D3813" w:rsidRDefault="000D3813" w:rsidP="000D3813">
      <w:pPr>
        <w:pBdr>
          <w:top w:val="single" w:sz="4" w:space="1" w:color="auto"/>
          <w:left w:val="single" w:sz="4" w:space="4" w:color="auto"/>
          <w:bottom w:val="single" w:sz="4" w:space="1" w:color="auto"/>
          <w:right w:val="single" w:sz="4" w:space="4" w:color="auto"/>
        </w:pBdr>
        <w:shd w:val="clear" w:color="auto" w:fill="DAEFD3" w:themeFill="accent1" w:themeFillTint="33"/>
        <w:spacing w:before="0" w:after="0" w:line="240" w:lineRule="auto"/>
        <w:jc w:val="both"/>
        <w:rPr>
          <w:rFonts w:asciiTheme="majorHAnsi" w:hAnsiTheme="majorHAnsi"/>
          <w:b/>
          <w:szCs w:val="22"/>
        </w:rPr>
      </w:pPr>
    </w:p>
    <w:p w14:paraId="518A4697" w14:textId="77777777" w:rsidR="000D3813" w:rsidRPr="001434D9" w:rsidRDefault="000D3813" w:rsidP="000D3813">
      <w:pPr>
        <w:pBdr>
          <w:top w:val="single" w:sz="4" w:space="1" w:color="auto"/>
          <w:left w:val="single" w:sz="4" w:space="4" w:color="auto"/>
          <w:bottom w:val="single" w:sz="4" w:space="1" w:color="auto"/>
          <w:right w:val="single" w:sz="4" w:space="4" w:color="auto"/>
        </w:pBdr>
        <w:shd w:val="clear" w:color="auto" w:fill="DAEFD3" w:themeFill="accent1" w:themeFillTint="33"/>
        <w:spacing w:before="0" w:after="0" w:line="240" w:lineRule="auto"/>
        <w:jc w:val="both"/>
        <w:rPr>
          <w:rFonts w:asciiTheme="majorHAnsi" w:hAnsiTheme="majorHAnsi"/>
          <w:bCs/>
          <w:szCs w:val="22"/>
        </w:rPr>
      </w:pPr>
      <w:r w:rsidRPr="0043014A">
        <w:rPr>
          <w:rFonts w:asciiTheme="majorHAnsi" w:hAnsiTheme="majorHAnsi"/>
          <w:bCs/>
          <w:szCs w:val="22"/>
        </w:rPr>
        <w:t xml:space="preserve">Slovenska industrijska strategija bo </w:t>
      </w:r>
      <w:r w:rsidR="006051DC" w:rsidRPr="0043014A">
        <w:rPr>
          <w:rFonts w:asciiTheme="majorHAnsi" w:hAnsiTheme="majorHAnsi"/>
          <w:bCs/>
          <w:szCs w:val="22"/>
        </w:rPr>
        <w:t>z uravnoteženim</w:t>
      </w:r>
      <w:r w:rsidR="00986ACF" w:rsidRPr="0043014A">
        <w:rPr>
          <w:rFonts w:asciiTheme="majorHAnsi" w:hAnsiTheme="majorHAnsi"/>
          <w:bCs/>
          <w:szCs w:val="22"/>
        </w:rPr>
        <w:t xml:space="preserve"> spodbujanjem vseh treh komponent tr</w:t>
      </w:r>
      <w:r w:rsidRPr="0043014A">
        <w:rPr>
          <w:rFonts w:asciiTheme="majorHAnsi" w:hAnsiTheme="majorHAnsi"/>
          <w:bCs/>
          <w:szCs w:val="22"/>
        </w:rPr>
        <w:t>ajnostnega razvoja</w:t>
      </w:r>
      <w:r w:rsidR="00986ACF" w:rsidRPr="0043014A">
        <w:rPr>
          <w:rFonts w:asciiTheme="majorHAnsi" w:hAnsiTheme="majorHAnsi"/>
          <w:bCs/>
          <w:szCs w:val="22"/>
        </w:rPr>
        <w:t xml:space="preserve"> (družba, okolje, gospodarstvo)</w:t>
      </w:r>
      <w:r w:rsidRPr="0043014A">
        <w:rPr>
          <w:rFonts w:asciiTheme="majorHAnsi" w:hAnsiTheme="majorHAnsi"/>
          <w:bCs/>
          <w:szCs w:val="22"/>
        </w:rPr>
        <w:t xml:space="preserve"> </w:t>
      </w:r>
      <w:r w:rsidR="00986ACF" w:rsidRPr="0043014A">
        <w:rPr>
          <w:rFonts w:asciiTheme="majorHAnsi" w:hAnsiTheme="majorHAnsi"/>
          <w:bCs/>
          <w:szCs w:val="22"/>
        </w:rPr>
        <w:t xml:space="preserve">zagotavljala konkurenčnost gospodarstva in </w:t>
      </w:r>
      <w:r w:rsidRPr="0043014A">
        <w:rPr>
          <w:rFonts w:asciiTheme="majorHAnsi" w:hAnsiTheme="majorHAnsi"/>
          <w:bCs/>
          <w:szCs w:val="22"/>
        </w:rPr>
        <w:t xml:space="preserve">ustvarila pogoje za prestrukturiranje industrije v industrijo znanja in inovativnosti za nova in bolj kakovostna delovna mesta ter prehod v </w:t>
      </w:r>
      <w:r w:rsidR="006051DC" w:rsidRPr="0043014A">
        <w:rPr>
          <w:rFonts w:asciiTheme="majorHAnsi" w:hAnsiTheme="majorHAnsi"/>
          <w:bCs/>
          <w:szCs w:val="22"/>
        </w:rPr>
        <w:t>zeleno</w:t>
      </w:r>
      <w:r w:rsidRPr="0043014A">
        <w:rPr>
          <w:rFonts w:asciiTheme="majorHAnsi" w:hAnsiTheme="majorHAnsi"/>
          <w:bCs/>
          <w:szCs w:val="22"/>
        </w:rPr>
        <w:t xml:space="preserve">, ustvarjalno in </w:t>
      </w:r>
      <w:r w:rsidR="006051DC" w:rsidRPr="0043014A">
        <w:rPr>
          <w:rFonts w:asciiTheme="majorHAnsi" w:hAnsiTheme="majorHAnsi"/>
          <w:bCs/>
          <w:szCs w:val="22"/>
        </w:rPr>
        <w:t>pametno</w:t>
      </w:r>
      <w:r w:rsidRPr="0043014A">
        <w:rPr>
          <w:rFonts w:asciiTheme="majorHAnsi" w:hAnsiTheme="majorHAnsi"/>
          <w:bCs/>
          <w:szCs w:val="22"/>
        </w:rPr>
        <w:t xml:space="preserve"> gospodarstvo.</w:t>
      </w:r>
      <w:r w:rsidR="00986ACF" w:rsidRPr="0043014A">
        <w:rPr>
          <w:rFonts w:asciiTheme="majorHAnsi" w:hAnsiTheme="majorHAnsi"/>
          <w:bCs/>
          <w:szCs w:val="22"/>
        </w:rPr>
        <w:t xml:space="preserve"> </w:t>
      </w:r>
    </w:p>
    <w:p w14:paraId="40C2EC97" w14:textId="77777777" w:rsidR="000D3813" w:rsidRPr="00453CD1" w:rsidRDefault="000D3813" w:rsidP="000D3813">
      <w:pPr>
        <w:pBdr>
          <w:top w:val="single" w:sz="4" w:space="1" w:color="auto"/>
          <w:left w:val="single" w:sz="4" w:space="4" w:color="auto"/>
          <w:bottom w:val="single" w:sz="4" w:space="1" w:color="auto"/>
          <w:right w:val="single" w:sz="4" w:space="4" w:color="auto"/>
        </w:pBdr>
        <w:shd w:val="clear" w:color="auto" w:fill="DAEFD3" w:themeFill="accent1" w:themeFillTint="33"/>
        <w:spacing w:before="0" w:after="0" w:line="240" w:lineRule="auto"/>
        <w:jc w:val="both"/>
        <w:rPr>
          <w:rFonts w:asciiTheme="majorHAnsi" w:hAnsiTheme="majorHAnsi"/>
          <w:b/>
          <w:szCs w:val="22"/>
        </w:rPr>
      </w:pPr>
    </w:p>
    <w:p w14:paraId="10FB3F9D" w14:textId="77777777" w:rsidR="000D3813" w:rsidRDefault="000D3813" w:rsidP="000D3813">
      <w:pPr>
        <w:shd w:val="clear" w:color="auto" w:fill="FFFFFF" w:themeFill="background1"/>
      </w:pPr>
    </w:p>
    <w:p w14:paraId="11C42CF3" w14:textId="77777777" w:rsidR="000D3813" w:rsidRPr="002C23D6" w:rsidRDefault="000D3813" w:rsidP="000D3813">
      <w:pPr>
        <w:pStyle w:val="Naslov2"/>
        <w:numPr>
          <w:ilvl w:val="1"/>
          <w:numId w:val="9"/>
        </w:numPr>
        <w:rPr>
          <w:caps w:val="0"/>
        </w:rPr>
      </w:pPr>
      <w:bookmarkStart w:id="6" w:name="_Toc51140496"/>
      <w:r>
        <w:rPr>
          <w:caps w:val="0"/>
        </w:rPr>
        <w:t>Cilji in kazalniki</w:t>
      </w:r>
      <w:bookmarkEnd w:id="6"/>
    </w:p>
    <w:p w14:paraId="2DFD219F" w14:textId="77777777" w:rsidR="000D3813" w:rsidRPr="00EC0821" w:rsidRDefault="000D3813" w:rsidP="000D3813">
      <w:pPr>
        <w:jc w:val="both"/>
      </w:pPr>
      <w:r w:rsidRPr="00EC0821">
        <w:t xml:space="preserve">Spodaj navedeni kazalniki predstavljajo </w:t>
      </w:r>
      <w:r>
        <w:t xml:space="preserve">vrednostne </w:t>
      </w:r>
      <w:r w:rsidRPr="00EC0821">
        <w:t>cilje</w:t>
      </w:r>
      <w:r>
        <w:t xml:space="preserve">, ki naj bi odražali dosegljive ciljne vrednosti v letu 2030. </w:t>
      </w:r>
    </w:p>
    <w:p w14:paraId="62FFA534" w14:textId="77777777" w:rsidR="000D3813" w:rsidRDefault="000D3813" w:rsidP="000D3813">
      <w:pPr>
        <w:rPr>
          <w:b/>
          <w:bCs/>
        </w:rPr>
      </w:pPr>
      <w:r w:rsidRPr="007E7073">
        <w:rPr>
          <w:b/>
          <w:bCs/>
        </w:rPr>
        <w:t>Krovni kazalnik</w:t>
      </w:r>
    </w:p>
    <w:p w14:paraId="0471B0EF" w14:textId="1E8AB554" w:rsidR="000D3813" w:rsidRPr="00942D09" w:rsidRDefault="000D3813" w:rsidP="000D3813">
      <w:pPr>
        <w:jc w:val="both"/>
      </w:pPr>
      <w:r w:rsidRPr="00942D09">
        <w:t>Produk</w:t>
      </w:r>
      <w:r>
        <w:t xml:space="preserve">tivnost dela, merjena z dodano </w:t>
      </w:r>
      <w:r w:rsidRPr="00FD4C45">
        <w:t>vrednost</w:t>
      </w:r>
      <w:r>
        <w:t>jo na zaposlenega po delovnih urah, je ključen krovni kazalnik, na podlagi katerega bomo spremljali uspešnost izvajanja slovenske industrijske strategije. Odraža namreč finančne rezultate poslovanj</w:t>
      </w:r>
      <w:r w:rsidR="008152BF">
        <w:t>a</w:t>
      </w:r>
      <w:r>
        <w:t xml:space="preserve"> ter vse podporne aktivnosti. Na ravni predelovalnih dejavnosti kot celote bo po 3,7-odstotni rasti produktivnosti dela v 2009-2018, v 2019-2020 prišlo do njene stagnacije, ki bo posledica ukrepov države za zaščito delovnih mest. V kasnejšem, 10-letnem obdobju</w:t>
      </w:r>
      <w:r w:rsidR="008152BF">
        <w:t>,</w:t>
      </w:r>
      <w:r>
        <w:t xml:space="preserve"> pričakujemo nadpovprečno rast tega kazalnika, ki bo posledica rastoče avtomatizacije in digitalizacije poslovanja, kar bo nujen predpogoj za ohranjanje konkurenčnosti slovenskega izvoza. Do 2030 naj bi produktivnost dela dosegla 66</w:t>
      </w:r>
      <w:r w:rsidR="000F71A4">
        <w:t>.000</w:t>
      </w:r>
      <w:r>
        <w:t xml:space="preserve"> EUR. </w:t>
      </w:r>
    </w:p>
    <w:tbl>
      <w:tblPr>
        <w:tblStyle w:val="Tabelatemnamrea5poudarek11"/>
        <w:tblW w:w="0" w:type="auto"/>
        <w:tblLook w:val="04A0" w:firstRow="1" w:lastRow="0" w:firstColumn="1" w:lastColumn="0" w:noHBand="0" w:noVBand="1"/>
      </w:tblPr>
      <w:tblGrid>
        <w:gridCol w:w="1838"/>
        <w:gridCol w:w="1444"/>
        <w:gridCol w:w="1445"/>
        <w:gridCol w:w="1445"/>
        <w:gridCol w:w="1445"/>
        <w:gridCol w:w="1445"/>
      </w:tblGrid>
      <w:tr w:rsidR="000D3813" w:rsidRPr="008C6100" w14:paraId="04333DB5" w14:textId="77777777" w:rsidTr="000D38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89D69AA" w14:textId="77777777" w:rsidR="000D3813" w:rsidRPr="009B538E" w:rsidRDefault="000D3813" w:rsidP="000D3813">
            <w:pPr>
              <w:rPr>
                <w:b w:val="0"/>
              </w:rPr>
            </w:pPr>
          </w:p>
        </w:tc>
        <w:tc>
          <w:tcPr>
            <w:tcW w:w="1444" w:type="dxa"/>
            <w:vAlign w:val="center"/>
          </w:tcPr>
          <w:p w14:paraId="69EB5202" w14:textId="77777777" w:rsidR="000D3813" w:rsidRPr="009B538E" w:rsidRDefault="000D3813" w:rsidP="000D3813">
            <w:pPr>
              <w:spacing w:before="0"/>
              <w:jc w:val="center"/>
              <w:cnfStyle w:val="100000000000" w:firstRow="1" w:lastRow="0" w:firstColumn="0" w:lastColumn="0" w:oddVBand="0" w:evenVBand="0" w:oddHBand="0" w:evenHBand="0" w:firstRowFirstColumn="0" w:firstRowLastColumn="0" w:lastRowFirstColumn="0" w:lastRowLastColumn="0"/>
              <w:rPr>
                <w:b w:val="0"/>
              </w:rPr>
            </w:pPr>
            <w:r w:rsidRPr="00FD4C45">
              <w:t>2018</w:t>
            </w:r>
          </w:p>
        </w:tc>
        <w:tc>
          <w:tcPr>
            <w:tcW w:w="1445" w:type="dxa"/>
            <w:vAlign w:val="center"/>
          </w:tcPr>
          <w:p w14:paraId="03B5F9DC" w14:textId="77777777" w:rsidR="000D3813" w:rsidRPr="009B538E" w:rsidRDefault="000D3813" w:rsidP="000D3813">
            <w:pPr>
              <w:spacing w:before="0"/>
              <w:jc w:val="center"/>
              <w:cnfStyle w:val="100000000000" w:firstRow="1" w:lastRow="0" w:firstColumn="0" w:lastColumn="0" w:oddVBand="0" w:evenVBand="0" w:oddHBand="0" w:evenHBand="0" w:firstRowFirstColumn="0" w:firstRowLastColumn="0" w:lastRowFirstColumn="0" w:lastRowLastColumn="0"/>
              <w:rPr>
                <w:b w:val="0"/>
              </w:rPr>
            </w:pPr>
            <w:r w:rsidRPr="00FD4C45">
              <w:t>2020</w:t>
            </w:r>
          </w:p>
        </w:tc>
        <w:tc>
          <w:tcPr>
            <w:tcW w:w="1445" w:type="dxa"/>
            <w:vAlign w:val="center"/>
          </w:tcPr>
          <w:p w14:paraId="773F2C4F" w14:textId="77777777" w:rsidR="000D3813" w:rsidRPr="009B538E" w:rsidRDefault="000D3813" w:rsidP="000D3813">
            <w:pPr>
              <w:spacing w:before="0"/>
              <w:jc w:val="center"/>
              <w:cnfStyle w:val="100000000000" w:firstRow="1" w:lastRow="0" w:firstColumn="0" w:lastColumn="0" w:oddVBand="0" w:evenVBand="0" w:oddHBand="0" w:evenHBand="0" w:firstRowFirstColumn="0" w:firstRowLastColumn="0" w:lastRowFirstColumn="0" w:lastRowLastColumn="0"/>
              <w:rPr>
                <w:b w:val="0"/>
              </w:rPr>
            </w:pPr>
            <w:r w:rsidRPr="00FD4C45">
              <w:t>2030</w:t>
            </w:r>
          </w:p>
        </w:tc>
        <w:tc>
          <w:tcPr>
            <w:tcW w:w="1445" w:type="dxa"/>
            <w:vAlign w:val="center"/>
          </w:tcPr>
          <w:p w14:paraId="4D93C62A" w14:textId="77777777" w:rsidR="000D3813" w:rsidRPr="009B538E" w:rsidRDefault="000D3813" w:rsidP="000D3813">
            <w:pPr>
              <w:spacing w:before="0"/>
              <w:jc w:val="center"/>
              <w:cnfStyle w:val="100000000000" w:firstRow="1" w:lastRow="0" w:firstColumn="0" w:lastColumn="0" w:oddVBand="0" w:evenVBand="0" w:oddHBand="0" w:evenHBand="0" w:firstRowFirstColumn="0" w:firstRowLastColumn="0" w:lastRowFirstColumn="0" w:lastRowLastColumn="0"/>
              <w:rPr>
                <w:b w:val="0"/>
              </w:rPr>
            </w:pPr>
            <w:r w:rsidRPr="00FD4C45">
              <w:t>2019 in 2020, povprečna rast</w:t>
            </w:r>
          </w:p>
        </w:tc>
        <w:tc>
          <w:tcPr>
            <w:tcW w:w="1445" w:type="dxa"/>
            <w:vAlign w:val="center"/>
          </w:tcPr>
          <w:p w14:paraId="39260FA7" w14:textId="77777777" w:rsidR="000D3813" w:rsidRPr="009B538E" w:rsidRDefault="000D3813" w:rsidP="000D3813">
            <w:pPr>
              <w:spacing w:before="0"/>
              <w:jc w:val="center"/>
              <w:cnfStyle w:val="100000000000" w:firstRow="1" w:lastRow="0" w:firstColumn="0" w:lastColumn="0" w:oddVBand="0" w:evenVBand="0" w:oddHBand="0" w:evenHBand="0" w:firstRowFirstColumn="0" w:firstRowLastColumn="0" w:lastRowFirstColumn="0" w:lastRowLastColumn="0"/>
              <w:rPr>
                <w:b w:val="0"/>
              </w:rPr>
            </w:pPr>
            <w:r w:rsidRPr="00FD4C45">
              <w:t>2021-2030</w:t>
            </w:r>
          </w:p>
        </w:tc>
      </w:tr>
      <w:tr w:rsidR="000D3813" w:rsidRPr="008C6100" w14:paraId="49199472" w14:textId="77777777" w:rsidTr="000D3813">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CD2F988" w14:textId="77777777" w:rsidR="000D3813" w:rsidRPr="009B538E" w:rsidRDefault="000D3813" w:rsidP="000D3813">
            <w:pPr>
              <w:spacing w:before="0"/>
            </w:pPr>
            <w:r w:rsidRPr="009B538E">
              <w:t>Produktivnost dela</w:t>
            </w:r>
          </w:p>
        </w:tc>
        <w:tc>
          <w:tcPr>
            <w:tcW w:w="1444" w:type="dxa"/>
            <w:vAlign w:val="center"/>
          </w:tcPr>
          <w:p w14:paraId="04BBB9C4"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color w:val="000000" w:themeColor="text1"/>
              </w:rPr>
            </w:pPr>
            <w:r w:rsidRPr="009B538E">
              <w:rPr>
                <w:color w:val="000000" w:themeColor="text1"/>
              </w:rPr>
              <w:t>43.679</w:t>
            </w:r>
          </w:p>
        </w:tc>
        <w:tc>
          <w:tcPr>
            <w:tcW w:w="1445" w:type="dxa"/>
            <w:vAlign w:val="center"/>
          </w:tcPr>
          <w:p w14:paraId="30D24223"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color w:val="000000" w:themeColor="text1"/>
              </w:rPr>
            </w:pPr>
            <w:r w:rsidRPr="009B538E">
              <w:rPr>
                <w:color w:val="000000" w:themeColor="text1"/>
              </w:rPr>
              <w:t>43.711</w:t>
            </w:r>
          </w:p>
        </w:tc>
        <w:tc>
          <w:tcPr>
            <w:tcW w:w="1445" w:type="dxa"/>
            <w:vAlign w:val="center"/>
          </w:tcPr>
          <w:p w14:paraId="0D3FF975"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color w:val="000000" w:themeColor="text1"/>
              </w:rPr>
            </w:pPr>
            <w:r w:rsidRPr="009B538E">
              <w:rPr>
                <w:color w:val="000000" w:themeColor="text1"/>
              </w:rPr>
              <w:t>65.832</w:t>
            </w:r>
          </w:p>
        </w:tc>
        <w:tc>
          <w:tcPr>
            <w:tcW w:w="1445" w:type="dxa"/>
            <w:vAlign w:val="center"/>
          </w:tcPr>
          <w:p w14:paraId="6A51AE94"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color w:val="000000" w:themeColor="text1"/>
              </w:rPr>
            </w:pPr>
            <w:r w:rsidRPr="009B538E">
              <w:rPr>
                <w:color w:val="000000" w:themeColor="text1"/>
              </w:rPr>
              <w:t>0,0%</w:t>
            </w:r>
          </w:p>
        </w:tc>
        <w:tc>
          <w:tcPr>
            <w:tcW w:w="1445" w:type="dxa"/>
            <w:vAlign w:val="center"/>
          </w:tcPr>
          <w:p w14:paraId="5AA362FE"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color w:val="000000" w:themeColor="text1"/>
              </w:rPr>
            </w:pPr>
            <w:r w:rsidRPr="009B538E">
              <w:rPr>
                <w:color w:val="000000" w:themeColor="text1"/>
              </w:rPr>
              <w:t>4,2%</w:t>
            </w:r>
          </w:p>
        </w:tc>
      </w:tr>
    </w:tbl>
    <w:p w14:paraId="7560C203" w14:textId="77777777" w:rsidR="000D3813" w:rsidRPr="009B538E" w:rsidRDefault="000D3813" w:rsidP="000D3813">
      <w:pPr>
        <w:spacing w:before="0"/>
        <w:rPr>
          <w:i/>
        </w:rPr>
      </w:pPr>
      <w:r w:rsidRPr="009B538E">
        <w:rPr>
          <w:i/>
        </w:rPr>
        <w:t>Vira: Statistični urad RS (strukturna statistika), Analitika GZS</w:t>
      </w:r>
    </w:p>
    <w:p w14:paraId="1BFFDCCF" w14:textId="77777777" w:rsidR="000D3813" w:rsidRDefault="000D3813" w:rsidP="000D3813">
      <w:pPr>
        <w:rPr>
          <w:b/>
          <w:bCs/>
        </w:rPr>
      </w:pPr>
      <w:r>
        <w:rPr>
          <w:b/>
          <w:bCs/>
        </w:rPr>
        <w:t>Drugi s</w:t>
      </w:r>
      <w:r w:rsidRPr="00E06413">
        <w:rPr>
          <w:b/>
          <w:bCs/>
        </w:rPr>
        <w:t>plošni kazalniki</w:t>
      </w:r>
      <w:r>
        <w:rPr>
          <w:b/>
          <w:bCs/>
        </w:rPr>
        <w:t xml:space="preserve"> finančnega poslovanja</w:t>
      </w:r>
    </w:p>
    <w:p w14:paraId="41C6C472" w14:textId="77777777" w:rsidR="00602381" w:rsidRPr="00C53908" w:rsidRDefault="000D3813" w:rsidP="00602381">
      <w:pPr>
        <w:jc w:val="both"/>
      </w:pPr>
      <w:r w:rsidRPr="00C53908">
        <w:t>Med</w:t>
      </w:r>
      <w:r>
        <w:t xml:space="preserve"> </w:t>
      </w:r>
      <w:r w:rsidRPr="00FD4C45">
        <w:t>drug</w:t>
      </w:r>
      <w:r>
        <w:t>imi</w:t>
      </w:r>
      <w:r w:rsidRPr="00FD4C45">
        <w:t xml:space="preserve"> splošn</w:t>
      </w:r>
      <w:r>
        <w:t>imi</w:t>
      </w:r>
      <w:r w:rsidRPr="00FD4C45">
        <w:t xml:space="preserve"> kazalnik</w:t>
      </w:r>
      <w:r>
        <w:t>i poslovanja navajamo ključne kazalnike poslovanja, ki smo jih opredelili v poglavju o napovedi. Izvoz bo še naprej poganjal rast prodaje, vendar njegov pomen v prodaji (t.</w:t>
      </w:r>
      <w:r w:rsidR="008152BF">
        <w:t xml:space="preserve"> </w:t>
      </w:r>
      <w:r>
        <w:t xml:space="preserve">i. izvozna usmerjenost) ne bo več tako naraščal kot v preteklem obdobju, </w:t>
      </w:r>
      <w:r w:rsidR="00602381">
        <w:t xml:space="preserve">ker pričakujemo stabilizacijo povpraševanja po industrijskih izdelkih tudi na domačem trgu. </w:t>
      </w:r>
    </w:p>
    <w:tbl>
      <w:tblPr>
        <w:tblStyle w:val="Tabelatemnamrea5poudarek11"/>
        <w:tblW w:w="5000" w:type="pct"/>
        <w:tblLook w:val="04A0" w:firstRow="1" w:lastRow="0" w:firstColumn="1" w:lastColumn="0" w:noHBand="0" w:noVBand="1"/>
      </w:tblPr>
      <w:tblGrid>
        <w:gridCol w:w="3630"/>
        <w:gridCol w:w="2829"/>
        <w:gridCol w:w="2829"/>
      </w:tblGrid>
      <w:tr w:rsidR="000D3813" w:rsidRPr="008C6100" w14:paraId="5E471AE3" w14:textId="77777777" w:rsidTr="000D3813">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954" w:type="pct"/>
          </w:tcPr>
          <w:p w14:paraId="016B1BB1" w14:textId="77777777" w:rsidR="000D3813" w:rsidRPr="009B538E" w:rsidRDefault="000D3813" w:rsidP="000D3813">
            <w:pPr>
              <w:spacing w:before="0"/>
            </w:pPr>
          </w:p>
        </w:tc>
        <w:tc>
          <w:tcPr>
            <w:tcW w:w="1523" w:type="pct"/>
            <w:vAlign w:val="center"/>
          </w:tcPr>
          <w:p w14:paraId="0511F35A" w14:textId="77777777" w:rsidR="000D3813" w:rsidRPr="009B538E" w:rsidRDefault="000D3813" w:rsidP="000D3813">
            <w:pPr>
              <w:spacing w:before="0"/>
              <w:jc w:val="center"/>
              <w:cnfStyle w:val="100000000000" w:firstRow="1" w:lastRow="0" w:firstColumn="0" w:lastColumn="0" w:oddVBand="0" w:evenVBand="0" w:oddHBand="0" w:evenHBand="0" w:firstRowFirstColumn="0" w:firstRowLastColumn="0" w:lastRowFirstColumn="0" w:lastRowLastColumn="0"/>
              <w:rPr>
                <w:b w:val="0"/>
              </w:rPr>
            </w:pPr>
            <w:r w:rsidRPr="00FD4C45">
              <w:t>2018</w:t>
            </w:r>
          </w:p>
        </w:tc>
        <w:tc>
          <w:tcPr>
            <w:tcW w:w="1523" w:type="pct"/>
            <w:vAlign w:val="center"/>
          </w:tcPr>
          <w:p w14:paraId="1CB170F5" w14:textId="77777777" w:rsidR="000D3813" w:rsidRPr="009B538E" w:rsidRDefault="000D3813" w:rsidP="000D3813">
            <w:pPr>
              <w:spacing w:before="0"/>
              <w:jc w:val="center"/>
              <w:cnfStyle w:val="100000000000" w:firstRow="1" w:lastRow="0" w:firstColumn="0" w:lastColumn="0" w:oddVBand="0" w:evenVBand="0" w:oddHBand="0" w:evenHBand="0" w:firstRowFirstColumn="0" w:firstRowLastColumn="0" w:lastRowFirstColumn="0" w:lastRowLastColumn="0"/>
              <w:rPr>
                <w:b w:val="0"/>
              </w:rPr>
            </w:pPr>
            <w:r w:rsidRPr="00FD4C45">
              <w:t>2030</w:t>
            </w:r>
          </w:p>
        </w:tc>
      </w:tr>
      <w:tr w:rsidR="000D3813" w:rsidRPr="00A025C7" w14:paraId="4D317933" w14:textId="77777777" w:rsidTr="000D381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54" w:type="pct"/>
          </w:tcPr>
          <w:p w14:paraId="68DF53A3" w14:textId="77777777" w:rsidR="000D3813" w:rsidRPr="00A025C7" w:rsidRDefault="000D3813" w:rsidP="000D3813">
            <w:pPr>
              <w:spacing w:before="0"/>
              <w:rPr>
                <w:b w:val="0"/>
              </w:rPr>
            </w:pPr>
            <w:r w:rsidRPr="00A025C7">
              <w:rPr>
                <w:b w:val="0"/>
                <w:bCs w:val="0"/>
              </w:rPr>
              <w:t>Prodaja (mrd EUR)</w:t>
            </w:r>
          </w:p>
        </w:tc>
        <w:tc>
          <w:tcPr>
            <w:tcW w:w="1523" w:type="pct"/>
            <w:vAlign w:val="center"/>
          </w:tcPr>
          <w:p w14:paraId="5A987C37" w14:textId="77777777" w:rsidR="000D3813" w:rsidRPr="00A025C7"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A025C7">
              <w:t>31,2</w:t>
            </w:r>
          </w:p>
        </w:tc>
        <w:tc>
          <w:tcPr>
            <w:tcW w:w="1523" w:type="pct"/>
            <w:vAlign w:val="center"/>
          </w:tcPr>
          <w:p w14:paraId="26E22851" w14:textId="77777777" w:rsidR="000D3813" w:rsidRPr="00A025C7"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A025C7">
              <w:t>41,8</w:t>
            </w:r>
          </w:p>
        </w:tc>
      </w:tr>
      <w:tr w:rsidR="000D3813" w:rsidRPr="00A025C7" w14:paraId="11B904CF" w14:textId="77777777" w:rsidTr="000D3813">
        <w:trPr>
          <w:trHeight w:val="270"/>
        </w:trPr>
        <w:tc>
          <w:tcPr>
            <w:cnfStyle w:val="001000000000" w:firstRow="0" w:lastRow="0" w:firstColumn="1" w:lastColumn="0" w:oddVBand="0" w:evenVBand="0" w:oddHBand="0" w:evenHBand="0" w:firstRowFirstColumn="0" w:firstRowLastColumn="0" w:lastRowFirstColumn="0" w:lastRowLastColumn="0"/>
            <w:tcW w:w="1954" w:type="pct"/>
          </w:tcPr>
          <w:p w14:paraId="7E038831" w14:textId="77777777" w:rsidR="000D3813" w:rsidRPr="00A025C7" w:rsidRDefault="000D3813" w:rsidP="000D3813">
            <w:pPr>
              <w:spacing w:before="0"/>
              <w:rPr>
                <w:b w:val="0"/>
              </w:rPr>
            </w:pPr>
            <w:r w:rsidRPr="00A025C7">
              <w:rPr>
                <w:b w:val="0"/>
              </w:rPr>
              <w:t>Izvoz (mrd EUR)</w:t>
            </w:r>
          </w:p>
        </w:tc>
        <w:tc>
          <w:tcPr>
            <w:tcW w:w="1523" w:type="pct"/>
            <w:vAlign w:val="center"/>
          </w:tcPr>
          <w:p w14:paraId="688CCADE" w14:textId="77777777" w:rsidR="000D3813" w:rsidRPr="00A025C7"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A025C7">
              <w:t>21,8</w:t>
            </w:r>
          </w:p>
        </w:tc>
        <w:tc>
          <w:tcPr>
            <w:tcW w:w="1523" w:type="pct"/>
            <w:vAlign w:val="center"/>
          </w:tcPr>
          <w:p w14:paraId="7C4F8548" w14:textId="77777777" w:rsidR="000D3813" w:rsidRPr="00A025C7"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A025C7">
              <w:t>29,8</w:t>
            </w:r>
          </w:p>
        </w:tc>
      </w:tr>
      <w:tr w:rsidR="000D3813" w:rsidRPr="00A025C7" w14:paraId="07712627" w14:textId="77777777" w:rsidTr="000D381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54" w:type="pct"/>
          </w:tcPr>
          <w:p w14:paraId="01FA312D" w14:textId="77777777" w:rsidR="000D3813" w:rsidRPr="00A025C7" w:rsidRDefault="000D3813" w:rsidP="000D3813">
            <w:pPr>
              <w:spacing w:before="0"/>
              <w:rPr>
                <w:b w:val="0"/>
              </w:rPr>
            </w:pPr>
            <w:r w:rsidRPr="00A025C7">
              <w:rPr>
                <w:b w:val="0"/>
              </w:rPr>
              <w:t>EBITDA (mrd EUR)</w:t>
            </w:r>
          </w:p>
        </w:tc>
        <w:tc>
          <w:tcPr>
            <w:tcW w:w="1523" w:type="pct"/>
            <w:vAlign w:val="center"/>
          </w:tcPr>
          <w:p w14:paraId="763D32C2" w14:textId="77777777" w:rsidR="000D3813" w:rsidRPr="00A025C7"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A025C7">
              <w:t>3,4</w:t>
            </w:r>
          </w:p>
        </w:tc>
        <w:tc>
          <w:tcPr>
            <w:tcW w:w="1523" w:type="pct"/>
            <w:vAlign w:val="center"/>
          </w:tcPr>
          <w:p w14:paraId="24D12B26" w14:textId="77777777" w:rsidR="000D3813" w:rsidRPr="00A025C7"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A025C7">
              <w:t>4,7</w:t>
            </w:r>
          </w:p>
        </w:tc>
      </w:tr>
      <w:tr w:rsidR="000D3813" w:rsidRPr="00A025C7" w14:paraId="4D4E0844" w14:textId="77777777" w:rsidTr="000D3813">
        <w:trPr>
          <w:trHeight w:val="270"/>
        </w:trPr>
        <w:tc>
          <w:tcPr>
            <w:cnfStyle w:val="001000000000" w:firstRow="0" w:lastRow="0" w:firstColumn="1" w:lastColumn="0" w:oddVBand="0" w:evenVBand="0" w:oddHBand="0" w:evenHBand="0" w:firstRowFirstColumn="0" w:firstRowLastColumn="0" w:lastRowFirstColumn="0" w:lastRowLastColumn="0"/>
            <w:tcW w:w="1954" w:type="pct"/>
          </w:tcPr>
          <w:p w14:paraId="1AD15560" w14:textId="77777777" w:rsidR="000D3813" w:rsidRPr="00A025C7" w:rsidRDefault="000D3813" w:rsidP="000D3813">
            <w:pPr>
              <w:spacing w:before="0"/>
              <w:rPr>
                <w:b w:val="0"/>
              </w:rPr>
            </w:pPr>
            <w:r w:rsidRPr="00A025C7">
              <w:rPr>
                <w:b w:val="0"/>
              </w:rPr>
              <w:t>Investicije (mrd EUR)</w:t>
            </w:r>
          </w:p>
        </w:tc>
        <w:tc>
          <w:tcPr>
            <w:tcW w:w="1523" w:type="pct"/>
            <w:vAlign w:val="center"/>
          </w:tcPr>
          <w:p w14:paraId="6BC507FC" w14:textId="77777777" w:rsidR="000D3813" w:rsidRPr="00A025C7"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A025C7">
              <w:t>2,0</w:t>
            </w:r>
          </w:p>
        </w:tc>
        <w:tc>
          <w:tcPr>
            <w:tcW w:w="1523" w:type="pct"/>
            <w:vAlign w:val="center"/>
          </w:tcPr>
          <w:p w14:paraId="00D02CA9" w14:textId="77777777" w:rsidR="000D3813" w:rsidRPr="00A025C7"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A025C7">
              <w:t>2,3</w:t>
            </w:r>
          </w:p>
        </w:tc>
      </w:tr>
      <w:tr w:rsidR="000D3813" w:rsidRPr="00A025C7" w14:paraId="18DE3B99" w14:textId="77777777" w:rsidTr="000D381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54" w:type="pct"/>
          </w:tcPr>
          <w:p w14:paraId="459FED60" w14:textId="77777777" w:rsidR="000D3813" w:rsidRPr="00A025C7" w:rsidRDefault="000D3813" w:rsidP="000D3813">
            <w:pPr>
              <w:spacing w:before="0"/>
              <w:rPr>
                <w:b w:val="0"/>
              </w:rPr>
            </w:pPr>
            <w:r w:rsidRPr="00A025C7">
              <w:rPr>
                <w:b w:val="0"/>
              </w:rPr>
              <w:t>Izdatki za R&amp;R (mrd EUR)</w:t>
            </w:r>
          </w:p>
        </w:tc>
        <w:tc>
          <w:tcPr>
            <w:tcW w:w="1523" w:type="pct"/>
            <w:vAlign w:val="center"/>
          </w:tcPr>
          <w:p w14:paraId="2362448F" w14:textId="77777777" w:rsidR="000D3813" w:rsidRPr="00A025C7"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A025C7">
              <w:t>0,49</w:t>
            </w:r>
          </w:p>
        </w:tc>
        <w:tc>
          <w:tcPr>
            <w:tcW w:w="1523" w:type="pct"/>
            <w:vAlign w:val="center"/>
          </w:tcPr>
          <w:p w14:paraId="0BECDCC5" w14:textId="77777777" w:rsidR="000D3813" w:rsidRPr="00A025C7"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A025C7">
              <w:t>0,80</w:t>
            </w:r>
          </w:p>
        </w:tc>
      </w:tr>
    </w:tbl>
    <w:p w14:paraId="20A121BE" w14:textId="77777777" w:rsidR="000D3813" w:rsidRPr="009B538E" w:rsidRDefault="000D3813" w:rsidP="000D3813">
      <w:pPr>
        <w:spacing w:before="0"/>
        <w:rPr>
          <w:i/>
        </w:rPr>
      </w:pPr>
      <w:r w:rsidRPr="009B538E">
        <w:rPr>
          <w:i/>
        </w:rPr>
        <w:t>Viri: Statistični urad RS (strukturna statistika), Analitika GZS, EIS</w:t>
      </w:r>
    </w:p>
    <w:p w14:paraId="60984299" w14:textId="77777777" w:rsidR="000D3813" w:rsidRDefault="000D3813" w:rsidP="000D3813">
      <w:pPr>
        <w:rPr>
          <w:b/>
          <w:bCs/>
        </w:rPr>
      </w:pPr>
    </w:p>
    <w:p w14:paraId="4C3FD9D9" w14:textId="77777777" w:rsidR="0088652B" w:rsidRPr="0088652B" w:rsidRDefault="0088652B" w:rsidP="0088652B">
      <w:pPr>
        <w:rPr>
          <w:b/>
          <w:bCs/>
        </w:rPr>
      </w:pPr>
      <w:proofErr w:type="spellStart"/>
      <w:r w:rsidRPr="0088652B">
        <w:rPr>
          <w:b/>
          <w:bCs/>
        </w:rPr>
        <w:t>Podkazalniki</w:t>
      </w:r>
      <w:proofErr w:type="spellEnd"/>
    </w:p>
    <w:p w14:paraId="489533BF" w14:textId="77777777" w:rsidR="000D3813" w:rsidRDefault="000D3813" w:rsidP="000D3813">
      <w:pPr>
        <w:pStyle w:val="Odstavekseznama"/>
        <w:numPr>
          <w:ilvl w:val="0"/>
          <w:numId w:val="3"/>
        </w:numPr>
      </w:pPr>
      <w:r>
        <w:t>Na področju »zelenega« razvoja</w:t>
      </w:r>
    </w:p>
    <w:p w14:paraId="1EEEFF07" w14:textId="77777777" w:rsidR="000D3813" w:rsidRDefault="000D3813" w:rsidP="000D3813">
      <w:pPr>
        <w:pStyle w:val="Odstavekseznama"/>
      </w:pPr>
    </w:p>
    <w:p w14:paraId="51BA84D0" w14:textId="61ED1953" w:rsidR="000D3813" w:rsidRDefault="000D3813" w:rsidP="000D3813">
      <w:pPr>
        <w:pStyle w:val="Odstavekseznama"/>
        <w:ind w:left="0"/>
        <w:jc w:val="both"/>
      </w:pPr>
      <w:r>
        <w:t>Na področju zelenega</w:t>
      </w:r>
      <w:r w:rsidR="005843D2">
        <w:t xml:space="preserve"> </w:t>
      </w:r>
      <w:r>
        <w:t xml:space="preserve">razvoja je ključni kazalnik snovna produktivnost </w:t>
      </w:r>
      <w:r w:rsidRPr="00D4269E">
        <w:t>in je merjena z razmerjem med BDP ter porabljenimi surovinami in materiali</w:t>
      </w:r>
      <w:r>
        <w:t>. To je tudi kazalnik uspešnosti izpeljave 8. cilja Strategije razvoja Slovenije 2030</w:t>
      </w:r>
      <w:r w:rsidR="005843D2">
        <w:t>,</w:t>
      </w:r>
      <w:r>
        <w:t xml:space="preserve"> prehoda v </w:t>
      </w:r>
      <w:proofErr w:type="spellStart"/>
      <w:r>
        <w:t>nizkoogljično</w:t>
      </w:r>
      <w:proofErr w:type="spellEnd"/>
      <w:r>
        <w:t xml:space="preserve"> krožno gospodarstvo.</w:t>
      </w:r>
    </w:p>
    <w:tbl>
      <w:tblPr>
        <w:tblStyle w:val="Tabelatemnamrea5poudarek11"/>
        <w:tblW w:w="0" w:type="auto"/>
        <w:tblLook w:val="04A0" w:firstRow="1" w:lastRow="0" w:firstColumn="1" w:lastColumn="0" w:noHBand="0" w:noVBand="1"/>
      </w:tblPr>
      <w:tblGrid>
        <w:gridCol w:w="3256"/>
        <w:gridCol w:w="1935"/>
        <w:gridCol w:w="1935"/>
        <w:gridCol w:w="1936"/>
      </w:tblGrid>
      <w:tr w:rsidR="000D3813" w:rsidRPr="008C6100" w14:paraId="062F2B71" w14:textId="77777777" w:rsidTr="000D3813">
        <w:trPr>
          <w:cnfStyle w:val="100000000000" w:firstRow="1" w:lastRow="0" w:firstColumn="0" w:lastColumn="0" w:oddVBand="0" w:evenVBand="0" w:oddHBand="0" w:evenHBand="0"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3256" w:type="dxa"/>
          </w:tcPr>
          <w:p w14:paraId="7B85EE29" w14:textId="77777777" w:rsidR="000D3813" w:rsidRPr="009B538E" w:rsidRDefault="000D3813" w:rsidP="000D3813"/>
        </w:tc>
        <w:tc>
          <w:tcPr>
            <w:tcW w:w="1935" w:type="dxa"/>
            <w:vAlign w:val="center"/>
          </w:tcPr>
          <w:p w14:paraId="5C0E897D" w14:textId="77777777" w:rsidR="000D3813" w:rsidRPr="009B538E" w:rsidRDefault="000D3813" w:rsidP="000D3813">
            <w:pPr>
              <w:spacing w:before="0"/>
              <w:jc w:val="center"/>
              <w:cnfStyle w:val="100000000000" w:firstRow="1" w:lastRow="0" w:firstColumn="0" w:lastColumn="0" w:oddVBand="0" w:evenVBand="0" w:oddHBand="0" w:evenHBand="0" w:firstRowFirstColumn="0" w:firstRowLastColumn="0" w:lastRowFirstColumn="0" w:lastRowLastColumn="0"/>
              <w:rPr>
                <w:b w:val="0"/>
              </w:rPr>
            </w:pPr>
            <w:r w:rsidRPr="00FD4C45">
              <w:t>Slovenija, zadnji znan</w:t>
            </w:r>
            <w:r w:rsidR="005843D2">
              <w:t>i</w:t>
            </w:r>
            <w:r w:rsidRPr="00FD4C45">
              <w:t xml:space="preserve"> podatek</w:t>
            </w:r>
          </w:p>
        </w:tc>
        <w:tc>
          <w:tcPr>
            <w:tcW w:w="1935" w:type="dxa"/>
            <w:vAlign w:val="center"/>
          </w:tcPr>
          <w:p w14:paraId="34BD5E25" w14:textId="77777777" w:rsidR="000D3813" w:rsidRPr="009B538E" w:rsidRDefault="000D3813" w:rsidP="000D3813">
            <w:pPr>
              <w:spacing w:before="0"/>
              <w:jc w:val="center"/>
              <w:cnfStyle w:val="100000000000" w:firstRow="1" w:lastRow="0" w:firstColumn="0" w:lastColumn="0" w:oddVBand="0" w:evenVBand="0" w:oddHBand="0" w:evenHBand="0" w:firstRowFirstColumn="0" w:firstRowLastColumn="0" w:lastRowFirstColumn="0" w:lastRowLastColumn="0"/>
              <w:rPr>
                <w:b w:val="0"/>
              </w:rPr>
            </w:pPr>
            <w:r w:rsidRPr="00FD4C45">
              <w:t>EU-27, zadnji znan</w:t>
            </w:r>
            <w:r w:rsidR="005843D2">
              <w:t>i</w:t>
            </w:r>
            <w:r w:rsidRPr="00FD4C45">
              <w:t xml:space="preserve"> podatek</w:t>
            </w:r>
          </w:p>
        </w:tc>
        <w:tc>
          <w:tcPr>
            <w:tcW w:w="1936" w:type="dxa"/>
            <w:vAlign w:val="center"/>
          </w:tcPr>
          <w:p w14:paraId="5FD19432" w14:textId="77777777" w:rsidR="000D3813" w:rsidRPr="009B538E" w:rsidRDefault="0088652B" w:rsidP="000D3813">
            <w:pPr>
              <w:spacing w:before="0"/>
              <w:jc w:val="center"/>
              <w:cnfStyle w:val="100000000000" w:firstRow="1" w:lastRow="0" w:firstColumn="0" w:lastColumn="0" w:oddVBand="0" w:evenVBand="0" w:oddHBand="0" w:evenHBand="0" w:firstRowFirstColumn="0" w:firstRowLastColumn="0" w:lastRowFirstColumn="0" w:lastRowLastColumn="0"/>
              <w:rPr>
                <w:b w:val="0"/>
              </w:rPr>
            </w:pPr>
            <w:r w:rsidRPr="00145F98">
              <w:rPr>
                <w:b w:val="0"/>
                <w:bCs w:val="0"/>
                <w:sz w:val="18"/>
                <w:szCs w:val="18"/>
              </w:rPr>
              <w:t>2030</w:t>
            </w:r>
          </w:p>
        </w:tc>
      </w:tr>
      <w:tr w:rsidR="000D3813" w:rsidRPr="00914E80" w14:paraId="3B8174A8" w14:textId="77777777" w:rsidTr="000D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5AA24965" w14:textId="77777777" w:rsidR="000D3813" w:rsidRPr="00914E80" w:rsidRDefault="000D3813" w:rsidP="000D3813">
            <w:pPr>
              <w:spacing w:before="0"/>
            </w:pPr>
            <w:r w:rsidRPr="00914E80">
              <w:t>Snovna produktivnost (SKM/kg)</w:t>
            </w:r>
            <w:r w:rsidR="00914E80" w:rsidRPr="00914E80">
              <w:rPr>
                <w:rStyle w:val="Sprotnaopomba-sklic"/>
              </w:rPr>
              <w:footnoteReference w:id="5"/>
            </w:r>
          </w:p>
        </w:tc>
        <w:tc>
          <w:tcPr>
            <w:tcW w:w="1935" w:type="dxa"/>
            <w:vAlign w:val="center"/>
          </w:tcPr>
          <w:p w14:paraId="1EE67C23" w14:textId="77777777" w:rsidR="000D3813" w:rsidRPr="00914E80"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b/>
              </w:rPr>
            </w:pPr>
            <w:r w:rsidRPr="00914E80">
              <w:rPr>
                <w:b/>
                <w:color w:val="000000"/>
              </w:rPr>
              <w:t>1,79</w:t>
            </w:r>
          </w:p>
        </w:tc>
        <w:tc>
          <w:tcPr>
            <w:tcW w:w="1935" w:type="dxa"/>
            <w:vAlign w:val="center"/>
          </w:tcPr>
          <w:p w14:paraId="0B351965" w14:textId="77777777" w:rsidR="000D3813" w:rsidRPr="00914E80"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b/>
              </w:rPr>
            </w:pPr>
            <w:r w:rsidRPr="00914E80">
              <w:rPr>
                <w:b/>
                <w:color w:val="000000"/>
              </w:rPr>
              <w:t>2,19 </w:t>
            </w:r>
          </w:p>
        </w:tc>
        <w:tc>
          <w:tcPr>
            <w:tcW w:w="1936" w:type="dxa"/>
            <w:vAlign w:val="center"/>
          </w:tcPr>
          <w:p w14:paraId="0F1BE088" w14:textId="77777777" w:rsidR="000D3813" w:rsidRPr="00914E80"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b/>
              </w:rPr>
            </w:pPr>
            <w:r w:rsidRPr="00914E80">
              <w:rPr>
                <w:b/>
                <w:color w:val="000000"/>
              </w:rPr>
              <w:t>3,50 </w:t>
            </w:r>
          </w:p>
        </w:tc>
      </w:tr>
      <w:tr w:rsidR="000D3813" w:rsidRPr="008C6100" w14:paraId="5D040D2A" w14:textId="77777777" w:rsidTr="000D3813">
        <w:tc>
          <w:tcPr>
            <w:cnfStyle w:val="001000000000" w:firstRow="0" w:lastRow="0" w:firstColumn="1" w:lastColumn="0" w:oddVBand="0" w:evenVBand="0" w:oddHBand="0" w:evenHBand="0" w:firstRowFirstColumn="0" w:firstRowLastColumn="0" w:lastRowFirstColumn="0" w:lastRowLastColumn="0"/>
            <w:tcW w:w="3256" w:type="dxa"/>
            <w:vAlign w:val="center"/>
          </w:tcPr>
          <w:p w14:paraId="70653429" w14:textId="77777777" w:rsidR="000D3813" w:rsidRPr="00914E80" w:rsidRDefault="000D3813" w:rsidP="000D3813">
            <w:pPr>
              <w:spacing w:before="0"/>
              <w:rPr>
                <w:b w:val="0"/>
              </w:rPr>
            </w:pPr>
            <w:r w:rsidRPr="00914E80">
              <w:rPr>
                <w:b w:val="0"/>
              </w:rPr>
              <w:t>Krožna (sekundarna) raba materiala</w:t>
            </w:r>
          </w:p>
        </w:tc>
        <w:tc>
          <w:tcPr>
            <w:tcW w:w="1935" w:type="dxa"/>
            <w:vAlign w:val="center"/>
          </w:tcPr>
          <w:p w14:paraId="758EEEA5" w14:textId="77777777" w:rsidR="000D3813" w:rsidRPr="009B538E"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9B538E">
              <w:t>8,5</w:t>
            </w:r>
          </w:p>
        </w:tc>
        <w:tc>
          <w:tcPr>
            <w:tcW w:w="1935" w:type="dxa"/>
            <w:vAlign w:val="center"/>
          </w:tcPr>
          <w:p w14:paraId="0766238F" w14:textId="77777777" w:rsidR="000D3813" w:rsidRPr="009B538E"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9B538E">
              <w:t>11,7</w:t>
            </w:r>
          </w:p>
        </w:tc>
        <w:tc>
          <w:tcPr>
            <w:tcW w:w="1936" w:type="dxa"/>
            <w:vAlign w:val="center"/>
          </w:tcPr>
          <w:p w14:paraId="746EE2E9" w14:textId="77777777" w:rsidR="000D3813" w:rsidRPr="009B538E"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9B538E">
              <w:t>Povprečje EU v letu 2030</w:t>
            </w:r>
          </w:p>
        </w:tc>
      </w:tr>
      <w:tr w:rsidR="000D3813" w:rsidRPr="008C6100" w14:paraId="20475E80" w14:textId="77777777" w:rsidTr="000D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7F79DC4C" w14:textId="77777777" w:rsidR="000D3813" w:rsidRPr="00914E80" w:rsidRDefault="0088652B" w:rsidP="000D3813">
            <w:pPr>
              <w:spacing w:before="0"/>
              <w:rPr>
                <w:b w:val="0"/>
              </w:rPr>
            </w:pPr>
            <w:r w:rsidRPr="00914E80">
              <w:rPr>
                <w:b w:val="0"/>
                <w:bCs w:val="0"/>
                <w:lang w:eastAsia="sl-SI"/>
              </w:rPr>
              <w:t>Delež zaposlenih v krožnem gospodarstvu glede na skupno število zaposlenih, v %</w:t>
            </w:r>
            <w:r w:rsidR="00914E80" w:rsidRPr="00914E80">
              <w:rPr>
                <w:rStyle w:val="Sprotnaopomba-sklic"/>
                <w:b w:val="0"/>
                <w:bCs w:val="0"/>
                <w:lang w:eastAsia="sl-SI"/>
              </w:rPr>
              <w:footnoteReference w:id="6"/>
            </w:r>
          </w:p>
        </w:tc>
        <w:tc>
          <w:tcPr>
            <w:tcW w:w="1935" w:type="dxa"/>
            <w:vAlign w:val="center"/>
          </w:tcPr>
          <w:p w14:paraId="010539DD"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9B538E">
              <w:t>2,09 %</w:t>
            </w:r>
          </w:p>
        </w:tc>
        <w:tc>
          <w:tcPr>
            <w:tcW w:w="1935" w:type="dxa"/>
            <w:vAlign w:val="center"/>
          </w:tcPr>
          <w:p w14:paraId="40897647"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9B538E">
              <w:t>1,73 %</w:t>
            </w:r>
          </w:p>
        </w:tc>
        <w:tc>
          <w:tcPr>
            <w:tcW w:w="1936" w:type="dxa"/>
            <w:vAlign w:val="center"/>
          </w:tcPr>
          <w:p w14:paraId="748B54F6"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9B538E">
              <w:t>3,0 %</w:t>
            </w:r>
          </w:p>
        </w:tc>
      </w:tr>
      <w:tr w:rsidR="000D3813" w:rsidRPr="008C6100" w14:paraId="5FC24C86" w14:textId="77777777" w:rsidTr="000D3813">
        <w:tc>
          <w:tcPr>
            <w:cnfStyle w:val="001000000000" w:firstRow="0" w:lastRow="0" w:firstColumn="1" w:lastColumn="0" w:oddVBand="0" w:evenVBand="0" w:oddHBand="0" w:evenHBand="0" w:firstRowFirstColumn="0" w:firstRowLastColumn="0" w:lastRowFirstColumn="0" w:lastRowLastColumn="0"/>
            <w:tcW w:w="3256" w:type="dxa"/>
            <w:vAlign w:val="center"/>
          </w:tcPr>
          <w:p w14:paraId="6D011529" w14:textId="77777777" w:rsidR="000D3813" w:rsidRPr="00914E80" w:rsidRDefault="000D3813" w:rsidP="000D3813">
            <w:pPr>
              <w:spacing w:before="0"/>
              <w:rPr>
                <w:b w:val="0"/>
              </w:rPr>
            </w:pPr>
            <w:r w:rsidRPr="00914E80">
              <w:rPr>
                <w:b w:val="0"/>
              </w:rPr>
              <w:t xml:space="preserve">% MSP, ki so sprejela ukrepe za učinkovito rabo virov </w:t>
            </w:r>
          </w:p>
        </w:tc>
        <w:tc>
          <w:tcPr>
            <w:tcW w:w="1935" w:type="dxa"/>
            <w:vAlign w:val="center"/>
          </w:tcPr>
          <w:p w14:paraId="5D95BCBB" w14:textId="77777777" w:rsidR="000D3813" w:rsidRPr="006360FD"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6360FD">
              <w:t>77</w:t>
            </w:r>
            <w:r w:rsidRPr="006360FD">
              <w:rPr>
                <w:sz w:val="18"/>
                <w:szCs w:val="18"/>
              </w:rPr>
              <w:t xml:space="preserve"> %</w:t>
            </w:r>
          </w:p>
        </w:tc>
        <w:tc>
          <w:tcPr>
            <w:tcW w:w="1935" w:type="dxa"/>
            <w:vAlign w:val="center"/>
          </w:tcPr>
          <w:p w14:paraId="54762F12" w14:textId="77777777" w:rsidR="000D3813" w:rsidRPr="006360FD"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6360FD">
              <w:t>89</w:t>
            </w:r>
            <w:r w:rsidRPr="006360FD">
              <w:rPr>
                <w:sz w:val="18"/>
                <w:szCs w:val="18"/>
              </w:rPr>
              <w:t xml:space="preserve"> %</w:t>
            </w:r>
          </w:p>
        </w:tc>
        <w:tc>
          <w:tcPr>
            <w:tcW w:w="1936" w:type="dxa"/>
            <w:vAlign w:val="center"/>
          </w:tcPr>
          <w:p w14:paraId="54F896E9" w14:textId="77777777" w:rsidR="000D3813" w:rsidRPr="009B538E"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9B538E">
              <w:t>Povprečje EU v letu 2030</w:t>
            </w:r>
          </w:p>
        </w:tc>
      </w:tr>
      <w:tr w:rsidR="000D3813" w:rsidRPr="008C6100" w14:paraId="3ED59744" w14:textId="77777777" w:rsidTr="000D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3BFE8F64" w14:textId="77777777" w:rsidR="000D3813" w:rsidRPr="00914E80" w:rsidRDefault="000D3813" w:rsidP="000D3813">
            <w:pPr>
              <w:spacing w:before="0"/>
              <w:rPr>
                <w:b w:val="0"/>
              </w:rPr>
            </w:pPr>
            <w:r w:rsidRPr="00914E80">
              <w:rPr>
                <w:b w:val="0"/>
              </w:rPr>
              <w:t>% MSP, ki so sprejela ukrepe za učinkovito rabo energije</w:t>
            </w:r>
          </w:p>
        </w:tc>
        <w:tc>
          <w:tcPr>
            <w:tcW w:w="1935" w:type="dxa"/>
            <w:vAlign w:val="center"/>
          </w:tcPr>
          <w:p w14:paraId="2FCFB995"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9B538E">
              <w:t>47 %</w:t>
            </w:r>
          </w:p>
        </w:tc>
        <w:tc>
          <w:tcPr>
            <w:tcW w:w="1935" w:type="dxa"/>
            <w:vAlign w:val="center"/>
          </w:tcPr>
          <w:p w14:paraId="4F0F6331"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9B538E">
              <w:t>63 %</w:t>
            </w:r>
          </w:p>
        </w:tc>
        <w:tc>
          <w:tcPr>
            <w:tcW w:w="1936" w:type="dxa"/>
            <w:vAlign w:val="center"/>
          </w:tcPr>
          <w:p w14:paraId="1C5D3561"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9B538E">
              <w:t>Povprečje EU v letu 2030</w:t>
            </w:r>
          </w:p>
        </w:tc>
      </w:tr>
      <w:tr w:rsidR="000D3813" w:rsidRPr="008C6100" w14:paraId="2AECDA85" w14:textId="77777777" w:rsidTr="000D3813">
        <w:tc>
          <w:tcPr>
            <w:cnfStyle w:val="001000000000" w:firstRow="0" w:lastRow="0" w:firstColumn="1" w:lastColumn="0" w:oddVBand="0" w:evenVBand="0" w:oddHBand="0" w:evenHBand="0" w:firstRowFirstColumn="0" w:firstRowLastColumn="0" w:lastRowFirstColumn="0" w:lastRowLastColumn="0"/>
            <w:tcW w:w="3256" w:type="dxa"/>
            <w:vAlign w:val="center"/>
          </w:tcPr>
          <w:p w14:paraId="2318DB0E" w14:textId="77777777" w:rsidR="000D3813" w:rsidRPr="00914E80" w:rsidRDefault="000D3813" w:rsidP="000D3813">
            <w:pPr>
              <w:spacing w:before="0"/>
              <w:rPr>
                <w:b w:val="0"/>
              </w:rPr>
            </w:pPr>
            <w:r w:rsidRPr="00914E80">
              <w:rPr>
                <w:b w:val="0"/>
              </w:rPr>
              <w:t>Skupne emisije toplogrednih plinov</w:t>
            </w:r>
          </w:p>
        </w:tc>
        <w:tc>
          <w:tcPr>
            <w:tcW w:w="1935" w:type="dxa"/>
            <w:vAlign w:val="center"/>
          </w:tcPr>
          <w:p w14:paraId="0B986947" w14:textId="77777777" w:rsidR="000D3813" w:rsidRPr="009B538E"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9B538E">
              <w:t>Brez cilja v 2020 glede na 1990</w:t>
            </w:r>
          </w:p>
        </w:tc>
        <w:tc>
          <w:tcPr>
            <w:tcW w:w="1935" w:type="dxa"/>
            <w:vAlign w:val="center"/>
          </w:tcPr>
          <w:p w14:paraId="710B7D51" w14:textId="77777777" w:rsidR="000D3813" w:rsidRPr="009B538E"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9B538E">
              <w:t>-20 % v 2020 glede na 1990</w:t>
            </w:r>
          </w:p>
        </w:tc>
        <w:tc>
          <w:tcPr>
            <w:tcW w:w="1936" w:type="dxa"/>
            <w:vAlign w:val="center"/>
          </w:tcPr>
          <w:p w14:paraId="60D372ED" w14:textId="77777777" w:rsidR="000D3813" w:rsidRPr="009B538E"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9B538E">
              <w:t xml:space="preserve">-36 </w:t>
            </w:r>
            <w:r w:rsidRPr="00D34BC4">
              <w:t>%</w:t>
            </w:r>
            <w:r>
              <w:rPr>
                <w:sz w:val="18"/>
                <w:szCs w:val="18"/>
              </w:rPr>
              <w:t xml:space="preserve"> </w:t>
            </w:r>
            <w:r w:rsidRPr="00D34BC4">
              <w:rPr>
                <w:szCs w:val="18"/>
              </w:rPr>
              <w:t>glede na 2005</w:t>
            </w:r>
          </w:p>
        </w:tc>
      </w:tr>
      <w:tr w:rsidR="000D3813" w:rsidRPr="008C6100" w14:paraId="75961EFD" w14:textId="77777777" w:rsidTr="000D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5B87F3C9" w14:textId="77777777" w:rsidR="000D3813" w:rsidRPr="00914E80" w:rsidRDefault="000D3813" w:rsidP="000D3813">
            <w:pPr>
              <w:spacing w:before="0"/>
              <w:rPr>
                <w:b w:val="0"/>
              </w:rPr>
            </w:pPr>
            <w:r w:rsidRPr="00914E80">
              <w:rPr>
                <w:b w:val="0"/>
              </w:rPr>
              <w:t>Delež obnovljivih virov v končni rabi energije</w:t>
            </w:r>
          </w:p>
        </w:tc>
        <w:tc>
          <w:tcPr>
            <w:tcW w:w="1935" w:type="dxa"/>
            <w:vAlign w:val="center"/>
          </w:tcPr>
          <w:p w14:paraId="09A04D33"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9B538E">
              <w:t>22 % (2014)</w:t>
            </w:r>
          </w:p>
        </w:tc>
        <w:tc>
          <w:tcPr>
            <w:tcW w:w="1935" w:type="dxa"/>
            <w:vAlign w:val="center"/>
          </w:tcPr>
          <w:p w14:paraId="65BE5592"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9B538E">
              <w:t>17 %</w:t>
            </w:r>
          </w:p>
        </w:tc>
        <w:tc>
          <w:tcPr>
            <w:tcW w:w="1936" w:type="dxa"/>
            <w:vAlign w:val="center"/>
          </w:tcPr>
          <w:p w14:paraId="51E5BD25"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9B538E">
              <w:t>27 %</w:t>
            </w:r>
          </w:p>
        </w:tc>
      </w:tr>
      <w:tr w:rsidR="000D3813" w:rsidRPr="008C6100" w14:paraId="7D14A5FF" w14:textId="77777777" w:rsidTr="000D3813">
        <w:tc>
          <w:tcPr>
            <w:cnfStyle w:val="001000000000" w:firstRow="0" w:lastRow="0" w:firstColumn="1" w:lastColumn="0" w:oddVBand="0" w:evenVBand="0" w:oddHBand="0" w:evenHBand="0" w:firstRowFirstColumn="0" w:firstRowLastColumn="0" w:lastRowFirstColumn="0" w:lastRowLastColumn="0"/>
            <w:tcW w:w="3256" w:type="dxa"/>
            <w:vAlign w:val="center"/>
          </w:tcPr>
          <w:p w14:paraId="1B2FB4FE" w14:textId="77777777" w:rsidR="000D3813" w:rsidRPr="00914E80" w:rsidRDefault="000D3813" w:rsidP="000D3813">
            <w:pPr>
              <w:spacing w:before="0"/>
              <w:rPr>
                <w:b w:val="0"/>
              </w:rPr>
            </w:pPr>
            <w:r w:rsidRPr="00914E80">
              <w:rPr>
                <w:b w:val="0"/>
              </w:rPr>
              <w:t>Eco-</w:t>
            </w:r>
            <w:proofErr w:type="spellStart"/>
            <w:r w:rsidRPr="00914E80">
              <w:rPr>
                <w:b w:val="0"/>
              </w:rPr>
              <w:t>inovation</w:t>
            </w:r>
            <w:proofErr w:type="spellEnd"/>
            <w:r w:rsidRPr="00914E80">
              <w:rPr>
                <w:b w:val="0"/>
              </w:rPr>
              <w:t xml:space="preserve">« </w:t>
            </w:r>
            <w:proofErr w:type="spellStart"/>
            <w:r w:rsidRPr="00914E80">
              <w:rPr>
                <w:b w:val="0"/>
              </w:rPr>
              <w:t>index</w:t>
            </w:r>
            <w:proofErr w:type="spellEnd"/>
            <w:r w:rsidRPr="00914E80">
              <w:rPr>
                <w:b w:val="0"/>
              </w:rPr>
              <w:t xml:space="preserve"> </w:t>
            </w:r>
          </w:p>
        </w:tc>
        <w:tc>
          <w:tcPr>
            <w:tcW w:w="1935" w:type="dxa"/>
            <w:vAlign w:val="center"/>
          </w:tcPr>
          <w:p w14:paraId="103F291A" w14:textId="77777777" w:rsidR="000D3813" w:rsidRPr="009B538E"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9B538E">
              <w:rPr>
                <w:color w:val="000000"/>
              </w:rPr>
              <w:t>107 (</w:t>
            </w:r>
            <w:r w:rsidRPr="003F63BA">
              <w:rPr>
                <w:color w:val="000000"/>
                <w:sz w:val="18"/>
                <w:szCs w:val="18"/>
                <w:lang w:eastAsia="sl-SI"/>
              </w:rPr>
              <w:t>2018</w:t>
            </w:r>
            <w:r w:rsidRPr="009B538E">
              <w:rPr>
                <w:color w:val="000000"/>
              </w:rPr>
              <w:t>)</w:t>
            </w:r>
          </w:p>
        </w:tc>
        <w:tc>
          <w:tcPr>
            <w:tcW w:w="1935" w:type="dxa"/>
            <w:vAlign w:val="center"/>
          </w:tcPr>
          <w:p w14:paraId="62188018" w14:textId="77777777" w:rsidR="000D3813" w:rsidRPr="009B538E"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9B538E">
              <w:rPr>
                <w:color w:val="000000"/>
              </w:rPr>
              <w:t>100</w:t>
            </w:r>
          </w:p>
        </w:tc>
        <w:tc>
          <w:tcPr>
            <w:tcW w:w="1936" w:type="dxa"/>
            <w:vAlign w:val="center"/>
          </w:tcPr>
          <w:p w14:paraId="60F6F4A7" w14:textId="77777777" w:rsidR="000D3813" w:rsidRPr="009B538E"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9B538E">
              <w:t>110</w:t>
            </w:r>
          </w:p>
        </w:tc>
      </w:tr>
      <w:tr w:rsidR="000D3813" w:rsidRPr="008C6100" w14:paraId="3AE13CBD" w14:textId="77777777" w:rsidTr="000D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1C312718" w14:textId="77777777" w:rsidR="000D3813" w:rsidRPr="00914E80" w:rsidRDefault="000D3813" w:rsidP="00350922">
            <w:pPr>
              <w:spacing w:before="0"/>
              <w:rPr>
                <w:b w:val="0"/>
              </w:rPr>
            </w:pPr>
            <w:r w:rsidRPr="00914E80">
              <w:rPr>
                <w:b w:val="0"/>
              </w:rPr>
              <w:t>% MSP, ki ponu</w:t>
            </w:r>
            <w:r w:rsidR="00350922">
              <w:rPr>
                <w:b w:val="0"/>
              </w:rPr>
              <w:t>jajo zelene izdelke ali storitve</w:t>
            </w:r>
            <w:r w:rsidR="00350922" w:rsidRPr="00914E80">
              <w:rPr>
                <w:rStyle w:val="Sprotnaopomba-sklic"/>
                <w:b w:val="0"/>
                <w:bCs w:val="0"/>
                <w:lang w:eastAsia="sl-SI"/>
              </w:rPr>
              <w:footnoteReference w:id="7"/>
            </w:r>
          </w:p>
        </w:tc>
        <w:tc>
          <w:tcPr>
            <w:tcW w:w="1935" w:type="dxa"/>
            <w:vAlign w:val="center"/>
          </w:tcPr>
          <w:p w14:paraId="24B57626"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9B538E">
              <w:t>23 % (2017)</w:t>
            </w:r>
          </w:p>
        </w:tc>
        <w:tc>
          <w:tcPr>
            <w:tcW w:w="1935" w:type="dxa"/>
            <w:vAlign w:val="center"/>
          </w:tcPr>
          <w:p w14:paraId="60824CA5"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9B538E">
              <w:t>25 %</w:t>
            </w:r>
          </w:p>
        </w:tc>
        <w:tc>
          <w:tcPr>
            <w:tcW w:w="1936" w:type="dxa"/>
            <w:vAlign w:val="center"/>
          </w:tcPr>
          <w:p w14:paraId="01C342AB"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9B538E">
              <w:t>Povprečje EU v letu 2030</w:t>
            </w:r>
          </w:p>
        </w:tc>
      </w:tr>
      <w:tr w:rsidR="000D3813" w:rsidRPr="008C6100" w14:paraId="2CD4F1D7" w14:textId="77777777" w:rsidTr="000D3813">
        <w:tc>
          <w:tcPr>
            <w:cnfStyle w:val="001000000000" w:firstRow="0" w:lastRow="0" w:firstColumn="1" w:lastColumn="0" w:oddVBand="0" w:evenVBand="0" w:oddHBand="0" w:evenHBand="0" w:firstRowFirstColumn="0" w:firstRowLastColumn="0" w:lastRowFirstColumn="0" w:lastRowLastColumn="0"/>
            <w:tcW w:w="3256" w:type="dxa"/>
            <w:vAlign w:val="center"/>
          </w:tcPr>
          <w:p w14:paraId="6DE3F55A" w14:textId="146B8D34" w:rsidR="000D3813" w:rsidRPr="00914E80" w:rsidRDefault="0088652B" w:rsidP="005843D2">
            <w:pPr>
              <w:spacing w:before="0"/>
              <w:rPr>
                <w:b w:val="0"/>
              </w:rPr>
            </w:pPr>
            <w:r w:rsidRPr="00914E80">
              <w:rPr>
                <w:b w:val="0"/>
                <w:bCs w:val="0"/>
                <w:lang w:eastAsia="sl-SI"/>
              </w:rPr>
              <w:t>% MSP z več kot 50</w:t>
            </w:r>
            <w:r w:rsidR="005843D2">
              <w:rPr>
                <w:b w:val="0"/>
                <w:bCs w:val="0"/>
                <w:lang w:eastAsia="sl-SI"/>
              </w:rPr>
              <w:t>-odstotnim</w:t>
            </w:r>
            <w:r w:rsidR="005843D2" w:rsidRPr="00914E80">
              <w:rPr>
                <w:b w:val="0"/>
                <w:bCs w:val="0"/>
                <w:lang w:eastAsia="sl-SI"/>
              </w:rPr>
              <w:t xml:space="preserve"> </w:t>
            </w:r>
            <w:r w:rsidRPr="00914E80">
              <w:rPr>
                <w:b w:val="0"/>
                <w:bCs w:val="0"/>
                <w:lang w:eastAsia="sl-SI"/>
              </w:rPr>
              <w:t>deležem prometa, ustvarjenega z zelenimi izdelki ali storitvami</w:t>
            </w:r>
            <w:r w:rsidR="00350922" w:rsidRPr="00914E80">
              <w:rPr>
                <w:rStyle w:val="Sprotnaopomba-sklic"/>
                <w:b w:val="0"/>
                <w:bCs w:val="0"/>
                <w:lang w:eastAsia="sl-SI"/>
              </w:rPr>
              <w:footnoteReference w:id="8"/>
            </w:r>
          </w:p>
        </w:tc>
        <w:tc>
          <w:tcPr>
            <w:tcW w:w="1935" w:type="dxa"/>
            <w:vAlign w:val="center"/>
          </w:tcPr>
          <w:p w14:paraId="5D48749B" w14:textId="77777777" w:rsidR="000D3813" w:rsidRPr="009B538E"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9B538E">
              <w:t>23 % (2017)</w:t>
            </w:r>
          </w:p>
        </w:tc>
        <w:tc>
          <w:tcPr>
            <w:tcW w:w="1935" w:type="dxa"/>
            <w:vAlign w:val="center"/>
          </w:tcPr>
          <w:p w14:paraId="3FAE4257" w14:textId="77777777" w:rsidR="000D3813" w:rsidRPr="009B538E"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9B538E">
              <w:t>20 %</w:t>
            </w:r>
          </w:p>
        </w:tc>
        <w:tc>
          <w:tcPr>
            <w:tcW w:w="1936" w:type="dxa"/>
            <w:vAlign w:val="center"/>
          </w:tcPr>
          <w:p w14:paraId="1B33C9E4" w14:textId="77777777" w:rsidR="000D3813" w:rsidRPr="009B538E"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9B538E">
              <w:t>Povprečje EU v letu 2030</w:t>
            </w:r>
          </w:p>
        </w:tc>
      </w:tr>
      <w:tr w:rsidR="000D3813" w:rsidRPr="008C6100" w14:paraId="620A473C" w14:textId="77777777" w:rsidTr="000D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004E9FEC" w14:textId="77777777" w:rsidR="000D3813" w:rsidRPr="00914E80" w:rsidRDefault="000D3813" w:rsidP="000D3813">
            <w:pPr>
              <w:spacing w:before="0"/>
              <w:rPr>
                <w:b w:val="0"/>
              </w:rPr>
            </w:pPr>
            <w:r w:rsidRPr="00914E80">
              <w:rPr>
                <w:b w:val="0"/>
              </w:rPr>
              <w:t>Emisijska produktivnost (BDP /izpusti TGP)</w:t>
            </w:r>
          </w:p>
        </w:tc>
        <w:tc>
          <w:tcPr>
            <w:tcW w:w="1935" w:type="dxa"/>
            <w:vAlign w:val="center"/>
          </w:tcPr>
          <w:p w14:paraId="6359D9E7"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9B538E">
              <w:rPr>
                <w:color w:val="000000"/>
              </w:rPr>
              <w:t>2,9 SKM/kg CO</w:t>
            </w:r>
            <w:r w:rsidRPr="009B538E">
              <w:rPr>
                <w:color w:val="000000"/>
                <w:vertAlign w:val="subscript"/>
              </w:rPr>
              <w:t>2</w:t>
            </w:r>
            <w:r w:rsidRPr="009B538E">
              <w:rPr>
                <w:color w:val="000000"/>
              </w:rPr>
              <w:t xml:space="preserve"> ustreznik</w:t>
            </w:r>
          </w:p>
        </w:tc>
        <w:tc>
          <w:tcPr>
            <w:tcW w:w="1935" w:type="dxa"/>
            <w:vAlign w:val="center"/>
          </w:tcPr>
          <w:p w14:paraId="09096377"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9B538E">
              <w:rPr>
                <w:color w:val="000000"/>
              </w:rPr>
              <w:t>3,3 SKM/kg CO</w:t>
            </w:r>
            <w:r w:rsidRPr="009B538E">
              <w:rPr>
                <w:color w:val="000000"/>
                <w:vertAlign w:val="subscript"/>
              </w:rPr>
              <w:t>2</w:t>
            </w:r>
            <w:r w:rsidRPr="009B538E">
              <w:rPr>
                <w:color w:val="000000"/>
              </w:rPr>
              <w:t xml:space="preserve"> ustreznik</w:t>
            </w:r>
          </w:p>
        </w:tc>
        <w:tc>
          <w:tcPr>
            <w:tcW w:w="1936" w:type="dxa"/>
            <w:vAlign w:val="center"/>
          </w:tcPr>
          <w:p w14:paraId="48398759"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9B538E">
              <w:t>Povprečje EU v letu 2030</w:t>
            </w:r>
          </w:p>
        </w:tc>
      </w:tr>
      <w:tr w:rsidR="000D3813" w:rsidRPr="008C6100" w14:paraId="108120AE" w14:textId="77777777" w:rsidTr="000D3813">
        <w:tc>
          <w:tcPr>
            <w:cnfStyle w:val="001000000000" w:firstRow="0" w:lastRow="0" w:firstColumn="1" w:lastColumn="0" w:oddVBand="0" w:evenVBand="0" w:oddHBand="0" w:evenHBand="0" w:firstRowFirstColumn="0" w:firstRowLastColumn="0" w:lastRowFirstColumn="0" w:lastRowLastColumn="0"/>
            <w:tcW w:w="3256" w:type="dxa"/>
            <w:vAlign w:val="center"/>
          </w:tcPr>
          <w:p w14:paraId="3F5BA3D6" w14:textId="77777777" w:rsidR="000D3813" w:rsidRPr="00914E80" w:rsidRDefault="000D3813" w:rsidP="000D3813">
            <w:pPr>
              <w:spacing w:before="0"/>
              <w:rPr>
                <w:b w:val="0"/>
              </w:rPr>
            </w:pPr>
            <w:r w:rsidRPr="00914E80">
              <w:rPr>
                <w:b w:val="0"/>
              </w:rPr>
              <w:t>Število okoljskih patentov na mio prebivalcev</w:t>
            </w:r>
          </w:p>
        </w:tc>
        <w:tc>
          <w:tcPr>
            <w:tcW w:w="1935" w:type="dxa"/>
            <w:vAlign w:val="center"/>
          </w:tcPr>
          <w:p w14:paraId="39A916D1" w14:textId="77777777" w:rsidR="000D3813" w:rsidRPr="00C816B1"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rPr>
                <w:rFonts w:ascii="Trebuchet MS" w:hAnsi="Trebuchet MS"/>
                <w:sz w:val="18"/>
              </w:rPr>
            </w:pPr>
            <w:r w:rsidRPr="009B538E">
              <w:rPr>
                <w:rFonts w:ascii="Trebuchet MS" w:hAnsi="Trebuchet MS"/>
              </w:rPr>
              <w:t>9,8 (2017)</w:t>
            </w:r>
          </w:p>
        </w:tc>
        <w:tc>
          <w:tcPr>
            <w:tcW w:w="1935" w:type="dxa"/>
            <w:vAlign w:val="center"/>
          </w:tcPr>
          <w:p w14:paraId="26DD341B" w14:textId="77777777" w:rsidR="000D3813" w:rsidRPr="00C816B1"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rPr>
                <w:rFonts w:ascii="Trebuchet MS" w:hAnsi="Trebuchet MS"/>
                <w:sz w:val="18"/>
              </w:rPr>
            </w:pPr>
            <w:r w:rsidRPr="009B538E">
              <w:rPr>
                <w:rFonts w:ascii="Trebuchet MS" w:hAnsi="Trebuchet MS"/>
              </w:rPr>
              <w:t>18,3</w:t>
            </w:r>
          </w:p>
        </w:tc>
        <w:tc>
          <w:tcPr>
            <w:tcW w:w="1936" w:type="dxa"/>
            <w:vAlign w:val="center"/>
          </w:tcPr>
          <w:p w14:paraId="0F24C408" w14:textId="77777777" w:rsidR="000D3813" w:rsidRPr="00C816B1"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rPr>
                <w:rFonts w:ascii="Trebuchet MS" w:hAnsi="Trebuchet MS"/>
                <w:sz w:val="18"/>
              </w:rPr>
            </w:pPr>
            <w:r w:rsidRPr="009B538E">
              <w:t>Povprečje EU v letu 2030</w:t>
            </w:r>
          </w:p>
        </w:tc>
      </w:tr>
      <w:tr w:rsidR="000D3813" w:rsidRPr="008C6100" w14:paraId="066B4DF3" w14:textId="77777777" w:rsidTr="000D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44CF6869" w14:textId="77777777" w:rsidR="000D3813" w:rsidRPr="00914E80" w:rsidRDefault="000D3813" w:rsidP="000D3813">
            <w:pPr>
              <w:spacing w:before="0"/>
              <w:rPr>
                <w:b w:val="0"/>
              </w:rPr>
            </w:pPr>
            <w:r w:rsidRPr="00914E80">
              <w:rPr>
                <w:b w:val="0"/>
              </w:rPr>
              <w:t>Količina predelanega lesa v Sloveniji v m3</w:t>
            </w:r>
          </w:p>
        </w:tc>
        <w:tc>
          <w:tcPr>
            <w:tcW w:w="1935" w:type="dxa"/>
            <w:vAlign w:val="center"/>
          </w:tcPr>
          <w:p w14:paraId="63E55CA2" w14:textId="7315801A" w:rsidR="000D3813" w:rsidRPr="009B538E" w:rsidRDefault="00855F64" w:rsidP="000D3813">
            <w:pPr>
              <w:spacing w:before="0"/>
              <w:jc w:val="right"/>
              <w:cnfStyle w:val="000000100000" w:firstRow="0" w:lastRow="0" w:firstColumn="0" w:lastColumn="0" w:oddVBand="0" w:evenVBand="0" w:oddHBand="1" w:evenHBand="0" w:firstRowFirstColumn="0" w:firstRowLastColumn="0" w:lastRowFirstColumn="0" w:lastRowLastColumn="0"/>
              <w:rPr>
                <w:color w:val="000000"/>
              </w:rPr>
            </w:pPr>
            <w:r w:rsidRPr="00855F64">
              <w:rPr>
                <w:rFonts w:ascii="Trebuchet MS" w:hAnsi="Trebuchet MS"/>
                <w:sz w:val="18"/>
              </w:rPr>
              <w:t>1.911.000 (2018)</w:t>
            </w:r>
          </w:p>
        </w:tc>
        <w:tc>
          <w:tcPr>
            <w:tcW w:w="1935" w:type="dxa"/>
            <w:vAlign w:val="center"/>
          </w:tcPr>
          <w:p w14:paraId="711FA08B"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color w:val="000000"/>
              </w:rPr>
            </w:pPr>
            <w:r w:rsidRPr="00C816B1">
              <w:rPr>
                <w:rFonts w:ascii="Trebuchet MS" w:hAnsi="Trebuchet MS"/>
                <w:sz w:val="18"/>
              </w:rPr>
              <w:t>/</w:t>
            </w:r>
          </w:p>
        </w:tc>
        <w:tc>
          <w:tcPr>
            <w:tcW w:w="1936" w:type="dxa"/>
            <w:vAlign w:val="center"/>
          </w:tcPr>
          <w:p w14:paraId="655EF1B3"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C816B1">
              <w:rPr>
                <w:rFonts w:ascii="Trebuchet MS" w:hAnsi="Trebuchet MS"/>
                <w:sz w:val="18"/>
              </w:rPr>
              <w:t>3.000.000</w:t>
            </w:r>
            <w:r>
              <w:rPr>
                <w:rStyle w:val="Sprotnaopomba-sklic"/>
                <w:rFonts w:ascii="Trebuchet MS" w:hAnsi="Trebuchet MS"/>
                <w:sz w:val="18"/>
              </w:rPr>
              <w:footnoteReference w:id="9"/>
            </w:r>
          </w:p>
        </w:tc>
      </w:tr>
    </w:tbl>
    <w:p w14:paraId="5D9A28A9" w14:textId="7484DE26" w:rsidR="00404425" w:rsidRDefault="000D3813" w:rsidP="000D3813">
      <w:pPr>
        <w:spacing w:before="20"/>
        <w:jc w:val="both"/>
        <w:rPr>
          <w:i/>
        </w:rPr>
      </w:pPr>
      <w:r w:rsidRPr="009B538E">
        <w:rPr>
          <w:i/>
        </w:rPr>
        <w:t xml:space="preserve">Viri: NEPN, 28. 2. 2020, DG </w:t>
      </w:r>
      <w:proofErr w:type="spellStart"/>
      <w:r w:rsidRPr="009B538E">
        <w:rPr>
          <w:i/>
        </w:rPr>
        <w:t>Environment</w:t>
      </w:r>
      <w:proofErr w:type="spellEnd"/>
      <w:r w:rsidRPr="009B538E">
        <w:rPr>
          <w:i/>
        </w:rPr>
        <w:t xml:space="preserve">, </w:t>
      </w:r>
      <w:proofErr w:type="spellStart"/>
      <w:r w:rsidRPr="009B538E">
        <w:rPr>
          <w:i/>
        </w:rPr>
        <w:t>Flash</w:t>
      </w:r>
      <w:proofErr w:type="spellEnd"/>
      <w:r w:rsidRPr="009B538E">
        <w:rPr>
          <w:i/>
        </w:rPr>
        <w:t xml:space="preserve"> </w:t>
      </w:r>
      <w:proofErr w:type="spellStart"/>
      <w:r w:rsidRPr="009B538E">
        <w:rPr>
          <w:i/>
        </w:rPr>
        <w:t>Eurobarometer</w:t>
      </w:r>
      <w:proofErr w:type="spellEnd"/>
      <w:r w:rsidRPr="009B538E">
        <w:rPr>
          <w:i/>
        </w:rPr>
        <w:t xml:space="preserve"> 456: </w:t>
      </w:r>
      <w:proofErr w:type="spellStart"/>
      <w:r w:rsidRPr="009B538E">
        <w:rPr>
          <w:i/>
        </w:rPr>
        <w:t>SMEs</w:t>
      </w:r>
      <w:proofErr w:type="spellEnd"/>
      <w:r w:rsidRPr="009B538E">
        <w:rPr>
          <w:i/>
        </w:rPr>
        <w:t xml:space="preserve">, </w:t>
      </w:r>
      <w:proofErr w:type="spellStart"/>
      <w:r w:rsidRPr="009B538E">
        <w:rPr>
          <w:i/>
        </w:rPr>
        <w:t>resource</w:t>
      </w:r>
      <w:proofErr w:type="spellEnd"/>
      <w:r w:rsidRPr="009B538E">
        <w:rPr>
          <w:i/>
        </w:rPr>
        <w:t xml:space="preserve"> </w:t>
      </w:r>
      <w:proofErr w:type="spellStart"/>
      <w:r w:rsidRPr="009B538E">
        <w:rPr>
          <w:i/>
        </w:rPr>
        <w:t>efficiency</w:t>
      </w:r>
      <w:proofErr w:type="spellEnd"/>
      <w:r w:rsidRPr="009B538E">
        <w:rPr>
          <w:i/>
        </w:rPr>
        <w:t xml:space="preserve"> </w:t>
      </w:r>
      <w:proofErr w:type="spellStart"/>
      <w:r w:rsidRPr="009B538E">
        <w:rPr>
          <w:i/>
        </w:rPr>
        <w:t>and</w:t>
      </w:r>
      <w:proofErr w:type="spellEnd"/>
      <w:r w:rsidRPr="009B538E">
        <w:rPr>
          <w:i/>
        </w:rPr>
        <w:t xml:space="preserve"> </w:t>
      </w:r>
      <w:proofErr w:type="spellStart"/>
      <w:r w:rsidRPr="009B538E">
        <w:rPr>
          <w:i/>
        </w:rPr>
        <w:t>green</w:t>
      </w:r>
      <w:proofErr w:type="spellEnd"/>
      <w:r w:rsidRPr="009B538E">
        <w:rPr>
          <w:i/>
        </w:rPr>
        <w:t xml:space="preserve"> </w:t>
      </w:r>
      <w:proofErr w:type="spellStart"/>
      <w:r w:rsidRPr="009B538E">
        <w:rPr>
          <w:i/>
        </w:rPr>
        <w:t>markets</w:t>
      </w:r>
      <w:proofErr w:type="spellEnd"/>
      <w:r w:rsidRPr="009B538E">
        <w:rPr>
          <w:i/>
        </w:rPr>
        <w:t xml:space="preserve">, </w:t>
      </w:r>
      <w:proofErr w:type="spellStart"/>
      <w:r w:rsidRPr="009B538E">
        <w:rPr>
          <w:i/>
        </w:rPr>
        <w:t>Eurostat</w:t>
      </w:r>
      <w:proofErr w:type="spellEnd"/>
      <w:r w:rsidRPr="009B538E">
        <w:rPr>
          <w:i/>
        </w:rPr>
        <w:t>; SURS</w:t>
      </w:r>
    </w:p>
    <w:p w14:paraId="284B54DD" w14:textId="319F2389" w:rsidR="008F495A" w:rsidRDefault="008F495A">
      <w:pPr>
        <w:rPr>
          <w:i/>
        </w:rPr>
      </w:pPr>
      <w:r>
        <w:rPr>
          <w:i/>
        </w:rPr>
        <w:br w:type="page"/>
      </w:r>
    </w:p>
    <w:p w14:paraId="412319E2" w14:textId="77777777" w:rsidR="008F495A" w:rsidRPr="009B538E" w:rsidRDefault="008F495A" w:rsidP="000D3813">
      <w:pPr>
        <w:spacing w:before="20"/>
        <w:jc w:val="both"/>
        <w:rPr>
          <w:i/>
        </w:rPr>
      </w:pPr>
    </w:p>
    <w:p w14:paraId="7E16BCDF" w14:textId="77777777" w:rsidR="000D3813" w:rsidRDefault="0088652B" w:rsidP="0088652B">
      <w:pPr>
        <w:pStyle w:val="Odstavekseznama"/>
        <w:numPr>
          <w:ilvl w:val="0"/>
          <w:numId w:val="3"/>
        </w:numPr>
      </w:pPr>
      <w:r>
        <w:t>Na področju »ustvarjalnega« razvoja</w:t>
      </w:r>
    </w:p>
    <w:p w14:paraId="4958C347" w14:textId="77777777" w:rsidR="00350922" w:rsidRDefault="00350922" w:rsidP="00350922">
      <w:pPr>
        <w:pStyle w:val="Odstavekseznama"/>
      </w:pPr>
    </w:p>
    <w:p w14:paraId="14DFE8DA" w14:textId="0DD3C2FB" w:rsidR="008F495A" w:rsidRPr="003F63BA" w:rsidRDefault="00350922" w:rsidP="00350922">
      <w:pPr>
        <w:pStyle w:val="Odstavekseznama"/>
        <w:ind w:left="0"/>
        <w:jc w:val="both"/>
      </w:pPr>
      <w:r>
        <w:t>Za področje ustvarjalnega</w:t>
      </w:r>
      <w:r w:rsidR="001943C9">
        <w:t xml:space="preserve"> </w:t>
      </w:r>
      <w:r>
        <w:t>razvoja je kot ključni kazalnik izbran Inovacijski indeks, ki vključuje različne vidike ustvarjalnosti in inovativnosti.</w:t>
      </w:r>
    </w:p>
    <w:tbl>
      <w:tblPr>
        <w:tblStyle w:val="Tabelatemnamrea5poudarek11"/>
        <w:tblW w:w="0" w:type="auto"/>
        <w:tblLook w:val="04A0" w:firstRow="1" w:lastRow="0" w:firstColumn="1" w:lastColumn="0" w:noHBand="0" w:noVBand="1"/>
      </w:tblPr>
      <w:tblGrid>
        <w:gridCol w:w="3823"/>
        <w:gridCol w:w="2619"/>
        <w:gridCol w:w="2620"/>
      </w:tblGrid>
      <w:tr w:rsidR="000D3813" w:rsidRPr="008C6100" w14:paraId="4E48DEA4" w14:textId="77777777" w:rsidTr="000D381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3823" w:type="dxa"/>
          </w:tcPr>
          <w:p w14:paraId="0B119A75" w14:textId="0DD3C2FB" w:rsidR="000D3813" w:rsidRPr="009B538E" w:rsidRDefault="000D3813" w:rsidP="000D3813">
            <w:pPr>
              <w:spacing w:before="0"/>
            </w:pPr>
          </w:p>
        </w:tc>
        <w:tc>
          <w:tcPr>
            <w:tcW w:w="2619" w:type="dxa"/>
            <w:vAlign w:val="center"/>
          </w:tcPr>
          <w:p w14:paraId="3D5F3878" w14:textId="77777777" w:rsidR="000D3813" w:rsidRPr="009B538E" w:rsidRDefault="000D3813" w:rsidP="000D3813">
            <w:pPr>
              <w:spacing w:before="0"/>
              <w:jc w:val="center"/>
              <w:cnfStyle w:val="100000000000" w:firstRow="1" w:lastRow="0" w:firstColumn="0" w:lastColumn="0" w:oddVBand="0" w:evenVBand="0" w:oddHBand="0" w:evenHBand="0" w:firstRowFirstColumn="0" w:firstRowLastColumn="0" w:lastRowFirstColumn="0" w:lastRowLastColumn="0"/>
              <w:rPr>
                <w:b w:val="0"/>
              </w:rPr>
            </w:pPr>
            <w:r w:rsidRPr="00FD4C45">
              <w:t>Zadnji znan</w:t>
            </w:r>
            <w:r w:rsidR="00B5100A">
              <w:t>i</w:t>
            </w:r>
            <w:r w:rsidRPr="00FD4C45">
              <w:t xml:space="preserve"> podatek</w:t>
            </w:r>
          </w:p>
        </w:tc>
        <w:tc>
          <w:tcPr>
            <w:tcW w:w="2620" w:type="dxa"/>
            <w:vAlign w:val="center"/>
          </w:tcPr>
          <w:p w14:paraId="090635C1" w14:textId="77777777" w:rsidR="000D3813" w:rsidRPr="009B538E" w:rsidRDefault="000D3813" w:rsidP="000D3813">
            <w:pPr>
              <w:spacing w:before="0"/>
              <w:jc w:val="center"/>
              <w:cnfStyle w:val="100000000000" w:firstRow="1" w:lastRow="0" w:firstColumn="0" w:lastColumn="0" w:oddVBand="0" w:evenVBand="0" w:oddHBand="0" w:evenHBand="0" w:firstRowFirstColumn="0" w:firstRowLastColumn="0" w:lastRowFirstColumn="0" w:lastRowLastColumn="0"/>
              <w:rPr>
                <w:b w:val="0"/>
              </w:rPr>
            </w:pPr>
            <w:r w:rsidRPr="00FD4C45">
              <w:t>2030</w:t>
            </w:r>
          </w:p>
        </w:tc>
      </w:tr>
      <w:tr w:rsidR="000D3813" w:rsidRPr="00914E80" w14:paraId="363A8B88" w14:textId="77777777" w:rsidTr="000D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C9215E3" w14:textId="77777777" w:rsidR="000D3813" w:rsidRPr="00350922" w:rsidRDefault="000D3813" w:rsidP="000D3813">
            <w:pPr>
              <w:spacing w:before="0"/>
            </w:pPr>
            <w:r w:rsidRPr="00350922">
              <w:t>Inovacijski indeks (glede na razvitost EU)</w:t>
            </w:r>
          </w:p>
        </w:tc>
        <w:tc>
          <w:tcPr>
            <w:tcW w:w="2619" w:type="dxa"/>
            <w:vAlign w:val="center"/>
          </w:tcPr>
          <w:p w14:paraId="6B5E9D46" w14:textId="77777777" w:rsidR="000D3813" w:rsidRPr="00914E80"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b/>
              </w:rPr>
            </w:pPr>
            <w:r w:rsidRPr="00914E80">
              <w:rPr>
                <w:b/>
              </w:rPr>
              <w:t>84,9 % (2020)</w:t>
            </w:r>
          </w:p>
        </w:tc>
        <w:tc>
          <w:tcPr>
            <w:tcW w:w="2620" w:type="dxa"/>
            <w:vAlign w:val="center"/>
          </w:tcPr>
          <w:p w14:paraId="27C47147" w14:textId="77777777" w:rsidR="000D3813" w:rsidRPr="00914E80"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b/>
              </w:rPr>
            </w:pPr>
            <w:r w:rsidRPr="00914E80">
              <w:rPr>
                <w:b/>
              </w:rPr>
              <w:t>110,0 %</w:t>
            </w:r>
          </w:p>
        </w:tc>
      </w:tr>
      <w:tr w:rsidR="000D3813" w:rsidRPr="008C6100" w14:paraId="18B3A342" w14:textId="77777777" w:rsidTr="000D3813">
        <w:tc>
          <w:tcPr>
            <w:cnfStyle w:val="001000000000" w:firstRow="0" w:lastRow="0" w:firstColumn="1" w:lastColumn="0" w:oddVBand="0" w:evenVBand="0" w:oddHBand="0" w:evenHBand="0" w:firstRowFirstColumn="0" w:firstRowLastColumn="0" w:lastRowFirstColumn="0" w:lastRowLastColumn="0"/>
            <w:tcW w:w="3823" w:type="dxa"/>
          </w:tcPr>
          <w:p w14:paraId="7F07B8F8" w14:textId="77777777" w:rsidR="000D3813" w:rsidRPr="00350922" w:rsidRDefault="000D3813" w:rsidP="000D3813">
            <w:pPr>
              <w:spacing w:before="0"/>
              <w:rPr>
                <w:b w:val="0"/>
              </w:rPr>
            </w:pPr>
            <w:r w:rsidRPr="00350922">
              <w:rPr>
                <w:b w:val="0"/>
              </w:rPr>
              <w:t>Število blagovnih znamk</w:t>
            </w:r>
          </w:p>
        </w:tc>
        <w:tc>
          <w:tcPr>
            <w:tcW w:w="2619" w:type="dxa"/>
            <w:vAlign w:val="center"/>
          </w:tcPr>
          <w:p w14:paraId="664FF6C1" w14:textId="77777777" w:rsidR="000D3813" w:rsidRPr="00914E80"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914E80">
              <w:t>26,5 tisoč (julij 2020)</w:t>
            </w:r>
          </w:p>
        </w:tc>
        <w:tc>
          <w:tcPr>
            <w:tcW w:w="2620" w:type="dxa"/>
            <w:vAlign w:val="center"/>
          </w:tcPr>
          <w:p w14:paraId="24BA4346" w14:textId="3CA99808" w:rsidR="000D3813" w:rsidRPr="00914E80" w:rsidRDefault="000D3813" w:rsidP="000F71A4">
            <w:pPr>
              <w:spacing w:before="0"/>
              <w:jc w:val="right"/>
              <w:cnfStyle w:val="000000000000" w:firstRow="0" w:lastRow="0" w:firstColumn="0" w:lastColumn="0" w:oddVBand="0" w:evenVBand="0" w:oddHBand="0" w:evenHBand="0" w:firstRowFirstColumn="0" w:firstRowLastColumn="0" w:lastRowFirstColumn="0" w:lastRowLastColumn="0"/>
            </w:pPr>
            <w:r w:rsidRPr="00914E80">
              <w:t>30</w:t>
            </w:r>
            <w:r w:rsidR="000F71A4">
              <w:t>.000</w:t>
            </w:r>
          </w:p>
        </w:tc>
      </w:tr>
      <w:tr w:rsidR="000D3813" w:rsidRPr="008C6100" w14:paraId="2AE7ACDD" w14:textId="77777777" w:rsidTr="000D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E8AD1C0" w14:textId="77777777" w:rsidR="000D3813" w:rsidRPr="00350922" w:rsidRDefault="000D3813" w:rsidP="000D3813">
            <w:pPr>
              <w:spacing w:before="0"/>
              <w:rPr>
                <w:b w:val="0"/>
              </w:rPr>
            </w:pPr>
            <w:r w:rsidRPr="00350922">
              <w:rPr>
                <w:b w:val="0"/>
              </w:rPr>
              <w:t>Število mladih raziskovalcev v gospodarstvu</w:t>
            </w:r>
          </w:p>
        </w:tc>
        <w:tc>
          <w:tcPr>
            <w:tcW w:w="2619" w:type="dxa"/>
            <w:vAlign w:val="center"/>
          </w:tcPr>
          <w:p w14:paraId="6E9D841F" w14:textId="77777777" w:rsidR="000D3813" w:rsidRPr="00914E80"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p>
        </w:tc>
        <w:tc>
          <w:tcPr>
            <w:tcW w:w="2620" w:type="dxa"/>
            <w:vAlign w:val="center"/>
          </w:tcPr>
          <w:p w14:paraId="2BE27D25" w14:textId="77777777" w:rsidR="000D3813" w:rsidRPr="00914E80"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p>
        </w:tc>
      </w:tr>
      <w:tr w:rsidR="000D3813" w:rsidRPr="008C6100" w14:paraId="0C5B78E9" w14:textId="77777777" w:rsidTr="000D3813">
        <w:tc>
          <w:tcPr>
            <w:cnfStyle w:val="001000000000" w:firstRow="0" w:lastRow="0" w:firstColumn="1" w:lastColumn="0" w:oddVBand="0" w:evenVBand="0" w:oddHBand="0" w:evenHBand="0" w:firstRowFirstColumn="0" w:firstRowLastColumn="0" w:lastRowFirstColumn="0" w:lastRowLastColumn="0"/>
            <w:tcW w:w="3823" w:type="dxa"/>
          </w:tcPr>
          <w:p w14:paraId="14DF6B83" w14:textId="77777777" w:rsidR="000D3813" w:rsidRPr="00350922" w:rsidRDefault="000D3813" w:rsidP="000D3813">
            <w:pPr>
              <w:spacing w:before="0"/>
              <w:rPr>
                <w:b w:val="0"/>
              </w:rPr>
            </w:pPr>
            <w:r w:rsidRPr="00350922">
              <w:rPr>
                <w:b w:val="0"/>
              </w:rPr>
              <w:t>Število inovacijsko aktivnih podjetij</w:t>
            </w:r>
          </w:p>
        </w:tc>
        <w:tc>
          <w:tcPr>
            <w:tcW w:w="2619" w:type="dxa"/>
            <w:vAlign w:val="center"/>
          </w:tcPr>
          <w:p w14:paraId="5A2C302B" w14:textId="77777777" w:rsidR="000D3813" w:rsidRPr="00914E80"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p>
        </w:tc>
        <w:tc>
          <w:tcPr>
            <w:tcW w:w="2620" w:type="dxa"/>
            <w:vAlign w:val="center"/>
          </w:tcPr>
          <w:p w14:paraId="6C40C892" w14:textId="77777777" w:rsidR="000D3813" w:rsidRPr="00914E80"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p>
        </w:tc>
      </w:tr>
      <w:tr w:rsidR="000D3813" w:rsidRPr="008C6100" w14:paraId="005C3615" w14:textId="77777777" w:rsidTr="000D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C3A3D77" w14:textId="77777777" w:rsidR="000D3813" w:rsidRPr="00350922" w:rsidRDefault="000D3813" w:rsidP="000D3813">
            <w:pPr>
              <w:spacing w:before="0"/>
              <w:rPr>
                <w:b w:val="0"/>
              </w:rPr>
            </w:pPr>
            <w:r w:rsidRPr="00350922">
              <w:rPr>
                <w:b w:val="0"/>
              </w:rPr>
              <w:t>Vključenost v podjetništvo (% od populacije)</w:t>
            </w:r>
            <w:r w:rsidRPr="00350922">
              <w:rPr>
                <w:rStyle w:val="Sprotnaopomba-sklic"/>
                <w:b w:val="0"/>
              </w:rPr>
              <w:footnoteReference w:id="10"/>
            </w:r>
          </w:p>
        </w:tc>
        <w:tc>
          <w:tcPr>
            <w:tcW w:w="2619" w:type="dxa"/>
            <w:vAlign w:val="center"/>
          </w:tcPr>
          <w:p w14:paraId="5154C842" w14:textId="77777777" w:rsidR="000D3813" w:rsidRPr="00914E80"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914E80">
              <w:t>7,8 % (2019)</w:t>
            </w:r>
          </w:p>
        </w:tc>
        <w:tc>
          <w:tcPr>
            <w:tcW w:w="2620" w:type="dxa"/>
            <w:vAlign w:val="center"/>
          </w:tcPr>
          <w:p w14:paraId="3C937780" w14:textId="77777777" w:rsidR="000D3813" w:rsidRPr="00914E80"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914E80">
              <w:t>10,0 %</w:t>
            </w:r>
          </w:p>
        </w:tc>
      </w:tr>
      <w:tr w:rsidR="0088652B" w:rsidRPr="008C6100" w14:paraId="361248A9" w14:textId="77777777" w:rsidTr="000D3813">
        <w:tc>
          <w:tcPr>
            <w:cnfStyle w:val="001000000000" w:firstRow="0" w:lastRow="0" w:firstColumn="1" w:lastColumn="0" w:oddVBand="0" w:evenVBand="0" w:oddHBand="0" w:evenHBand="0" w:firstRowFirstColumn="0" w:firstRowLastColumn="0" w:lastRowFirstColumn="0" w:lastRowLastColumn="0"/>
            <w:tcW w:w="3823" w:type="dxa"/>
          </w:tcPr>
          <w:p w14:paraId="6C93692A" w14:textId="77777777" w:rsidR="0088652B" w:rsidRPr="00350922" w:rsidRDefault="0088652B" w:rsidP="0088652B">
            <w:pPr>
              <w:spacing w:before="0"/>
              <w:rPr>
                <w:b w:val="0"/>
              </w:rPr>
            </w:pPr>
            <w:r w:rsidRPr="00350922">
              <w:rPr>
                <w:b w:val="0"/>
                <w:bCs w:val="0"/>
              </w:rPr>
              <w:t>Zaznavanje poslovnih priložnosti (% odraslega prebivalstva v starosti od 18 do 64 let)</w:t>
            </w:r>
            <w:r w:rsidR="00350922" w:rsidRPr="00350922">
              <w:rPr>
                <w:rStyle w:val="Sprotnaopomba-sklic"/>
                <w:b w:val="0"/>
                <w:bCs w:val="0"/>
              </w:rPr>
              <w:footnoteReference w:id="11"/>
            </w:r>
          </w:p>
        </w:tc>
        <w:tc>
          <w:tcPr>
            <w:tcW w:w="2619" w:type="dxa"/>
            <w:vAlign w:val="center"/>
          </w:tcPr>
          <w:p w14:paraId="6E367089" w14:textId="77777777" w:rsidR="0088652B" w:rsidRPr="00914E80" w:rsidRDefault="0088652B" w:rsidP="0088652B">
            <w:pPr>
              <w:spacing w:before="0"/>
              <w:jc w:val="right"/>
              <w:cnfStyle w:val="000000000000" w:firstRow="0" w:lastRow="0" w:firstColumn="0" w:lastColumn="0" w:oddVBand="0" w:evenVBand="0" w:oddHBand="0" w:evenHBand="0" w:firstRowFirstColumn="0" w:firstRowLastColumn="0" w:lastRowFirstColumn="0" w:lastRowLastColumn="0"/>
            </w:pPr>
            <w:r w:rsidRPr="00914E80">
              <w:t>3,6 % (2019)</w:t>
            </w:r>
          </w:p>
        </w:tc>
        <w:tc>
          <w:tcPr>
            <w:tcW w:w="2620" w:type="dxa"/>
            <w:vAlign w:val="center"/>
          </w:tcPr>
          <w:p w14:paraId="39881ECC" w14:textId="77777777" w:rsidR="0088652B" w:rsidRPr="00914E80" w:rsidRDefault="0088652B" w:rsidP="0088652B">
            <w:pPr>
              <w:spacing w:before="0"/>
              <w:jc w:val="right"/>
              <w:cnfStyle w:val="000000000000" w:firstRow="0" w:lastRow="0" w:firstColumn="0" w:lastColumn="0" w:oddVBand="0" w:evenVBand="0" w:oddHBand="0" w:evenHBand="0" w:firstRowFirstColumn="0" w:firstRowLastColumn="0" w:lastRowFirstColumn="0" w:lastRowLastColumn="0"/>
            </w:pPr>
            <w:r w:rsidRPr="00914E80">
              <w:t>4,0 %</w:t>
            </w:r>
          </w:p>
        </w:tc>
      </w:tr>
      <w:tr w:rsidR="0088652B" w:rsidRPr="008C6100" w14:paraId="6E3C8932" w14:textId="77777777" w:rsidTr="000D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67A38FC" w14:textId="77777777" w:rsidR="0088652B" w:rsidRPr="00350922" w:rsidRDefault="0088652B" w:rsidP="0088652B">
            <w:pPr>
              <w:spacing w:before="0"/>
              <w:rPr>
                <w:b w:val="0"/>
              </w:rPr>
            </w:pPr>
            <w:r w:rsidRPr="00350922">
              <w:rPr>
                <w:b w:val="0"/>
                <w:bCs w:val="0"/>
              </w:rPr>
              <w:t>Zaznavanje poslovnih priložnosti (% odraslega prebivalstva v starosti od 18 do 64 let)</w:t>
            </w:r>
            <w:r w:rsidR="00350922" w:rsidRPr="00350922">
              <w:rPr>
                <w:rStyle w:val="Sprotnaopomba-sklic"/>
                <w:b w:val="0"/>
                <w:bCs w:val="0"/>
              </w:rPr>
              <w:footnoteReference w:id="12"/>
            </w:r>
          </w:p>
        </w:tc>
        <w:tc>
          <w:tcPr>
            <w:tcW w:w="2619" w:type="dxa"/>
            <w:vAlign w:val="center"/>
          </w:tcPr>
          <w:p w14:paraId="49E90139" w14:textId="77777777" w:rsidR="0088652B" w:rsidRPr="00914E80" w:rsidRDefault="0088652B" w:rsidP="0088652B">
            <w:pPr>
              <w:spacing w:before="0"/>
              <w:jc w:val="right"/>
              <w:cnfStyle w:val="000000100000" w:firstRow="0" w:lastRow="0" w:firstColumn="0" w:lastColumn="0" w:oddVBand="0" w:evenVBand="0" w:oddHBand="1" w:evenHBand="0" w:firstRowFirstColumn="0" w:firstRowLastColumn="0" w:lastRowFirstColumn="0" w:lastRowLastColumn="0"/>
            </w:pPr>
            <w:r w:rsidRPr="00914E80">
              <w:t>47,6 % (2019)</w:t>
            </w:r>
          </w:p>
        </w:tc>
        <w:tc>
          <w:tcPr>
            <w:tcW w:w="2620" w:type="dxa"/>
            <w:vAlign w:val="center"/>
          </w:tcPr>
          <w:p w14:paraId="0AE0D448" w14:textId="77777777" w:rsidR="0088652B" w:rsidRPr="00914E80" w:rsidRDefault="0088652B" w:rsidP="0088652B">
            <w:pPr>
              <w:spacing w:before="0"/>
              <w:jc w:val="right"/>
              <w:cnfStyle w:val="000000100000" w:firstRow="0" w:lastRow="0" w:firstColumn="0" w:lastColumn="0" w:oddVBand="0" w:evenVBand="0" w:oddHBand="1" w:evenHBand="0" w:firstRowFirstColumn="0" w:firstRowLastColumn="0" w:lastRowFirstColumn="0" w:lastRowLastColumn="0"/>
            </w:pPr>
            <w:r w:rsidRPr="00914E80">
              <w:t>55,0 %</w:t>
            </w:r>
          </w:p>
        </w:tc>
      </w:tr>
      <w:tr w:rsidR="000D3813" w:rsidRPr="008C6100" w14:paraId="38DDB444" w14:textId="77777777" w:rsidTr="000D3813">
        <w:tc>
          <w:tcPr>
            <w:cnfStyle w:val="001000000000" w:firstRow="0" w:lastRow="0" w:firstColumn="1" w:lastColumn="0" w:oddVBand="0" w:evenVBand="0" w:oddHBand="0" w:evenHBand="0" w:firstRowFirstColumn="0" w:firstRowLastColumn="0" w:lastRowFirstColumn="0" w:lastRowLastColumn="0"/>
            <w:tcW w:w="3823" w:type="dxa"/>
          </w:tcPr>
          <w:p w14:paraId="23684877" w14:textId="77777777" w:rsidR="000D3813" w:rsidRPr="00350922" w:rsidRDefault="000D3813" w:rsidP="000D3813">
            <w:pPr>
              <w:spacing w:before="0"/>
              <w:rPr>
                <w:b w:val="0"/>
              </w:rPr>
            </w:pPr>
            <w:r w:rsidRPr="00350922">
              <w:rPr>
                <w:b w:val="0"/>
              </w:rPr>
              <w:t>Število hitro rastočih podjetij v zadnjih petih letih</w:t>
            </w:r>
          </w:p>
        </w:tc>
        <w:tc>
          <w:tcPr>
            <w:tcW w:w="2619" w:type="dxa"/>
            <w:vAlign w:val="center"/>
          </w:tcPr>
          <w:p w14:paraId="72B0B619" w14:textId="77777777" w:rsidR="000D3813" w:rsidRPr="00914E80"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914E80">
              <w:t>5.347 (2014-2018)</w:t>
            </w:r>
          </w:p>
        </w:tc>
        <w:tc>
          <w:tcPr>
            <w:tcW w:w="2620" w:type="dxa"/>
            <w:vAlign w:val="center"/>
          </w:tcPr>
          <w:p w14:paraId="0046D81E" w14:textId="77777777" w:rsidR="000D3813" w:rsidRPr="00914E80"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914E80">
              <w:t>7.000 (2026-2030)</w:t>
            </w:r>
          </w:p>
        </w:tc>
      </w:tr>
      <w:tr w:rsidR="000D3813" w:rsidRPr="008C6100" w14:paraId="58977EC9" w14:textId="77777777" w:rsidTr="000D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C59657B" w14:textId="77777777" w:rsidR="000D3813" w:rsidRPr="00350922" w:rsidRDefault="000D3813" w:rsidP="000D3813">
            <w:pPr>
              <w:spacing w:before="0"/>
              <w:rPr>
                <w:b w:val="0"/>
              </w:rPr>
            </w:pPr>
            <w:r w:rsidRPr="00350922">
              <w:rPr>
                <w:b w:val="0"/>
              </w:rPr>
              <w:t>Delež zaposlenih v kreativni ekonomiji (glede na vse zaposlene)</w:t>
            </w:r>
          </w:p>
        </w:tc>
        <w:tc>
          <w:tcPr>
            <w:tcW w:w="2619" w:type="dxa"/>
            <w:vAlign w:val="center"/>
          </w:tcPr>
          <w:p w14:paraId="7C96DA33" w14:textId="77777777" w:rsidR="000D3813" w:rsidRPr="00914E80"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rStyle w:val="Pripombasklic"/>
                <w:sz w:val="20"/>
              </w:rPr>
            </w:pPr>
            <w:r w:rsidRPr="00914E80">
              <w:rPr>
                <w:rStyle w:val="Pripombasklic"/>
                <w:sz w:val="20"/>
              </w:rPr>
              <w:t>7 % (2017)</w:t>
            </w:r>
          </w:p>
        </w:tc>
        <w:tc>
          <w:tcPr>
            <w:tcW w:w="2620" w:type="dxa"/>
            <w:vAlign w:val="center"/>
          </w:tcPr>
          <w:p w14:paraId="423DD169" w14:textId="77777777" w:rsidR="000D3813" w:rsidRPr="00914E80"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914E80">
              <w:t>10 %</w:t>
            </w:r>
          </w:p>
        </w:tc>
      </w:tr>
      <w:tr w:rsidR="000D3813" w:rsidRPr="008C6100" w14:paraId="740A85C4" w14:textId="77777777" w:rsidTr="000D3813">
        <w:tc>
          <w:tcPr>
            <w:cnfStyle w:val="001000000000" w:firstRow="0" w:lastRow="0" w:firstColumn="1" w:lastColumn="0" w:oddVBand="0" w:evenVBand="0" w:oddHBand="0" w:evenHBand="0" w:firstRowFirstColumn="0" w:firstRowLastColumn="0" w:lastRowFirstColumn="0" w:lastRowLastColumn="0"/>
            <w:tcW w:w="3823" w:type="dxa"/>
          </w:tcPr>
          <w:p w14:paraId="46E7D676" w14:textId="77777777" w:rsidR="000D3813" w:rsidRPr="00350922" w:rsidRDefault="0088652B" w:rsidP="000D3813">
            <w:pPr>
              <w:spacing w:before="0"/>
              <w:rPr>
                <w:b w:val="0"/>
              </w:rPr>
            </w:pPr>
            <w:r w:rsidRPr="00350922">
              <w:rPr>
                <w:b w:val="0"/>
                <w:bCs w:val="0"/>
              </w:rPr>
              <w:t xml:space="preserve">Bruto dodana vrednost  na zaposlenega v KKS (BDV) </w:t>
            </w:r>
          </w:p>
        </w:tc>
        <w:tc>
          <w:tcPr>
            <w:tcW w:w="2619" w:type="dxa"/>
            <w:vAlign w:val="center"/>
          </w:tcPr>
          <w:p w14:paraId="471B46DB" w14:textId="77777777" w:rsidR="000D3813" w:rsidRPr="00914E80"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rPr>
                <w:rStyle w:val="Pripombasklic"/>
                <w:sz w:val="20"/>
              </w:rPr>
            </w:pPr>
            <w:r w:rsidRPr="00914E80">
              <w:rPr>
                <w:rStyle w:val="Pripombasklic"/>
                <w:sz w:val="20"/>
              </w:rPr>
              <w:t>45.527 EUR (2017)</w:t>
            </w:r>
          </w:p>
        </w:tc>
        <w:tc>
          <w:tcPr>
            <w:tcW w:w="2620" w:type="dxa"/>
            <w:vAlign w:val="center"/>
          </w:tcPr>
          <w:p w14:paraId="7C7A1F2A" w14:textId="77777777" w:rsidR="000D3813" w:rsidRPr="00914E80"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914E80">
              <w:t>5 % nad povprečjem v RS</w:t>
            </w:r>
          </w:p>
        </w:tc>
      </w:tr>
    </w:tbl>
    <w:p w14:paraId="52BAA59D" w14:textId="77777777" w:rsidR="000D3813" w:rsidRPr="009B538E" w:rsidRDefault="000D3813" w:rsidP="000D3813">
      <w:pPr>
        <w:spacing w:before="20"/>
        <w:jc w:val="both"/>
        <w:rPr>
          <w:i/>
        </w:rPr>
      </w:pPr>
      <w:r w:rsidRPr="009B538E">
        <w:rPr>
          <w:i/>
        </w:rPr>
        <w:t xml:space="preserve">Viri: GEM, </w:t>
      </w:r>
      <w:proofErr w:type="spellStart"/>
      <w:r w:rsidRPr="009B538E">
        <w:rPr>
          <w:i/>
        </w:rPr>
        <w:t>European</w:t>
      </w:r>
      <w:proofErr w:type="spellEnd"/>
      <w:r w:rsidRPr="009B538E">
        <w:rPr>
          <w:i/>
        </w:rPr>
        <w:t xml:space="preserve"> </w:t>
      </w:r>
      <w:proofErr w:type="spellStart"/>
      <w:r w:rsidRPr="009B538E">
        <w:rPr>
          <w:i/>
        </w:rPr>
        <w:t>Innovation</w:t>
      </w:r>
      <w:proofErr w:type="spellEnd"/>
      <w:r w:rsidRPr="009B538E">
        <w:rPr>
          <w:i/>
        </w:rPr>
        <w:t xml:space="preserve"> </w:t>
      </w:r>
      <w:proofErr w:type="spellStart"/>
      <w:r w:rsidRPr="009B538E">
        <w:rPr>
          <w:i/>
        </w:rPr>
        <w:t>Scoreboard</w:t>
      </w:r>
      <w:proofErr w:type="spellEnd"/>
      <w:r w:rsidRPr="009B538E">
        <w:rPr>
          <w:i/>
        </w:rPr>
        <w:t xml:space="preserve"> 2019, </w:t>
      </w:r>
      <w:proofErr w:type="spellStart"/>
      <w:r w:rsidRPr="009B538E">
        <w:rPr>
          <w:i/>
        </w:rPr>
        <w:t>Ajpes</w:t>
      </w:r>
      <w:proofErr w:type="spellEnd"/>
      <w:r w:rsidRPr="009B538E">
        <w:rPr>
          <w:i/>
        </w:rPr>
        <w:t xml:space="preserve">, Statistična analiza stanja KKS v Sloveniji 2008-2017, </w:t>
      </w:r>
      <w:proofErr w:type="spellStart"/>
      <w:r w:rsidRPr="009B538E">
        <w:rPr>
          <w:i/>
        </w:rPr>
        <w:t>Tm</w:t>
      </w:r>
      <w:proofErr w:type="spellEnd"/>
      <w:r w:rsidRPr="009B538E">
        <w:rPr>
          <w:i/>
        </w:rPr>
        <w:t xml:space="preserve"> </w:t>
      </w:r>
      <w:proofErr w:type="spellStart"/>
      <w:r w:rsidRPr="009B538E">
        <w:rPr>
          <w:i/>
        </w:rPr>
        <w:t>View</w:t>
      </w:r>
      <w:proofErr w:type="spellEnd"/>
      <w:r w:rsidRPr="009B538E">
        <w:rPr>
          <w:i/>
        </w:rPr>
        <w:t>, napovedi: Analitika GZS</w:t>
      </w:r>
    </w:p>
    <w:p w14:paraId="5D706A26" w14:textId="77777777" w:rsidR="000D3813" w:rsidRDefault="000D3813" w:rsidP="0088652B">
      <w:pPr>
        <w:pStyle w:val="Odstavekseznama"/>
        <w:numPr>
          <w:ilvl w:val="0"/>
          <w:numId w:val="3"/>
        </w:numPr>
      </w:pPr>
      <w:r>
        <w:t xml:space="preserve">Na področju »pametnega« </w:t>
      </w:r>
      <w:r w:rsidRPr="003F63BA">
        <w:t>razvoja</w:t>
      </w:r>
    </w:p>
    <w:p w14:paraId="3CA52625" w14:textId="52D4B440" w:rsidR="000F5573" w:rsidRDefault="000F5573" w:rsidP="000F5573">
      <w:pPr>
        <w:jc w:val="both"/>
      </w:pPr>
      <w:r>
        <w:t xml:space="preserve">Na področju pametnega razvoja, ki vključuje uvajanje naprednih tehnologij, kot ključni kazalnik izpostavljamo DESI </w:t>
      </w:r>
      <w:proofErr w:type="spellStart"/>
      <w:r>
        <w:t>Index</w:t>
      </w:r>
      <w:proofErr w:type="spellEnd"/>
      <w:r>
        <w:t>, ki meri stopnjo digitalizacije v gospodarstvu in družbi. Drugi pomemb</w:t>
      </w:r>
      <w:r w:rsidR="00B5100A">
        <w:t>n</w:t>
      </w:r>
      <w:r>
        <w:t>i so dvig stopnje robotizacije proizvodnje, števil</w:t>
      </w:r>
      <w:r w:rsidR="00B5100A">
        <w:t>o</w:t>
      </w:r>
      <w:r>
        <w:t xml:space="preserve"> patentov na prebivalca kot tudi digitalni indeks v podjetjih.  </w:t>
      </w:r>
    </w:p>
    <w:tbl>
      <w:tblPr>
        <w:tblStyle w:val="Tabelatemnamrea5poudarek11"/>
        <w:tblW w:w="0" w:type="auto"/>
        <w:tblLook w:val="04A0" w:firstRow="1" w:lastRow="0" w:firstColumn="1" w:lastColumn="0" w:noHBand="0" w:noVBand="1"/>
      </w:tblPr>
      <w:tblGrid>
        <w:gridCol w:w="3823"/>
        <w:gridCol w:w="2619"/>
        <w:gridCol w:w="2620"/>
      </w:tblGrid>
      <w:tr w:rsidR="000D3813" w:rsidRPr="008C6100" w14:paraId="0224EF12" w14:textId="77777777" w:rsidTr="000D3813">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3823" w:type="dxa"/>
          </w:tcPr>
          <w:p w14:paraId="26B53A53" w14:textId="77777777" w:rsidR="000D3813" w:rsidRPr="009B538E" w:rsidRDefault="000D3813" w:rsidP="000D3813">
            <w:pPr>
              <w:spacing w:before="0"/>
            </w:pPr>
          </w:p>
        </w:tc>
        <w:tc>
          <w:tcPr>
            <w:tcW w:w="2619" w:type="dxa"/>
            <w:vAlign w:val="center"/>
          </w:tcPr>
          <w:p w14:paraId="118B56AD" w14:textId="77777777" w:rsidR="000D3813" w:rsidRPr="009B538E" w:rsidRDefault="000D3813" w:rsidP="000D3813">
            <w:pPr>
              <w:spacing w:before="0"/>
              <w:jc w:val="center"/>
              <w:cnfStyle w:val="100000000000" w:firstRow="1" w:lastRow="0" w:firstColumn="0" w:lastColumn="0" w:oddVBand="0" w:evenVBand="0" w:oddHBand="0" w:evenHBand="0" w:firstRowFirstColumn="0" w:firstRowLastColumn="0" w:lastRowFirstColumn="0" w:lastRowLastColumn="0"/>
              <w:rPr>
                <w:b w:val="0"/>
              </w:rPr>
            </w:pPr>
            <w:r w:rsidRPr="00FD4C45">
              <w:t>Zadnji znan</w:t>
            </w:r>
            <w:r w:rsidR="00B5100A">
              <w:t>i</w:t>
            </w:r>
            <w:r w:rsidRPr="00FD4C45">
              <w:t xml:space="preserve"> podatek</w:t>
            </w:r>
          </w:p>
        </w:tc>
        <w:tc>
          <w:tcPr>
            <w:tcW w:w="2620" w:type="dxa"/>
            <w:vAlign w:val="center"/>
          </w:tcPr>
          <w:p w14:paraId="2988DA21" w14:textId="77777777" w:rsidR="000D3813" w:rsidRPr="009B538E" w:rsidRDefault="000D3813" w:rsidP="000D3813">
            <w:pPr>
              <w:spacing w:before="0"/>
              <w:jc w:val="center"/>
              <w:cnfStyle w:val="100000000000" w:firstRow="1" w:lastRow="0" w:firstColumn="0" w:lastColumn="0" w:oddVBand="0" w:evenVBand="0" w:oddHBand="0" w:evenHBand="0" w:firstRowFirstColumn="0" w:firstRowLastColumn="0" w:lastRowFirstColumn="0" w:lastRowLastColumn="0"/>
              <w:rPr>
                <w:b w:val="0"/>
              </w:rPr>
            </w:pPr>
            <w:r w:rsidRPr="00FD4C45">
              <w:t>2030</w:t>
            </w:r>
          </w:p>
        </w:tc>
      </w:tr>
      <w:tr w:rsidR="000D3813" w:rsidRPr="008C6100" w14:paraId="30D49188" w14:textId="77777777" w:rsidTr="000D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vAlign w:val="center"/>
          </w:tcPr>
          <w:p w14:paraId="5DF4392A" w14:textId="77777777" w:rsidR="000D3813" w:rsidRPr="009B538E" w:rsidRDefault="000D3813" w:rsidP="000D3813">
            <w:pPr>
              <w:spacing w:before="0"/>
            </w:pPr>
            <w:r w:rsidRPr="009B538E">
              <w:t xml:space="preserve">DESI </w:t>
            </w:r>
            <w:proofErr w:type="spellStart"/>
            <w:r w:rsidRPr="009B538E">
              <w:t>Index</w:t>
            </w:r>
            <w:proofErr w:type="spellEnd"/>
          </w:p>
        </w:tc>
        <w:tc>
          <w:tcPr>
            <w:tcW w:w="2619" w:type="dxa"/>
            <w:vAlign w:val="center"/>
          </w:tcPr>
          <w:p w14:paraId="7D41DFDE"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b/>
              </w:rPr>
            </w:pPr>
            <w:r w:rsidRPr="009B538E">
              <w:rPr>
                <w:b/>
              </w:rPr>
              <w:t>51,2 točke (16. mesto),2020</w:t>
            </w:r>
          </w:p>
        </w:tc>
        <w:tc>
          <w:tcPr>
            <w:tcW w:w="2620" w:type="dxa"/>
            <w:vAlign w:val="center"/>
          </w:tcPr>
          <w:p w14:paraId="63362FCC"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b/>
              </w:rPr>
            </w:pPr>
            <w:r w:rsidRPr="009B538E">
              <w:rPr>
                <w:b/>
              </w:rPr>
              <w:t>60 točk (10. mesto)</w:t>
            </w:r>
          </w:p>
        </w:tc>
      </w:tr>
      <w:tr w:rsidR="000D3813" w:rsidRPr="008C6100" w14:paraId="08945B99" w14:textId="77777777" w:rsidTr="000D3813">
        <w:tc>
          <w:tcPr>
            <w:cnfStyle w:val="001000000000" w:firstRow="0" w:lastRow="0" w:firstColumn="1" w:lastColumn="0" w:oddVBand="0" w:evenVBand="0" w:oddHBand="0" w:evenHBand="0" w:firstRowFirstColumn="0" w:firstRowLastColumn="0" w:lastRowFirstColumn="0" w:lastRowLastColumn="0"/>
            <w:tcW w:w="3823" w:type="dxa"/>
          </w:tcPr>
          <w:p w14:paraId="65DFE1E0" w14:textId="77777777" w:rsidR="000D3813" w:rsidRPr="00404425" w:rsidRDefault="000D3813" w:rsidP="000D3813">
            <w:pPr>
              <w:spacing w:before="0"/>
              <w:rPr>
                <w:b w:val="0"/>
              </w:rPr>
            </w:pPr>
            <w:r w:rsidRPr="00404425">
              <w:rPr>
                <w:b w:val="0"/>
              </w:rPr>
              <w:t>Število patentov na mio prebivalcev</w:t>
            </w:r>
          </w:p>
        </w:tc>
        <w:tc>
          <w:tcPr>
            <w:tcW w:w="2619" w:type="dxa"/>
            <w:vAlign w:val="center"/>
          </w:tcPr>
          <w:p w14:paraId="58E9358D" w14:textId="77777777" w:rsidR="000D3813" w:rsidRPr="009B538E"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9B538E">
              <w:t>55,3 (2019)</w:t>
            </w:r>
          </w:p>
        </w:tc>
        <w:tc>
          <w:tcPr>
            <w:tcW w:w="2620" w:type="dxa"/>
            <w:vAlign w:val="center"/>
          </w:tcPr>
          <w:p w14:paraId="05B840A3" w14:textId="77777777" w:rsidR="000D3813" w:rsidRPr="009B538E"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9B538E">
              <w:t>107</w:t>
            </w:r>
          </w:p>
        </w:tc>
      </w:tr>
      <w:tr w:rsidR="000D3813" w:rsidRPr="008C6100" w14:paraId="1845411D" w14:textId="77777777" w:rsidTr="000D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E8AC0C4" w14:textId="77777777" w:rsidR="000D3813" w:rsidRPr="00404425" w:rsidRDefault="000D3813" w:rsidP="000D3813">
            <w:pPr>
              <w:spacing w:before="0"/>
              <w:rPr>
                <w:b w:val="0"/>
              </w:rPr>
            </w:pPr>
            <w:r w:rsidRPr="00404425">
              <w:rPr>
                <w:b w:val="0"/>
              </w:rPr>
              <w:t>Število robotov na 10.000 zaposlenih v industriji</w:t>
            </w:r>
          </w:p>
        </w:tc>
        <w:tc>
          <w:tcPr>
            <w:tcW w:w="2619" w:type="dxa"/>
            <w:vAlign w:val="center"/>
          </w:tcPr>
          <w:p w14:paraId="6C120447"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9B538E">
              <w:t>174 (2018)</w:t>
            </w:r>
          </w:p>
        </w:tc>
        <w:tc>
          <w:tcPr>
            <w:tcW w:w="2620" w:type="dxa"/>
            <w:vAlign w:val="center"/>
          </w:tcPr>
          <w:p w14:paraId="0A3B1946"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rsidRPr="009B538E">
              <w:t>250</w:t>
            </w:r>
          </w:p>
        </w:tc>
      </w:tr>
      <w:tr w:rsidR="000D3813" w:rsidRPr="008C6100" w14:paraId="18CCE17E" w14:textId="77777777" w:rsidTr="000D3813">
        <w:tc>
          <w:tcPr>
            <w:cnfStyle w:val="001000000000" w:firstRow="0" w:lastRow="0" w:firstColumn="1" w:lastColumn="0" w:oddVBand="0" w:evenVBand="0" w:oddHBand="0" w:evenHBand="0" w:firstRowFirstColumn="0" w:firstRowLastColumn="0" w:lastRowFirstColumn="0" w:lastRowLastColumn="0"/>
            <w:tcW w:w="3823" w:type="dxa"/>
          </w:tcPr>
          <w:p w14:paraId="33DFAF3B" w14:textId="77777777" w:rsidR="000D3813" w:rsidRPr="00404425" w:rsidRDefault="000D3813" w:rsidP="000D3813">
            <w:pPr>
              <w:spacing w:before="0"/>
              <w:rPr>
                <w:b w:val="0"/>
              </w:rPr>
            </w:pPr>
            <w:r w:rsidRPr="00404425">
              <w:rPr>
                <w:b w:val="0"/>
              </w:rPr>
              <w:t>Digitalni indeks (visok in zelo visok v podjetjih z več kot 10 zaposlenimi)</w:t>
            </w:r>
          </w:p>
        </w:tc>
        <w:tc>
          <w:tcPr>
            <w:tcW w:w="2619" w:type="dxa"/>
            <w:vAlign w:val="center"/>
          </w:tcPr>
          <w:p w14:paraId="27523F08" w14:textId="77777777" w:rsidR="000D3813" w:rsidRPr="009B538E"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9B538E">
              <w:t>26 % (2018)</w:t>
            </w:r>
          </w:p>
        </w:tc>
        <w:tc>
          <w:tcPr>
            <w:tcW w:w="2620" w:type="dxa"/>
            <w:vAlign w:val="center"/>
          </w:tcPr>
          <w:p w14:paraId="1948CC28" w14:textId="77777777" w:rsidR="000D3813" w:rsidRPr="009B538E"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rsidRPr="009B538E">
              <w:t>35 %</w:t>
            </w:r>
          </w:p>
        </w:tc>
      </w:tr>
    </w:tbl>
    <w:p w14:paraId="06F352C7" w14:textId="77777777" w:rsidR="000D3813" w:rsidRPr="009B538E" w:rsidRDefault="000D3813" w:rsidP="000D3813">
      <w:pPr>
        <w:spacing w:before="20"/>
        <w:jc w:val="both"/>
        <w:rPr>
          <w:i/>
        </w:rPr>
      </w:pPr>
      <w:r w:rsidRPr="009B538E">
        <w:rPr>
          <w:i/>
        </w:rPr>
        <w:t xml:space="preserve">Viri: DG </w:t>
      </w:r>
      <w:proofErr w:type="spellStart"/>
      <w:r w:rsidRPr="009B538E">
        <w:rPr>
          <w:i/>
        </w:rPr>
        <w:t>Connect</w:t>
      </w:r>
      <w:proofErr w:type="spellEnd"/>
      <w:r w:rsidRPr="009B538E">
        <w:rPr>
          <w:i/>
        </w:rPr>
        <w:t xml:space="preserve">, EPO, ARRS, </w:t>
      </w:r>
      <w:proofErr w:type="spellStart"/>
      <w:r w:rsidRPr="009B538E">
        <w:rPr>
          <w:i/>
        </w:rPr>
        <w:t>International</w:t>
      </w:r>
      <w:proofErr w:type="spellEnd"/>
      <w:r w:rsidRPr="009B538E">
        <w:rPr>
          <w:i/>
        </w:rPr>
        <w:t xml:space="preserve"> </w:t>
      </w:r>
      <w:proofErr w:type="spellStart"/>
      <w:r w:rsidRPr="009B538E">
        <w:rPr>
          <w:i/>
        </w:rPr>
        <w:t>Federation</w:t>
      </w:r>
      <w:proofErr w:type="spellEnd"/>
      <w:r w:rsidRPr="009B538E">
        <w:rPr>
          <w:i/>
        </w:rPr>
        <w:t xml:space="preserve"> </w:t>
      </w:r>
      <w:proofErr w:type="spellStart"/>
      <w:r w:rsidRPr="009B538E">
        <w:rPr>
          <w:i/>
        </w:rPr>
        <w:t>of</w:t>
      </w:r>
      <w:proofErr w:type="spellEnd"/>
      <w:r w:rsidRPr="009B538E">
        <w:rPr>
          <w:i/>
        </w:rPr>
        <w:t xml:space="preserve"> </w:t>
      </w:r>
      <w:proofErr w:type="spellStart"/>
      <w:r w:rsidRPr="009B538E">
        <w:rPr>
          <w:i/>
        </w:rPr>
        <w:t>Robotics</w:t>
      </w:r>
      <w:proofErr w:type="spellEnd"/>
      <w:r w:rsidRPr="009B538E">
        <w:rPr>
          <w:i/>
        </w:rPr>
        <w:t xml:space="preserve">, 2019, </w:t>
      </w:r>
      <w:proofErr w:type="spellStart"/>
      <w:r w:rsidRPr="009B538E">
        <w:rPr>
          <w:i/>
        </w:rPr>
        <w:t>Ajpes</w:t>
      </w:r>
      <w:proofErr w:type="spellEnd"/>
      <w:r w:rsidRPr="009B538E">
        <w:rPr>
          <w:i/>
        </w:rPr>
        <w:t>, Statistični urad RS, napovedi: Analitika GZS</w:t>
      </w:r>
    </w:p>
    <w:p w14:paraId="3FBB5204" w14:textId="77777777" w:rsidR="00597331" w:rsidRDefault="00597331">
      <w:r>
        <w:br w:type="page"/>
      </w:r>
    </w:p>
    <w:p w14:paraId="1046465D" w14:textId="0CC0C1AC" w:rsidR="00597331" w:rsidRPr="009B538E" w:rsidRDefault="000570EF" w:rsidP="00597331">
      <w:pPr>
        <w:pStyle w:val="Naslov2"/>
        <w:numPr>
          <w:ilvl w:val="1"/>
          <w:numId w:val="9"/>
        </w:numPr>
        <w:rPr>
          <w:caps w:val="0"/>
        </w:rPr>
      </w:pPr>
      <w:bookmarkStart w:id="7" w:name="_Toc51140497"/>
      <w:r>
        <w:rPr>
          <w:caps w:val="0"/>
        </w:rPr>
        <w:lastRenderedPageBreak/>
        <w:t>Nabor</w:t>
      </w:r>
      <w:r w:rsidR="00597331">
        <w:rPr>
          <w:caps w:val="0"/>
        </w:rPr>
        <w:t xml:space="preserve"> ukrepov in institucionalni okvir</w:t>
      </w:r>
      <w:bookmarkEnd w:id="7"/>
    </w:p>
    <w:p w14:paraId="73060844" w14:textId="77777777" w:rsidR="00597331" w:rsidRDefault="00597331" w:rsidP="00597331">
      <w:pPr>
        <w:jc w:val="both"/>
      </w:pPr>
      <w:r>
        <w:t xml:space="preserve">Za izvajanje SIS je na razpolago spodnji nabor ukrepov, ki se glede na področje razvoja razlikujejo po pomenu. S temi »standardnimi« ukrepi lahko spodbujamo tako zeleni, ustvarjalni kot tudi pametni razvoj, pri čemer je potrebno te ukrepe ustrezno oblikovati in usmeriti. Usmeritve se odslikavajo že v posameznih poglavjih zelenega, ustvarjalnega in pametnega razvoja, skupno in povezovalno pa so navedene v okviru poglavja »Usmeritve za povezan zeleni, ustvarjalni in pametni razvoj«, kjer so določeni tudi nosilci izvajanja in ocena potrebnih finančnih sredstev.  </w:t>
      </w:r>
    </w:p>
    <w:p w14:paraId="665160C3" w14:textId="72DC2ED7" w:rsidR="000570EF" w:rsidRDefault="00597331" w:rsidP="00597331">
      <w:pPr>
        <w:spacing w:after="0"/>
      </w:pPr>
      <w:r>
        <w:t xml:space="preserve">Tabela: </w:t>
      </w:r>
      <w:r w:rsidR="000570EF">
        <w:t>Nabor</w:t>
      </w:r>
      <w:r>
        <w:t xml:space="preserve"> ukrepov/instrumentov po področjih</w:t>
      </w:r>
    </w:p>
    <w:tbl>
      <w:tblPr>
        <w:tblStyle w:val="GridTable5DarkAccent1"/>
        <w:tblW w:w="9062" w:type="dxa"/>
        <w:tblLayout w:type="fixed"/>
        <w:tblLook w:val="04A0" w:firstRow="1" w:lastRow="0" w:firstColumn="1" w:lastColumn="0" w:noHBand="0" w:noVBand="1"/>
      </w:tblPr>
      <w:tblGrid>
        <w:gridCol w:w="3020"/>
        <w:gridCol w:w="6042"/>
      </w:tblGrid>
      <w:tr w:rsidR="000570EF" w:rsidRPr="000570EF" w14:paraId="04E46A56" w14:textId="77777777" w:rsidTr="000570EF">
        <w:trPr>
          <w:cnfStyle w:val="100000000000" w:firstRow="1" w:lastRow="0" w:firstColumn="0" w:lastColumn="0" w:oddVBand="0" w:evenVBand="0" w:oddHBand="0"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3020" w:type="dxa"/>
            <w:hideMark/>
          </w:tcPr>
          <w:p w14:paraId="4A7AEBCE" w14:textId="77777777" w:rsidR="000570EF" w:rsidRPr="000570EF" w:rsidRDefault="000570EF" w:rsidP="000570EF">
            <w:pPr>
              <w:spacing w:after="200"/>
              <w:jc w:val="both"/>
            </w:pPr>
            <w:r w:rsidRPr="000570EF">
              <w:t> </w:t>
            </w:r>
          </w:p>
        </w:tc>
        <w:tc>
          <w:tcPr>
            <w:tcW w:w="6042" w:type="dxa"/>
            <w:hideMark/>
          </w:tcPr>
          <w:p w14:paraId="68B50DEF" w14:textId="77777777" w:rsidR="000570EF" w:rsidRPr="000570EF" w:rsidRDefault="000570EF" w:rsidP="000570EF">
            <w:pPr>
              <w:spacing w:after="200"/>
              <w:jc w:val="both"/>
              <w:cnfStyle w:val="100000000000" w:firstRow="1" w:lastRow="0" w:firstColumn="0" w:lastColumn="0" w:oddVBand="0" w:evenVBand="0" w:oddHBand="0" w:evenHBand="0" w:firstRowFirstColumn="0" w:firstRowLastColumn="0" w:lastRowFirstColumn="0" w:lastRowLastColumn="0"/>
            </w:pPr>
            <w:r w:rsidRPr="000570EF">
              <w:t>Ukrepi / instrumenti</w:t>
            </w:r>
          </w:p>
        </w:tc>
      </w:tr>
      <w:tr w:rsidR="000570EF" w:rsidRPr="000570EF" w14:paraId="1F25DFF8" w14:textId="77777777" w:rsidTr="000570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vMerge w:val="restart"/>
            <w:hideMark/>
          </w:tcPr>
          <w:p w14:paraId="49D016EB" w14:textId="444453D5" w:rsidR="000570EF" w:rsidRPr="000570EF" w:rsidRDefault="000570EF" w:rsidP="00ED6360">
            <w:pPr>
              <w:jc w:val="both"/>
            </w:pPr>
            <w:r>
              <w:t>RRI</w:t>
            </w:r>
          </w:p>
        </w:tc>
        <w:tc>
          <w:tcPr>
            <w:tcW w:w="6042" w:type="dxa"/>
            <w:hideMark/>
          </w:tcPr>
          <w:p w14:paraId="4F0C1F9E" w14:textId="77777777" w:rsidR="000570EF" w:rsidRPr="00ED6360" w:rsidRDefault="000570EF" w:rsidP="00ED6360">
            <w:pPr>
              <w:jc w:val="both"/>
              <w:cnfStyle w:val="000000100000" w:firstRow="0" w:lastRow="0" w:firstColumn="0" w:lastColumn="0" w:oddVBand="0" w:evenVBand="0" w:oddHBand="1" w:evenHBand="0" w:firstRowFirstColumn="0" w:firstRowLastColumn="0" w:lastRowFirstColumn="0" w:lastRowLastColumn="0"/>
            </w:pPr>
            <w:r w:rsidRPr="00ED6360">
              <w:t>1.Raziskave, razvoj in inovacije</w:t>
            </w:r>
          </w:p>
        </w:tc>
      </w:tr>
      <w:tr w:rsidR="000570EF" w:rsidRPr="000570EF" w14:paraId="40A3B198" w14:textId="77777777" w:rsidTr="000570EF">
        <w:trPr>
          <w:trHeight w:val="300"/>
        </w:trPr>
        <w:tc>
          <w:tcPr>
            <w:cnfStyle w:val="001000000000" w:firstRow="0" w:lastRow="0" w:firstColumn="1" w:lastColumn="0" w:oddVBand="0" w:evenVBand="0" w:oddHBand="0" w:evenHBand="0" w:firstRowFirstColumn="0" w:firstRowLastColumn="0" w:lastRowFirstColumn="0" w:lastRowLastColumn="0"/>
            <w:tcW w:w="3020" w:type="dxa"/>
            <w:vMerge/>
            <w:hideMark/>
          </w:tcPr>
          <w:p w14:paraId="0B0DF255" w14:textId="77777777" w:rsidR="000570EF" w:rsidRPr="000570EF" w:rsidRDefault="000570EF" w:rsidP="00ED6360">
            <w:pPr>
              <w:jc w:val="both"/>
            </w:pPr>
          </w:p>
        </w:tc>
        <w:tc>
          <w:tcPr>
            <w:tcW w:w="6042" w:type="dxa"/>
            <w:hideMark/>
          </w:tcPr>
          <w:p w14:paraId="31165410" w14:textId="77777777" w:rsidR="000570EF" w:rsidRPr="00ED6360" w:rsidRDefault="000570EF" w:rsidP="00ED6360">
            <w:pPr>
              <w:jc w:val="both"/>
              <w:cnfStyle w:val="000000000000" w:firstRow="0" w:lastRow="0" w:firstColumn="0" w:lastColumn="0" w:oddVBand="0" w:evenVBand="0" w:oddHBand="0" w:evenHBand="0" w:firstRowFirstColumn="0" w:firstRowLastColumn="0" w:lastRowFirstColumn="0" w:lastRowLastColumn="0"/>
            </w:pPr>
            <w:r w:rsidRPr="00ED6360">
              <w:t>2. Demonstracijski in pilotni projekti</w:t>
            </w:r>
          </w:p>
        </w:tc>
      </w:tr>
      <w:tr w:rsidR="000570EF" w:rsidRPr="000570EF" w14:paraId="06080500" w14:textId="77777777" w:rsidTr="000570EF">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020" w:type="dxa"/>
            <w:vMerge/>
            <w:hideMark/>
          </w:tcPr>
          <w:p w14:paraId="62E0EE81" w14:textId="77777777" w:rsidR="000570EF" w:rsidRPr="000570EF" w:rsidRDefault="000570EF" w:rsidP="00ED6360">
            <w:pPr>
              <w:jc w:val="both"/>
            </w:pPr>
          </w:p>
        </w:tc>
        <w:tc>
          <w:tcPr>
            <w:tcW w:w="6042" w:type="dxa"/>
            <w:hideMark/>
          </w:tcPr>
          <w:p w14:paraId="6A2AC658" w14:textId="77777777" w:rsidR="000570EF" w:rsidRPr="00ED6360" w:rsidRDefault="000570EF" w:rsidP="00ED6360">
            <w:pPr>
              <w:jc w:val="both"/>
              <w:cnfStyle w:val="000000100000" w:firstRow="0" w:lastRow="0" w:firstColumn="0" w:lastColumn="0" w:oddVBand="0" w:evenVBand="0" w:oddHBand="1" w:evenHBand="0" w:firstRowFirstColumn="0" w:firstRowLastColumn="0" w:lastRowFirstColumn="0" w:lastRowLastColumn="0"/>
            </w:pPr>
            <w:r w:rsidRPr="00ED6360">
              <w:t>3. Vključevanje v mednarodne raziskovalno razvojne in inovacijske projekte in programe</w:t>
            </w:r>
          </w:p>
        </w:tc>
      </w:tr>
      <w:tr w:rsidR="000570EF" w:rsidRPr="000570EF" w14:paraId="6602EE67" w14:textId="77777777" w:rsidTr="000570EF">
        <w:trPr>
          <w:trHeight w:val="300"/>
        </w:trPr>
        <w:tc>
          <w:tcPr>
            <w:cnfStyle w:val="001000000000" w:firstRow="0" w:lastRow="0" w:firstColumn="1" w:lastColumn="0" w:oddVBand="0" w:evenVBand="0" w:oddHBand="0" w:evenHBand="0" w:firstRowFirstColumn="0" w:firstRowLastColumn="0" w:lastRowFirstColumn="0" w:lastRowLastColumn="0"/>
            <w:tcW w:w="3020" w:type="dxa"/>
            <w:vMerge/>
            <w:hideMark/>
          </w:tcPr>
          <w:p w14:paraId="7CB47B1B" w14:textId="77777777" w:rsidR="000570EF" w:rsidRPr="000570EF" w:rsidRDefault="000570EF" w:rsidP="00ED6360">
            <w:pPr>
              <w:jc w:val="both"/>
            </w:pPr>
          </w:p>
        </w:tc>
        <w:tc>
          <w:tcPr>
            <w:tcW w:w="6042" w:type="dxa"/>
            <w:hideMark/>
          </w:tcPr>
          <w:p w14:paraId="32E3BE29" w14:textId="77777777" w:rsidR="000570EF" w:rsidRPr="00ED6360" w:rsidRDefault="000570EF" w:rsidP="00ED6360">
            <w:pPr>
              <w:jc w:val="both"/>
              <w:cnfStyle w:val="000000000000" w:firstRow="0" w:lastRow="0" w:firstColumn="0" w:lastColumn="0" w:oddVBand="0" w:evenVBand="0" w:oddHBand="0" w:evenHBand="0" w:firstRowFirstColumn="0" w:firstRowLastColumn="0" w:lastRowFirstColumn="0" w:lastRowLastColumn="0"/>
            </w:pPr>
            <w:r w:rsidRPr="00ED6360">
              <w:t>4. Mreženje in sodelovanje na področju RRI</w:t>
            </w:r>
          </w:p>
        </w:tc>
      </w:tr>
      <w:tr w:rsidR="000570EF" w:rsidRPr="000570EF" w14:paraId="100DD6DA" w14:textId="77777777" w:rsidTr="000570EF">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3020" w:type="dxa"/>
            <w:vMerge w:val="restart"/>
            <w:hideMark/>
          </w:tcPr>
          <w:p w14:paraId="1980D883" w14:textId="2D551929" w:rsidR="000570EF" w:rsidRPr="000570EF" w:rsidRDefault="000570EF" w:rsidP="00ED6360">
            <w:pPr>
              <w:jc w:val="both"/>
            </w:pPr>
            <w:r>
              <w:t>PODJETNIŠTVO</w:t>
            </w:r>
          </w:p>
        </w:tc>
        <w:tc>
          <w:tcPr>
            <w:tcW w:w="6042" w:type="dxa"/>
            <w:hideMark/>
          </w:tcPr>
          <w:p w14:paraId="7EFECD10" w14:textId="77777777" w:rsidR="000570EF" w:rsidRPr="00ED6360" w:rsidRDefault="000570EF" w:rsidP="00ED6360">
            <w:pPr>
              <w:jc w:val="both"/>
              <w:cnfStyle w:val="000000100000" w:firstRow="0" w:lastRow="0" w:firstColumn="0" w:lastColumn="0" w:oddVBand="0" w:evenVBand="0" w:oddHBand="1" w:evenHBand="0" w:firstRowFirstColumn="0" w:firstRowLastColumn="0" w:lastRowFirstColumn="0" w:lastRowLastColumn="0"/>
            </w:pPr>
            <w:r w:rsidRPr="00ED6360">
              <w:t xml:space="preserve">5. Podporno okolje za podjetja </w:t>
            </w:r>
          </w:p>
        </w:tc>
      </w:tr>
      <w:tr w:rsidR="000570EF" w:rsidRPr="000570EF" w14:paraId="72086481" w14:textId="77777777" w:rsidTr="000570EF">
        <w:trPr>
          <w:trHeight w:val="480"/>
        </w:trPr>
        <w:tc>
          <w:tcPr>
            <w:cnfStyle w:val="001000000000" w:firstRow="0" w:lastRow="0" w:firstColumn="1" w:lastColumn="0" w:oddVBand="0" w:evenVBand="0" w:oddHBand="0" w:evenHBand="0" w:firstRowFirstColumn="0" w:firstRowLastColumn="0" w:lastRowFirstColumn="0" w:lastRowLastColumn="0"/>
            <w:tcW w:w="3020" w:type="dxa"/>
            <w:vMerge/>
            <w:hideMark/>
          </w:tcPr>
          <w:p w14:paraId="7DF81C5E" w14:textId="77777777" w:rsidR="000570EF" w:rsidRPr="000570EF" w:rsidRDefault="000570EF" w:rsidP="00ED6360">
            <w:pPr>
              <w:jc w:val="both"/>
            </w:pPr>
          </w:p>
        </w:tc>
        <w:tc>
          <w:tcPr>
            <w:tcW w:w="6042" w:type="dxa"/>
            <w:hideMark/>
          </w:tcPr>
          <w:p w14:paraId="326544AD" w14:textId="77777777" w:rsidR="000570EF" w:rsidRPr="00ED6360" w:rsidRDefault="000570EF" w:rsidP="00ED6360">
            <w:pPr>
              <w:jc w:val="both"/>
              <w:cnfStyle w:val="000000000000" w:firstRow="0" w:lastRow="0" w:firstColumn="0" w:lastColumn="0" w:oddVBand="0" w:evenVBand="0" w:oddHBand="0" w:evenHBand="0" w:firstRowFirstColumn="0" w:firstRowLastColumn="0" w:lastRowFirstColumn="0" w:lastRowLastColumn="0"/>
            </w:pPr>
            <w:r w:rsidRPr="00ED6360">
              <w:t>6. Promocija podjetništva in inovativnosti</w:t>
            </w:r>
          </w:p>
        </w:tc>
      </w:tr>
      <w:tr w:rsidR="000570EF" w:rsidRPr="000570EF" w14:paraId="3F0A24C3" w14:textId="77777777" w:rsidTr="000570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vMerge/>
            <w:hideMark/>
          </w:tcPr>
          <w:p w14:paraId="4704A9E4" w14:textId="77777777" w:rsidR="000570EF" w:rsidRPr="000570EF" w:rsidRDefault="000570EF" w:rsidP="00ED6360">
            <w:pPr>
              <w:jc w:val="both"/>
            </w:pPr>
          </w:p>
        </w:tc>
        <w:tc>
          <w:tcPr>
            <w:tcW w:w="6042" w:type="dxa"/>
            <w:hideMark/>
          </w:tcPr>
          <w:p w14:paraId="18F66194" w14:textId="77777777" w:rsidR="000570EF" w:rsidRPr="00ED6360" w:rsidRDefault="000570EF" w:rsidP="00ED6360">
            <w:pPr>
              <w:jc w:val="both"/>
              <w:cnfStyle w:val="000000100000" w:firstRow="0" w:lastRow="0" w:firstColumn="0" w:lastColumn="0" w:oddVBand="0" w:evenVBand="0" w:oddHBand="1" w:evenHBand="0" w:firstRowFirstColumn="0" w:firstRowLastColumn="0" w:lastRowFirstColumn="0" w:lastRowLastColumn="0"/>
            </w:pPr>
            <w:r w:rsidRPr="00ED6360">
              <w:t>7. Spodbujanje zagonskih podjetij in podjetij s potencialom hitre rasti</w:t>
            </w:r>
          </w:p>
        </w:tc>
      </w:tr>
      <w:tr w:rsidR="000570EF" w:rsidRPr="000570EF" w14:paraId="6D098474" w14:textId="77777777" w:rsidTr="000570EF">
        <w:trPr>
          <w:trHeight w:val="300"/>
        </w:trPr>
        <w:tc>
          <w:tcPr>
            <w:cnfStyle w:val="001000000000" w:firstRow="0" w:lastRow="0" w:firstColumn="1" w:lastColumn="0" w:oddVBand="0" w:evenVBand="0" w:oddHBand="0" w:evenHBand="0" w:firstRowFirstColumn="0" w:firstRowLastColumn="0" w:lastRowFirstColumn="0" w:lastRowLastColumn="0"/>
            <w:tcW w:w="3020" w:type="dxa"/>
            <w:vMerge/>
            <w:hideMark/>
          </w:tcPr>
          <w:p w14:paraId="033116F3" w14:textId="77777777" w:rsidR="000570EF" w:rsidRPr="000570EF" w:rsidRDefault="000570EF" w:rsidP="00ED6360">
            <w:pPr>
              <w:jc w:val="both"/>
            </w:pPr>
          </w:p>
        </w:tc>
        <w:tc>
          <w:tcPr>
            <w:tcW w:w="6042" w:type="dxa"/>
            <w:hideMark/>
          </w:tcPr>
          <w:p w14:paraId="0D4A0E0B" w14:textId="77777777" w:rsidR="000570EF" w:rsidRPr="00ED6360" w:rsidRDefault="000570EF" w:rsidP="00ED6360">
            <w:pPr>
              <w:jc w:val="both"/>
              <w:cnfStyle w:val="000000000000" w:firstRow="0" w:lastRow="0" w:firstColumn="0" w:lastColumn="0" w:oddVBand="0" w:evenVBand="0" w:oddHBand="0" w:evenHBand="0" w:firstRowFirstColumn="0" w:firstRowLastColumn="0" w:lastRowFirstColumn="0" w:lastRowLastColumn="0"/>
            </w:pPr>
            <w:r w:rsidRPr="00ED6360">
              <w:t>8. Podpora rasti in razvoju MSP</w:t>
            </w:r>
          </w:p>
        </w:tc>
      </w:tr>
      <w:tr w:rsidR="000570EF" w:rsidRPr="000570EF" w14:paraId="2F4FA4DB" w14:textId="77777777" w:rsidTr="000570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vMerge/>
            <w:hideMark/>
          </w:tcPr>
          <w:p w14:paraId="212B396A" w14:textId="77777777" w:rsidR="000570EF" w:rsidRPr="000570EF" w:rsidRDefault="000570EF" w:rsidP="00ED6360">
            <w:pPr>
              <w:jc w:val="both"/>
            </w:pPr>
          </w:p>
        </w:tc>
        <w:tc>
          <w:tcPr>
            <w:tcW w:w="6042" w:type="dxa"/>
            <w:hideMark/>
          </w:tcPr>
          <w:p w14:paraId="124655A0" w14:textId="77777777" w:rsidR="000570EF" w:rsidRPr="00ED6360" w:rsidRDefault="000570EF" w:rsidP="00ED6360">
            <w:pPr>
              <w:jc w:val="both"/>
              <w:cnfStyle w:val="000000100000" w:firstRow="0" w:lastRow="0" w:firstColumn="0" w:lastColumn="0" w:oddVBand="0" w:evenVBand="0" w:oddHBand="1" w:evenHBand="0" w:firstRowFirstColumn="0" w:firstRowLastColumn="0" w:lastRowFirstColumn="0" w:lastRowLastColumn="0"/>
            </w:pPr>
            <w:r w:rsidRPr="00ED6360">
              <w:t xml:space="preserve">9. </w:t>
            </w:r>
            <w:proofErr w:type="spellStart"/>
            <w:r w:rsidRPr="00ED6360">
              <w:t>Netehnološke</w:t>
            </w:r>
            <w:proofErr w:type="spellEnd"/>
            <w:r w:rsidRPr="00ED6360">
              <w:t xml:space="preserve"> inovacije in poslovni modeli</w:t>
            </w:r>
          </w:p>
        </w:tc>
      </w:tr>
      <w:tr w:rsidR="000570EF" w:rsidRPr="000570EF" w14:paraId="7E9A60D3" w14:textId="77777777" w:rsidTr="000570EF">
        <w:trPr>
          <w:trHeight w:val="300"/>
        </w:trPr>
        <w:tc>
          <w:tcPr>
            <w:cnfStyle w:val="001000000000" w:firstRow="0" w:lastRow="0" w:firstColumn="1" w:lastColumn="0" w:oddVBand="0" w:evenVBand="0" w:oddHBand="0" w:evenHBand="0" w:firstRowFirstColumn="0" w:firstRowLastColumn="0" w:lastRowFirstColumn="0" w:lastRowLastColumn="0"/>
            <w:tcW w:w="3020" w:type="dxa"/>
            <w:vMerge/>
            <w:hideMark/>
          </w:tcPr>
          <w:p w14:paraId="1D743536" w14:textId="77777777" w:rsidR="000570EF" w:rsidRPr="000570EF" w:rsidRDefault="000570EF" w:rsidP="00ED6360">
            <w:pPr>
              <w:jc w:val="both"/>
            </w:pPr>
          </w:p>
        </w:tc>
        <w:tc>
          <w:tcPr>
            <w:tcW w:w="6042" w:type="dxa"/>
            <w:hideMark/>
          </w:tcPr>
          <w:p w14:paraId="0E2A0F51" w14:textId="77777777" w:rsidR="000570EF" w:rsidRPr="00ED6360" w:rsidRDefault="000570EF" w:rsidP="00ED6360">
            <w:pPr>
              <w:jc w:val="both"/>
              <w:cnfStyle w:val="000000000000" w:firstRow="0" w:lastRow="0" w:firstColumn="0" w:lastColumn="0" w:oddVBand="0" w:evenVBand="0" w:oddHBand="0" w:evenHBand="0" w:firstRowFirstColumn="0" w:firstRowLastColumn="0" w:lastRowFirstColumn="0" w:lastRowLastColumn="0"/>
            </w:pPr>
            <w:r w:rsidRPr="00ED6360">
              <w:t xml:space="preserve">10. Spodbujanje investicij </w:t>
            </w:r>
          </w:p>
        </w:tc>
      </w:tr>
      <w:tr w:rsidR="000570EF" w:rsidRPr="000570EF" w14:paraId="364ADC1A" w14:textId="77777777" w:rsidTr="000570EF">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020" w:type="dxa"/>
            <w:hideMark/>
          </w:tcPr>
          <w:p w14:paraId="0103D73C" w14:textId="2AE22EE7" w:rsidR="000570EF" w:rsidRPr="000570EF" w:rsidRDefault="000570EF" w:rsidP="00ED6360">
            <w:pPr>
              <w:jc w:val="both"/>
            </w:pPr>
            <w:r>
              <w:t>INTERNACIONALIZACIJA</w:t>
            </w:r>
          </w:p>
        </w:tc>
        <w:tc>
          <w:tcPr>
            <w:tcW w:w="6042" w:type="dxa"/>
            <w:hideMark/>
          </w:tcPr>
          <w:p w14:paraId="0B64D4F8" w14:textId="77777777" w:rsidR="000570EF" w:rsidRPr="00ED6360" w:rsidRDefault="000570EF" w:rsidP="00ED6360">
            <w:pPr>
              <w:jc w:val="both"/>
              <w:cnfStyle w:val="000000100000" w:firstRow="0" w:lastRow="0" w:firstColumn="0" w:lastColumn="0" w:oddVBand="0" w:evenVBand="0" w:oddHBand="1" w:evenHBand="0" w:firstRowFirstColumn="0" w:firstRowLastColumn="0" w:lastRowFirstColumn="0" w:lastRowLastColumn="0"/>
            </w:pPr>
            <w:r w:rsidRPr="00ED6360">
              <w:rPr>
                <w:bCs/>
              </w:rPr>
              <w:t xml:space="preserve">11. Podpora internacionalizaciji </w:t>
            </w:r>
          </w:p>
        </w:tc>
      </w:tr>
      <w:tr w:rsidR="000570EF" w:rsidRPr="000570EF" w14:paraId="57AAC2CD" w14:textId="77777777" w:rsidTr="000570EF">
        <w:trPr>
          <w:trHeight w:val="300"/>
        </w:trPr>
        <w:tc>
          <w:tcPr>
            <w:cnfStyle w:val="001000000000" w:firstRow="0" w:lastRow="0" w:firstColumn="1" w:lastColumn="0" w:oddVBand="0" w:evenVBand="0" w:oddHBand="0" w:evenHBand="0" w:firstRowFirstColumn="0" w:firstRowLastColumn="0" w:lastRowFirstColumn="0" w:lastRowLastColumn="0"/>
            <w:tcW w:w="3020" w:type="dxa"/>
            <w:hideMark/>
          </w:tcPr>
          <w:p w14:paraId="70EAA4A7" w14:textId="7F3E1C6E" w:rsidR="000570EF" w:rsidRPr="000570EF" w:rsidRDefault="000570EF" w:rsidP="00ED6360">
            <w:pPr>
              <w:jc w:val="both"/>
            </w:pPr>
            <w:r>
              <w:t>KADRI</w:t>
            </w:r>
          </w:p>
        </w:tc>
        <w:tc>
          <w:tcPr>
            <w:tcW w:w="6042" w:type="dxa"/>
            <w:hideMark/>
          </w:tcPr>
          <w:p w14:paraId="74BB7CAC" w14:textId="77777777" w:rsidR="000570EF" w:rsidRPr="00ED6360" w:rsidRDefault="000570EF" w:rsidP="00ED6360">
            <w:pPr>
              <w:jc w:val="both"/>
              <w:cnfStyle w:val="000000000000" w:firstRow="0" w:lastRow="0" w:firstColumn="0" w:lastColumn="0" w:oddVBand="0" w:evenVBand="0" w:oddHBand="0" w:evenHBand="0" w:firstRowFirstColumn="0" w:firstRowLastColumn="0" w:lastRowFirstColumn="0" w:lastRowLastColumn="0"/>
            </w:pPr>
            <w:r w:rsidRPr="00ED6360">
              <w:t xml:space="preserve">12. Krepitev kompetenc, usposabljanje, prekvalifikacija, prilagajanje demografskim spremembam </w:t>
            </w:r>
          </w:p>
        </w:tc>
      </w:tr>
      <w:tr w:rsidR="000570EF" w:rsidRPr="000570EF" w14:paraId="1B40D7F2" w14:textId="77777777" w:rsidTr="000570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vMerge w:val="restart"/>
            <w:hideMark/>
          </w:tcPr>
          <w:p w14:paraId="4D00171A" w14:textId="5339DDF7" w:rsidR="000570EF" w:rsidRPr="000570EF" w:rsidRDefault="000570EF" w:rsidP="00ED6360">
            <w:pPr>
              <w:jc w:val="both"/>
            </w:pPr>
            <w:r>
              <w:t>POSLOVNO OKOLJE</w:t>
            </w:r>
          </w:p>
        </w:tc>
        <w:tc>
          <w:tcPr>
            <w:tcW w:w="6042" w:type="dxa"/>
            <w:hideMark/>
          </w:tcPr>
          <w:p w14:paraId="1783181D" w14:textId="77777777" w:rsidR="000570EF" w:rsidRPr="00ED6360" w:rsidRDefault="000570EF" w:rsidP="00ED6360">
            <w:pPr>
              <w:jc w:val="both"/>
              <w:cnfStyle w:val="000000100000" w:firstRow="0" w:lastRow="0" w:firstColumn="0" w:lastColumn="0" w:oddVBand="0" w:evenVBand="0" w:oddHBand="1" w:evenHBand="0" w:firstRowFirstColumn="0" w:firstRowLastColumn="0" w:lastRowFirstColumn="0" w:lastRowLastColumn="0"/>
            </w:pPr>
            <w:r w:rsidRPr="00ED6360">
              <w:t>13. Infrastruktura</w:t>
            </w:r>
          </w:p>
        </w:tc>
      </w:tr>
      <w:tr w:rsidR="000570EF" w:rsidRPr="000570EF" w14:paraId="1757BD99" w14:textId="77777777" w:rsidTr="000570EF">
        <w:trPr>
          <w:trHeight w:val="525"/>
        </w:trPr>
        <w:tc>
          <w:tcPr>
            <w:cnfStyle w:val="001000000000" w:firstRow="0" w:lastRow="0" w:firstColumn="1" w:lastColumn="0" w:oddVBand="0" w:evenVBand="0" w:oddHBand="0" w:evenHBand="0" w:firstRowFirstColumn="0" w:firstRowLastColumn="0" w:lastRowFirstColumn="0" w:lastRowLastColumn="0"/>
            <w:tcW w:w="3020" w:type="dxa"/>
            <w:vMerge/>
            <w:hideMark/>
          </w:tcPr>
          <w:p w14:paraId="21A9165D" w14:textId="77777777" w:rsidR="000570EF" w:rsidRPr="000570EF" w:rsidRDefault="000570EF" w:rsidP="00ED6360">
            <w:pPr>
              <w:jc w:val="both"/>
            </w:pPr>
          </w:p>
        </w:tc>
        <w:tc>
          <w:tcPr>
            <w:tcW w:w="6042" w:type="dxa"/>
            <w:hideMark/>
          </w:tcPr>
          <w:p w14:paraId="6ECBB125" w14:textId="77777777" w:rsidR="000570EF" w:rsidRPr="00ED6360" w:rsidRDefault="000570EF" w:rsidP="00ED6360">
            <w:pPr>
              <w:jc w:val="both"/>
              <w:cnfStyle w:val="000000000000" w:firstRow="0" w:lastRow="0" w:firstColumn="0" w:lastColumn="0" w:oddVBand="0" w:evenVBand="0" w:oddHBand="0" w:evenHBand="0" w:firstRowFirstColumn="0" w:firstRowLastColumn="0" w:lastRowFirstColumn="0" w:lastRowLastColumn="0"/>
            </w:pPr>
            <w:r w:rsidRPr="00ED6360">
              <w:t>14. Zakonodaja in poslovno okolje</w:t>
            </w:r>
          </w:p>
        </w:tc>
      </w:tr>
    </w:tbl>
    <w:p w14:paraId="270F8416" w14:textId="77777777" w:rsidR="000570EF" w:rsidRDefault="000570EF" w:rsidP="002C33EA">
      <w:pPr>
        <w:jc w:val="both"/>
      </w:pPr>
    </w:p>
    <w:p w14:paraId="1AD8FA54" w14:textId="0E30A2F4" w:rsidR="00597331" w:rsidRPr="00600C9A" w:rsidRDefault="002C33EA" w:rsidP="002C33EA">
      <w:pPr>
        <w:jc w:val="both"/>
      </w:pPr>
      <w:r>
        <w:t>Potreben je sistematičen</w:t>
      </w:r>
      <w:r w:rsidR="00597331" w:rsidRPr="003F63BA">
        <w:t xml:space="preserve"> pristop</w:t>
      </w:r>
      <w:r>
        <w:t>, ki povezuje vsa tri področja razvoja, hkrati pa je treba poskrbeti za ustrezen institucionalni okvir izvajanja SIS. V tem oziru je potrebno nosilce izvajanja SIS</w:t>
      </w:r>
      <w:r w:rsidR="00597331" w:rsidRPr="003F63BA">
        <w:t xml:space="preserve"> opolnomočiti</w:t>
      </w:r>
      <w:r>
        <w:t xml:space="preserve"> tako s kadrovskega kot</w:t>
      </w:r>
      <w:r w:rsidR="001A6A69">
        <w:t xml:space="preserve"> tudi s</w:t>
      </w:r>
      <w:r>
        <w:t xml:space="preserve"> strokovnega vidika.</w:t>
      </w:r>
      <w:r w:rsidR="00597331" w:rsidRPr="003F63BA">
        <w:t xml:space="preserve">  </w:t>
      </w:r>
    </w:p>
    <w:p w14:paraId="11082FDA" w14:textId="77777777" w:rsidR="00597331" w:rsidRDefault="00597331" w:rsidP="00597331">
      <w:pPr>
        <w:jc w:val="both"/>
      </w:pPr>
      <w:r>
        <w:t>Institucionalni okvir izvajanja SIS tvorijo vsi resorji, na kater</w:t>
      </w:r>
      <w:r w:rsidR="001A6A69">
        <w:t>e</w:t>
      </w:r>
      <w:r>
        <w:t xml:space="preserve"> se nanašajo usmeritve posameznih področij. Pomembno vlogo na posameznih področjih pa imajo tudi izvajalske agencije:</w:t>
      </w:r>
    </w:p>
    <w:p w14:paraId="02206EAE" w14:textId="77777777" w:rsidR="00597331" w:rsidRDefault="00597331" w:rsidP="00597331">
      <w:pPr>
        <w:pStyle w:val="Odstavekseznama"/>
        <w:numPr>
          <w:ilvl w:val="0"/>
          <w:numId w:val="22"/>
        </w:numPr>
      </w:pPr>
      <w:r>
        <w:t>Javna agencija Republike Slovenije za spodbujanje podjetništva, internacionalizacije, tujih investicij in tehnologije - SPIRIT Slovenija, javna agencija,</w:t>
      </w:r>
    </w:p>
    <w:p w14:paraId="3142AA55" w14:textId="77777777" w:rsidR="00597331" w:rsidRDefault="00597331" w:rsidP="00597331">
      <w:pPr>
        <w:pStyle w:val="Odstavekseznama"/>
        <w:numPr>
          <w:ilvl w:val="0"/>
          <w:numId w:val="22"/>
        </w:numPr>
      </w:pPr>
      <w:r>
        <w:t xml:space="preserve">Slovenski podjetniški sklad – SPS, </w:t>
      </w:r>
    </w:p>
    <w:p w14:paraId="658D3D4B" w14:textId="77777777" w:rsidR="00597331" w:rsidRDefault="00597331" w:rsidP="00597331">
      <w:pPr>
        <w:pStyle w:val="Odstavekseznama"/>
        <w:numPr>
          <w:ilvl w:val="0"/>
          <w:numId w:val="22"/>
        </w:numPr>
      </w:pPr>
      <w:r>
        <w:t>Slovenski regionalno razvojni sklad – SRRS,</w:t>
      </w:r>
    </w:p>
    <w:p w14:paraId="767562D9" w14:textId="77777777" w:rsidR="00597331" w:rsidRDefault="00597331" w:rsidP="00597331">
      <w:pPr>
        <w:pStyle w:val="Odstavekseznama"/>
        <w:numPr>
          <w:ilvl w:val="0"/>
          <w:numId w:val="22"/>
        </w:numPr>
      </w:pPr>
      <w:r w:rsidRPr="00437B38">
        <w:rPr>
          <w:rStyle w:val="Krepko"/>
          <w:b w:val="0"/>
        </w:rPr>
        <w:t>Slovenska izvozna in razvojna banka</w:t>
      </w:r>
      <w:r>
        <w:rPr>
          <w:rStyle w:val="Krepko"/>
          <w:b w:val="0"/>
        </w:rPr>
        <w:t xml:space="preserve"> -</w:t>
      </w:r>
      <w:r>
        <w:rPr>
          <w:rStyle w:val="Krepko"/>
        </w:rPr>
        <w:t xml:space="preserve"> </w:t>
      </w:r>
      <w:r>
        <w:t>SID,</w:t>
      </w:r>
    </w:p>
    <w:p w14:paraId="105E21A9" w14:textId="4FAC0410" w:rsidR="00597331" w:rsidRDefault="00597331" w:rsidP="00597331">
      <w:pPr>
        <w:pStyle w:val="Odstavekseznama"/>
        <w:numPr>
          <w:ilvl w:val="0"/>
          <w:numId w:val="22"/>
        </w:numPr>
      </w:pPr>
      <w:proofErr w:type="spellStart"/>
      <w:r>
        <w:t>Ekosklad</w:t>
      </w:r>
      <w:proofErr w:type="spellEnd"/>
      <w:r>
        <w:t xml:space="preserve"> idr.</w:t>
      </w:r>
    </w:p>
    <w:p w14:paraId="063E0992" w14:textId="77777777" w:rsidR="002B4C49" w:rsidRPr="00C54E79" w:rsidRDefault="002B4C49">
      <w:r w:rsidRPr="00C54E79">
        <w:br w:type="page"/>
      </w:r>
    </w:p>
    <w:p w14:paraId="1501C9DC" w14:textId="77777777" w:rsidR="00FD402D" w:rsidRPr="009B538E" w:rsidRDefault="00D74646" w:rsidP="002C7476">
      <w:pPr>
        <w:pStyle w:val="Naslov1"/>
        <w:numPr>
          <w:ilvl w:val="0"/>
          <w:numId w:val="5"/>
        </w:numPr>
        <w:rPr>
          <w:caps w:val="0"/>
          <w:sz w:val="20"/>
        </w:rPr>
      </w:pPr>
      <w:bookmarkStart w:id="8" w:name="_Toc51140498"/>
      <w:r w:rsidRPr="009B538E">
        <w:rPr>
          <w:caps w:val="0"/>
          <w:sz w:val="20"/>
        </w:rPr>
        <w:lastRenderedPageBreak/>
        <w:t xml:space="preserve">PREDELOVALNE DEJAVNOSTI </w:t>
      </w:r>
      <w:r w:rsidR="005D2416" w:rsidRPr="009B538E">
        <w:rPr>
          <w:caps w:val="0"/>
          <w:sz w:val="20"/>
        </w:rPr>
        <w:t>V SLOVENIJI IN EU</w:t>
      </w:r>
      <w:bookmarkEnd w:id="8"/>
    </w:p>
    <w:p w14:paraId="00A9A9A9" w14:textId="77777777" w:rsidR="003C2935" w:rsidRDefault="003C2935" w:rsidP="003C2935">
      <w:pPr>
        <w:pStyle w:val="Naslov2"/>
        <w:numPr>
          <w:ilvl w:val="1"/>
          <w:numId w:val="35"/>
        </w:numPr>
      </w:pPr>
      <w:bookmarkStart w:id="9" w:name="_Toc49344776"/>
      <w:bookmarkStart w:id="10" w:name="_Toc51140499"/>
      <w:r>
        <w:rPr>
          <w:caps w:val="0"/>
        </w:rPr>
        <w:t>Predelovalne dejavnosti v Sloveniji v 2008-2018</w:t>
      </w:r>
      <w:bookmarkEnd w:id="9"/>
      <w:bookmarkEnd w:id="10"/>
    </w:p>
    <w:p w14:paraId="07DE565F" w14:textId="77777777" w:rsidR="003C2935" w:rsidRDefault="003C2935" w:rsidP="003C2935">
      <w:pPr>
        <w:jc w:val="both"/>
      </w:pPr>
      <w:r>
        <w:t xml:space="preserve">V času po gospodarski krizi leta 2008 se je ponovno izkazalo, da je industrija vir odpornosti, inovacij in celo socialne stabilnosti. Kot </w:t>
      </w:r>
      <w:r w:rsidR="00904155">
        <w:t xml:space="preserve">je bilo </w:t>
      </w:r>
      <w:r>
        <w:t>že uvodoma poudarjeno, je slovenska predelovalna dejavnost v letu 2019 skupno prispevala 23,2 % k dodani vrednosti gospodarstva, kar jo uvršča na tretje mesto v EU-27, za Irsko in Češko.</w:t>
      </w:r>
      <w:r>
        <w:rPr>
          <w:color w:val="0070C0"/>
        </w:rPr>
        <w:t xml:space="preserve"> </w:t>
      </w:r>
      <w:r>
        <w:t>Povprečje EU-27 je 16,7 %. Trenutna povprečna dodana vrednost na zaposlenega v predelovalni dejavnosti znaša 44.000 EUR. Evropska unija se zaveda potrebe po »</w:t>
      </w:r>
      <w:proofErr w:type="spellStart"/>
      <w:r>
        <w:t>reindustrializaciji</w:t>
      </w:r>
      <w:proofErr w:type="spellEnd"/>
      <w:r>
        <w:t xml:space="preserve">«, zato si je že leta 2012 zadala cilj doseči 20-odstotni delež industrije v BDP do 2020. Predelovalne dejavnosti ustvarijo skoraj tretjino prihodkov od prodaje (31,3 mrd EUR) in okoli dve tretjini celotnega izvoza (21,7 mrd EUR od skupno 30,9 mrd EUR v letu 2018). </w:t>
      </w:r>
      <w:hyperlink r:id="rId15" w:tgtFrame="_blank" w:history="1">
        <w:r w:rsidRPr="00460360">
          <w:rPr>
            <w:rStyle w:val="Hiperpovezava"/>
            <w:color w:val="auto"/>
            <w:u w:val="none"/>
          </w:rPr>
          <w:t>Po podatkih Statističnega urada</w:t>
        </w:r>
      </w:hyperlink>
      <w:r w:rsidRPr="00460360">
        <w:t xml:space="preserve"> za leto 2018 je bilo v industriji v Sloveniji aktivnih 21.158 podjeti</w:t>
      </w:r>
      <w:r>
        <w:t xml:space="preserve">j. Kar 93 % industrijskih podjetij (19.671 podjetij) je bilo registriranih v predelovalnih dejavnostih, v njih pa je bilo zaposlenih malo manj kakor 201.722 oseb. </w:t>
      </w:r>
    </w:p>
    <w:p w14:paraId="77A420CC" w14:textId="51961C4F" w:rsidR="003C2935" w:rsidRDefault="003C2935" w:rsidP="003C2935">
      <w:pPr>
        <w:pStyle w:val="Odstavekseznama"/>
        <w:ind w:left="0"/>
        <w:jc w:val="both"/>
        <w:rPr>
          <w:rFonts w:cstheme="minorHAnsi"/>
        </w:rPr>
      </w:pPr>
      <w:r>
        <w:rPr>
          <w:rFonts w:cstheme="minorHAnsi"/>
        </w:rPr>
        <w:t>V nadaljevanju so opisani primerjalni kazalniki v zadnjem razpoložljivem letu (2018)</w:t>
      </w:r>
      <w:r>
        <w:rPr>
          <w:rStyle w:val="Sprotnaopomba-sklic"/>
          <w:rFonts w:cstheme="minorHAnsi"/>
        </w:rPr>
        <w:footnoteReference w:id="13"/>
      </w:r>
      <w:r>
        <w:rPr>
          <w:rFonts w:cstheme="minorHAnsi"/>
        </w:rPr>
        <w:t xml:space="preserve"> ter primerjava le-teh z letom 2008. Podrobnejšo analizo slovenske predelovalne dejavnosti v zadnjem desetletju </w:t>
      </w:r>
      <w:r>
        <w:rPr>
          <w:rFonts w:cstheme="minorHAnsi"/>
          <w:color w:val="000000" w:themeColor="text1"/>
        </w:rPr>
        <w:t xml:space="preserve">vsebuje </w:t>
      </w:r>
      <w:r>
        <w:rPr>
          <w:rFonts w:cstheme="minorHAnsi"/>
          <w:b/>
          <w:bCs/>
          <w:color w:val="000000" w:themeColor="text1"/>
          <w:u w:val="single"/>
        </w:rPr>
        <w:t>Priloga 1</w:t>
      </w:r>
      <w:r>
        <w:rPr>
          <w:rFonts w:cstheme="minorHAnsi"/>
          <w:color w:val="000000" w:themeColor="text1"/>
        </w:rPr>
        <w:t>. Gospodarski subjekti iz predelovalnih dejavnosti so v letu 2018 ustvarili za 31,3 mrd EU</w:t>
      </w:r>
      <w:r>
        <w:rPr>
          <w:rFonts w:cstheme="minorHAnsi"/>
        </w:rPr>
        <w:t xml:space="preserve">R </w:t>
      </w:r>
      <w:r>
        <w:rPr>
          <w:rFonts w:cstheme="minorHAnsi"/>
          <w:b/>
          <w:bCs/>
        </w:rPr>
        <w:t>prihodkov od prodaje</w:t>
      </w:r>
      <w:r>
        <w:rPr>
          <w:rFonts w:cstheme="minorHAnsi"/>
        </w:rPr>
        <w:t xml:space="preserve"> na osnovi prodajne vrednosti kupcem zaračunanih prodanih proizvodov ali trgovskega blaga in materiala ter opravljenih storitev. V 2018 so predelovalne dejavnosti ustvarile za 5,4 </w:t>
      </w:r>
      <w:r>
        <w:t xml:space="preserve">mrd EUR </w:t>
      </w:r>
      <w:r>
        <w:rPr>
          <w:rFonts w:cstheme="minorHAnsi"/>
        </w:rPr>
        <w:t>več prihodk</w:t>
      </w:r>
      <w:r w:rsidR="003A4F1F">
        <w:rPr>
          <w:rFonts w:cstheme="minorHAnsi"/>
        </w:rPr>
        <w:t>ov</w:t>
      </w:r>
      <w:r>
        <w:rPr>
          <w:rFonts w:cstheme="minorHAnsi"/>
        </w:rPr>
        <w:t xml:space="preserve"> kot leta 2008 oz</w:t>
      </w:r>
      <w:r w:rsidR="003A4F1F">
        <w:rPr>
          <w:rFonts w:cstheme="minorHAnsi"/>
        </w:rPr>
        <w:t xml:space="preserve">iroma </w:t>
      </w:r>
      <w:r>
        <w:rPr>
          <w:rFonts w:cstheme="minorHAnsi"/>
        </w:rPr>
        <w:t>so ti nominalno porasli za 21 % oz</w:t>
      </w:r>
      <w:r w:rsidR="003A4F1F">
        <w:rPr>
          <w:rFonts w:cstheme="minorHAnsi"/>
        </w:rPr>
        <w:t xml:space="preserve">iroma </w:t>
      </w:r>
      <w:r>
        <w:rPr>
          <w:rFonts w:cstheme="minorHAnsi"/>
        </w:rPr>
        <w:t>realno za 11,4 %</w:t>
      </w:r>
      <w:r w:rsidR="00315F42">
        <w:rPr>
          <w:rFonts w:cstheme="minorHAnsi"/>
        </w:rPr>
        <w:t xml:space="preserve"> </w:t>
      </w:r>
      <w:r w:rsidR="00315F42">
        <w:rPr>
          <w:rStyle w:val="Sprotnaopomba-sklic"/>
          <w:rFonts w:cstheme="minorHAnsi"/>
        </w:rPr>
        <w:footnoteReference w:id="14"/>
      </w:r>
      <w:r w:rsidR="00315F42">
        <w:rPr>
          <w:rFonts w:cstheme="minorHAnsi"/>
        </w:rPr>
        <w:t>.</w:t>
      </w:r>
      <w:r>
        <w:rPr>
          <w:rFonts w:cstheme="minorHAnsi"/>
        </w:rPr>
        <w:t xml:space="preserve"> </w:t>
      </w:r>
    </w:p>
    <w:tbl>
      <w:tblPr>
        <w:tblW w:w="5000" w:type="pct"/>
        <w:tbl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blBorders>
        <w:tblLook w:val="04A0" w:firstRow="1" w:lastRow="0" w:firstColumn="1" w:lastColumn="0" w:noHBand="0" w:noVBand="1"/>
      </w:tblPr>
      <w:tblGrid>
        <w:gridCol w:w="2251"/>
        <w:gridCol w:w="1121"/>
        <w:gridCol w:w="1115"/>
        <w:gridCol w:w="1114"/>
        <w:gridCol w:w="1215"/>
        <w:gridCol w:w="1114"/>
        <w:gridCol w:w="1358"/>
      </w:tblGrid>
      <w:tr w:rsidR="003C2935" w14:paraId="695031C2" w14:textId="77777777" w:rsidTr="003C2935">
        <w:trPr>
          <w:trHeight w:val="703"/>
        </w:trPr>
        <w:tc>
          <w:tcPr>
            <w:tcW w:w="1131" w:type="pct"/>
            <w:tcBorders>
              <w:top w:val="single" w:sz="4" w:space="0" w:color="0989B1" w:themeColor="accent6"/>
              <w:left w:val="single" w:sz="4" w:space="0" w:color="0989B1" w:themeColor="accent6"/>
              <w:bottom w:val="single" w:sz="4" w:space="0" w:color="0989B1" w:themeColor="accent6"/>
              <w:right w:val="nil"/>
            </w:tcBorders>
            <w:shd w:val="clear" w:color="auto" w:fill="0989B1" w:themeFill="accent6"/>
            <w:vAlign w:val="center"/>
            <w:hideMark/>
          </w:tcPr>
          <w:p w14:paraId="6E8B36D8" w14:textId="77777777" w:rsidR="003C2935" w:rsidRDefault="003C2935">
            <w:pPr>
              <w:spacing w:before="0" w:after="0" w:line="240" w:lineRule="auto"/>
              <w:rPr>
                <w:rFonts w:asciiTheme="majorHAnsi" w:eastAsia="Times New Roman" w:hAnsiTheme="majorHAnsi" w:cs="Times New Roman"/>
                <w:b/>
                <w:bCs/>
                <w:color w:val="029676" w:themeColor="accent4"/>
                <w:lang w:eastAsia="sl-SI"/>
              </w:rPr>
            </w:pPr>
            <w:r>
              <w:rPr>
                <w:rFonts w:asciiTheme="majorHAnsi" w:eastAsia="Times New Roman" w:hAnsiTheme="majorHAnsi" w:cs="Times New Roman"/>
                <w:b/>
                <w:bCs/>
                <w:color w:val="FFFFFF" w:themeColor="background1"/>
                <w:lang w:eastAsia="sl-SI"/>
              </w:rPr>
              <w:t>Ključne skupine predelovalnih dejavnosti</w:t>
            </w:r>
          </w:p>
        </w:tc>
        <w:tc>
          <w:tcPr>
            <w:tcW w:w="648" w:type="pct"/>
            <w:tcBorders>
              <w:top w:val="single" w:sz="4" w:space="0" w:color="0989B1" w:themeColor="accent6"/>
              <w:left w:val="nil"/>
              <w:bottom w:val="single" w:sz="4" w:space="0" w:color="0989B1" w:themeColor="accent6"/>
              <w:right w:val="nil"/>
            </w:tcBorders>
            <w:shd w:val="clear" w:color="auto" w:fill="0989B1" w:themeFill="accent6"/>
            <w:vAlign w:val="center"/>
            <w:hideMark/>
          </w:tcPr>
          <w:p w14:paraId="6DC3E0F2" w14:textId="77777777" w:rsidR="003C2935" w:rsidRDefault="003C2935">
            <w:pPr>
              <w:spacing w:before="0" w:after="0" w:line="240" w:lineRule="auto"/>
              <w:jc w:val="center"/>
              <w:rPr>
                <w:rFonts w:asciiTheme="majorHAnsi" w:eastAsia="Times New Roman" w:hAnsiTheme="majorHAnsi" w:cs="Times New Roman"/>
                <w:bCs/>
                <w:color w:val="FFFFFF" w:themeColor="background1"/>
                <w:lang w:eastAsia="sl-SI"/>
              </w:rPr>
            </w:pPr>
            <w:r>
              <w:rPr>
                <w:rFonts w:asciiTheme="majorHAnsi" w:eastAsia="Times New Roman" w:hAnsiTheme="majorHAnsi" w:cs="Times New Roman"/>
                <w:b/>
                <w:bCs/>
                <w:color w:val="FFFFFF" w:themeColor="background1"/>
                <w:lang w:eastAsia="sl-SI"/>
              </w:rPr>
              <w:t>Prihodek</w:t>
            </w:r>
          </w:p>
          <w:p w14:paraId="0E999416" w14:textId="77777777" w:rsidR="003C2935" w:rsidRDefault="003C2935">
            <w:pPr>
              <w:spacing w:before="0" w:after="0" w:line="240" w:lineRule="auto"/>
              <w:jc w:val="center"/>
              <w:rPr>
                <w:rFonts w:asciiTheme="majorHAnsi" w:eastAsia="Times New Roman" w:hAnsiTheme="majorHAnsi" w:cs="Times New Roman"/>
                <w:bCs/>
                <w:color w:val="FFFFFF" w:themeColor="background1"/>
                <w:lang w:eastAsia="sl-SI"/>
              </w:rPr>
            </w:pPr>
            <w:r>
              <w:rPr>
                <w:rFonts w:asciiTheme="majorHAnsi" w:eastAsia="Times New Roman" w:hAnsiTheme="majorHAnsi" w:cs="Times New Roman"/>
                <w:b/>
                <w:bCs/>
                <w:color w:val="FFFFFF" w:themeColor="background1"/>
                <w:lang w:eastAsia="sl-SI"/>
              </w:rPr>
              <w:t>od prodaje,</w:t>
            </w:r>
          </w:p>
          <w:p w14:paraId="34D2C052" w14:textId="77777777" w:rsidR="003C2935" w:rsidRDefault="003C2935">
            <w:pPr>
              <w:spacing w:before="0" w:after="0" w:line="240" w:lineRule="auto"/>
              <w:jc w:val="center"/>
              <w:rPr>
                <w:rFonts w:asciiTheme="majorHAnsi" w:eastAsia="Times New Roman" w:hAnsiTheme="majorHAnsi" w:cs="Times New Roman"/>
                <w:bCs/>
                <w:color w:val="FFFFFF" w:themeColor="background1"/>
                <w:lang w:eastAsia="sl-SI"/>
              </w:rPr>
            </w:pPr>
            <w:r>
              <w:rPr>
                <w:rFonts w:asciiTheme="majorHAnsi" w:eastAsia="Times New Roman" w:hAnsiTheme="majorHAnsi" w:cs="Times New Roman"/>
                <w:b/>
                <w:bCs/>
                <w:color w:val="FFFFFF" w:themeColor="background1"/>
                <w:lang w:eastAsia="sl-SI"/>
              </w:rPr>
              <w:t>mio EUR</w:t>
            </w:r>
          </w:p>
        </w:tc>
        <w:tc>
          <w:tcPr>
            <w:tcW w:w="645" w:type="pct"/>
            <w:tcBorders>
              <w:top w:val="single" w:sz="4" w:space="0" w:color="0989B1" w:themeColor="accent6"/>
              <w:left w:val="nil"/>
              <w:bottom w:val="single" w:sz="4" w:space="0" w:color="0989B1" w:themeColor="accent6"/>
              <w:right w:val="nil"/>
            </w:tcBorders>
            <w:shd w:val="clear" w:color="auto" w:fill="0989B1" w:themeFill="accent6"/>
            <w:vAlign w:val="center"/>
            <w:hideMark/>
          </w:tcPr>
          <w:p w14:paraId="1428E9B3" w14:textId="77777777" w:rsidR="003C2935" w:rsidRDefault="003C2935">
            <w:pPr>
              <w:spacing w:before="0" w:after="0" w:line="240" w:lineRule="auto"/>
              <w:jc w:val="center"/>
              <w:rPr>
                <w:rFonts w:asciiTheme="majorHAnsi" w:eastAsia="Times New Roman" w:hAnsiTheme="majorHAnsi" w:cs="Times New Roman"/>
                <w:b/>
                <w:bCs/>
                <w:color w:val="FFFFFF" w:themeColor="background1"/>
                <w:lang w:eastAsia="sl-SI"/>
              </w:rPr>
            </w:pPr>
            <w:r>
              <w:rPr>
                <w:rFonts w:asciiTheme="majorHAnsi" w:eastAsia="Times New Roman" w:hAnsiTheme="majorHAnsi" w:cs="Times New Roman"/>
                <w:b/>
                <w:bCs/>
                <w:color w:val="FFFFFF" w:themeColor="background1"/>
                <w:lang w:eastAsia="sl-SI"/>
              </w:rPr>
              <w:t>Izvoz,</w:t>
            </w:r>
          </w:p>
          <w:p w14:paraId="009A3EB0" w14:textId="77777777" w:rsidR="003C2935" w:rsidRDefault="003C2935">
            <w:pPr>
              <w:spacing w:before="0" w:after="0" w:line="240" w:lineRule="auto"/>
              <w:jc w:val="center"/>
              <w:rPr>
                <w:rFonts w:asciiTheme="majorHAnsi" w:eastAsia="Times New Roman" w:hAnsiTheme="majorHAnsi" w:cs="Times New Roman"/>
                <w:bCs/>
                <w:color w:val="FFFFFF" w:themeColor="background1"/>
                <w:lang w:eastAsia="sl-SI"/>
              </w:rPr>
            </w:pPr>
            <w:r>
              <w:rPr>
                <w:rFonts w:asciiTheme="majorHAnsi" w:eastAsia="Times New Roman" w:hAnsiTheme="majorHAnsi" w:cs="Times New Roman"/>
                <w:b/>
                <w:bCs/>
                <w:color w:val="FFFFFF" w:themeColor="background1"/>
                <w:lang w:eastAsia="sl-SI"/>
              </w:rPr>
              <w:t>mio EUR</w:t>
            </w:r>
          </w:p>
        </w:tc>
        <w:tc>
          <w:tcPr>
            <w:tcW w:w="644" w:type="pct"/>
            <w:tcBorders>
              <w:top w:val="single" w:sz="4" w:space="0" w:color="0989B1" w:themeColor="accent6"/>
              <w:left w:val="nil"/>
              <w:bottom w:val="single" w:sz="4" w:space="0" w:color="0989B1" w:themeColor="accent6"/>
              <w:right w:val="nil"/>
            </w:tcBorders>
            <w:shd w:val="clear" w:color="auto" w:fill="0989B1" w:themeFill="accent6"/>
            <w:vAlign w:val="center"/>
            <w:hideMark/>
          </w:tcPr>
          <w:p w14:paraId="3863A46E" w14:textId="77777777" w:rsidR="003C2935" w:rsidRDefault="003C2935">
            <w:pPr>
              <w:spacing w:before="0" w:after="0" w:line="240" w:lineRule="auto"/>
              <w:jc w:val="center"/>
              <w:rPr>
                <w:rFonts w:asciiTheme="majorHAnsi" w:eastAsia="Times New Roman" w:hAnsiTheme="majorHAnsi" w:cs="Times New Roman"/>
                <w:b/>
                <w:bCs/>
                <w:color w:val="FFFFFF" w:themeColor="background1"/>
                <w:lang w:eastAsia="sl-SI"/>
              </w:rPr>
            </w:pPr>
            <w:r>
              <w:rPr>
                <w:rFonts w:asciiTheme="majorHAnsi" w:eastAsia="Times New Roman" w:hAnsiTheme="majorHAnsi" w:cs="Times New Roman"/>
                <w:b/>
                <w:bCs/>
                <w:color w:val="FFFFFF" w:themeColor="background1"/>
                <w:lang w:eastAsia="sl-SI"/>
              </w:rPr>
              <w:t>Dodana vrednost,</w:t>
            </w:r>
          </w:p>
          <w:p w14:paraId="61A7D62B" w14:textId="77777777" w:rsidR="003C2935" w:rsidRDefault="003C2935">
            <w:pPr>
              <w:spacing w:before="0" w:after="0" w:line="240" w:lineRule="auto"/>
              <w:jc w:val="center"/>
              <w:rPr>
                <w:rFonts w:asciiTheme="majorHAnsi" w:eastAsia="Times New Roman" w:hAnsiTheme="majorHAnsi" w:cs="Times New Roman"/>
                <w:bCs/>
                <w:color w:val="FFFFFF" w:themeColor="background1"/>
                <w:lang w:eastAsia="sl-SI"/>
              </w:rPr>
            </w:pPr>
            <w:r>
              <w:rPr>
                <w:rFonts w:asciiTheme="majorHAnsi" w:eastAsia="Times New Roman" w:hAnsiTheme="majorHAnsi" w:cs="Times New Roman"/>
                <w:b/>
                <w:bCs/>
                <w:color w:val="FFFFFF" w:themeColor="background1"/>
                <w:lang w:eastAsia="sl-SI"/>
              </w:rPr>
              <w:t>mio EUR</w:t>
            </w:r>
          </w:p>
        </w:tc>
        <w:tc>
          <w:tcPr>
            <w:tcW w:w="643" w:type="pct"/>
            <w:tcBorders>
              <w:top w:val="single" w:sz="4" w:space="0" w:color="0989B1" w:themeColor="accent6"/>
              <w:left w:val="nil"/>
              <w:bottom w:val="single" w:sz="4" w:space="0" w:color="0989B1" w:themeColor="accent6"/>
              <w:right w:val="nil"/>
            </w:tcBorders>
            <w:shd w:val="clear" w:color="auto" w:fill="0989B1" w:themeFill="accent6"/>
            <w:vAlign w:val="center"/>
          </w:tcPr>
          <w:p w14:paraId="7ED01C7D" w14:textId="77777777" w:rsidR="003C2935" w:rsidRDefault="003C2935">
            <w:pPr>
              <w:spacing w:before="0" w:after="0" w:line="240" w:lineRule="auto"/>
              <w:jc w:val="center"/>
              <w:rPr>
                <w:rFonts w:asciiTheme="majorHAnsi" w:eastAsia="Times New Roman" w:hAnsiTheme="majorHAnsi" w:cs="Times New Roman"/>
                <w:b/>
                <w:bCs/>
                <w:color w:val="FFFFFF" w:themeColor="background1"/>
                <w:lang w:eastAsia="sl-SI"/>
              </w:rPr>
            </w:pPr>
            <w:r>
              <w:rPr>
                <w:rFonts w:asciiTheme="majorHAnsi" w:eastAsia="Times New Roman" w:hAnsiTheme="majorHAnsi" w:cs="Times New Roman"/>
                <w:b/>
                <w:bCs/>
                <w:color w:val="FFFFFF" w:themeColor="background1"/>
                <w:lang w:eastAsia="sl-SI"/>
              </w:rPr>
              <w:t>Število zaposlenih</w:t>
            </w:r>
          </w:p>
          <w:p w14:paraId="10E1E4B2" w14:textId="77777777" w:rsidR="003C2935" w:rsidRDefault="003C2935">
            <w:pPr>
              <w:spacing w:before="0" w:after="0" w:line="240" w:lineRule="auto"/>
              <w:jc w:val="center"/>
              <w:rPr>
                <w:rFonts w:asciiTheme="majorHAnsi" w:eastAsia="Times New Roman" w:hAnsiTheme="majorHAnsi" w:cs="Times New Roman"/>
                <w:bCs/>
                <w:color w:val="FFFFFF" w:themeColor="background1"/>
                <w:lang w:eastAsia="sl-SI"/>
              </w:rPr>
            </w:pPr>
          </w:p>
        </w:tc>
        <w:tc>
          <w:tcPr>
            <w:tcW w:w="644" w:type="pct"/>
            <w:tcBorders>
              <w:top w:val="single" w:sz="4" w:space="0" w:color="0989B1" w:themeColor="accent6"/>
              <w:left w:val="nil"/>
              <w:bottom w:val="single" w:sz="4" w:space="0" w:color="0989B1" w:themeColor="accent6"/>
              <w:right w:val="nil"/>
            </w:tcBorders>
            <w:shd w:val="clear" w:color="auto" w:fill="0989B1" w:themeFill="accent6"/>
            <w:vAlign w:val="center"/>
            <w:hideMark/>
          </w:tcPr>
          <w:p w14:paraId="450F28C0" w14:textId="106D43B9" w:rsidR="003C2935" w:rsidRDefault="003C2935">
            <w:pPr>
              <w:spacing w:before="0" w:after="0" w:line="240" w:lineRule="auto"/>
              <w:jc w:val="center"/>
              <w:rPr>
                <w:rFonts w:asciiTheme="majorHAnsi" w:eastAsia="Times New Roman" w:hAnsiTheme="majorHAnsi" w:cs="Times New Roman"/>
                <w:bCs/>
                <w:color w:val="FFFFFF" w:themeColor="background1"/>
                <w:lang w:eastAsia="sl-SI"/>
              </w:rPr>
            </w:pPr>
            <w:r>
              <w:rPr>
                <w:rFonts w:asciiTheme="majorHAnsi" w:eastAsia="Times New Roman" w:hAnsiTheme="majorHAnsi" w:cs="Times New Roman"/>
                <w:b/>
                <w:bCs/>
                <w:color w:val="FFFFFF" w:themeColor="background1"/>
                <w:lang w:eastAsia="sl-SI"/>
              </w:rPr>
              <w:t>Bruto poslovni presežek (EBITDA), mio EUR</w:t>
            </w:r>
          </w:p>
        </w:tc>
        <w:tc>
          <w:tcPr>
            <w:tcW w:w="644" w:type="pct"/>
            <w:tcBorders>
              <w:top w:val="single" w:sz="4" w:space="0" w:color="0989B1" w:themeColor="accent6"/>
              <w:left w:val="nil"/>
              <w:bottom w:val="single" w:sz="4" w:space="0" w:color="0989B1" w:themeColor="accent6"/>
              <w:right w:val="single" w:sz="4" w:space="0" w:color="0989B1" w:themeColor="accent6"/>
            </w:tcBorders>
            <w:shd w:val="clear" w:color="auto" w:fill="0989B1" w:themeFill="accent6"/>
            <w:vAlign w:val="center"/>
            <w:hideMark/>
          </w:tcPr>
          <w:p w14:paraId="719B2E68" w14:textId="77777777" w:rsidR="003C2935" w:rsidRDefault="003C2935">
            <w:pPr>
              <w:spacing w:before="0" w:after="0" w:line="240" w:lineRule="auto"/>
              <w:jc w:val="center"/>
              <w:rPr>
                <w:rFonts w:asciiTheme="majorHAnsi" w:eastAsia="Times New Roman" w:hAnsiTheme="majorHAnsi" w:cs="Times New Roman"/>
                <w:bCs/>
                <w:color w:val="FFFFFF" w:themeColor="background1"/>
                <w:lang w:eastAsia="sl-SI"/>
              </w:rPr>
            </w:pPr>
            <w:r>
              <w:rPr>
                <w:rFonts w:asciiTheme="majorHAnsi" w:eastAsia="Times New Roman" w:hAnsiTheme="majorHAnsi" w:cs="Times New Roman"/>
                <w:b/>
                <w:bCs/>
                <w:color w:val="FFFFFF" w:themeColor="background1"/>
                <w:lang w:eastAsia="sl-SI"/>
              </w:rPr>
              <w:t>Dodana vrednost na zaposlenega</w:t>
            </w:r>
          </w:p>
        </w:tc>
      </w:tr>
      <w:tr w:rsidR="003C2935" w14:paraId="492FC36D" w14:textId="77777777" w:rsidTr="003C2935">
        <w:tc>
          <w:tcPr>
            <w:tcW w:w="1131" w:type="pct"/>
            <w:tcBorders>
              <w:top w:val="single" w:sz="4" w:space="0" w:color="45CBF5" w:themeColor="accent6" w:themeTint="99"/>
              <w:left w:val="single" w:sz="4" w:space="0" w:color="45CBF5" w:themeColor="accent6" w:themeTint="99"/>
              <w:bottom w:val="single" w:sz="4" w:space="0" w:color="45CBF5" w:themeColor="accent6" w:themeTint="99"/>
              <w:right w:val="nil"/>
            </w:tcBorders>
            <w:shd w:val="clear" w:color="auto" w:fill="C1EDFC" w:themeFill="accent6" w:themeFillTint="33"/>
            <w:noWrap/>
            <w:vAlign w:val="center"/>
            <w:hideMark/>
          </w:tcPr>
          <w:p w14:paraId="4491C18F" w14:textId="77777777" w:rsidR="003C2935" w:rsidRDefault="003C2935">
            <w:pPr>
              <w:spacing w:before="0" w:after="0" w:line="240" w:lineRule="auto"/>
              <w:rPr>
                <w:rFonts w:asciiTheme="majorHAnsi" w:eastAsia="Times New Roman" w:hAnsiTheme="majorHAnsi" w:cs="Times New Roman"/>
                <w:b/>
                <w:bCs/>
                <w:color w:val="000000"/>
                <w:lang w:eastAsia="sl-SI"/>
              </w:rPr>
            </w:pPr>
            <w:r>
              <w:rPr>
                <w:rFonts w:asciiTheme="majorHAnsi" w:eastAsia="Times New Roman" w:hAnsiTheme="majorHAnsi" w:cs="Times New Roman"/>
                <w:b/>
                <w:bCs/>
                <w:color w:val="000000"/>
                <w:lang w:eastAsia="sl-SI"/>
              </w:rPr>
              <w:t>PREDEL. DEJ. SKUPAJ</w:t>
            </w:r>
          </w:p>
        </w:tc>
        <w:tc>
          <w:tcPr>
            <w:tcW w:w="648"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bottom"/>
            <w:hideMark/>
          </w:tcPr>
          <w:p w14:paraId="26BB5BE0" w14:textId="77777777" w:rsidR="003C2935" w:rsidRDefault="003C2935">
            <w:pPr>
              <w:spacing w:before="0" w:after="0" w:line="240" w:lineRule="auto"/>
              <w:jc w:val="right"/>
              <w:rPr>
                <w:rFonts w:asciiTheme="majorHAnsi" w:eastAsia="Times New Roman" w:hAnsiTheme="majorHAnsi" w:cs="Times New Roman"/>
                <w:b/>
                <w:lang w:eastAsia="sl-SI"/>
              </w:rPr>
            </w:pPr>
            <w:r>
              <w:rPr>
                <w:rFonts w:ascii="Trebuchet MS" w:eastAsia="Times New Roman" w:hAnsi="Trebuchet MS" w:cs="Times New Roman"/>
                <w:b/>
                <w:color w:val="000000"/>
                <w:lang w:eastAsia="sl-SI"/>
              </w:rPr>
              <w:t>31.279</w:t>
            </w:r>
          </w:p>
        </w:tc>
        <w:tc>
          <w:tcPr>
            <w:tcW w:w="645"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center"/>
            <w:hideMark/>
          </w:tcPr>
          <w:p w14:paraId="7CC05A71" w14:textId="77777777" w:rsidR="003C2935" w:rsidRDefault="003C2935">
            <w:pPr>
              <w:spacing w:before="0" w:after="0" w:line="240" w:lineRule="auto"/>
              <w:jc w:val="right"/>
              <w:rPr>
                <w:rFonts w:asciiTheme="majorHAnsi" w:eastAsia="Times New Roman" w:hAnsiTheme="majorHAnsi" w:cs="Times New Roman"/>
                <w:b/>
                <w:lang w:eastAsia="sl-SI"/>
              </w:rPr>
            </w:pPr>
            <w:r>
              <w:rPr>
                <w:rFonts w:asciiTheme="majorHAnsi" w:eastAsia="Times New Roman" w:hAnsiTheme="majorHAnsi" w:cs="Times New Roman"/>
                <w:b/>
                <w:lang w:eastAsia="sl-SI"/>
              </w:rPr>
              <w:t>21.764</w:t>
            </w:r>
          </w:p>
        </w:tc>
        <w:tc>
          <w:tcPr>
            <w:tcW w:w="644"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center"/>
            <w:hideMark/>
          </w:tcPr>
          <w:p w14:paraId="7A5A987C" w14:textId="77777777" w:rsidR="003C2935" w:rsidRDefault="003C2935">
            <w:pPr>
              <w:spacing w:before="0" w:after="0" w:line="240" w:lineRule="auto"/>
              <w:jc w:val="right"/>
              <w:rPr>
                <w:rFonts w:asciiTheme="majorHAnsi" w:eastAsia="Times New Roman" w:hAnsiTheme="majorHAnsi" w:cs="Times New Roman"/>
                <w:b/>
                <w:lang w:eastAsia="sl-SI"/>
              </w:rPr>
            </w:pPr>
            <w:r>
              <w:rPr>
                <w:rFonts w:ascii="Trebuchet MS" w:eastAsia="Times New Roman" w:hAnsi="Trebuchet MS" w:cs="Times New Roman"/>
                <w:b/>
                <w:lang w:eastAsia="sl-SI"/>
              </w:rPr>
              <w:t>8.811</w:t>
            </w:r>
          </w:p>
        </w:tc>
        <w:tc>
          <w:tcPr>
            <w:tcW w:w="643"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center"/>
            <w:hideMark/>
          </w:tcPr>
          <w:p w14:paraId="0098BB92" w14:textId="77777777" w:rsidR="003C2935" w:rsidRDefault="003C2935">
            <w:pPr>
              <w:spacing w:before="0" w:after="0" w:line="240" w:lineRule="auto"/>
              <w:jc w:val="right"/>
              <w:rPr>
                <w:rFonts w:asciiTheme="majorHAnsi" w:eastAsia="Times New Roman" w:hAnsiTheme="majorHAnsi" w:cs="Times New Roman"/>
                <w:b/>
                <w:lang w:eastAsia="sl-SI"/>
              </w:rPr>
            </w:pPr>
            <w:r>
              <w:rPr>
                <w:rFonts w:asciiTheme="majorHAnsi" w:eastAsia="Times New Roman" w:hAnsiTheme="majorHAnsi" w:cs="Times New Roman"/>
                <w:b/>
                <w:lang w:eastAsia="sl-SI"/>
              </w:rPr>
              <w:t>201.896</w:t>
            </w:r>
          </w:p>
        </w:tc>
        <w:tc>
          <w:tcPr>
            <w:tcW w:w="644"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center"/>
            <w:hideMark/>
          </w:tcPr>
          <w:p w14:paraId="7E608084" w14:textId="77777777" w:rsidR="003C2935" w:rsidRDefault="003C2935">
            <w:pPr>
              <w:spacing w:before="0" w:after="0" w:line="240" w:lineRule="auto"/>
              <w:jc w:val="right"/>
              <w:rPr>
                <w:rFonts w:asciiTheme="majorHAnsi" w:eastAsia="Times New Roman" w:hAnsiTheme="majorHAnsi" w:cs="Times New Roman"/>
                <w:b/>
                <w:lang w:eastAsia="sl-SI"/>
              </w:rPr>
            </w:pPr>
            <w:r>
              <w:rPr>
                <w:rFonts w:asciiTheme="majorHAnsi" w:eastAsia="Times New Roman" w:hAnsiTheme="majorHAnsi" w:cs="Times New Roman"/>
                <w:b/>
                <w:color w:val="000000"/>
                <w:lang w:eastAsia="sl-SI"/>
              </w:rPr>
              <w:t>3.436</w:t>
            </w:r>
          </w:p>
        </w:tc>
        <w:tc>
          <w:tcPr>
            <w:tcW w:w="644" w:type="pct"/>
            <w:tcBorders>
              <w:top w:val="single" w:sz="4" w:space="0" w:color="45CBF5" w:themeColor="accent6" w:themeTint="99"/>
              <w:left w:val="nil"/>
              <w:bottom w:val="single" w:sz="4" w:space="0" w:color="45CBF5" w:themeColor="accent6" w:themeTint="99"/>
              <w:right w:val="single" w:sz="4" w:space="0" w:color="45CBF5" w:themeColor="accent6" w:themeTint="99"/>
            </w:tcBorders>
            <w:shd w:val="clear" w:color="auto" w:fill="C1EDFC" w:themeFill="accent6" w:themeFillTint="33"/>
            <w:vAlign w:val="center"/>
            <w:hideMark/>
          </w:tcPr>
          <w:p w14:paraId="572F35CC" w14:textId="77777777" w:rsidR="003C2935" w:rsidRDefault="003C2935">
            <w:pPr>
              <w:spacing w:before="0" w:after="0" w:line="240" w:lineRule="auto"/>
              <w:jc w:val="right"/>
              <w:rPr>
                <w:rFonts w:asciiTheme="majorHAnsi" w:eastAsia="Times New Roman" w:hAnsiTheme="majorHAnsi" w:cs="Times New Roman"/>
                <w:b/>
                <w:lang w:eastAsia="sl-SI"/>
              </w:rPr>
            </w:pPr>
            <w:r>
              <w:rPr>
                <w:rFonts w:ascii="Trebuchet MS" w:eastAsia="Times New Roman" w:hAnsi="Trebuchet MS" w:cs="Times New Roman"/>
                <w:b/>
                <w:lang w:eastAsia="sl-SI"/>
              </w:rPr>
              <w:t>43.679</w:t>
            </w:r>
          </w:p>
        </w:tc>
      </w:tr>
      <w:tr w:rsidR="003C2935" w14:paraId="3DD00AD9" w14:textId="77777777" w:rsidTr="003C2935">
        <w:tc>
          <w:tcPr>
            <w:tcW w:w="1131" w:type="pct"/>
            <w:tcBorders>
              <w:top w:val="single" w:sz="4" w:space="0" w:color="45CBF5" w:themeColor="accent6" w:themeTint="99"/>
              <w:left w:val="single" w:sz="4" w:space="0" w:color="45CBF5" w:themeColor="accent6" w:themeTint="99"/>
              <w:bottom w:val="single" w:sz="4" w:space="0" w:color="45CBF5" w:themeColor="accent6" w:themeTint="99"/>
              <w:right w:val="nil"/>
            </w:tcBorders>
            <w:noWrap/>
            <w:vAlign w:val="center"/>
            <w:hideMark/>
          </w:tcPr>
          <w:p w14:paraId="48691127" w14:textId="77777777" w:rsidR="003C2935" w:rsidRDefault="003C2935">
            <w:pPr>
              <w:spacing w:before="0" w:after="0" w:line="240" w:lineRule="auto"/>
              <w:rPr>
                <w:rFonts w:asciiTheme="majorHAnsi" w:eastAsia="Times New Roman" w:hAnsiTheme="majorHAnsi" w:cs="Times New Roman"/>
                <w:b/>
                <w:bCs/>
                <w:color w:val="000000"/>
                <w:lang w:eastAsia="sl-SI"/>
              </w:rPr>
            </w:pPr>
            <w:r>
              <w:rPr>
                <w:rFonts w:asciiTheme="majorHAnsi" w:eastAsia="Times New Roman" w:hAnsiTheme="majorHAnsi" w:cs="Times New Roman"/>
                <w:b/>
                <w:bCs/>
                <w:color w:val="000000"/>
                <w:lang w:eastAsia="sl-SI"/>
              </w:rPr>
              <w:t>Prehrambna</w:t>
            </w:r>
          </w:p>
        </w:tc>
        <w:tc>
          <w:tcPr>
            <w:tcW w:w="648" w:type="pct"/>
            <w:tcBorders>
              <w:top w:val="single" w:sz="4" w:space="0" w:color="45CBF5" w:themeColor="accent6" w:themeTint="99"/>
              <w:left w:val="nil"/>
              <w:bottom w:val="single" w:sz="4" w:space="0" w:color="45CBF5" w:themeColor="accent6" w:themeTint="99"/>
              <w:right w:val="nil"/>
            </w:tcBorders>
            <w:noWrap/>
            <w:vAlign w:val="bottom"/>
            <w:hideMark/>
          </w:tcPr>
          <w:p w14:paraId="01C3D5DF"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color w:val="000000"/>
                <w:lang w:eastAsia="sl-SI"/>
              </w:rPr>
              <w:t>2.385</w:t>
            </w:r>
          </w:p>
        </w:tc>
        <w:tc>
          <w:tcPr>
            <w:tcW w:w="645" w:type="pct"/>
            <w:tcBorders>
              <w:top w:val="single" w:sz="4" w:space="0" w:color="45CBF5" w:themeColor="accent6" w:themeTint="99"/>
              <w:left w:val="nil"/>
              <w:bottom w:val="single" w:sz="4" w:space="0" w:color="45CBF5" w:themeColor="accent6" w:themeTint="99"/>
              <w:right w:val="nil"/>
            </w:tcBorders>
            <w:vAlign w:val="center"/>
            <w:hideMark/>
          </w:tcPr>
          <w:p w14:paraId="50F0712D"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lang w:eastAsia="sl-SI"/>
              </w:rPr>
              <w:t>630</w:t>
            </w:r>
          </w:p>
        </w:tc>
        <w:tc>
          <w:tcPr>
            <w:tcW w:w="644" w:type="pct"/>
            <w:tcBorders>
              <w:top w:val="single" w:sz="4" w:space="0" w:color="45CBF5" w:themeColor="accent6" w:themeTint="99"/>
              <w:left w:val="nil"/>
              <w:bottom w:val="single" w:sz="4" w:space="0" w:color="45CBF5" w:themeColor="accent6" w:themeTint="99"/>
              <w:right w:val="nil"/>
            </w:tcBorders>
            <w:vAlign w:val="center"/>
            <w:hideMark/>
          </w:tcPr>
          <w:p w14:paraId="3332A8C9"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lang w:eastAsia="sl-SI"/>
              </w:rPr>
              <w:t>593</w:t>
            </w:r>
          </w:p>
        </w:tc>
        <w:tc>
          <w:tcPr>
            <w:tcW w:w="643" w:type="pct"/>
            <w:tcBorders>
              <w:top w:val="single" w:sz="4" w:space="0" w:color="45CBF5" w:themeColor="accent6" w:themeTint="99"/>
              <w:left w:val="nil"/>
              <w:bottom w:val="single" w:sz="4" w:space="0" w:color="45CBF5" w:themeColor="accent6" w:themeTint="99"/>
              <w:right w:val="nil"/>
            </w:tcBorders>
            <w:vAlign w:val="bottom"/>
            <w:hideMark/>
          </w:tcPr>
          <w:p w14:paraId="398204E8"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lang w:eastAsia="sl-SI"/>
              </w:rPr>
              <w:t>16.247</w:t>
            </w:r>
          </w:p>
        </w:tc>
        <w:tc>
          <w:tcPr>
            <w:tcW w:w="644" w:type="pct"/>
            <w:tcBorders>
              <w:top w:val="single" w:sz="4" w:space="0" w:color="45CBF5" w:themeColor="accent6" w:themeTint="99"/>
              <w:left w:val="nil"/>
              <w:bottom w:val="single" w:sz="4" w:space="0" w:color="45CBF5" w:themeColor="accent6" w:themeTint="99"/>
              <w:right w:val="nil"/>
            </w:tcBorders>
            <w:vAlign w:val="center"/>
            <w:hideMark/>
          </w:tcPr>
          <w:p w14:paraId="4C03029C"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color w:val="000000"/>
                <w:lang w:eastAsia="sl-SI"/>
              </w:rPr>
              <w:t>229</w:t>
            </w:r>
          </w:p>
        </w:tc>
        <w:tc>
          <w:tcPr>
            <w:tcW w:w="644" w:type="pct"/>
            <w:tcBorders>
              <w:top w:val="single" w:sz="4" w:space="0" w:color="45CBF5" w:themeColor="accent6" w:themeTint="99"/>
              <w:left w:val="nil"/>
              <w:bottom w:val="single" w:sz="4" w:space="0" w:color="45CBF5" w:themeColor="accent6" w:themeTint="99"/>
              <w:right w:val="single" w:sz="4" w:space="0" w:color="45CBF5" w:themeColor="accent6" w:themeTint="99"/>
            </w:tcBorders>
            <w:vAlign w:val="center"/>
            <w:hideMark/>
          </w:tcPr>
          <w:p w14:paraId="2A87FBB5"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lang w:eastAsia="sl-SI"/>
              </w:rPr>
              <w:t>36.324</w:t>
            </w:r>
          </w:p>
        </w:tc>
      </w:tr>
      <w:tr w:rsidR="003C2935" w14:paraId="2CFC2E48" w14:textId="77777777" w:rsidTr="003C2935">
        <w:tc>
          <w:tcPr>
            <w:tcW w:w="1131" w:type="pct"/>
            <w:tcBorders>
              <w:top w:val="single" w:sz="4" w:space="0" w:color="45CBF5" w:themeColor="accent6" w:themeTint="99"/>
              <w:left w:val="single" w:sz="4" w:space="0" w:color="45CBF5" w:themeColor="accent6" w:themeTint="99"/>
              <w:bottom w:val="single" w:sz="4" w:space="0" w:color="45CBF5" w:themeColor="accent6" w:themeTint="99"/>
              <w:right w:val="nil"/>
            </w:tcBorders>
            <w:shd w:val="clear" w:color="auto" w:fill="C1EDFC" w:themeFill="accent6" w:themeFillTint="33"/>
            <w:noWrap/>
            <w:vAlign w:val="center"/>
            <w:hideMark/>
          </w:tcPr>
          <w:p w14:paraId="713CF43B" w14:textId="77777777" w:rsidR="003C2935" w:rsidRDefault="003C2935">
            <w:pPr>
              <w:spacing w:before="0" w:after="0" w:line="240" w:lineRule="auto"/>
              <w:rPr>
                <w:rFonts w:asciiTheme="majorHAnsi" w:eastAsia="Times New Roman" w:hAnsiTheme="majorHAnsi" w:cs="Times New Roman"/>
                <w:b/>
                <w:bCs/>
                <w:color w:val="000000"/>
                <w:lang w:eastAsia="sl-SI"/>
              </w:rPr>
            </w:pPr>
            <w:r>
              <w:rPr>
                <w:rFonts w:asciiTheme="majorHAnsi" w:eastAsia="Times New Roman" w:hAnsiTheme="majorHAnsi" w:cs="Times New Roman"/>
                <w:b/>
                <w:bCs/>
                <w:color w:val="000000"/>
                <w:lang w:eastAsia="sl-SI"/>
              </w:rPr>
              <w:t>Tekstilna</w:t>
            </w:r>
          </w:p>
        </w:tc>
        <w:tc>
          <w:tcPr>
            <w:tcW w:w="648"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noWrap/>
            <w:vAlign w:val="bottom"/>
            <w:hideMark/>
          </w:tcPr>
          <w:p w14:paraId="4A726DA0"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color w:val="000000"/>
                <w:lang w:eastAsia="sl-SI"/>
              </w:rPr>
              <w:t>898</w:t>
            </w:r>
          </w:p>
        </w:tc>
        <w:tc>
          <w:tcPr>
            <w:tcW w:w="645"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center"/>
            <w:hideMark/>
          </w:tcPr>
          <w:p w14:paraId="22E46613"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lang w:eastAsia="sl-SI"/>
              </w:rPr>
              <w:t>661</w:t>
            </w:r>
          </w:p>
        </w:tc>
        <w:tc>
          <w:tcPr>
            <w:tcW w:w="644"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center"/>
            <w:hideMark/>
          </w:tcPr>
          <w:p w14:paraId="2F2C9D4D"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lang w:eastAsia="sl-SI"/>
              </w:rPr>
              <w:t>263</w:t>
            </w:r>
          </w:p>
        </w:tc>
        <w:tc>
          <w:tcPr>
            <w:tcW w:w="643"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bottom"/>
            <w:hideMark/>
          </w:tcPr>
          <w:p w14:paraId="5D9B67DD"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lang w:eastAsia="sl-SI"/>
              </w:rPr>
              <w:t>9.166</w:t>
            </w:r>
          </w:p>
        </w:tc>
        <w:tc>
          <w:tcPr>
            <w:tcW w:w="644"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center"/>
            <w:hideMark/>
          </w:tcPr>
          <w:p w14:paraId="2DEC81C5"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color w:val="000000"/>
                <w:lang w:eastAsia="sl-SI"/>
              </w:rPr>
              <w:t>83</w:t>
            </w:r>
          </w:p>
        </w:tc>
        <w:tc>
          <w:tcPr>
            <w:tcW w:w="644" w:type="pct"/>
            <w:tcBorders>
              <w:top w:val="single" w:sz="4" w:space="0" w:color="45CBF5" w:themeColor="accent6" w:themeTint="99"/>
              <w:left w:val="nil"/>
              <w:bottom w:val="single" w:sz="4" w:space="0" w:color="45CBF5" w:themeColor="accent6" w:themeTint="99"/>
              <w:right w:val="single" w:sz="4" w:space="0" w:color="45CBF5" w:themeColor="accent6" w:themeTint="99"/>
            </w:tcBorders>
            <w:shd w:val="clear" w:color="auto" w:fill="C1EDFC" w:themeFill="accent6" w:themeFillTint="33"/>
            <w:vAlign w:val="center"/>
            <w:hideMark/>
          </w:tcPr>
          <w:p w14:paraId="653B3F67"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lang w:eastAsia="sl-SI"/>
              </w:rPr>
              <w:t>28.741</w:t>
            </w:r>
          </w:p>
        </w:tc>
      </w:tr>
      <w:tr w:rsidR="003C2935" w14:paraId="70B88679" w14:textId="77777777" w:rsidTr="003C2935">
        <w:tc>
          <w:tcPr>
            <w:tcW w:w="1131" w:type="pct"/>
            <w:tcBorders>
              <w:top w:val="single" w:sz="4" w:space="0" w:color="45CBF5" w:themeColor="accent6" w:themeTint="99"/>
              <w:left w:val="single" w:sz="4" w:space="0" w:color="45CBF5" w:themeColor="accent6" w:themeTint="99"/>
              <w:bottom w:val="single" w:sz="4" w:space="0" w:color="45CBF5" w:themeColor="accent6" w:themeTint="99"/>
              <w:right w:val="nil"/>
            </w:tcBorders>
            <w:noWrap/>
            <w:vAlign w:val="center"/>
            <w:hideMark/>
          </w:tcPr>
          <w:p w14:paraId="61884E28" w14:textId="77777777" w:rsidR="003C2935" w:rsidRDefault="003C2935">
            <w:pPr>
              <w:spacing w:before="0" w:after="0" w:line="240" w:lineRule="auto"/>
              <w:rPr>
                <w:rFonts w:asciiTheme="majorHAnsi" w:eastAsia="Times New Roman" w:hAnsiTheme="majorHAnsi" w:cs="Times New Roman"/>
                <w:b/>
                <w:bCs/>
                <w:color w:val="000000"/>
                <w:lang w:eastAsia="sl-SI"/>
              </w:rPr>
            </w:pPr>
            <w:r>
              <w:rPr>
                <w:rFonts w:asciiTheme="majorHAnsi" w:eastAsia="Times New Roman" w:hAnsiTheme="majorHAnsi" w:cs="Times New Roman"/>
                <w:b/>
                <w:bCs/>
                <w:color w:val="000000"/>
                <w:lang w:eastAsia="sl-SI"/>
              </w:rPr>
              <w:t>Lesna</w:t>
            </w:r>
          </w:p>
        </w:tc>
        <w:tc>
          <w:tcPr>
            <w:tcW w:w="648" w:type="pct"/>
            <w:tcBorders>
              <w:top w:val="single" w:sz="4" w:space="0" w:color="45CBF5" w:themeColor="accent6" w:themeTint="99"/>
              <w:left w:val="nil"/>
              <w:bottom w:val="single" w:sz="4" w:space="0" w:color="45CBF5" w:themeColor="accent6" w:themeTint="99"/>
              <w:right w:val="nil"/>
            </w:tcBorders>
            <w:noWrap/>
            <w:vAlign w:val="bottom"/>
            <w:hideMark/>
          </w:tcPr>
          <w:p w14:paraId="452B31BE"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color w:val="000000"/>
                <w:lang w:eastAsia="sl-SI"/>
              </w:rPr>
              <w:t>1.413</w:t>
            </w:r>
          </w:p>
        </w:tc>
        <w:tc>
          <w:tcPr>
            <w:tcW w:w="645" w:type="pct"/>
            <w:tcBorders>
              <w:top w:val="single" w:sz="4" w:space="0" w:color="45CBF5" w:themeColor="accent6" w:themeTint="99"/>
              <w:left w:val="nil"/>
              <w:bottom w:val="single" w:sz="4" w:space="0" w:color="45CBF5" w:themeColor="accent6" w:themeTint="99"/>
              <w:right w:val="nil"/>
            </w:tcBorders>
            <w:vAlign w:val="center"/>
            <w:hideMark/>
          </w:tcPr>
          <w:p w14:paraId="25201E5E"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lang w:eastAsia="sl-SI"/>
              </w:rPr>
              <w:t>777</w:t>
            </w:r>
          </w:p>
        </w:tc>
        <w:tc>
          <w:tcPr>
            <w:tcW w:w="644" w:type="pct"/>
            <w:tcBorders>
              <w:top w:val="single" w:sz="4" w:space="0" w:color="45CBF5" w:themeColor="accent6" w:themeTint="99"/>
              <w:left w:val="nil"/>
              <w:bottom w:val="single" w:sz="4" w:space="0" w:color="45CBF5" w:themeColor="accent6" w:themeTint="99"/>
              <w:right w:val="nil"/>
            </w:tcBorders>
            <w:vAlign w:val="center"/>
            <w:hideMark/>
          </w:tcPr>
          <w:p w14:paraId="5C39B58B"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lang w:eastAsia="sl-SI"/>
              </w:rPr>
              <w:t>439</w:t>
            </w:r>
          </w:p>
        </w:tc>
        <w:tc>
          <w:tcPr>
            <w:tcW w:w="643" w:type="pct"/>
            <w:tcBorders>
              <w:top w:val="single" w:sz="4" w:space="0" w:color="45CBF5" w:themeColor="accent6" w:themeTint="99"/>
              <w:left w:val="nil"/>
              <w:bottom w:val="single" w:sz="4" w:space="0" w:color="45CBF5" w:themeColor="accent6" w:themeTint="99"/>
              <w:right w:val="nil"/>
            </w:tcBorders>
            <w:vAlign w:val="bottom"/>
            <w:hideMark/>
          </w:tcPr>
          <w:p w14:paraId="2CF67495"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lang w:eastAsia="sl-SI"/>
              </w:rPr>
              <w:t>13.169</w:t>
            </w:r>
          </w:p>
        </w:tc>
        <w:tc>
          <w:tcPr>
            <w:tcW w:w="644" w:type="pct"/>
            <w:tcBorders>
              <w:top w:val="single" w:sz="4" w:space="0" w:color="45CBF5" w:themeColor="accent6" w:themeTint="99"/>
              <w:left w:val="nil"/>
              <w:bottom w:val="single" w:sz="4" w:space="0" w:color="45CBF5" w:themeColor="accent6" w:themeTint="99"/>
              <w:right w:val="nil"/>
            </w:tcBorders>
            <w:vAlign w:val="center"/>
            <w:hideMark/>
          </w:tcPr>
          <w:p w14:paraId="05E33EDD"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color w:val="000000"/>
                <w:lang w:eastAsia="sl-SI"/>
              </w:rPr>
              <w:t>168</w:t>
            </w:r>
          </w:p>
        </w:tc>
        <w:tc>
          <w:tcPr>
            <w:tcW w:w="644" w:type="pct"/>
            <w:tcBorders>
              <w:top w:val="single" w:sz="4" w:space="0" w:color="45CBF5" w:themeColor="accent6" w:themeTint="99"/>
              <w:left w:val="nil"/>
              <w:bottom w:val="single" w:sz="4" w:space="0" w:color="45CBF5" w:themeColor="accent6" w:themeTint="99"/>
              <w:right w:val="single" w:sz="4" w:space="0" w:color="45CBF5" w:themeColor="accent6" w:themeTint="99"/>
            </w:tcBorders>
            <w:vAlign w:val="center"/>
            <w:hideMark/>
          </w:tcPr>
          <w:p w14:paraId="79EF69BE"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lang w:eastAsia="sl-SI"/>
              </w:rPr>
              <w:t>34.238</w:t>
            </w:r>
          </w:p>
        </w:tc>
      </w:tr>
      <w:tr w:rsidR="003C2935" w14:paraId="51D57E31" w14:textId="77777777" w:rsidTr="003C2935">
        <w:tc>
          <w:tcPr>
            <w:tcW w:w="1131" w:type="pct"/>
            <w:tcBorders>
              <w:top w:val="single" w:sz="4" w:space="0" w:color="45CBF5" w:themeColor="accent6" w:themeTint="99"/>
              <w:left w:val="single" w:sz="4" w:space="0" w:color="45CBF5" w:themeColor="accent6" w:themeTint="99"/>
              <w:bottom w:val="single" w:sz="4" w:space="0" w:color="45CBF5" w:themeColor="accent6" w:themeTint="99"/>
              <w:right w:val="nil"/>
            </w:tcBorders>
            <w:shd w:val="clear" w:color="auto" w:fill="C1EDFC" w:themeFill="accent6" w:themeFillTint="33"/>
            <w:noWrap/>
            <w:vAlign w:val="center"/>
            <w:hideMark/>
          </w:tcPr>
          <w:p w14:paraId="720BB1E3" w14:textId="77777777" w:rsidR="003C2935" w:rsidRDefault="003C2935">
            <w:pPr>
              <w:spacing w:before="0" w:after="0" w:line="240" w:lineRule="auto"/>
              <w:rPr>
                <w:rFonts w:asciiTheme="majorHAnsi" w:eastAsia="Times New Roman" w:hAnsiTheme="majorHAnsi" w:cs="Times New Roman"/>
                <w:b/>
                <w:bCs/>
                <w:color w:val="000000"/>
                <w:lang w:eastAsia="sl-SI"/>
              </w:rPr>
            </w:pPr>
            <w:r>
              <w:rPr>
                <w:rFonts w:asciiTheme="majorHAnsi" w:eastAsia="Times New Roman" w:hAnsiTheme="majorHAnsi" w:cs="Times New Roman"/>
                <w:b/>
                <w:bCs/>
                <w:color w:val="000000"/>
                <w:lang w:eastAsia="sl-SI"/>
              </w:rPr>
              <w:t>Papirna</w:t>
            </w:r>
          </w:p>
        </w:tc>
        <w:tc>
          <w:tcPr>
            <w:tcW w:w="648"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noWrap/>
            <w:vAlign w:val="bottom"/>
            <w:hideMark/>
          </w:tcPr>
          <w:p w14:paraId="45B43AE4"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color w:val="000000"/>
                <w:lang w:eastAsia="sl-SI"/>
              </w:rPr>
              <w:t>1.297</w:t>
            </w:r>
          </w:p>
        </w:tc>
        <w:tc>
          <w:tcPr>
            <w:tcW w:w="645"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center"/>
            <w:hideMark/>
          </w:tcPr>
          <w:p w14:paraId="2E44062F"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lang w:eastAsia="sl-SI"/>
              </w:rPr>
              <w:t>743</w:t>
            </w:r>
          </w:p>
        </w:tc>
        <w:tc>
          <w:tcPr>
            <w:tcW w:w="644"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center"/>
            <w:hideMark/>
          </w:tcPr>
          <w:p w14:paraId="02AE0C40"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lang w:eastAsia="sl-SI"/>
              </w:rPr>
              <w:t>300</w:t>
            </w:r>
          </w:p>
        </w:tc>
        <w:tc>
          <w:tcPr>
            <w:tcW w:w="643"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bottom"/>
            <w:hideMark/>
          </w:tcPr>
          <w:p w14:paraId="6A189830"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lang w:eastAsia="sl-SI"/>
              </w:rPr>
              <w:t>5.705</w:t>
            </w:r>
          </w:p>
        </w:tc>
        <w:tc>
          <w:tcPr>
            <w:tcW w:w="644"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center"/>
            <w:hideMark/>
          </w:tcPr>
          <w:p w14:paraId="4C935855"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color w:val="000000"/>
                <w:lang w:eastAsia="sl-SI"/>
              </w:rPr>
              <w:t>100</w:t>
            </w:r>
          </w:p>
        </w:tc>
        <w:tc>
          <w:tcPr>
            <w:tcW w:w="644" w:type="pct"/>
            <w:tcBorders>
              <w:top w:val="single" w:sz="4" w:space="0" w:color="45CBF5" w:themeColor="accent6" w:themeTint="99"/>
              <w:left w:val="nil"/>
              <w:bottom w:val="single" w:sz="4" w:space="0" w:color="45CBF5" w:themeColor="accent6" w:themeTint="99"/>
              <w:right w:val="single" w:sz="4" w:space="0" w:color="45CBF5" w:themeColor="accent6" w:themeTint="99"/>
            </w:tcBorders>
            <w:shd w:val="clear" w:color="auto" w:fill="C1EDFC" w:themeFill="accent6" w:themeFillTint="33"/>
            <w:vAlign w:val="center"/>
            <w:hideMark/>
          </w:tcPr>
          <w:p w14:paraId="4BB09F20"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lang w:eastAsia="sl-SI"/>
              </w:rPr>
              <w:t>36.556</w:t>
            </w:r>
          </w:p>
        </w:tc>
      </w:tr>
      <w:tr w:rsidR="003C2935" w14:paraId="490130A2" w14:textId="77777777" w:rsidTr="003C2935">
        <w:tc>
          <w:tcPr>
            <w:tcW w:w="1131" w:type="pct"/>
            <w:tcBorders>
              <w:top w:val="single" w:sz="4" w:space="0" w:color="45CBF5" w:themeColor="accent6" w:themeTint="99"/>
              <w:left w:val="single" w:sz="4" w:space="0" w:color="45CBF5" w:themeColor="accent6" w:themeTint="99"/>
              <w:bottom w:val="single" w:sz="4" w:space="0" w:color="45CBF5" w:themeColor="accent6" w:themeTint="99"/>
              <w:right w:val="nil"/>
            </w:tcBorders>
            <w:noWrap/>
            <w:vAlign w:val="center"/>
            <w:hideMark/>
          </w:tcPr>
          <w:p w14:paraId="06570967" w14:textId="77777777" w:rsidR="003C2935" w:rsidRDefault="003C2935">
            <w:pPr>
              <w:spacing w:before="0" w:after="0" w:line="240" w:lineRule="auto"/>
              <w:rPr>
                <w:rFonts w:asciiTheme="majorHAnsi" w:eastAsia="Times New Roman" w:hAnsiTheme="majorHAnsi" w:cs="Times New Roman"/>
                <w:b/>
                <w:bCs/>
                <w:color w:val="000000"/>
                <w:lang w:eastAsia="sl-SI"/>
              </w:rPr>
            </w:pPr>
            <w:r>
              <w:rPr>
                <w:rFonts w:asciiTheme="majorHAnsi" w:eastAsia="Times New Roman" w:hAnsiTheme="majorHAnsi" w:cs="Times New Roman"/>
                <w:b/>
                <w:bCs/>
                <w:color w:val="000000"/>
                <w:lang w:eastAsia="sl-SI"/>
              </w:rPr>
              <w:t>Kemična</w:t>
            </w:r>
          </w:p>
        </w:tc>
        <w:tc>
          <w:tcPr>
            <w:tcW w:w="648" w:type="pct"/>
            <w:tcBorders>
              <w:top w:val="single" w:sz="4" w:space="0" w:color="45CBF5" w:themeColor="accent6" w:themeTint="99"/>
              <w:left w:val="nil"/>
              <w:bottom w:val="single" w:sz="4" w:space="0" w:color="45CBF5" w:themeColor="accent6" w:themeTint="99"/>
              <w:right w:val="nil"/>
            </w:tcBorders>
            <w:noWrap/>
            <w:vAlign w:val="bottom"/>
            <w:hideMark/>
          </w:tcPr>
          <w:p w14:paraId="54106199"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color w:val="000000"/>
                <w:lang w:eastAsia="sl-SI"/>
              </w:rPr>
              <w:t>5.991</w:t>
            </w:r>
          </w:p>
        </w:tc>
        <w:tc>
          <w:tcPr>
            <w:tcW w:w="645" w:type="pct"/>
            <w:tcBorders>
              <w:top w:val="single" w:sz="4" w:space="0" w:color="45CBF5" w:themeColor="accent6" w:themeTint="99"/>
              <w:left w:val="nil"/>
              <w:bottom w:val="single" w:sz="4" w:space="0" w:color="45CBF5" w:themeColor="accent6" w:themeTint="99"/>
              <w:right w:val="nil"/>
            </w:tcBorders>
            <w:vAlign w:val="center"/>
            <w:hideMark/>
          </w:tcPr>
          <w:p w14:paraId="137D18BB"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lang w:eastAsia="sl-SI"/>
              </w:rPr>
              <w:t>4.762</w:t>
            </w:r>
          </w:p>
        </w:tc>
        <w:tc>
          <w:tcPr>
            <w:tcW w:w="644" w:type="pct"/>
            <w:tcBorders>
              <w:top w:val="single" w:sz="4" w:space="0" w:color="45CBF5" w:themeColor="accent6" w:themeTint="99"/>
              <w:left w:val="nil"/>
              <w:bottom w:val="single" w:sz="4" w:space="0" w:color="45CBF5" w:themeColor="accent6" w:themeTint="99"/>
              <w:right w:val="nil"/>
            </w:tcBorders>
            <w:vAlign w:val="center"/>
            <w:hideMark/>
          </w:tcPr>
          <w:p w14:paraId="412A71DC"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lang w:eastAsia="sl-SI"/>
              </w:rPr>
              <w:t>2.051</w:t>
            </w:r>
          </w:p>
        </w:tc>
        <w:tc>
          <w:tcPr>
            <w:tcW w:w="643" w:type="pct"/>
            <w:tcBorders>
              <w:top w:val="single" w:sz="4" w:space="0" w:color="45CBF5" w:themeColor="accent6" w:themeTint="99"/>
              <w:left w:val="nil"/>
              <w:bottom w:val="single" w:sz="4" w:space="0" w:color="45CBF5" w:themeColor="accent6" w:themeTint="99"/>
              <w:right w:val="nil"/>
            </w:tcBorders>
            <w:vAlign w:val="bottom"/>
            <w:hideMark/>
          </w:tcPr>
          <w:p w14:paraId="145EDA0B"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lang w:eastAsia="sl-SI"/>
              </w:rPr>
              <w:t>24.712</w:t>
            </w:r>
          </w:p>
        </w:tc>
        <w:tc>
          <w:tcPr>
            <w:tcW w:w="644" w:type="pct"/>
            <w:tcBorders>
              <w:top w:val="single" w:sz="4" w:space="0" w:color="45CBF5" w:themeColor="accent6" w:themeTint="99"/>
              <w:left w:val="nil"/>
              <w:bottom w:val="single" w:sz="4" w:space="0" w:color="45CBF5" w:themeColor="accent6" w:themeTint="99"/>
              <w:right w:val="nil"/>
            </w:tcBorders>
            <w:vAlign w:val="center"/>
            <w:hideMark/>
          </w:tcPr>
          <w:p w14:paraId="15DF98AA"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color w:val="000000"/>
                <w:lang w:eastAsia="sl-SI"/>
              </w:rPr>
              <w:t>972</w:t>
            </w:r>
          </w:p>
        </w:tc>
        <w:tc>
          <w:tcPr>
            <w:tcW w:w="644" w:type="pct"/>
            <w:tcBorders>
              <w:top w:val="single" w:sz="4" w:space="0" w:color="45CBF5" w:themeColor="accent6" w:themeTint="99"/>
              <w:left w:val="nil"/>
              <w:bottom w:val="single" w:sz="4" w:space="0" w:color="45CBF5" w:themeColor="accent6" w:themeTint="99"/>
              <w:right w:val="single" w:sz="4" w:space="0" w:color="45CBF5" w:themeColor="accent6" w:themeTint="99"/>
            </w:tcBorders>
            <w:vAlign w:val="center"/>
            <w:hideMark/>
          </w:tcPr>
          <w:p w14:paraId="3DF05BDE"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lang w:eastAsia="sl-SI"/>
              </w:rPr>
              <w:t>64.109</w:t>
            </w:r>
          </w:p>
        </w:tc>
      </w:tr>
      <w:tr w:rsidR="003C2935" w14:paraId="32AB0E11" w14:textId="77777777" w:rsidTr="003C2935">
        <w:tc>
          <w:tcPr>
            <w:tcW w:w="1131" w:type="pct"/>
            <w:tcBorders>
              <w:top w:val="single" w:sz="4" w:space="0" w:color="45CBF5" w:themeColor="accent6" w:themeTint="99"/>
              <w:left w:val="single" w:sz="4" w:space="0" w:color="45CBF5" w:themeColor="accent6" w:themeTint="99"/>
              <w:bottom w:val="single" w:sz="4" w:space="0" w:color="45CBF5" w:themeColor="accent6" w:themeTint="99"/>
              <w:right w:val="nil"/>
            </w:tcBorders>
            <w:shd w:val="clear" w:color="auto" w:fill="C1EDFC" w:themeFill="accent6" w:themeFillTint="33"/>
            <w:noWrap/>
            <w:vAlign w:val="center"/>
            <w:hideMark/>
          </w:tcPr>
          <w:p w14:paraId="4DB3A0A6" w14:textId="77777777" w:rsidR="003C2935" w:rsidRDefault="003C2935">
            <w:pPr>
              <w:spacing w:before="0" w:after="0" w:line="240" w:lineRule="auto"/>
              <w:rPr>
                <w:rFonts w:asciiTheme="majorHAnsi" w:eastAsia="Times New Roman" w:hAnsiTheme="majorHAnsi" w:cs="Times New Roman"/>
                <w:b/>
                <w:bCs/>
                <w:color w:val="000000"/>
                <w:lang w:eastAsia="sl-SI"/>
              </w:rPr>
            </w:pPr>
            <w:r>
              <w:rPr>
                <w:rFonts w:asciiTheme="majorHAnsi" w:eastAsia="Times New Roman" w:hAnsiTheme="majorHAnsi" w:cs="Times New Roman"/>
                <w:b/>
                <w:bCs/>
                <w:color w:val="000000"/>
                <w:lang w:eastAsia="sl-SI"/>
              </w:rPr>
              <w:t>Nekovinska</w:t>
            </w:r>
          </w:p>
        </w:tc>
        <w:tc>
          <w:tcPr>
            <w:tcW w:w="648"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noWrap/>
            <w:vAlign w:val="bottom"/>
            <w:hideMark/>
          </w:tcPr>
          <w:p w14:paraId="7F26EC6C"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color w:val="000000"/>
                <w:lang w:eastAsia="sl-SI"/>
              </w:rPr>
              <w:t>1.014</w:t>
            </w:r>
          </w:p>
        </w:tc>
        <w:tc>
          <w:tcPr>
            <w:tcW w:w="645"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center"/>
            <w:hideMark/>
          </w:tcPr>
          <w:p w14:paraId="1348EF90"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lang w:eastAsia="sl-SI"/>
              </w:rPr>
              <w:t>589</w:t>
            </w:r>
          </w:p>
        </w:tc>
        <w:tc>
          <w:tcPr>
            <w:tcW w:w="644"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center"/>
            <w:hideMark/>
          </w:tcPr>
          <w:p w14:paraId="701B1265"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lang w:eastAsia="sl-SI"/>
              </w:rPr>
              <w:t>336</w:t>
            </w:r>
          </w:p>
        </w:tc>
        <w:tc>
          <w:tcPr>
            <w:tcW w:w="643"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bottom"/>
            <w:hideMark/>
          </w:tcPr>
          <w:p w14:paraId="599D978A"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lang w:eastAsia="sl-SI"/>
              </w:rPr>
              <w:t>6.967</w:t>
            </w:r>
          </w:p>
        </w:tc>
        <w:tc>
          <w:tcPr>
            <w:tcW w:w="644"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center"/>
            <w:hideMark/>
          </w:tcPr>
          <w:p w14:paraId="0DCB63E0"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color w:val="000000"/>
                <w:lang w:eastAsia="sl-SI"/>
              </w:rPr>
              <w:t>150</w:t>
            </w:r>
          </w:p>
        </w:tc>
        <w:tc>
          <w:tcPr>
            <w:tcW w:w="644" w:type="pct"/>
            <w:tcBorders>
              <w:top w:val="single" w:sz="4" w:space="0" w:color="45CBF5" w:themeColor="accent6" w:themeTint="99"/>
              <w:left w:val="nil"/>
              <w:bottom w:val="single" w:sz="4" w:space="0" w:color="45CBF5" w:themeColor="accent6" w:themeTint="99"/>
              <w:right w:val="single" w:sz="4" w:space="0" w:color="45CBF5" w:themeColor="accent6" w:themeTint="99"/>
            </w:tcBorders>
            <w:shd w:val="clear" w:color="auto" w:fill="C1EDFC" w:themeFill="accent6" w:themeFillTint="33"/>
            <w:vAlign w:val="center"/>
            <w:hideMark/>
          </w:tcPr>
          <w:p w14:paraId="4EC33A94"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lang w:eastAsia="sl-SI"/>
              </w:rPr>
              <w:t>48.051</w:t>
            </w:r>
          </w:p>
        </w:tc>
      </w:tr>
      <w:tr w:rsidR="003C2935" w14:paraId="2D416A0A" w14:textId="77777777" w:rsidTr="003C2935">
        <w:tc>
          <w:tcPr>
            <w:tcW w:w="1131" w:type="pct"/>
            <w:tcBorders>
              <w:top w:val="single" w:sz="4" w:space="0" w:color="45CBF5" w:themeColor="accent6" w:themeTint="99"/>
              <w:left w:val="single" w:sz="4" w:space="0" w:color="45CBF5" w:themeColor="accent6" w:themeTint="99"/>
              <w:bottom w:val="single" w:sz="4" w:space="0" w:color="45CBF5" w:themeColor="accent6" w:themeTint="99"/>
              <w:right w:val="nil"/>
            </w:tcBorders>
            <w:noWrap/>
            <w:vAlign w:val="center"/>
            <w:hideMark/>
          </w:tcPr>
          <w:p w14:paraId="674774E5" w14:textId="77777777" w:rsidR="003C2935" w:rsidRDefault="003C2935">
            <w:pPr>
              <w:spacing w:before="0" w:after="0" w:line="240" w:lineRule="auto"/>
              <w:rPr>
                <w:rFonts w:asciiTheme="majorHAnsi" w:eastAsia="Times New Roman" w:hAnsiTheme="majorHAnsi" w:cs="Times New Roman"/>
                <w:b/>
                <w:bCs/>
                <w:color w:val="000000"/>
                <w:lang w:eastAsia="sl-SI"/>
              </w:rPr>
            </w:pPr>
            <w:r>
              <w:rPr>
                <w:rFonts w:asciiTheme="majorHAnsi" w:eastAsia="Times New Roman" w:hAnsiTheme="majorHAnsi" w:cs="Times New Roman"/>
                <w:b/>
                <w:bCs/>
                <w:color w:val="000000"/>
                <w:lang w:eastAsia="sl-SI"/>
              </w:rPr>
              <w:t>Kovinska</w:t>
            </w:r>
          </w:p>
        </w:tc>
        <w:tc>
          <w:tcPr>
            <w:tcW w:w="648" w:type="pct"/>
            <w:tcBorders>
              <w:top w:val="single" w:sz="4" w:space="0" w:color="45CBF5" w:themeColor="accent6" w:themeTint="99"/>
              <w:left w:val="nil"/>
              <w:bottom w:val="single" w:sz="4" w:space="0" w:color="45CBF5" w:themeColor="accent6" w:themeTint="99"/>
              <w:right w:val="nil"/>
            </w:tcBorders>
            <w:noWrap/>
            <w:vAlign w:val="bottom"/>
            <w:hideMark/>
          </w:tcPr>
          <w:p w14:paraId="3B5C6369"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color w:val="000000"/>
                <w:lang w:eastAsia="sl-SI"/>
              </w:rPr>
              <w:t>6.433</w:t>
            </w:r>
          </w:p>
        </w:tc>
        <w:tc>
          <w:tcPr>
            <w:tcW w:w="645" w:type="pct"/>
            <w:tcBorders>
              <w:top w:val="single" w:sz="4" w:space="0" w:color="45CBF5" w:themeColor="accent6" w:themeTint="99"/>
              <w:left w:val="nil"/>
              <w:bottom w:val="single" w:sz="4" w:space="0" w:color="45CBF5" w:themeColor="accent6" w:themeTint="99"/>
              <w:right w:val="nil"/>
            </w:tcBorders>
            <w:vAlign w:val="center"/>
            <w:hideMark/>
          </w:tcPr>
          <w:p w14:paraId="625E9466"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lang w:eastAsia="sl-SI"/>
              </w:rPr>
              <w:t>4.293</w:t>
            </w:r>
          </w:p>
        </w:tc>
        <w:tc>
          <w:tcPr>
            <w:tcW w:w="644" w:type="pct"/>
            <w:tcBorders>
              <w:top w:val="single" w:sz="4" w:space="0" w:color="45CBF5" w:themeColor="accent6" w:themeTint="99"/>
              <w:left w:val="nil"/>
              <w:bottom w:val="single" w:sz="4" w:space="0" w:color="45CBF5" w:themeColor="accent6" w:themeTint="99"/>
              <w:right w:val="nil"/>
            </w:tcBorders>
            <w:vAlign w:val="center"/>
            <w:hideMark/>
          </w:tcPr>
          <w:p w14:paraId="6170046A"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lang w:eastAsia="sl-SI"/>
              </w:rPr>
              <w:t>1.748</w:t>
            </w:r>
          </w:p>
        </w:tc>
        <w:tc>
          <w:tcPr>
            <w:tcW w:w="643" w:type="pct"/>
            <w:tcBorders>
              <w:top w:val="single" w:sz="4" w:space="0" w:color="45CBF5" w:themeColor="accent6" w:themeTint="99"/>
              <w:left w:val="nil"/>
              <w:bottom w:val="single" w:sz="4" w:space="0" w:color="45CBF5" w:themeColor="accent6" w:themeTint="99"/>
              <w:right w:val="nil"/>
            </w:tcBorders>
            <w:vAlign w:val="bottom"/>
            <w:hideMark/>
          </w:tcPr>
          <w:p w14:paraId="21663DE9"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lang w:eastAsia="sl-SI"/>
              </w:rPr>
              <w:t>42.712</w:t>
            </w:r>
          </w:p>
        </w:tc>
        <w:tc>
          <w:tcPr>
            <w:tcW w:w="644" w:type="pct"/>
            <w:tcBorders>
              <w:top w:val="single" w:sz="4" w:space="0" w:color="45CBF5" w:themeColor="accent6" w:themeTint="99"/>
              <w:left w:val="nil"/>
              <w:bottom w:val="single" w:sz="4" w:space="0" w:color="45CBF5" w:themeColor="accent6" w:themeTint="99"/>
              <w:right w:val="nil"/>
            </w:tcBorders>
            <w:vAlign w:val="center"/>
            <w:hideMark/>
          </w:tcPr>
          <w:p w14:paraId="6A61E098"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color w:val="000000"/>
                <w:lang w:eastAsia="sl-SI"/>
              </w:rPr>
              <w:t>642</w:t>
            </w:r>
          </w:p>
        </w:tc>
        <w:tc>
          <w:tcPr>
            <w:tcW w:w="644" w:type="pct"/>
            <w:tcBorders>
              <w:top w:val="single" w:sz="4" w:space="0" w:color="45CBF5" w:themeColor="accent6" w:themeTint="99"/>
              <w:left w:val="nil"/>
              <w:bottom w:val="single" w:sz="4" w:space="0" w:color="45CBF5" w:themeColor="accent6" w:themeTint="99"/>
              <w:right w:val="single" w:sz="4" w:space="0" w:color="45CBF5" w:themeColor="accent6" w:themeTint="99"/>
            </w:tcBorders>
            <w:vAlign w:val="center"/>
            <w:hideMark/>
          </w:tcPr>
          <w:p w14:paraId="47F215F6"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lang w:eastAsia="sl-SI"/>
              </w:rPr>
              <w:t>40.933</w:t>
            </w:r>
          </w:p>
        </w:tc>
      </w:tr>
      <w:tr w:rsidR="003C2935" w14:paraId="4F9F283F" w14:textId="77777777" w:rsidTr="003C2935">
        <w:tc>
          <w:tcPr>
            <w:tcW w:w="1131" w:type="pct"/>
            <w:tcBorders>
              <w:top w:val="single" w:sz="4" w:space="0" w:color="45CBF5" w:themeColor="accent6" w:themeTint="99"/>
              <w:left w:val="single" w:sz="4" w:space="0" w:color="45CBF5" w:themeColor="accent6" w:themeTint="99"/>
              <w:bottom w:val="single" w:sz="4" w:space="0" w:color="45CBF5" w:themeColor="accent6" w:themeTint="99"/>
              <w:right w:val="nil"/>
            </w:tcBorders>
            <w:shd w:val="clear" w:color="auto" w:fill="C1EDFC" w:themeFill="accent6" w:themeFillTint="33"/>
            <w:noWrap/>
            <w:vAlign w:val="center"/>
            <w:hideMark/>
          </w:tcPr>
          <w:p w14:paraId="418DDC25" w14:textId="77777777" w:rsidR="003C2935" w:rsidRDefault="003C2935">
            <w:pPr>
              <w:spacing w:before="0" w:after="0" w:line="240" w:lineRule="auto"/>
              <w:rPr>
                <w:rFonts w:asciiTheme="majorHAnsi" w:eastAsia="Times New Roman" w:hAnsiTheme="majorHAnsi" w:cs="Times New Roman"/>
                <w:b/>
                <w:bCs/>
                <w:color w:val="000000"/>
                <w:lang w:eastAsia="sl-SI"/>
              </w:rPr>
            </w:pPr>
            <w:r>
              <w:rPr>
                <w:rFonts w:asciiTheme="majorHAnsi" w:eastAsia="Times New Roman" w:hAnsiTheme="majorHAnsi" w:cs="Times New Roman"/>
                <w:b/>
                <w:bCs/>
                <w:color w:val="000000"/>
                <w:lang w:eastAsia="sl-SI"/>
              </w:rPr>
              <w:t>Elektro</w:t>
            </w:r>
          </w:p>
        </w:tc>
        <w:tc>
          <w:tcPr>
            <w:tcW w:w="648"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noWrap/>
            <w:vAlign w:val="bottom"/>
            <w:hideMark/>
          </w:tcPr>
          <w:p w14:paraId="7A436176"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color w:val="000000"/>
                <w:lang w:eastAsia="sl-SI"/>
              </w:rPr>
              <w:t>4.387</w:t>
            </w:r>
          </w:p>
        </w:tc>
        <w:tc>
          <w:tcPr>
            <w:tcW w:w="645"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center"/>
            <w:hideMark/>
          </w:tcPr>
          <w:p w14:paraId="05FEECE6"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lang w:eastAsia="sl-SI"/>
              </w:rPr>
              <w:t>3.525</w:t>
            </w:r>
          </w:p>
        </w:tc>
        <w:tc>
          <w:tcPr>
            <w:tcW w:w="644"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center"/>
            <w:hideMark/>
          </w:tcPr>
          <w:p w14:paraId="1FD2DEF1"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lang w:eastAsia="sl-SI"/>
              </w:rPr>
              <w:t>1.115</w:t>
            </w:r>
          </w:p>
        </w:tc>
        <w:tc>
          <w:tcPr>
            <w:tcW w:w="643"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bottom"/>
            <w:hideMark/>
          </w:tcPr>
          <w:p w14:paraId="77BF7D8B"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lang w:eastAsia="sl-SI"/>
              </w:rPr>
              <w:t>28.024</w:t>
            </w:r>
          </w:p>
        </w:tc>
        <w:tc>
          <w:tcPr>
            <w:tcW w:w="644"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center"/>
            <w:hideMark/>
          </w:tcPr>
          <w:p w14:paraId="08402DF8"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color w:val="000000"/>
                <w:lang w:eastAsia="sl-SI"/>
              </w:rPr>
              <w:t>375</w:t>
            </w:r>
          </w:p>
        </w:tc>
        <w:tc>
          <w:tcPr>
            <w:tcW w:w="644" w:type="pct"/>
            <w:tcBorders>
              <w:top w:val="single" w:sz="4" w:space="0" w:color="45CBF5" w:themeColor="accent6" w:themeTint="99"/>
              <w:left w:val="nil"/>
              <w:bottom w:val="single" w:sz="4" w:space="0" w:color="45CBF5" w:themeColor="accent6" w:themeTint="99"/>
              <w:right w:val="single" w:sz="4" w:space="0" w:color="45CBF5" w:themeColor="accent6" w:themeTint="99"/>
            </w:tcBorders>
            <w:shd w:val="clear" w:color="auto" w:fill="C1EDFC" w:themeFill="accent6" w:themeFillTint="33"/>
            <w:vAlign w:val="center"/>
            <w:hideMark/>
          </w:tcPr>
          <w:p w14:paraId="213028EF"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lang w:eastAsia="sl-SI"/>
              </w:rPr>
              <w:t>39.804</w:t>
            </w:r>
          </w:p>
        </w:tc>
      </w:tr>
      <w:tr w:rsidR="003C2935" w14:paraId="4C924B71" w14:textId="77777777" w:rsidTr="003C2935">
        <w:tc>
          <w:tcPr>
            <w:tcW w:w="1131" w:type="pct"/>
            <w:tcBorders>
              <w:top w:val="single" w:sz="4" w:space="0" w:color="45CBF5" w:themeColor="accent6" w:themeTint="99"/>
              <w:left w:val="single" w:sz="4" w:space="0" w:color="45CBF5" w:themeColor="accent6" w:themeTint="99"/>
              <w:bottom w:val="single" w:sz="4" w:space="0" w:color="45CBF5" w:themeColor="accent6" w:themeTint="99"/>
              <w:right w:val="nil"/>
            </w:tcBorders>
            <w:noWrap/>
            <w:vAlign w:val="center"/>
            <w:hideMark/>
          </w:tcPr>
          <w:p w14:paraId="27D7E768" w14:textId="77777777" w:rsidR="003C2935" w:rsidRDefault="003C2935">
            <w:pPr>
              <w:spacing w:before="0" w:after="0" w:line="240" w:lineRule="auto"/>
              <w:rPr>
                <w:rFonts w:asciiTheme="majorHAnsi" w:eastAsia="Times New Roman" w:hAnsiTheme="majorHAnsi" w:cs="Times New Roman"/>
                <w:b/>
                <w:bCs/>
                <w:color w:val="000000"/>
                <w:lang w:eastAsia="sl-SI"/>
              </w:rPr>
            </w:pPr>
            <w:r>
              <w:rPr>
                <w:rFonts w:asciiTheme="majorHAnsi" w:eastAsia="Times New Roman" w:hAnsiTheme="majorHAnsi" w:cs="Times New Roman"/>
                <w:b/>
                <w:bCs/>
                <w:color w:val="000000"/>
                <w:lang w:eastAsia="sl-SI"/>
              </w:rPr>
              <w:t>Strojna</w:t>
            </w:r>
          </w:p>
        </w:tc>
        <w:tc>
          <w:tcPr>
            <w:tcW w:w="648" w:type="pct"/>
            <w:tcBorders>
              <w:top w:val="single" w:sz="4" w:space="0" w:color="45CBF5" w:themeColor="accent6" w:themeTint="99"/>
              <w:left w:val="nil"/>
              <w:bottom w:val="single" w:sz="4" w:space="0" w:color="45CBF5" w:themeColor="accent6" w:themeTint="99"/>
              <w:right w:val="nil"/>
            </w:tcBorders>
            <w:noWrap/>
            <w:vAlign w:val="bottom"/>
            <w:hideMark/>
          </w:tcPr>
          <w:p w14:paraId="20D5578D"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color w:val="000000"/>
                <w:lang w:eastAsia="sl-SI"/>
              </w:rPr>
              <w:t>6.978</w:t>
            </w:r>
          </w:p>
        </w:tc>
        <w:tc>
          <w:tcPr>
            <w:tcW w:w="645" w:type="pct"/>
            <w:tcBorders>
              <w:top w:val="single" w:sz="4" w:space="0" w:color="45CBF5" w:themeColor="accent6" w:themeTint="99"/>
              <w:left w:val="nil"/>
              <w:bottom w:val="single" w:sz="4" w:space="0" w:color="45CBF5" w:themeColor="accent6" w:themeTint="99"/>
              <w:right w:val="nil"/>
            </w:tcBorders>
            <w:vAlign w:val="center"/>
            <w:hideMark/>
          </w:tcPr>
          <w:p w14:paraId="338C7CBD"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lang w:eastAsia="sl-SI"/>
              </w:rPr>
              <w:t>5.479</w:t>
            </w:r>
          </w:p>
        </w:tc>
        <w:tc>
          <w:tcPr>
            <w:tcW w:w="644" w:type="pct"/>
            <w:tcBorders>
              <w:top w:val="single" w:sz="4" w:space="0" w:color="45CBF5" w:themeColor="accent6" w:themeTint="99"/>
              <w:left w:val="nil"/>
              <w:bottom w:val="single" w:sz="4" w:space="0" w:color="45CBF5" w:themeColor="accent6" w:themeTint="99"/>
              <w:right w:val="nil"/>
            </w:tcBorders>
            <w:vAlign w:val="center"/>
            <w:hideMark/>
          </w:tcPr>
          <w:p w14:paraId="2F9A2133"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lang w:eastAsia="sl-SI"/>
              </w:rPr>
              <w:t>1.795</w:t>
            </w:r>
          </w:p>
        </w:tc>
        <w:tc>
          <w:tcPr>
            <w:tcW w:w="643" w:type="pct"/>
            <w:tcBorders>
              <w:top w:val="single" w:sz="4" w:space="0" w:color="45CBF5" w:themeColor="accent6" w:themeTint="99"/>
              <w:left w:val="nil"/>
              <w:bottom w:val="single" w:sz="4" w:space="0" w:color="45CBF5" w:themeColor="accent6" w:themeTint="99"/>
              <w:right w:val="nil"/>
            </w:tcBorders>
            <w:vAlign w:val="bottom"/>
            <w:hideMark/>
          </w:tcPr>
          <w:p w14:paraId="46F86064"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lang w:eastAsia="sl-SI"/>
              </w:rPr>
              <w:t>41.193</w:t>
            </w:r>
          </w:p>
        </w:tc>
        <w:tc>
          <w:tcPr>
            <w:tcW w:w="644" w:type="pct"/>
            <w:tcBorders>
              <w:top w:val="single" w:sz="4" w:space="0" w:color="45CBF5" w:themeColor="accent6" w:themeTint="99"/>
              <w:left w:val="nil"/>
              <w:bottom w:val="single" w:sz="4" w:space="0" w:color="45CBF5" w:themeColor="accent6" w:themeTint="99"/>
              <w:right w:val="nil"/>
            </w:tcBorders>
            <w:vAlign w:val="center"/>
            <w:hideMark/>
          </w:tcPr>
          <w:p w14:paraId="4196C561"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color w:val="000000"/>
                <w:lang w:eastAsia="sl-SI"/>
              </w:rPr>
              <w:t>642</w:t>
            </w:r>
          </w:p>
        </w:tc>
        <w:tc>
          <w:tcPr>
            <w:tcW w:w="644" w:type="pct"/>
            <w:tcBorders>
              <w:top w:val="single" w:sz="4" w:space="0" w:color="45CBF5" w:themeColor="accent6" w:themeTint="99"/>
              <w:left w:val="nil"/>
              <w:bottom w:val="single" w:sz="4" w:space="0" w:color="45CBF5" w:themeColor="accent6" w:themeTint="99"/>
              <w:right w:val="single" w:sz="4" w:space="0" w:color="45CBF5" w:themeColor="accent6" w:themeTint="99"/>
            </w:tcBorders>
            <w:vAlign w:val="center"/>
            <w:hideMark/>
          </w:tcPr>
          <w:p w14:paraId="501EE70A"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lang w:eastAsia="sl-SI"/>
              </w:rPr>
              <w:t>43.593</w:t>
            </w:r>
          </w:p>
        </w:tc>
      </w:tr>
      <w:tr w:rsidR="003C2935" w14:paraId="553F3F17" w14:textId="77777777" w:rsidTr="003C2935">
        <w:tc>
          <w:tcPr>
            <w:tcW w:w="1131" w:type="pct"/>
            <w:tcBorders>
              <w:top w:val="single" w:sz="4" w:space="0" w:color="45CBF5" w:themeColor="accent6" w:themeTint="99"/>
              <w:left w:val="single" w:sz="4" w:space="0" w:color="45CBF5" w:themeColor="accent6" w:themeTint="99"/>
              <w:bottom w:val="single" w:sz="4" w:space="0" w:color="45CBF5" w:themeColor="accent6" w:themeTint="99"/>
              <w:right w:val="nil"/>
            </w:tcBorders>
            <w:shd w:val="clear" w:color="auto" w:fill="C1EDFC" w:themeFill="accent6" w:themeFillTint="33"/>
            <w:noWrap/>
            <w:vAlign w:val="center"/>
            <w:hideMark/>
          </w:tcPr>
          <w:p w14:paraId="2364FB9B" w14:textId="77777777" w:rsidR="003C2935" w:rsidRDefault="003C2935">
            <w:pPr>
              <w:spacing w:before="0" w:after="0" w:line="240" w:lineRule="auto"/>
              <w:rPr>
                <w:rFonts w:asciiTheme="majorHAnsi" w:eastAsia="Times New Roman" w:hAnsiTheme="majorHAnsi" w:cs="Times New Roman"/>
                <w:b/>
                <w:bCs/>
                <w:color w:val="000000"/>
                <w:lang w:eastAsia="sl-SI"/>
              </w:rPr>
            </w:pPr>
            <w:r>
              <w:rPr>
                <w:rFonts w:asciiTheme="majorHAnsi" w:eastAsia="Times New Roman" w:hAnsiTheme="majorHAnsi" w:cs="Times New Roman"/>
                <w:b/>
                <w:bCs/>
                <w:color w:val="000000"/>
                <w:lang w:eastAsia="sl-SI"/>
              </w:rPr>
              <w:t>Druge</w:t>
            </w:r>
          </w:p>
        </w:tc>
        <w:tc>
          <w:tcPr>
            <w:tcW w:w="648"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noWrap/>
            <w:vAlign w:val="bottom"/>
            <w:hideMark/>
          </w:tcPr>
          <w:p w14:paraId="74151CB5"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color w:val="000000"/>
                <w:lang w:eastAsia="sl-SI"/>
              </w:rPr>
              <w:t>484</w:t>
            </w:r>
          </w:p>
        </w:tc>
        <w:tc>
          <w:tcPr>
            <w:tcW w:w="645"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center"/>
            <w:hideMark/>
          </w:tcPr>
          <w:p w14:paraId="68FB3CD2"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lang w:eastAsia="sl-SI"/>
              </w:rPr>
              <w:t>304</w:t>
            </w:r>
          </w:p>
        </w:tc>
        <w:tc>
          <w:tcPr>
            <w:tcW w:w="644"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center"/>
            <w:hideMark/>
          </w:tcPr>
          <w:p w14:paraId="095921E1"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lang w:eastAsia="sl-SI"/>
              </w:rPr>
              <w:t>170</w:t>
            </w:r>
          </w:p>
        </w:tc>
        <w:tc>
          <w:tcPr>
            <w:tcW w:w="643"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bottom"/>
            <w:hideMark/>
          </w:tcPr>
          <w:p w14:paraId="3B756332"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lang w:eastAsia="sl-SI"/>
              </w:rPr>
              <w:t>4.315</w:t>
            </w:r>
          </w:p>
        </w:tc>
        <w:tc>
          <w:tcPr>
            <w:tcW w:w="644" w:type="pct"/>
            <w:tcBorders>
              <w:top w:val="single" w:sz="4" w:space="0" w:color="45CBF5" w:themeColor="accent6" w:themeTint="99"/>
              <w:left w:val="nil"/>
              <w:bottom w:val="single" w:sz="4" w:space="0" w:color="45CBF5" w:themeColor="accent6" w:themeTint="99"/>
              <w:right w:val="nil"/>
            </w:tcBorders>
            <w:shd w:val="clear" w:color="auto" w:fill="C1EDFC" w:themeFill="accent6" w:themeFillTint="33"/>
            <w:vAlign w:val="center"/>
            <w:hideMark/>
          </w:tcPr>
          <w:p w14:paraId="216B4052" w14:textId="77777777" w:rsidR="003C2935" w:rsidRDefault="003C2935">
            <w:pPr>
              <w:spacing w:before="0" w:after="0" w:line="240" w:lineRule="auto"/>
              <w:jc w:val="right"/>
              <w:rPr>
                <w:rFonts w:asciiTheme="majorHAnsi" w:eastAsia="Times New Roman" w:hAnsiTheme="majorHAnsi" w:cs="Times New Roman"/>
                <w:lang w:eastAsia="sl-SI"/>
              </w:rPr>
            </w:pPr>
            <w:r>
              <w:rPr>
                <w:rFonts w:asciiTheme="majorHAnsi" w:eastAsia="Times New Roman" w:hAnsiTheme="majorHAnsi" w:cs="Times New Roman"/>
                <w:color w:val="000000"/>
                <w:lang w:eastAsia="sl-SI"/>
              </w:rPr>
              <w:t>71</w:t>
            </w:r>
          </w:p>
        </w:tc>
        <w:tc>
          <w:tcPr>
            <w:tcW w:w="644" w:type="pct"/>
            <w:tcBorders>
              <w:top w:val="single" w:sz="4" w:space="0" w:color="45CBF5" w:themeColor="accent6" w:themeTint="99"/>
              <w:left w:val="nil"/>
              <w:bottom w:val="single" w:sz="4" w:space="0" w:color="45CBF5" w:themeColor="accent6" w:themeTint="99"/>
              <w:right w:val="single" w:sz="4" w:space="0" w:color="45CBF5" w:themeColor="accent6" w:themeTint="99"/>
            </w:tcBorders>
            <w:shd w:val="clear" w:color="auto" w:fill="C1EDFC" w:themeFill="accent6" w:themeFillTint="33"/>
            <w:vAlign w:val="center"/>
            <w:hideMark/>
          </w:tcPr>
          <w:p w14:paraId="2A8F4462" w14:textId="77777777" w:rsidR="003C2935" w:rsidRDefault="003C2935">
            <w:pPr>
              <w:spacing w:before="0" w:after="0" w:line="240" w:lineRule="auto"/>
              <w:jc w:val="right"/>
              <w:rPr>
                <w:rFonts w:asciiTheme="majorHAnsi" w:eastAsia="Times New Roman" w:hAnsiTheme="majorHAnsi" w:cs="Times New Roman"/>
                <w:lang w:eastAsia="sl-SI"/>
              </w:rPr>
            </w:pPr>
            <w:r>
              <w:rPr>
                <w:rFonts w:ascii="Trebuchet MS" w:eastAsia="Times New Roman" w:hAnsi="Trebuchet MS" w:cs="Times New Roman"/>
                <w:lang w:eastAsia="sl-SI"/>
              </w:rPr>
              <w:t>39.440</w:t>
            </w:r>
          </w:p>
        </w:tc>
      </w:tr>
    </w:tbl>
    <w:p w14:paraId="766426E0" w14:textId="77777777" w:rsidR="00BC0C95" w:rsidRPr="00E205E2" w:rsidRDefault="003C2935" w:rsidP="00BC0C95">
      <w:pPr>
        <w:spacing w:before="20"/>
        <w:jc w:val="both"/>
        <w:rPr>
          <w:rFonts w:cstheme="minorHAnsi"/>
          <w:i/>
          <w:iCs/>
          <w:sz w:val="18"/>
          <w:szCs w:val="18"/>
        </w:rPr>
      </w:pPr>
      <w:r>
        <w:rPr>
          <w:i/>
        </w:rPr>
        <w:t xml:space="preserve">Vir: SURS, strukturna statistika podjetij, preračuni Analitika GZS, podatki </w:t>
      </w:r>
      <w:r w:rsidR="00BC0C95">
        <w:rPr>
          <w:rFonts w:cstheme="minorHAnsi"/>
          <w:i/>
          <w:iCs/>
          <w:sz w:val="18"/>
          <w:szCs w:val="18"/>
        </w:rPr>
        <w:t>leto 2018</w:t>
      </w:r>
    </w:p>
    <w:p w14:paraId="7B345130" w14:textId="77777777" w:rsidR="003C2935" w:rsidRDefault="003C2935" w:rsidP="003C2935">
      <w:pPr>
        <w:spacing w:before="20"/>
        <w:jc w:val="both"/>
        <w:rPr>
          <w:i/>
        </w:rPr>
      </w:pPr>
    </w:p>
    <w:p w14:paraId="211B9B58" w14:textId="4C1E77E3" w:rsidR="003C2935" w:rsidRDefault="003C2935" w:rsidP="003C2935">
      <w:pPr>
        <w:jc w:val="both"/>
        <w:rPr>
          <w:rFonts w:cstheme="minorHAnsi"/>
        </w:rPr>
      </w:pPr>
      <w:r>
        <w:rPr>
          <w:rFonts w:cstheme="minorHAnsi"/>
          <w:b/>
          <w:bCs/>
        </w:rPr>
        <w:t>Prihodki od prodaje na domačem trgu</w:t>
      </w:r>
      <w:r>
        <w:rPr>
          <w:rFonts w:cstheme="minorHAnsi"/>
        </w:rPr>
        <w:t xml:space="preserve"> so v letu 2018 znašali 9,4 mrd EUR in so bili v primerjavi z letom 2008 nižji za 682 mio EUR, kar predstavlja </w:t>
      </w:r>
      <w:r w:rsidRPr="003B1AC5">
        <w:rPr>
          <w:rFonts w:cstheme="minorHAnsi"/>
        </w:rPr>
        <w:t>upad za 6,8 %. Znižanje prodaje so zaznamovali predvsem stečaji nekaterih</w:t>
      </w:r>
      <w:r w:rsidR="00315F42">
        <w:rPr>
          <w:rFonts w:cstheme="minorHAnsi"/>
        </w:rPr>
        <w:t xml:space="preserve"> večjih </w:t>
      </w:r>
      <w:r w:rsidRPr="003B1AC5">
        <w:rPr>
          <w:rFonts w:cstheme="minorHAnsi"/>
        </w:rPr>
        <w:t xml:space="preserve">podjetij v lesni, tekstilni ter nekovinski industriji, kakor tudi </w:t>
      </w:r>
      <w:r w:rsidR="00315F42">
        <w:rPr>
          <w:rFonts w:cstheme="minorHAnsi"/>
        </w:rPr>
        <w:t xml:space="preserve">prestrukturiranje teh </w:t>
      </w:r>
      <w:r w:rsidRPr="003B1AC5">
        <w:rPr>
          <w:rFonts w:cstheme="minorHAnsi"/>
        </w:rPr>
        <w:t>panog.</w:t>
      </w:r>
      <w:r w:rsidRPr="003B1AC5">
        <w:t xml:space="preserve"> </w:t>
      </w:r>
      <w:r w:rsidRPr="003B1AC5">
        <w:rPr>
          <w:rFonts w:cstheme="minorHAnsi"/>
        </w:rPr>
        <w:t>V zadnjih 10-ih leti</w:t>
      </w:r>
      <w:r>
        <w:rPr>
          <w:rFonts w:cstheme="minorHAnsi"/>
        </w:rPr>
        <w:t>h (2018/2008) so se znotraj predelovalnih dejavnost</w:t>
      </w:r>
      <w:r w:rsidR="00747B90">
        <w:rPr>
          <w:rFonts w:cstheme="minorHAnsi"/>
        </w:rPr>
        <w:t>i</w:t>
      </w:r>
      <w:r>
        <w:rPr>
          <w:rFonts w:cstheme="minorHAnsi"/>
        </w:rPr>
        <w:t xml:space="preserve"> prihodki na domačem trgu zvišali le v strojni industriji (27 mio EUR), v drugih predelovalnih dejavnostih (16 mio EUR) in kovinski industriji (44</w:t>
      </w:r>
      <w:r w:rsidR="000F71A4">
        <w:rPr>
          <w:rFonts w:cstheme="minorHAnsi"/>
        </w:rPr>
        <w:t>.000</w:t>
      </w:r>
      <w:r>
        <w:rPr>
          <w:rFonts w:cstheme="minorHAnsi"/>
        </w:rPr>
        <w:t xml:space="preserve"> EUR). </w:t>
      </w:r>
    </w:p>
    <w:p w14:paraId="3B235104" w14:textId="68A72B71" w:rsidR="003C2935" w:rsidRDefault="003C2935" w:rsidP="003C2935">
      <w:pPr>
        <w:jc w:val="both"/>
        <w:rPr>
          <w:rFonts w:cstheme="minorHAnsi"/>
        </w:rPr>
      </w:pPr>
      <w:r>
        <w:rPr>
          <w:rFonts w:cstheme="minorHAnsi"/>
        </w:rPr>
        <w:lastRenderedPageBreak/>
        <w:t xml:space="preserve">Predelovalne dejavnosti so v 2018 beležile 21,7 mrd EUR </w:t>
      </w:r>
      <w:r>
        <w:rPr>
          <w:rFonts w:cstheme="minorHAnsi"/>
          <w:b/>
          <w:bCs/>
        </w:rPr>
        <w:t>izvoza</w:t>
      </w:r>
      <w:r>
        <w:rPr>
          <w:rFonts w:cstheme="minorHAnsi"/>
        </w:rPr>
        <w:t xml:space="preserve"> ter so tako za 43,8 % oz</w:t>
      </w:r>
      <w:r w:rsidR="00B849E3">
        <w:rPr>
          <w:rFonts w:cstheme="minorHAnsi"/>
        </w:rPr>
        <w:t xml:space="preserve">iroma </w:t>
      </w:r>
      <w:r>
        <w:rPr>
          <w:rFonts w:cstheme="minorHAnsi"/>
        </w:rPr>
        <w:t>za 6,6 mrd EUR presegle izvoz iz let</w:t>
      </w:r>
      <w:r w:rsidR="006A746E">
        <w:rPr>
          <w:rFonts w:cstheme="minorHAnsi"/>
        </w:rPr>
        <w:t>a</w:t>
      </w:r>
      <w:r>
        <w:rPr>
          <w:rFonts w:cstheme="minorHAnsi"/>
        </w:rPr>
        <w:t xml:space="preserve"> 2008. V zadnjih </w:t>
      </w:r>
      <w:r w:rsidR="00466C6E">
        <w:rPr>
          <w:rFonts w:cstheme="minorHAnsi"/>
        </w:rPr>
        <w:t>deset</w:t>
      </w:r>
      <w:r>
        <w:rPr>
          <w:rFonts w:cstheme="minorHAnsi"/>
        </w:rPr>
        <w:t xml:space="preserve">ih letih (2018/2008) se je znotraj predelovalnih dejavnosti izvoz najbolj zvišal v strojni, kovinski, kemični, elektro industriji. Le tekstilna industrija v 2018 ni uspela doseči nivojev izvoza iz leta 2008. </w:t>
      </w:r>
    </w:p>
    <w:p w14:paraId="54E7DC52" w14:textId="0F323E77" w:rsidR="003C2935" w:rsidRDefault="003C2935" w:rsidP="003C2935">
      <w:pPr>
        <w:jc w:val="both"/>
        <w:rPr>
          <w:rFonts w:cstheme="minorHAnsi"/>
        </w:rPr>
      </w:pPr>
      <w:r>
        <w:rPr>
          <w:rFonts w:cstheme="minorHAnsi"/>
        </w:rPr>
        <w:t xml:space="preserve">V 2018 je bilo v predelovalnih dejavnostih 201.896 </w:t>
      </w:r>
      <w:r>
        <w:rPr>
          <w:rFonts w:cstheme="minorHAnsi"/>
          <w:b/>
          <w:bCs/>
        </w:rPr>
        <w:t>zaposlenih</w:t>
      </w:r>
      <w:r>
        <w:rPr>
          <w:rFonts w:cstheme="minorHAnsi"/>
        </w:rPr>
        <w:t xml:space="preserve"> </w:t>
      </w:r>
      <w:r>
        <w:rPr>
          <w:rFonts w:cstheme="minorHAnsi"/>
          <w:b/>
          <w:bCs/>
        </w:rPr>
        <w:t>oseb</w:t>
      </w:r>
      <w:r>
        <w:rPr>
          <w:rStyle w:val="Sprotnaopomba-sklic"/>
          <w:rFonts w:cstheme="minorHAnsi"/>
          <w:b/>
          <w:bCs/>
        </w:rPr>
        <w:footnoteReference w:id="15"/>
      </w:r>
      <w:r>
        <w:rPr>
          <w:rFonts w:cstheme="minorHAnsi"/>
        </w:rPr>
        <w:t>, kar je bilo za 20</w:t>
      </w:r>
      <w:r w:rsidR="000F71A4">
        <w:rPr>
          <w:rFonts w:cstheme="minorHAnsi"/>
        </w:rPr>
        <w:t>.000</w:t>
      </w:r>
      <w:r>
        <w:rPr>
          <w:rFonts w:cstheme="minorHAnsi"/>
        </w:rPr>
        <w:t xml:space="preserve"> oseb oz</w:t>
      </w:r>
      <w:r w:rsidR="00B849E3">
        <w:rPr>
          <w:rFonts w:cstheme="minorHAnsi"/>
        </w:rPr>
        <w:t>iroma</w:t>
      </w:r>
      <w:r>
        <w:rPr>
          <w:rFonts w:cstheme="minorHAnsi"/>
        </w:rPr>
        <w:t xml:space="preserve"> za 9 % manj kot leta 2008. </w:t>
      </w:r>
      <w:r>
        <w:rPr>
          <w:rFonts w:cstheme="minorHAnsi"/>
          <w:b/>
          <w:bCs/>
        </w:rPr>
        <w:t>Dodana vrednost v stroških faktorjev</w:t>
      </w:r>
      <w:r>
        <w:rPr>
          <w:rStyle w:val="Sprotnaopomba-sklic"/>
          <w:rFonts w:cstheme="minorHAnsi"/>
          <w:b/>
          <w:bCs/>
        </w:rPr>
        <w:footnoteReference w:id="16"/>
      </w:r>
      <w:r>
        <w:rPr>
          <w:rFonts w:cstheme="minorHAnsi"/>
        </w:rPr>
        <w:t xml:space="preserve"> je v 2018 v predelovalnih dejavnostih znašala 8,8 mrd EUR, kar je bilo za 2,1 mrd EUR oz</w:t>
      </w:r>
      <w:r w:rsidR="00B849E3">
        <w:rPr>
          <w:rFonts w:cstheme="minorHAnsi"/>
        </w:rPr>
        <w:t>iroma</w:t>
      </w:r>
      <w:r>
        <w:rPr>
          <w:rFonts w:cstheme="minorHAnsi"/>
        </w:rPr>
        <w:t xml:space="preserve"> za 30,7 % več kot v letu 2008. </w:t>
      </w:r>
      <w:r>
        <w:rPr>
          <w:rFonts w:cstheme="minorHAnsi"/>
          <w:b/>
          <w:bCs/>
        </w:rPr>
        <w:t>Bruto marža</w:t>
      </w:r>
      <w:r>
        <w:rPr>
          <w:rStyle w:val="Sprotnaopomba-sklic"/>
          <w:rFonts w:cstheme="minorHAnsi"/>
          <w:b/>
          <w:bCs/>
        </w:rPr>
        <w:footnoteReference w:id="17"/>
      </w:r>
      <w:r>
        <w:rPr>
          <w:rFonts w:cstheme="minorHAnsi"/>
        </w:rPr>
        <w:t xml:space="preserve"> se je v zadnjih </w:t>
      </w:r>
      <w:r w:rsidR="00CD7CC9">
        <w:rPr>
          <w:rFonts w:cstheme="minorHAnsi"/>
        </w:rPr>
        <w:t>enajst</w:t>
      </w:r>
      <w:r>
        <w:rPr>
          <w:rFonts w:cstheme="minorHAnsi"/>
        </w:rPr>
        <w:t>ih letih gibala na ravni med 25,6 in 29 %. V letu 2018 je bila v primerjavi z letom 2008 bruto marža višja za 2,1 odstotnih točk.</w:t>
      </w:r>
      <w:r>
        <w:t xml:space="preserve"> </w:t>
      </w:r>
      <w:r>
        <w:rPr>
          <w:rFonts w:cstheme="minorHAnsi"/>
          <w:b/>
          <w:bCs/>
        </w:rPr>
        <w:t>Dodana vrednost na zaposlenega</w:t>
      </w:r>
      <w:r>
        <w:rPr>
          <w:rFonts w:cstheme="minorHAnsi"/>
        </w:rPr>
        <w:t xml:space="preserve"> je v 2018 v predelovalnih dejavnostih znašala 44</w:t>
      </w:r>
      <w:r w:rsidR="000F71A4">
        <w:rPr>
          <w:rFonts w:cstheme="minorHAnsi"/>
        </w:rPr>
        <w:t>.000</w:t>
      </w:r>
      <w:r>
        <w:rPr>
          <w:rFonts w:cstheme="minorHAnsi"/>
        </w:rPr>
        <w:t xml:space="preserve"> EUR, kar je bilo za 43,5 % več oz</w:t>
      </w:r>
      <w:r w:rsidR="007E1F61">
        <w:rPr>
          <w:rFonts w:cstheme="minorHAnsi"/>
        </w:rPr>
        <w:t xml:space="preserve">iroma </w:t>
      </w:r>
      <w:r>
        <w:rPr>
          <w:rFonts w:cstheme="minorHAnsi"/>
        </w:rPr>
        <w:t xml:space="preserve">za 13.200 več kot v letu 2008. Za primerjavo </w:t>
      </w:r>
      <w:r w:rsidR="007E1F61">
        <w:rPr>
          <w:rFonts w:cstheme="minorHAnsi"/>
        </w:rPr>
        <w:t xml:space="preserve">- </w:t>
      </w:r>
      <w:r>
        <w:rPr>
          <w:rFonts w:cstheme="minorHAnsi"/>
        </w:rPr>
        <w:t xml:space="preserve">BDP na prebivalca </w:t>
      </w:r>
      <w:r w:rsidR="007E1F61">
        <w:rPr>
          <w:rFonts w:cstheme="minorHAnsi"/>
        </w:rPr>
        <w:t xml:space="preserve">se je v tem obdobju </w:t>
      </w:r>
      <w:r>
        <w:rPr>
          <w:rFonts w:cstheme="minorHAnsi"/>
        </w:rPr>
        <w:t xml:space="preserve">zvišal za 17,7 %. </w:t>
      </w:r>
    </w:p>
    <w:p w14:paraId="5DFC15C5" w14:textId="77777777" w:rsidR="003C2935" w:rsidRDefault="003C2935" w:rsidP="003C2935">
      <w:pPr>
        <w:pStyle w:val="Odstavekseznama"/>
        <w:ind w:left="0"/>
        <w:jc w:val="both"/>
        <w:rPr>
          <w:i/>
        </w:rPr>
      </w:pPr>
      <w:r>
        <w:rPr>
          <w:rFonts w:cstheme="minorHAnsi"/>
        </w:rPr>
        <w:t xml:space="preserve">Poslovni subjekti so v letu 2018 za </w:t>
      </w:r>
      <w:r>
        <w:rPr>
          <w:rFonts w:cstheme="minorHAnsi"/>
          <w:b/>
          <w:bCs/>
        </w:rPr>
        <w:t>investicije v opredmetena osnovna sredstva</w:t>
      </w:r>
      <w:r>
        <w:rPr>
          <w:rStyle w:val="Sprotnaopomba-sklic"/>
          <w:rFonts w:cstheme="minorHAnsi"/>
          <w:b/>
          <w:bCs/>
        </w:rPr>
        <w:footnoteReference w:id="18"/>
      </w:r>
      <w:r>
        <w:rPr>
          <w:rFonts w:cstheme="minorHAnsi"/>
        </w:rPr>
        <w:t xml:space="preserve"> namenili slabi 2 </w:t>
      </w:r>
      <w:r>
        <w:t>mrd EUR</w:t>
      </w:r>
      <w:r>
        <w:rPr>
          <w:rFonts w:cstheme="minorHAnsi"/>
        </w:rPr>
        <w:t xml:space="preserve">, kar je bilo za 14 % več kot v letu 2008. Zadnji dve poslovni leti sta bili investicijsko zelo intenzivni, kar je povezano z visoko izkoriščenostjo kapacitet v predelovalnih dejavnostih, rastjo razpoložljivega dohodka in ugodno razpoložljivostjo finančnih virov. </w:t>
      </w:r>
    </w:p>
    <w:p w14:paraId="2ADC1A8F" w14:textId="2D0BC2F8" w:rsidR="00817CF2" w:rsidRDefault="003C2935" w:rsidP="00817CF2">
      <w:pPr>
        <w:jc w:val="both"/>
        <w:rPr>
          <w:rFonts w:cstheme="minorHAnsi"/>
        </w:rPr>
      </w:pPr>
      <w:r>
        <w:rPr>
          <w:rFonts w:cstheme="minorHAnsi"/>
          <w:b/>
          <w:bCs/>
        </w:rPr>
        <w:t>Bruto domači izdatki za raziskave in razvoj</w:t>
      </w:r>
      <w:r>
        <w:rPr>
          <w:rStyle w:val="Sprotnaopomba-sklic"/>
          <w:rFonts w:cstheme="minorHAnsi"/>
        </w:rPr>
        <w:footnoteReference w:id="19"/>
      </w:r>
      <w:r>
        <w:rPr>
          <w:rFonts w:cstheme="minorHAnsi"/>
        </w:rPr>
        <w:t xml:space="preserve">  so v letu 2018 v predelovalnih dejavnostih znašali 488,6 mio EUR, kar je bilo za 159,3 mio EUR več kot v letu 2008 oz</w:t>
      </w:r>
      <w:r w:rsidR="00895A7E">
        <w:rPr>
          <w:rFonts w:cstheme="minorHAnsi"/>
        </w:rPr>
        <w:t>iro</w:t>
      </w:r>
      <w:r w:rsidR="008C14B6">
        <w:rPr>
          <w:rFonts w:cstheme="minorHAnsi"/>
        </w:rPr>
        <w:t xml:space="preserve">ma </w:t>
      </w:r>
      <w:r>
        <w:rPr>
          <w:rFonts w:cstheme="minorHAnsi"/>
        </w:rPr>
        <w:t xml:space="preserve">za 48,4 % več. </w:t>
      </w:r>
      <w:r w:rsidR="00817CF2">
        <w:rPr>
          <w:rFonts w:cstheme="minorHAnsi"/>
        </w:rPr>
        <w:t xml:space="preserve">V celotnem poslovnem sektorju so izdatki za raziskave in razvoj znašali 662,4 mio EUR. Izdatki RRD v predelovalnih dejavnostih </w:t>
      </w:r>
      <w:r w:rsidR="00635DEB">
        <w:rPr>
          <w:rFonts w:cstheme="minorHAnsi"/>
        </w:rPr>
        <w:t>so tako</w:t>
      </w:r>
      <w:r w:rsidR="00817CF2">
        <w:rPr>
          <w:rFonts w:cstheme="minorHAnsi"/>
        </w:rPr>
        <w:t xml:space="preserve"> znaša</w:t>
      </w:r>
      <w:r w:rsidR="00635DEB">
        <w:rPr>
          <w:rFonts w:cstheme="minorHAnsi"/>
        </w:rPr>
        <w:t>li</w:t>
      </w:r>
      <w:r w:rsidR="00817CF2">
        <w:rPr>
          <w:rFonts w:cstheme="minorHAnsi"/>
        </w:rPr>
        <w:t xml:space="preserve"> 73,8 % izdatkov celotnega poslovnega sektorja. </w:t>
      </w:r>
      <w:r w:rsidR="00635DEB">
        <w:rPr>
          <w:rFonts w:cstheme="minorHAnsi"/>
        </w:rPr>
        <w:t>Sektor d</w:t>
      </w:r>
      <w:r w:rsidR="00817CF2">
        <w:rPr>
          <w:rFonts w:cstheme="minorHAnsi"/>
        </w:rPr>
        <w:t>ržav</w:t>
      </w:r>
      <w:r w:rsidR="00635DEB">
        <w:rPr>
          <w:rFonts w:cstheme="minorHAnsi"/>
        </w:rPr>
        <w:t>e je v letu 2018</w:t>
      </w:r>
      <w:r w:rsidR="00817CF2">
        <w:rPr>
          <w:rFonts w:cstheme="minorHAnsi"/>
        </w:rPr>
        <w:t xml:space="preserve"> </w:t>
      </w:r>
      <w:r w:rsidR="00635DEB">
        <w:rPr>
          <w:rFonts w:cstheme="minorHAnsi"/>
        </w:rPr>
        <w:t xml:space="preserve">nastopal </w:t>
      </w:r>
      <w:r w:rsidR="00817CF2">
        <w:rPr>
          <w:rFonts w:cstheme="minorHAnsi"/>
        </w:rPr>
        <w:t xml:space="preserve">med viri financiranja za RRD v poslovnem sektorju </w:t>
      </w:r>
      <w:r w:rsidR="008C14B6">
        <w:rPr>
          <w:rFonts w:cstheme="minorHAnsi"/>
        </w:rPr>
        <w:t xml:space="preserve">s </w:t>
      </w:r>
      <w:r w:rsidR="00817CF2">
        <w:rPr>
          <w:rFonts w:cstheme="minorHAnsi"/>
        </w:rPr>
        <w:t>6,2-odstotn</w:t>
      </w:r>
      <w:r w:rsidR="00635DEB">
        <w:rPr>
          <w:rFonts w:cstheme="minorHAnsi"/>
        </w:rPr>
        <w:t>i</w:t>
      </w:r>
      <w:r w:rsidR="00817CF2">
        <w:rPr>
          <w:rFonts w:cstheme="minorHAnsi"/>
        </w:rPr>
        <w:t>m delež</w:t>
      </w:r>
      <w:r w:rsidR="00635DEB">
        <w:rPr>
          <w:rFonts w:cstheme="minorHAnsi"/>
        </w:rPr>
        <w:t>em</w:t>
      </w:r>
      <w:r w:rsidR="00817CF2">
        <w:rPr>
          <w:rFonts w:cstheme="minorHAnsi"/>
        </w:rPr>
        <w:t xml:space="preserve">. Na ravni Slovenije so </w:t>
      </w:r>
      <w:r w:rsidR="00635DEB">
        <w:rPr>
          <w:rFonts w:cstheme="minorHAnsi"/>
        </w:rPr>
        <w:t xml:space="preserve">celotni </w:t>
      </w:r>
      <w:r w:rsidR="00817CF2">
        <w:rPr>
          <w:rFonts w:cstheme="minorHAnsi"/>
        </w:rPr>
        <w:t>b</w:t>
      </w:r>
      <w:r w:rsidR="00817CF2" w:rsidRPr="007A48B2">
        <w:rPr>
          <w:rFonts w:cstheme="minorHAnsi"/>
        </w:rPr>
        <w:t xml:space="preserve">ruto domači izdatki za RRD v Sloveniji v letu 2018 </w:t>
      </w:r>
      <w:r w:rsidR="008C14B6">
        <w:rPr>
          <w:rFonts w:cstheme="minorHAnsi"/>
        </w:rPr>
        <w:t xml:space="preserve">znašali </w:t>
      </w:r>
      <w:r w:rsidR="00817CF2" w:rsidRPr="007A48B2">
        <w:rPr>
          <w:rFonts w:cstheme="minorHAnsi"/>
        </w:rPr>
        <w:t xml:space="preserve">892,7 </w:t>
      </w:r>
      <w:r w:rsidR="00817CF2">
        <w:rPr>
          <w:rFonts w:cstheme="minorHAnsi"/>
        </w:rPr>
        <w:t>mio</w:t>
      </w:r>
      <w:r w:rsidR="00817CF2" w:rsidRPr="007A48B2">
        <w:rPr>
          <w:rFonts w:cstheme="minorHAnsi"/>
        </w:rPr>
        <w:t xml:space="preserve"> EUR</w:t>
      </w:r>
      <w:r w:rsidR="00817CF2">
        <w:rPr>
          <w:rFonts w:cstheme="minorHAnsi"/>
        </w:rPr>
        <w:t xml:space="preserve"> oz</w:t>
      </w:r>
      <w:r w:rsidR="008C14B6">
        <w:rPr>
          <w:rFonts w:cstheme="minorHAnsi"/>
        </w:rPr>
        <w:t xml:space="preserve">iroma </w:t>
      </w:r>
      <w:r w:rsidR="00817CF2" w:rsidRPr="007A48B2">
        <w:rPr>
          <w:rFonts w:cstheme="minorHAnsi"/>
        </w:rPr>
        <w:t>2,0 % BDP</w:t>
      </w:r>
      <w:r w:rsidR="00817CF2">
        <w:rPr>
          <w:rFonts w:cstheme="minorHAnsi"/>
        </w:rPr>
        <w:t xml:space="preserve">. Delež financiranja države </w:t>
      </w:r>
      <w:r w:rsidR="00635DEB">
        <w:rPr>
          <w:rFonts w:cstheme="minorHAnsi"/>
        </w:rPr>
        <w:t>je znašal</w:t>
      </w:r>
      <w:r w:rsidR="00817CF2">
        <w:rPr>
          <w:rFonts w:cstheme="minorHAnsi"/>
        </w:rPr>
        <w:t xml:space="preserve"> 0,5 %. </w:t>
      </w:r>
      <w:r w:rsidR="00817CF2" w:rsidRPr="00A61688">
        <w:rPr>
          <w:rFonts w:cstheme="minorHAnsi"/>
        </w:rPr>
        <w:t>Cilj 2030 predvideva povečanje vlaganj v RRD do leta 2020 na najmanj 3 % BDP.</w:t>
      </w:r>
    </w:p>
    <w:p w14:paraId="58F39A51" w14:textId="77777777" w:rsidR="003C2935" w:rsidRDefault="003C2935" w:rsidP="003C2935">
      <w:pPr>
        <w:jc w:val="both"/>
        <w:rPr>
          <w:rFonts w:cstheme="minorHAnsi"/>
        </w:rPr>
      </w:pPr>
    </w:p>
    <w:p w14:paraId="14740260" w14:textId="77777777" w:rsidR="003C2935" w:rsidRDefault="003C2935" w:rsidP="003C2935">
      <w:pPr>
        <w:rPr>
          <w:spacing w:val="15"/>
        </w:rPr>
      </w:pPr>
      <w:r>
        <w:rPr>
          <w:caps/>
        </w:rPr>
        <w:br w:type="page"/>
      </w:r>
    </w:p>
    <w:p w14:paraId="418BD466" w14:textId="77777777" w:rsidR="003C2935" w:rsidRDefault="003C2935" w:rsidP="003C2935">
      <w:pPr>
        <w:pStyle w:val="Naslov2"/>
        <w:numPr>
          <w:ilvl w:val="1"/>
          <w:numId w:val="35"/>
        </w:numPr>
        <w:rPr>
          <w:caps w:val="0"/>
        </w:rPr>
      </w:pPr>
      <w:bookmarkStart w:id="11" w:name="_Toc49344777"/>
      <w:bookmarkStart w:id="12" w:name="_Toc51140500"/>
      <w:r>
        <w:rPr>
          <w:caps w:val="0"/>
        </w:rPr>
        <w:lastRenderedPageBreak/>
        <w:t xml:space="preserve">Predelovalne dejavnosti v Sloveniji, EU-27 in </w:t>
      </w:r>
      <w:bookmarkEnd w:id="11"/>
      <w:r w:rsidR="004E513C">
        <w:rPr>
          <w:caps w:val="0"/>
        </w:rPr>
        <w:t>skupin</w:t>
      </w:r>
      <w:r w:rsidR="001C7D9F">
        <w:rPr>
          <w:caps w:val="0"/>
        </w:rPr>
        <w:t>i</w:t>
      </w:r>
      <w:r w:rsidR="004E513C">
        <w:rPr>
          <w:caps w:val="0"/>
        </w:rPr>
        <w:t xml:space="preserve"> primerljivih srednjeevropskih držav (CEE-4)</w:t>
      </w:r>
      <w:r>
        <w:rPr>
          <w:caps w:val="0"/>
        </w:rPr>
        <w:t xml:space="preserve"> v 2008-2017</w:t>
      </w:r>
      <w:bookmarkEnd w:id="12"/>
    </w:p>
    <w:p w14:paraId="2C601763" w14:textId="0FDE69D7" w:rsidR="001926C5" w:rsidRDefault="008D2B46" w:rsidP="003C2935">
      <w:pPr>
        <w:jc w:val="both"/>
        <w:rPr>
          <w:rFonts w:cstheme="minorHAnsi"/>
        </w:rPr>
      </w:pPr>
      <w:r w:rsidRPr="00692A14">
        <w:rPr>
          <w:rFonts w:cstheme="minorHAnsi"/>
        </w:rPr>
        <w:t xml:space="preserve">Predelovalne dejavnosti v Sloveniji so v 2017 </w:t>
      </w:r>
      <w:r w:rsidR="001926C5" w:rsidRPr="001926C5">
        <w:rPr>
          <w:rFonts w:cstheme="minorHAnsi"/>
        </w:rPr>
        <w:t>beležile bistveno nižje prihodke na zaposlenega (152</w:t>
      </w:r>
      <w:r w:rsidR="000F71A4">
        <w:rPr>
          <w:rFonts w:cstheme="minorHAnsi"/>
        </w:rPr>
        <w:t>.000</w:t>
      </w:r>
      <w:r w:rsidR="001926C5" w:rsidRPr="001926C5">
        <w:rPr>
          <w:rFonts w:cstheme="minorHAnsi"/>
        </w:rPr>
        <w:t xml:space="preserve"> EUR) kot v EU-27 (mediana) (191</w:t>
      </w:r>
      <w:r w:rsidR="000F71A4">
        <w:rPr>
          <w:rFonts w:cstheme="minorHAnsi"/>
        </w:rPr>
        <w:t>.000</w:t>
      </w:r>
      <w:r w:rsidR="001926C5" w:rsidRPr="001926C5">
        <w:rPr>
          <w:rFonts w:cstheme="minorHAnsi"/>
        </w:rPr>
        <w:t xml:space="preserve"> EUR), ter malenkost višje</w:t>
      </w:r>
      <w:r w:rsidR="0062136C">
        <w:rPr>
          <w:rFonts w:cstheme="minorHAnsi"/>
        </w:rPr>
        <w:t>,</w:t>
      </w:r>
      <w:r w:rsidR="001926C5" w:rsidRPr="001926C5">
        <w:rPr>
          <w:rFonts w:cstheme="minorHAnsi"/>
        </w:rPr>
        <w:t xml:space="preserve"> kot znaša v </w:t>
      </w:r>
      <w:r w:rsidR="00DC4FB4">
        <w:rPr>
          <w:rFonts w:cstheme="minorHAnsi"/>
        </w:rPr>
        <w:t>CEE-4</w:t>
      </w:r>
      <w:r w:rsidR="0013343C">
        <w:rPr>
          <w:rStyle w:val="Sprotnaopomba-sklic"/>
          <w:rFonts w:cstheme="minorHAnsi"/>
        </w:rPr>
        <w:footnoteReference w:id="20"/>
      </w:r>
      <w:r w:rsidR="001926C5" w:rsidRPr="001926C5">
        <w:rPr>
          <w:rFonts w:cstheme="minorHAnsi"/>
        </w:rPr>
        <w:t xml:space="preserve"> (mediana) (151,7 tisoč EUR). Predelovalna dejavnost je v Sloveniji ustvarila višjo </w:t>
      </w:r>
      <w:r w:rsidR="001926C5" w:rsidRPr="001926C5">
        <w:rPr>
          <w:rFonts w:cstheme="minorHAnsi"/>
          <w:b/>
          <w:bCs/>
        </w:rPr>
        <w:t>dodano vrednost na zaposlenega</w:t>
      </w:r>
      <w:r w:rsidR="001926C5" w:rsidRPr="001926C5">
        <w:rPr>
          <w:rFonts w:cstheme="minorHAnsi"/>
        </w:rPr>
        <w:t xml:space="preserve">  (43,3 tisoč EUR)</w:t>
      </w:r>
      <w:r w:rsidR="0062136C">
        <w:rPr>
          <w:rFonts w:cstheme="minorHAnsi"/>
        </w:rPr>
        <w:t>,</w:t>
      </w:r>
      <w:r w:rsidR="001926C5" w:rsidRPr="001926C5">
        <w:rPr>
          <w:rFonts w:cstheme="minorHAnsi"/>
        </w:rPr>
        <w:t xml:space="preserve"> kot znaša mediana v državah </w:t>
      </w:r>
      <w:r w:rsidR="00DC4FB4">
        <w:rPr>
          <w:rFonts w:cstheme="minorHAnsi"/>
        </w:rPr>
        <w:t>CEE-4</w:t>
      </w:r>
      <w:r w:rsidR="001926C5" w:rsidRPr="001926C5">
        <w:rPr>
          <w:rFonts w:cstheme="minorHAnsi"/>
        </w:rPr>
        <w:t xml:space="preserve"> (32,5 tisoč EUR), ter nekoliko nižjo</w:t>
      </w:r>
      <w:r w:rsidR="0062136C">
        <w:rPr>
          <w:rFonts w:cstheme="minorHAnsi"/>
        </w:rPr>
        <w:t>,</w:t>
      </w:r>
      <w:r w:rsidR="001926C5" w:rsidRPr="001926C5">
        <w:rPr>
          <w:rFonts w:cstheme="minorHAnsi"/>
        </w:rPr>
        <w:t xml:space="preserve"> kot znaša mediana držav EU-27 (43,7 tisoč EUR). </w:t>
      </w:r>
    </w:p>
    <w:p w14:paraId="7D6DEBA1" w14:textId="77777777" w:rsidR="003C2935" w:rsidRDefault="003C2935" w:rsidP="003C2935">
      <w:pPr>
        <w:jc w:val="both"/>
        <w:rPr>
          <w:rFonts w:cstheme="minorHAnsi"/>
        </w:rPr>
      </w:pPr>
      <w:r>
        <w:rPr>
          <w:rFonts w:cstheme="minorHAnsi"/>
        </w:rPr>
        <w:t xml:space="preserve">Predelovalne dejavnosti v Sloveniji so v 2017 beležile višjo </w:t>
      </w:r>
      <w:r>
        <w:rPr>
          <w:rFonts w:cstheme="minorHAnsi"/>
          <w:b/>
          <w:bCs/>
        </w:rPr>
        <w:t>bruto maržo</w:t>
      </w:r>
      <w:r w:rsidR="0062136C">
        <w:rPr>
          <w:rFonts w:cstheme="minorHAnsi"/>
          <w:b/>
          <w:bCs/>
        </w:rPr>
        <w:t>,</w:t>
      </w:r>
      <w:r>
        <w:rPr>
          <w:rFonts w:cstheme="minorHAnsi"/>
        </w:rPr>
        <w:t xml:space="preserve"> kot znaša mediana v državah EU-27 ter mediana v </w:t>
      </w:r>
      <w:r w:rsidR="00DC4FB4">
        <w:rPr>
          <w:rFonts w:cstheme="minorHAnsi"/>
        </w:rPr>
        <w:t>CEE-4</w:t>
      </w:r>
      <w:r>
        <w:rPr>
          <w:rFonts w:cstheme="minorHAnsi"/>
        </w:rPr>
        <w:t xml:space="preserve"> (SLO 28,5 %, EU 23,8 %, </w:t>
      </w:r>
      <w:r w:rsidR="00DC4FB4">
        <w:rPr>
          <w:rFonts w:cstheme="minorHAnsi"/>
        </w:rPr>
        <w:t>CEE-4</w:t>
      </w:r>
      <w:r>
        <w:rPr>
          <w:rFonts w:cstheme="minorHAnsi"/>
        </w:rPr>
        <w:t xml:space="preserve"> 22 %). Predelovalne dejavnosti v Sloveniji so v 2017 beležile nekoliko višjo </w:t>
      </w:r>
      <w:r>
        <w:rPr>
          <w:rFonts w:cstheme="minorHAnsi"/>
          <w:b/>
          <w:bCs/>
        </w:rPr>
        <w:t>EBITDA maržo</w:t>
      </w:r>
      <w:r>
        <w:rPr>
          <w:rFonts w:cstheme="minorHAnsi"/>
        </w:rPr>
        <w:t xml:space="preserve"> (poslovni presežek/prihodkih)</w:t>
      </w:r>
      <w:r w:rsidR="0062136C">
        <w:rPr>
          <w:rFonts w:cstheme="minorHAnsi"/>
        </w:rPr>
        <w:t>,</w:t>
      </w:r>
      <w:r>
        <w:rPr>
          <w:rFonts w:cstheme="minorHAnsi"/>
        </w:rPr>
        <w:t xml:space="preserve"> kot znaša mediana v državah EU-27 ter mediana držav</w:t>
      </w:r>
      <w:r w:rsidR="004E513C">
        <w:rPr>
          <w:rFonts w:cstheme="minorHAnsi"/>
        </w:rPr>
        <w:t xml:space="preserve"> CEE-4</w:t>
      </w:r>
      <w:r>
        <w:rPr>
          <w:rFonts w:cstheme="minorHAnsi"/>
        </w:rPr>
        <w:t xml:space="preserve"> (SLO 11,7 %, EU-27 10,2 %, </w:t>
      </w:r>
      <w:r w:rsidR="00DC4FB4">
        <w:rPr>
          <w:rFonts w:cstheme="minorHAnsi"/>
        </w:rPr>
        <w:t>CEE-4</w:t>
      </w:r>
      <w:r>
        <w:rPr>
          <w:rFonts w:cstheme="minorHAnsi"/>
        </w:rPr>
        <w:t xml:space="preserve"> 10,8 %). V 10-letnem obdobju (2008-2017) so najvišjo EBITDA maržo beležile države </w:t>
      </w:r>
      <w:r w:rsidR="00DC4FB4">
        <w:rPr>
          <w:rFonts w:cstheme="minorHAnsi"/>
        </w:rPr>
        <w:t>CEE-4</w:t>
      </w:r>
      <w:r>
        <w:rPr>
          <w:rFonts w:cstheme="minorHAnsi"/>
        </w:rPr>
        <w:t xml:space="preserve"> (mediana), ki je bila višja od zabeležene v Sloveniji. </w:t>
      </w:r>
    </w:p>
    <w:p w14:paraId="7CF5884E" w14:textId="0A476179" w:rsidR="003C2935" w:rsidRDefault="003C2935" w:rsidP="003C2935">
      <w:pPr>
        <w:jc w:val="both"/>
        <w:rPr>
          <w:rFonts w:cstheme="minorHAnsi"/>
        </w:rPr>
      </w:pPr>
      <w:r>
        <w:rPr>
          <w:rFonts w:cstheme="minorHAnsi"/>
          <w:b/>
          <w:bCs/>
        </w:rPr>
        <w:t>Delež bruto investicij v opredmetena osnovna sredstva v primerjavi s prihodki</w:t>
      </w:r>
      <w:r>
        <w:rPr>
          <w:rFonts w:cstheme="minorHAnsi"/>
        </w:rPr>
        <w:t xml:space="preserve"> je bil nekoliko višji kot v državah </w:t>
      </w:r>
      <w:r w:rsidR="00DC4FB4">
        <w:rPr>
          <w:rFonts w:cstheme="minorHAnsi"/>
        </w:rPr>
        <w:t>CEE-4</w:t>
      </w:r>
      <w:r>
        <w:rPr>
          <w:rFonts w:cstheme="minorHAnsi"/>
        </w:rPr>
        <w:t xml:space="preserve"> ter višji kot v državah EU-27 (SLO 5,6 %, EU 4,2 %, </w:t>
      </w:r>
      <w:r w:rsidR="00DC4FB4">
        <w:rPr>
          <w:rFonts w:cstheme="minorHAnsi"/>
        </w:rPr>
        <w:t>CEE-4</w:t>
      </w:r>
      <w:r>
        <w:rPr>
          <w:rFonts w:cstheme="minorHAnsi"/>
        </w:rPr>
        <w:t xml:space="preserve"> 5,2 %). Predelovalne dejavnosti v Sloveniji so v 2017 beležile višji strošek dela v dodani vrednosti</w:t>
      </w:r>
      <w:r w:rsidR="0062136C">
        <w:rPr>
          <w:rFonts w:cstheme="minorHAnsi"/>
        </w:rPr>
        <w:t>,</w:t>
      </w:r>
      <w:r>
        <w:rPr>
          <w:rFonts w:cstheme="minorHAnsi"/>
        </w:rPr>
        <w:t xml:space="preserve"> kot znaša mediana v državah EU-27 (60,5 %), oz</w:t>
      </w:r>
      <w:r w:rsidR="0062136C">
        <w:rPr>
          <w:rFonts w:cstheme="minorHAnsi"/>
        </w:rPr>
        <w:t xml:space="preserve">iroma </w:t>
      </w:r>
      <w:r>
        <w:rPr>
          <w:rFonts w:cstheme="minorHAnsi"/>
        </w:rPr>
        <w:t xml:space="preserve">mediana v </w:t>
      </w:r>
      <w:r w:rsidR="00DC4FB4">
        <w:rPr>
          <w:rFonts w:cstheme="minorHAnsi"/>
        </w:rPr>
        <w:t>CEE-4</w:t>
      </w:r>
      <w:r>
        <w:rPr>
          <w:rFonts w:cstheme="minorHAnsi"/>
        </w:rPr>
        <w:t xml:space="preserve"> (50,7 %).</w:t>
      </w:r>
    </w:p>
    <w:p w14:paraId="727B0C3F" w14:textId="77777777" w:rsidR="003C2935" w:rsidRDefault="003C2935" w:rsidP="003C2935">
      <w:pPr>
        <w:spacing w:after="0"/>
        <w:jc w:val="both"/>
        <w:rPr>
          <w:rFonts w:asciiTheme="majorHAnsi" w:eastAsia="Times New Roman" w:hAnsiTheme="majorHAnsi" w:cs="Arial"/>
          <w:b/>
          <w:bCs/>
          <w:color w:val="8AB833" w:themeColor="accent2"/>
          <w:lang w:eastAsia="sl-SI"/>
        </w:rPr>
      </w:pPr>
      <w:r>
        <w:rPr>
          <w:rFonts w:asciiTheme="majorHAnsi" w:eastAsia="Times New Roman" w:hAnsiTheme="majorHAnsi" w:cs="Arial"/>
          <w:b/>
          <w:bCs/>
          <w:color w:val="8AB833" w:themeColor="accent2"/>
          <w:lang w:eastAsia="sl-SI"/>
        </w:rPr>
        <w:t>Odstopanje Slovenije</w:t>
      </w:r>
      <w:r>
        <w:rPr>
          <w:rStyle w:val="Sprotnaopomba-sklic"/>
          <w:rFonts w:asciiTheme="majorHAnsi" w:eastAsia="Times New Roman" w:hAnsiTheme="majorHAnsi" w:cs="Arial"/>
          <w:b/>
          <w:bCs/>
          <w:color w:val="8AB833" w:themeColor="accent2"/>
          <w:lang w:eastAsia="sl-SI"/>
        </w:rPr>
        <w:footnoteReference w:id="21"/>
      </w:r>
      <w:r>
        <w:rPr>
          <w:rFonts w:asciiTheme="majorHAnsi" w:eastAsia="Times New Roman" w:hAnsiTheme="majorHAnsi" w:cs="Arial"/>
          <w:b/>
          <w:bCs/>
          <w:color w:val="8AB833" w:themeColor="accent2"/>
          <w:lang w:eastAsia="sl-SI"/>
        </w:rPr>
        <w:t xml:space="preserve"> po oddelkih predelovalnih dejavnosti v primerjavi z mediano kazalnika pri EU-27, 2017</w:t>
      </w:r>
    </w:p>
    <w:tbl>
      <w:tblPr>
        <w:tblW w:w="9150" w:type="dxa"/>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tblBorders>
        <w:tblLook w:val="04A0" w:firstRow="1" w:lastRow="0" w:firstColumn="1" w:lastColumn="0" w:noHBand="0" w:noVBand="1"/>
      </w:tblPr>
      <w:tblGrid>
        <w:gridCol w:w="1701"/>
        <w:gridCol w:w="1055"/>
        <w:gridCol w:w="1192"/>
        <w:gridCol w:w="1134"/>
        <w:gridCol w:w="1352"/>
        <w:gridCol w:w="1358"/>
        <w:gridCol w:w="1358"/>
      </w:tblGrid>
      <w:tr w:rsidR="003C2935" w14:paraId="31D0DC0A" w14:textId="77777777" w:rsidTr="003C2935">
        <w:trPr>
          <w:trHeight w:val="708"/>
        </w:trPr>
        <w:tc>
          <w:tcPr>
            <w:tcW w:w="1980" w:type="dxa"/>
            <w:tcBorders>
              <w:top w:val="single" w:sz="4" w:space="0" w:color="8AB833" w:themeColor="accent2"/>
              <w:left w:val="single" w:sz="4" w:space="0" w:color="8AB833" w:themeColor="accent2"/>
              <w:bottom w:val="single" w:sz="4" w:space="0" w:color="8AB833" w:themeColor="accent2"/>
              <w:right w:val="nil"/>
            </w:tcBorders>
            <w:shd w:val="clear" w:color="auto" w:fill="8AB833" w:themeFill="accent2"/>
            <w:vAlign w:val="center"/>
            <w:hideMark/>
          </w:tcPr>
          <w:p w14:paraId="7591CD16" w14:textId="77777777" w:rsidR="003C2935" w:rsidRDefault="003C2935">
            <w:pPr>
              <w:spacing w:before="0" w:after="0" w:line="240" w:lineRule="auto"/>
              <w:rPr>
                <w:rFonts w:asciiTheme="majorHAnsi" w:hAnsiTheme="majorHAnsi"/>
                <w:b/>
                <w:bCs/>
                <w:color w:val="FFFFFF" w:themeColor="background1"/>
              </w:rPr>
            </w:pPr>
            <w:r>
              <w:rPr>
                <w:rFonts w:asciiTheme="majorHAnsi" w:hAnsiTheme="majorHAnsi"/>
                <w:b/>
                <w:bCs/>
                <w:color w:val="FFFFFF" w:themeColor="background1"/>
              </w:rPr>
              <w:t>Ključne skupine predelovalnih dejavnosti</w:t>
            </w:r>
          </w:p>
        </w:tc>
        <w:tc>
          <w:tcPr>
            <w:tcW w:w="1055" w:type="dxa"/>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7575BD19"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Bruto marža</w:t>
            </w:r>
          </w:p>
          <w:p w14:paraId="40E46EE1"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v o. t.</w:t>
            </w:r>
            <w:r>
              <w:rPr>
                <w:rStyle w:val="Sprotnaopomba-sklic"/>
                <w:rFonts w:asciiTheme="majorHAnsi" w:hAnsiTheme="majorHAnsi"/>
                <w:b/>
                <w:bCs/>
                <w:color w:val="FFFFFF" w:themeColor="background1"/>
              </w:rPr>
              <w:footnoteReference w:id="22"/>
            </w:r>
          </w:p>
        </w:tc>
        <w:tc>
          <w:tcPr>
            <w:tcW w:w="1137" w:type="dxa"/>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167E7EE3"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Investicije /prihodkih</w:t>
            </w:r>
          </w:p>
          <w:p w14:paraId="0DD69971"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v o. t.</w:t>
            </w:r>
          </w:p>
        </w:tc>
        <w:tc>
          <w:tcPr>
            <w:tcW w:w="1134" w:type="dxa"/>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7CC948C2"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EBITDA marža</w:t>
            </w:r>
          </w:p>
          <w:p w14:paraId="50F929F8"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v o. t.</w:t>
            </w:r>
            <w:r>
              <w:rPr>
                <w:rStyle w:val="Sprotnaopomba-sklic"/>
                <w:rFonts w:asciiTheme="majorHAnsi" w:hAnsiTheme="majorHAnsi"/>
                <w:b/>
                <w:bCs/>
                <w:color w:val="FFFFFF" w:themeColor="background1"/>
              </w:rPr>
              <w:footnoteReference w:id="23"/>
            </w:r>
          </w:p>
        </w:tc>
        <w:tc>
          <w:tcPr>
            <w:tcW w:w="1352" w:type="dxa"/>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01CBF3BA"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Strošek</w:t>
            </w:r>
          </w:p>
          <w:p w14:paraId="0851D7E0"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dela v DV</w:t>
            </w:r>
          </w:p>
          <w:p w14:paraId="46D373C9"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v o. t.</w:t>
            </w:r>
          </w:p>
        </w:tc>
        <w:tc>
          <w:tcPr>
            <w:tcW w:w="1244" w:type="dxa"/>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390DB476"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DV/ zaposlenega</w:t>
            </w:r>
          </w:p>
        </w:tc>
        <w:tc>
          <w:tcPr>
            <w:tcW w:w="1248" w:type="dxa"/>
            <w:tcBorders>
              <w:top w:val="single" w:sz="4" w:space="0" w:color="8AB833" w:themeColor="accent2"/>
              <w:left w:val="nil"/>
              <w:bottom w:val="single" w:sz="4" w:space="0" w:color="8AB833" w:themeColor="accent2"/>
              <w:right w:val="single" w:sz="4" w:space="0" w:color="8AB833" w:themeColor="accent2"/>
            </w:tcBorders>
            <w:shd w:val="clear" w:color="auto" w:fill="8AB833" w:themeFill="accent2"/>
            <w:vAlign w:val="center"/>
            <w:hideMark/>
          </w:tcPr>
          <w:p w14:paraId="5DD0E43D"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Prihodki/ zaposlenega</w:t>
            </w:r>
          </w:p>
        </w:tc>
      </w:tr>
      <w:tr w:rsidR="003C2935" w14:paraId="3631FF34" w14:textId="77777777" w:rsidTr="003C2935">
        <w:tc>
          <w:tcPr>
            <w:tcW w:w="1980" w:type="dxa"/>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34964A58" w14:textId="77777777" w:rsidR="003C2935" w:rsidRDefault="003C2935">
            <w:pPr>
              <w:spacing w:before="0" w:after="0" w:line="240" w:lineRule="auto"/>
              <w:rPr>
                <w:rFonts w:asciiTheme="majorHAnsi" w:hAnsiTheme="majorHAnsi"/>
                <w:b/>
                <w:bCs/>
              </w:rPr>
            </w:pPr>
            <w:r>
              <w:rPr>
                <w:rFonts w:asciiTheme="majorHAnsi" w:hAnsiTheme="majorHAnsi"/>
                <w:b/>
                <w:bCs/>
                <w:color w:val="000000" w:themeColor="text1"/>
              </w:rPr>
              <w:t>PREDEL. DEJ. SKUPAJ</w:t>
            </w:r>
          </w:p>
        </w:tc>
        <w:tc>
          <w:tcPr>
            <w:tcW w:w="1055"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04AEDC3A" w14:textId="77777777" w:rsidR="003C2935" w:rsidRDefault="003C2935">
            <w:pPr>
              <w:spacing w:before="0" w:after="0" w:line="240" w:lineRule="auto"/>
              <w:jc w:val="right"/>
              <w:rPr>
                <w:rFonts w:asciiTheme="majorHAnsi" w:hAnsiTheme="majorHAnsi"/>
                <w:b/>
              </w:rPr>
            </w:pPr>
            <w:r>
              <w:rPr>
                <w:b/>
              </w:rPr>
              <w:t>4,7</w:t>
            </w:r>
          </w:p>
        </w:tc>
        <w:tc>
          <w:tcPr>
            <w:tcW w:w="1137"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434350C5" w14:textId="77777777" w:rsidR="003C2935" w:rsidRDefault="003C2935">
            <w:pPr>
              <w:spacing w:before="0" w:after="0" w:line="240" w:lineRule="auto"/>
              <w:jc w:val="right"/>
              <w:rPr>
                <w:rFonts w:asciiTheme="majorHAnsi" w:hAnsiTheme="majorHAnsi"/>
                <w:b/>
              </w:rPr>
            </w:pPr>
            <w:r>
              <w:rPr>
                <w:b/>
              </w:rPr>
              <w:t>1,5</w:t>
            </w:r>
          </w:p>
        </w:tc>
        <w:tc>
          <w:tcPr>
            <w:tcW w:w="1134"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087E7C26" w14:textId="77777777" w:rsidR="003C2935" w:rsidRDefault="003C2935">
            <w:pPr>
              <w:spacing w:before="0" w:after="0" w:line="240" w:lineRule="auto"/>
              <w:jc w:val="right"/>
              <w:rPr>
                <w:rFonts w:asciiTheme="majorHAnsi" w:hAnsiTheme="majorHAnsi"/>
                <w:b/>
              </w:rPr>
            </w:pPr>
            <w:r>
              <w:rPr>
                <w:b/>
              </w:rPr>
              <w:t>1,5</w:t>
            </w:r>
          </w:p>
        </w:tc>
        <w:tc>
          <w:tcPr>
            <w:tcW w:w="1352"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776D6477" w14:textId="77777777" w:rsidR="003C2935" w:rsidRDefault="003C2935">
            <w:pPr>
              <w:spacing w:before="0" w:after="0" w:line="240" w:lineRule="auto"/>
              <w:jc w:val="right"/>
              <w:rPr>
                <w:rFonts w:asciiTheme="majorHAnsi" w:hAnsiTheme="majorHAnsi"/>
                <w:b/>
              </w:rPr>
            </w:pPr>
            <w:r>
              <w:rPr>
                <w:b/>
              </w:rPr>
              <w:t>2,3</w:t>
            </w:r>
          </w:p>
        </w:tc>
        <w:tc>
          <w:tcPr>
            <w:tcW w:w="1244"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3AB41EF2" w14:textId="77777777" w:rsidR="003C2935" w:rsidRDefault="003C2935">
            <w:pPr>
              <w:spacing w:before="0" w:after="0" w:line="240" w:lineRule="auto"/>
              <w:jc w:val="right"/>
              <w:rPr>
                <w:rFonts w:asciiTheme="majorHAnsi" w:hAnsiTheme="majorHAnsi"/>
                <w:b/>
              </w:rPr>
            </w:pPr>
            <w:r>
              <w:rPr>
                <w:b/>
              </w:rPr>
              <w:t>-379</w:t>
            </w:r>
          </w:p>
        </w:tc>
        <w:tc>
          <w:tcPr>
            <w:tcW w:w="1248" w:type="dxa"/>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vAlign w:val="center"/>
            <w:hideMark/>
          </w:tcPr>
          <w:p w14:paraId="2B13EB2E" w14:textId="77777777" w:rsidR="003C2935" w:rsidRDefault="003C2935">
            <w:pPr>
              <w:spacing w:before="0" w:after="0" w:line="240" w:lineRule="auto"/>
              <w:jc w:val="right"/>
              <w:rPr>
                <w:rFonts w:asciiTheme="majorHAnsi" w:hAnsiTheme="majorHAnsi"/>
                <w:b/>
              </w:rPr>
            </w:pPr>
            <w:r>
              <w:rPr>
                <w:b/>
              </w:rPr>
              <w:t>-38.048</w:t>
            </w:r>
          </w:p>
        </w:tc>
      </w:tr>
      <w:tr w:rsidR="003C2935" w14:paraId="1A8BC5FB" w14:textId="77777777" w:rsidTr="003C2935">
        <w:tc>
          <w:tcPr>
            <w:tcW w:w="1980" w:type="dxa"/>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37185046"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Prehrambna</w:t>
            </w:r>
          </w:p>
        </w:tc>
        <w:tc>
          <w:tcPr>
            <w:tcW w:w="1055" w:type="dxa"/>
            <w:tcBorders>
              <w:top w:val="single" w:sz="4" w:space="0" w:color="BADB7D" w:themeColor="accent2" w:themeTint="99"/>
              <w:left w:val="nil"/>
              <w:bottom w:val="single" w:sz="4" w:space="0" w:color="BADB7D" w:themeColor="accent2" w:themeTint="99"/>
              <w:right w:val="nil"/>
            </w:tcBorders>
            <w:noWrap/>
            <w:vAlign w:val="center"/>
            <w:hideMark/>
          </w:tcPr>
          <w:p w14:paraId="3ACC53DD" w14:textId="77777777" w:rsidR="003C2935" w:rsidRDefault="003C2935">
            <w:pPr>
              <w:spacing w:before="0" w:after="0" w:line="240" w:lineRule="auto"/>
              <w:jc w:val="right"/>
              <w:rPr>
                <w:rFonts w:asciiTheme="majorHAnsi" w:hAnsiTheme="majorHAnsi"/>
              </w:rPr>
            </w:pPr>
            <w:r>
              <w:t>3,0</w:t>
            </w:r>
          </w:p>
        </w:tc>
        <w:tc>
          <w:tcPr>
            <w:tcW w:w="1137" w:type="dxa"/>
            <w:tcBorders>
              <w:top w:val="single" w:sz="4" w:space="0" w:color="BADB7D" w:themeColor="accent2" w:themeTint="99"/>
              <w:left w:val="nil"/>
              <w:bottom w:val="single" w:sz="4" w:space="0" w:color="BADB7D" w:themeColor="accent2" w:themeTint="99"/>
              <w:right w:val="nil"/>
            </w:tcBorders>
            <w:noWrap/>
            <w:vAlign w:val="center"/>
            <w:hideMark/>
          </w:tcPr>
          <w:p w14:paraId="4BBA153C" w14:textId="77777777" w:rsidR="003C2935" w:rsidRDefault="003C2935">
            <w:pPr>
              <w:spacing w:before="0" w:after="0" w:line="240" w:lineRule="auto"/>
              <w:jc w:val="right"/>
              <w:rPr>
                <w:rFonts w:asciiTheme="majorHAnsi" w:hAnsiTheme="majorHAnsi"/>
              </w:rPr>
            </w:pPr>
            <w:r>
              <w:t>0,0</w:t>
            </w:r>
          </w:p>
        </w:tc>
        <w:tc>
          <w:tcPr>
            <w:tcW w:w="1134" w:type="dxa"/>
            <w:tcBorders>
              <w:top w:val="single" w:sz="4" w:space="0" w:color="BADB7D" w:themeColor="accent2" w:themeTint="99"/>
              <w:left w:val="nil"/>
              <w:bottom w:val="single" w:sz="4" w:space="0" w:color="BADB7D" w:themeColor="accent2" w:themeTint="99"/>
              <w:right w:val="nil"/>
            </w:tcBorders>
            <w:noWrap/>
            <w:vAlign w:val="center"/>
            <w:hideMark/>
          </w:tcPr>
          <w:p w14:paraId="3CCD715E" w14:textId="77777777" w:rsidR="003C2935" w:rsidRDefault="003C2935">
            <w:pPr>
              <w:spacing w:before="0" w:after="0" w:line="240" w:lineRule="auto"/>
              <w:jc w:val="right"/>
              <w:rPr>
                <w:rFonts w:asciiTheme="majorHAnsi" w:hAnsiTheme="majorHAnsi"/>
              </w:rPr>
            </w:pPr>
            <w:r>
              <w:t>0,4</w:t>
            </w:r>
          </w:p>
        </w:tc>
        <w:tc>
          <w:tcPr>
            <w:tcW w:w="1352" w:type="dxa"/>
            <w:tcBorders>
              <w:top w:val="single" w:sz="4" w:space="0" w:color="BADB7D" w:themeColor="accent2" w:themeTint="99"/>
              <w:left w:val="nil"/>
              <w:bottom w:val="single" w:sz="4" w:space="0" w:color="BADB7D" w:themeColor="accent2" w:themeTint="99"/>
              <w:right w:val="nil"/>
            </w:tcBorders>
            <w:noWrap/>
            <w:vAlign w:val="center"/>
            <w:hideMark/>
          </w:tcPr>
          <w:p w14:paraId="3083036F" w14:textId="77777777" w:rsidR="003C2935" w:rsidRDefault="003C2935">
            <w:pPr>
              <w:spacing w:before="0" w:after="0" w:line="240" w:lineRule="auto"/>
              <w:jc w:val="right"/>
              <w:rPr>
                <w:rFonts w:asciiTheme="majorHAnsi" w:hAnsiTheme="majorHAnsi"/>
              </w:rPr>
            </w:pPr>
            <w:r>
              <w:t>3,8</w:t>
            </w:r>
          </w:p>
        </w:tc>
        <w:tc>
          <w:tcPr>
            <w:tcW w:w="1244" w:type="dxa"/>
            <w:tcBorders>
              <w:top w:val="single" w:sz="4" w:space="0" w:color="BADB7D" w:themeColor="accent2" w:themeTint="99"/>
              <w:left w:val="nil"/>
              <w:bottom w:val="single" w:sz="4" w:space="0" w:color="BADB7D" w:themeColor="accent2" w:themeTint="99"/>
              <w:right w:val="nil"/>
            </w:tcBorders>
            <w:noWrap/>
            <w:vAlign w:val="center"/>
            <w:hideMark/>
          </w:tcPr>
          <w:p w14:paraId="2D277C76" w14:textId="77777777" w:rsidR="003C2935" w:rsidRDefault="003C2935">
            <w:pPr>
              <w:spacing w:before="0" w:after="0" w:line="240" w:lineRule="auto"/>
              <w:jc w:val="right"/>
              <w:rPr>
                <w:rFonts w:asciiTheme="majorHAnsi" w:hAnsiTheme="majorHAnsi"/>
              </w:rPr>
            </w:pPr>
            <w:r>
              <w:t>2.714</w:t>
            </w:r>
          </w:p>
        </w:tc>
        <w:tc>
          <w:tcPr>
            <w:tcW w:w="1248" w:type="dxa"/>
            <w:tcBorders>
              <w:top w:val="single" w:sz="4" w:space="0" w:color="BADB7D" w:themeColor="accent2" w:themeTint="99"/>
              <w:left w:val="nil"/>
              <w:bottom w:val="single" w:sz="4" w:space="0" w:color="BADB7D" w:themeColor="accent2" w:themeTint="99"/>
              <w:right w:val="single" w:sz="4" w:space="0" w:color="BADB7D" w:themeColor="accent2" w:themeTint="99"/>
            </w:tcBorders>
            <w:noWrap/>
            <w:vAlign w:val="center"/>
            <w:hideMark/>
          </w:tcPr>
          <w:p w14:paraId="5EDE8B1D" w14:textId="77777777" w:rsidR="003C2935" w:rsidRDefault="003C2935">
            <w:pPr>
              <w:spacing w:before="0" w:after="0" w:line="240" w:lineRule="auto"/>
              <w:jc w:val="right"/>
              <w:rPr>
                <w:rFonts w:asciiTheme="majorHAnsi" w:hAnsiTheme="majorHAnsi"/>
              </w:rPr>
            </w:pPr>
            <w:r>
              <w:t>-4.797</w:t>
            </w:r>
          </w:p>
        </w:tc>
      </w:tr>
      <w:tr w:rsidR="003C2935" w14:paraId="56E6D75A" w14:textId="77777777" w:rsidTr="003C2935">
        <w:tc>
          <w:tcPr>
            <w:tcW w:w="1980" w:type="dxa"/>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7F36FDFB"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Tekstilna</w:t>
            </w:r>
          </w:p>
        </w:tc>
        <w:tc>
          <w:tcPr>
            <w:tcW w:w="1055"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7BBA712E" w14:textId="77777777" w:rsidR="003C2935" w:rsidRDefault="003C2935">
            <w:pPr>
              <w:spacing w:before="0" w:after="0" w:line="240" w:lineRule="auto"/>
              <w:jc w:val="right"/>
              <w:rPr>
                <w:rFonts w:asciiTheme="majorHAnsi" w:hAnsiTheme="majorHAnsi"/>
              </w:rPr>
            </w:pPr>
            <w:r>
              <w:t>-0,1</w:t>
            </w:r>
          </w:p>
        </w:tc>
        <w:tc>
          <w:tcPr>
            <w:tcW w:w="1137"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3A94DA3D" w14:textId="77777777" w:rsidR="003C2935" w:rsidRDefault="003C2935">
            <w:pPr>
              <w:spacing w:before="0" w:after="0" w:line="240" w:lineRule="auto"/>
              <w:jc w:val="right"/>
              <w:rPr>
                <w:rFonts w:asciiTheme="majorHAnsi" w:hAnsiTheme="majorHAnsi"/>
              </w:rPr>
            </w:pPr>
            <w:r>
              <w:t>2,0</w:t>
            </w:r>
          </w:p>
        </w:tc>
        <w:tc>
          <w:tcPr>
            <w:tcW w:w="1134"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7B85189E" w14:textId="77777777" w:rsidR="003C2935" w:rsidRDefault="003C2935">
            <w:pPr>
              <w:spacing w:before="0" w:after="0" w:line="240" w:lineRule="auto"/>
              <w:jc w:val="right"/>
              <w:rPr>
                <w:rFonts w:asciiTheme="majorHAnsi" w:hAnsiTheme="majorHAnsi"/>
              </w:rPr>
            </w:pPr>
            <w:r>
              <w:t>1,8</w:t>
            </w:r>
          </w:p>
        </w:tc>
        <w:tc>
          <w:tcPr>
            <w:tcW w:w="1352"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3C0E6A06" w14:textId="77777777" w:rsidR="003C2935" w:rsidRDefault="003C2935">
            <w:pPr>
              <w:spacing w:before="0" w:after="0" w:line="240" w:lineRule="auto"/>
              <w:jc w:val="right"/>
              <w:rPr>
                <w:rFonts w:asciiTheme="majorHAnsi" w:hAnsiTheme="majorHAnsi"/>
              </w:rPr>
            </w:pPr>
            <w:r>
              <w:t>-6,9</w:t>
            </w:r>
          </w:p>
        </w:tc>
        <w:tc>
          <w:tcPr>
            <w:tcW w:w="1244"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10062F24" w14:textId="77777777" w:rsidR="003C2935" w:rsidRDefault="003C2935">
            <w:pPr>
              <w:spacing w:before="0" w:after="0" w:line="240" w:lineRule="auto"/>
              <w:jc w:val="right"/>
              <w:rPr>
                <w:rFonts w:asciiTheme="majorHAnsi" w:hAnsiTheme="majorHAnsi"/>
              </w:rPr>
            </w:pPr>
            <w:r>
              <w:t>3.316</w:t>
            </w:r>
          </w:p>
        </w:tc>
        <w:tc>
          <w:tcPr>
            <w:tcW w:w="1248" w:type="dxa"/>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vAlign w:val="center"/>
            <w:hideMark/>
          </w:tcPr>
          <w:p w14:paraId="584B2C14" w14:textId="77777777" w:rsidR="003C2935" w:rsidRDefault="003C2935">
            <w:pPr>
              <w:spacing w:before="0" w:after="0" w:line="240" w:lineRule="auto"/>
              <w:jc w:val="right"/>
              <w:rPr>
                <w:rFonts w:asciiTheme="majorHAnsi" w:hAnsiTheme="majorHAnsi"/>
              </w:rPr>
            </w:pPr>
            <w:r>
              <w:t>-1.271</w:t>
            </w:r>
          </w:p>
        </w:tc>
      </w:tr>
      <w:tr w:rsidR="003C2935" w14:paraId="3AE24E45" w14:textId="77777777" w:rsidTr="003C2935">
        <w:tc>
          <w:tcPr>
            <w:tcW w:w="1980" w:type="dxa"/>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70E07A99"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Lesna</w:t>
            </w:r>
          </w:p>
        </w:tc>
        <w:tc>
          <w:tcPr>
            <w:tcW w:w="1055" w:type="dxa"/>
            <w:tcBorders>
              <w:top w:val="single" w:sz="4" w:space="0" w:color="BADB7D" w:themeColor="accent2" w:themeTint="99"/>
              <w:left w:val="nil"/>
              <w:bottom w:val="single" w:sz="4" w:space="0" w:color="BADB7D" w:themeColor="accent2" w:themeTint="99"/>
              <w:right w:val="nil"/>
            </w:tcBorders>
            <w:noWrap/>
            <w:vAlign w:val="center"/>
            <w:hideMark/>
          </w:tcPr>
          <w:p w14:paraId="6ECC36CA" w14:textId="77777777" w:rsidR="003C2935" w:rsidRDefault="003C2935">
            <w:pPr>
              <w:spacing w:before="0" w:after="0" w:line="240" w:lineRule="auto"/>
              <w:jc w:val="right"/>
              <w:rPr>
                <w:rFonts w:asciiTheme="majorHAnsi" w:hAnsiTheme="majorHAnsi"/>
              </w:rPr>
            </w:pPr>
            <w:r>
              <w:t>2,8</w:t>
            </w:r>
          </w:p>
        </w:tc>
        <w:tc>
          <w:tcPr>
            <w:tcW w:w="1137" w:type="dxa"/>
            <w:tcBorders>
              <w:top w:val="single" w:sz="4" w:space="0" w:color="BADB7D" w:themeColor="accent2" w:themeTint="99"/>
              <w:left w:val="nil"/>
              <w:bottom w:val="single" w:sz="4" w:space="0" w:color="BADB7D" w:themeColor="accent2" w:themeTint="99"/>
              <w:right w:val="nil"/>
            </w:tcBorders>
            <w:noWrap/>
            <w:vAlign w:val="center"/>
            <w:hideMark/>
          </w:tcPr>
          <w:p w14:paraId="2B5EE349" w14:textId="77777777" w:rsidR="003C2935" w:rsidRDefault="003C2935">
            <w:pPr>
              <w:spacing w:before="0" w:after="0" w:line="240" w:lineRule="auto"/>
              <w:jc w:val="right"/>
              <w:rPr>
                <w:rFonts w:asciiTheme="majorHAnsi" w:hAnsiTheme="majorHAnsi"/>
              </w:rPr>
            </w:pPr>
            <w:r>
              <w:t>2,4</w:t>
            </w:r>
          </w:p>
        </w:tc>
        <w:tc>
          <w:tcPr>
            <w:tcW w:w="1134" w:type="dxa"/>
            <w:tcBorders>
              <w:top w:val="single" w:sz="4" w:space="0" w:color="BADB7D" w:themeColor="accent2" w:themeTint="99"/>
              <w:left w:val="nil"/>
              <w:bottom w:val="single" w:sz="4" w:space="0" w:color="BADB7D" w:themeColor="accent2" w:themeTint="99"/>
              <w:right w:val="nil"/>
            </w:tcBorders>
            <w:noWrap/>
            <w:vAlign w:val="center"/>
            <w:hideMark/>
          </w:tcPr>
          <w:p w14:paraId="724243C1" w14:textId="77777777" w:rsidR="003C2935" w:rsidRDefault="003C2935">
            <w:pPr>
              <w:spacing w:before="0" w:after="0" w:line="240" w:lineRule="auto"/>
              <w:jc w:val="right"/>
              <w:rPr>
                <w:rFonts w:asciiTheme="majorHAnsi" w:hAnsiTheme="majorHAnsi"/>
              </w:rPr>
            </w:pPr>
            <w:r>
              <w:t>0,8</w:t>
            </w:r>
          </w:p>
        </w:tc>
        <w:tc>
          <w:tcPr>
            <w:tcW w:w="1352" w:type="dxa"/>
            <w:tcBorders>
              <w:top w:val="single" w:sz="4" w:space="0" w:color="BADB7D" w:themeColor="accent2" w:themeTint="99"/>
              <w:left w:val="nil"/>
              <w:bottom w:val="single" w:sz="4" w:space="0" w:color="BADB7D" w:themeColor="accent2" w:themeTint="99"/>
              <w:right w:val="nil"/>
            </w:tcBorders>
            <w:noWrap/>
            <w:vAlign w:val="center"/>
            <w:hideMark/>
          </w:tcPr>
          <w:p w14:paraId="732E33F4" w14:textId="77777777" w:rsidR="003C2935" w:rsidRDefault="003C2935">
            <w:pPr>
              <w:spacing w:before="0" w:after="0" w:line="240" w:lineRule="auto"/>
              <w:jc w:val="right"/>
              <w:rPr>
                <w:rFonts w:asciiTheme="majorHAnsi" w:hAnsiTheme="majorHAnsi"/>
              </w:rPr>
            </w:pPr>
            <w:r>
              <w:t>0,0</w:t>
            </w:r>
          </w:p>
        </w:tc>
        <w:tc>
          <w:tcPr>
            <w:tcW w:w="1244" w:type="dxa"/>
            <w:tcBorders>
              <w:top w:val="single" w:sz="4" w:space="0" w:color="BADB7D" w:themeColor="accent2" w:themeTint="99"/>
              <w:left w:val="nil"/>
              <w:bottom w:val="single" w:sz="4" w:space="0" w:color="BADB7D" w:themeColor="accent2" w:themeTint="99"/>
              <w:right w:val="nil"/>
            </w:tcBorders>
            <w:noWrap/>
            <w:vAlign w:val="center"/>
            <w:hideMark/>
          </w:tcPr>
          <w:p w14:paraId="4E8C06C2" w14:textId="77777777" w:rsidR="003C2935" w:rsidRDefault="003C2935">
            <w:pPr>
              <w:spacing w:before="0" w:after="0" w:line="240" w:lineRule="auto"/>
              <w:jc w:val="right"/>
              <w:rPr>
                <w:rFonts w:asciiTheme="majorHAnsi" w:hAnsiTheme="majorHAnsi"/>
              </w:rPr>
            </w:pPr>
            <w:r>
              <w:t>2.096</w:t>
            </w:r>
          </w:p>
        </w:tc>
        <w:tc>
          <w:tcPr>
            <w:tcW w:w="1248" w:type="dxa"/>
            <w:tcBorders>
              <w:top w:val="single" w:sz="4" w:space="0" w:color="BADB7D" w:themeColor="accent2" w:themeTint="99"/>
              <w:left w:val="nil"/>
              <w:bottom w:val="single" w:sz="4" w:space="0" w:color="BADB7D" w:themeColor="accent2" w:themeTint="99"/>
              <w:right w:val="single" w:sz="4" w:space="0" w:color="BADB7D" w:themeColor="accent2" w:themeTint="99"/>
            </w:tcBorders>
            <w:noWrap/>
            <w:vAlign w:val="center"/>
            <w:hideMark/>
          </w:tcPr>
          <w:p w14:paraId="6CEC28B3" w14:textId="77777777" w:rsidR="003C2935" w:rsidRDefault="003C2935">
            <w:pPr>
              <w:spacing w:before="0" w:after="0" w:line="240" w:lineRule="auto"/>
              <w:jc w:val="right"/>
              <w:rPr>
                <w:rFonts w:asciiTheme="majorHAnsi" w:hAnsiTheme="majorHAnsi"/>
              </w:rPr>
            </w:pPr>
            <w:r>
              <w:t>0</w:t>
            </w:r>
          </w:p>
        </w:tc>
      </w:tr>
      <w:tr w:rsidR="003C2935" w14:paraId="6F3AFB59" w14:textId="77777777" w:rsidTr="003C2935">
        <w:tc>
          <w:tcPr>
            <w:tcW w:w="1980" w:type="dxa"/>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16E16EA2"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Papirna</w:t>
            </w:r>
          </w:p>
        </w:tc>
        <w:tc>
          <w:tcPr>
            <w:tcW w:w="1055"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615DEDDA" w14:textId="77777777" w:rsidR="003C2935" w:rsidRDefault="003C2935">
            <w:pPr>
              <w:spacing w:before="0" w:after="0" w:line="240" w:lineRule="auto"/>
              <w:jc w:val="right"/>
              <w:rPr>
                <w:rFonts w:asciiTheme="majorHAnsi" w:hAnsiTheme="majorHAnsi"/>
              </w:rPr>
            </w:pPr>
            <w:r>
              <w:t>-2,6</w:t>
            </w:r>
          </w:p>
        </w:tc>
        <w:tc>
          <w:tcPr>
            <w:tcW w:w="1137"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6B7ABC74" w14:textId="77777777" w:rsidR="003C2935" w:rsidRDefault="003C2935">
            <w:pPr>
              <w:spacing w:before="0" w:after="0" w:line="240" w:lineRule="auto"/>
              <w:jc w:val="right"/>
              <w:rPr>
                <w:rFonts w:asciiTheme="majorHAnsi" w:hAnsiTheme="majorHAnsi"/>
              </w:rPr>
            </w:pPr>
            <w:r>
              <w:t>-2,7</w:t>
            </w:r>
          </w:p>
        </w:tc>
        <w:tc>
          <w:tcPr>
            <w:tcW w:w="1134"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5E9C9C6F" w14:textId="77777777" w:rsidR="003C2935" w:rsidRDefault="003C2935">
            <w:pPr>
              <w:spacing w:before="0" w:after="0" w:line="240" w:lineRule="auto"/>
              <w:jc w:val="right"/>
              <w:rPr>
                <w:rFonts w:asciiTheme="majorHAnsi" w:hAnsiTheme="majorHAnsi"/>
              </w:rPr>
            </w:pPr>
            <w:r>
              <w:t>-2,4</w:t>
            </w:r>
          </w:p>
        </w:tc>
        <w:tc>
          <w:tcPr>
            <w:tcW w:w="1352"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392A368D" w14:textId="77777777" w:rsidR="003C2935" w:rsidRDefault="003C2935">
            <w:pPr>
              <w:spacing w:before="0" w:after="0" w:line="240" w:lineRule="auto"/>
              <w:jc w:val="right"/>
              <w:rPr>
                <w:rFonts w:asciiTheme="majorHAnsi" w:hAnsiTheme="majorHAnsi"/>
              </w:rPr>
            </w:pPr>
            <w:r>
              <w:t>2,0</w:t>
            </w:r>
          </w:p>
        </w:tc>
        <w:tc>
          <w:tcPr>
            <w:tcW w:w="1244"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237B8C1A" w14:textId="77777777" w:rsidR="003C2935" w:rsidRDefault="003C2935">
            <w:pPr>
              <w:spacing w:before="0" w:after="0" w:line="240" w:lineRule="auto"/>
              <w:jc w:val="right"/>
              <w:rPr>
                <w:rFonts w:asciiTheme="majorHAnsi" w:hAnsiTheme="majorHAnsi"/>
              </w:rPr>
            </w:pPr>
            <w:r>
              <w:t>-2.310</w:t>
            </w:r>
          </w:p>
        </w:tc>
        <w:tc>
          <w:tcPr>
            <w:tcW w:w="1248" w:type="dxa"/>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vAlign w:val="center"/>
            <w:hideMark/>
          </w:tcPr>
          <w:p w14:paraId="55BA82DB" w14:textId="77777777" w:rsidR="003C2935" w:rsidRDefault="003C2935">
            <w:pPr>
              <w:spacing w:before="0" w:after="0" w:line="240" w:lineRule="auto"/>
              <w:jc w:val="right"/>
              <w:rPr>
                <w:rFonts w:asciiTheme="majorHAnsi" w:hAnsiTheme="majorHAnsi"/>
              </w:rPr>
            </w:pPr>
            <w:r>
              <w:t>0</w:t>
            </w:r>
          </w:p>
        </w:tc>
      </w:tr>
      <w:tr w:rsidR="003C2935" w14:paraId="00050ABF" w14:textId="77777777" w:rsidTr="003C2935">
        <w:tc>
          <w:tcPr>
            <w:tcW w:w="1980" w:type="dxa"/>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44C985D6"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Kemična</w:t>
            </w:r>
          </w:p>
        </w:tc>
        <w:tc>
          <w:tcPr>
            <w:tcW w:w="1055" w:type="dxa"/>
            <w:tcBorders>
              <w:top w:val="single" w:sz="4" w:space="0" w:color="BADB7D" w:themeColor="accent2" w:themeTint="99"/>
              <w:left w:val="nil"/>
              <w:bottom w:val="single" w:sz="4" w:space="0" w:color="BADB7D" w:themeColor="accent2" w:themeTint="99"/>
              <w:right w:val="nil"/>
            </w:tcBorders>
            <w:noWrap/>
            <w:vAlign w:val="center"/>
            <w:hideMark/>
          </w:tcPr>
          <w:p w14:paraId="02202A01" w14:textId="77777777" w:rsidR="003C2935" w:rsidRDefault="003C2935">
            <w:pPr>
              <w:spacing w:before="0" w:after="0" w:line="240" w:lineRule="auto"/>
              <w:jc w:val="right"/>
              <w:rPr>
                <w:rFonts w:asciiTheme="majorHAnsi" w:hAnsiTheme="majorHAnsi"/>
              </w:rPr>
            </w:pPr>
            <w:r>
              <w:t>8,8</w:t>
            </w:r>
          </w:p>
        </w:tc>
        <w:tc>
          <w:tcPr>
            <w:tcW w:w="1137" w:type="dxa"/>
            <w:tcBorders>
              <w:top w:val="single" w:sz="4" w:space="0" w:color="BADB7D" w:themeColor="accent2" w:themeTint="99"/>
              <w:left w:val="nil"/>
              <w:bottom w:val="single" w:sz="4" w:space="0" w:color="BADB7D" w:themeColor="accent2" w:themeTint="99"/>
              <w:right w:val="nil"/>
            </w:tcBorders>
            <w:noWrap/>
            <w:vAlign w:val="center"/>
            <w:hideMark/>
          </w:tcPr>
          <w:p w14:paraId="26F811E0" w14:textId="77777777" w:rsidR="003C2935" w:rsidRDefault="003C2935">
            <w:pPr>
              <w:spacing w:before="0" w:after="0" w:line="240" w:lineRule="auto"/>
              <w:jc w:val="right"/>
              <w:rPr>
                <w:rFonts w:asciiTheme="majorHAnsi" w:hAnsiTheme="majorHAnsi"/>
              </w:rPr>
            </w:pPr>
            <w:r>
              <w:t>1,6</w:t>
            </w:r>
          </w:p>
        </w:tc>
        <w:tc>
          <w:tcPr>
            <w:tcW w:w="1134" w:type="dxa"/>
            <w:tcBorders>
              <w:top w:val="single" w:sz="4" w:space="0" w:color="BADB7D" w:themeColor="accent2" w:themeTint="99"/>
              <w:left w:val="nil"/>
              <w:bottom w:val="single" w:sz="4" w:space="0" w:color="BADB7D" w:themeColor="accent2" w:themeTint="99"/>
              <w:right w:val="nil"/>
            </w:tcBorders>
            <w:noWrap/>
            <w:vAlign w:val="center"/>
            <w:hideMark/>
          </w:tcPr>
          <w:p w14:paraId="15D289FC" w14:textId="77777777" w:rsidR="003C2935" w:rsidRDefault="003C2935">
            <w:pPr>
              <w:spacing w:before="0" w:after="0" w:line="240" w:lineRule="auto"/>
              <w:jc w:val="right"/>
              <w:rPr>
                <w:rFonts w:asciiTheme="majorHAnsi" w:hAnsiTheme="majorHAnsi"/>
              </w:rPr>
            </w:pPr>
            <w:r>
              <w:t>4,0</w:t>
            </w:r>
          </w:p>
        </w:tc>
        <w:tc>
          <w:tcPr>
            <w:tcW w:w="1352" w:type="dxa"/>
            <w:tcBorders>
              <w:top w:val="single" w:sz="4" w:space="0" w:color="BADB7D" w:themeColor="accent2" w:themeTint="99"/>
              <w:left w:val="nil"/>
              <w:bottom w:val="single" w:sz="4" w:space="0" w:color="BADB7D" w:themeColor="accent2" w:themeTint="99"/>
              <w:right w:val="nil"/>
            </w:tcBorders>
            <w:noWrap/>
            <w:vAlign w:val="center"/>
            <w:hideMark/>
          </w:tcPr>
          <w:p w14:paraId="4904373A" w14:textId="77777777" w:rsidR="003C2935" w:rsidRDefault="003C2935">
            <w:pPr>
              <w:spacing w:before="0" w:after="0" w:line="240" w:lineRule="auto"/>
              <w:jc w:val="right"/>
              <w:rPr>
                <w:rFonts w:asciiTheme="majorHAnsi" w:hAnsiTheme="majorHAnsi"/>
              </w:rPr>
            </w:pPr>
            <w:r>
              <w:t>2,6</w:t>
            </w:r>
          </w:p>
        </w:tc>
        <w:tc>
          <w:tcPr>
            <w:tcW w:w="1244" w:type="dxa"/>
            <w:tcBorders>
              <w:top w:val="single" w:sz="4" w:space="0" w:color="BADB7D" w:themeColor="accent2" w:themeTint="99"/>
              <w:left w:val="nil"/>
              <w:bottom w:val="single" w:sz="4" w:space="0" w:color="BADB7D" w:themeColor="accent2" w:themeTint="99"/>
              <w:right w:val="nil"/>
            </w:tcBorders>
            <w:noWrap/>
            <w:vAlign w:val="center"/>
            <w:hideMark/>
          </w:tcPr>
          <w:p w14:paraId="41C78C21" w14:textId="77777777" w:rsidR="003C2935" w:rsidRDefault="003C2935">
            <w:pPr>
              <w:spacing w:before="0" w:after="0" w:line="240" w:lineRule="auto"/>
              <w:jc w:val="right"/>
              <w:rPr>
                <w:rFonts w:asciiTheme="majorHAnsi" w:hAnsiTheme="majorHAnsi"/>
              </w:rPr>
            </w:pPr>
            <w:r>
              <w:t>-7.668</w:t>
            </w:r>
          </w:p>
        </w:tc>
        <w:tc>
          <w:tcPr>
            <w:tcW w:w="1248" w:type="dxa"/>
            <w:tcBorders>
              <w:top w:val="single" w:sz="4" w:space="0" w:color="BADB7D" w:themeColor="accent2" w:themeTint="99"/>
              <w:left w:val="nil"/>
              <w:bottom w:val="single" w:sz="4" w:space="0" w:color="BADB7D" w:themeColor="accent2" w:themeTint="99"/>
              <w:right w:val="single" w:sz="4" w:space="0" w:color="BADB7D" w:themeColor="accent2" w:themeTint="99"/>
            </w:tcBorders>
            <w:noWrap/>
            <w:vAlign w:val="center"/>
            <w:hideMark/>
          </w:tcPr>
          <w:p w14:paraId="1F57A296" w14:textId="77777777" w:rsidR="003C2935" w:rsidRDefault="003C2935">
            <w:pPr>
              <w:spacing w:before="0" w:after="0" w:line="240" w:lineRule="auto"/>
              <w:jc w:val="right"/>
              <w:rPr>
                <w:rFonts w:asciiTheme="majorHAnsi" w:hAnsiTheme="majorHAnsi"/>
              </w:rPr>
            </w:pPr>
            <w:r>
              <w:t>-56.751</w:t>
            </w:r>
          </w:p>
        </w:tc>
      </w:tr>
      <w:tr w:rsidR="003C2935" w14:paraId="57C5E7CE" w14:textId="77777777" w:rsidTr="003C2935">
        <w:tc>
          <w:tcPr>
            <w:tcW w:w="1980" w:type="dxa"/>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5C79E1FB"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Nekovinska</w:t>
            </w:r>
          </w:p>
        </w:tc>
        <w:tc>
          <w:tcPr>
            <w:tcW w:w="1055"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4ADF348C" w14:textId="77777777" w:rsidR="003C2935" w:rsidRDefault="003C2935">
            <w:pPr>
              <w:spacing w:before="0" w:after="0" w:line="240" w:lineRule="auto"/>
              <w:jc w:val="right"/>
              <w:rPr>
                <w:rFonts w:asciiTheme="majorHAnsi" w:hAnsiTheme="majorHAnsi"/>
              </w:rPr>
            </w:pPr>
            <w:r>
              <w:t>2,1</w:t>
            </w:r>
          </w:p>
        </w:tc>
        <w:tc>
          <w:tcPr>
            <w:tcW w:w="1137"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6FEFC8CE" w14:textId="77777777" w:rsidR="003C2935" w:rsidRDefault="003C2935">
            <w:pPr>
              <w:spacing w:before="0" w:after="0" w:line="240" w:lineRule="auto"/>
              <w:jc w:val="right"/>
              <w:rPr>
                <w:rFonts w:asciiTheme="majorHAnsi" w:hAnsiTheme="majorHAnsi"/>
              </w:rPr>
            </w:pPr>
            <w:r>
              <w:t>-0,3</w:t>
            </w:r>
          </w:p>
        </w:tc>
        <w:tc>
          <w:tcPr>
            <w:tcW w:w="1134"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5CF780E5" w14:textId="77777777" w:rsidR="003C2935" w:rsidRDefault="003C2935">
            <w:pPr>
              <w:spacing w:before="0" w:after="0" w:line="240" w:lineRule="auto"/>
              <w:jc w:val="right"/>
              <w:rPr>
                <w:rFonts w:asciiTheme="majorHAnsi" w:hAnsiTheme="majorHAnsi"/>
              </w:rPr>
            </w:pPr>
            <w:r>
              <w:t>1,7</w:t>
            </w:r>
          </w:p>
        </w:tc>
        <w:tc>
          <w:tcPr>
            <w:tcW w:w="1352"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1E18A6FD" w14:textId="77777777" w:rsidR="003C2935" w:rsidRDefault="003C2935">
            <w:pPr>
              <w:spacing w:before="0" w:after="0" w:line="240" w:lineRule="auto"/>
              <w:jc w:val="right"/>
              <w:rPr>
                <w:rFonts w:asciiTheme="majorHAnsi" w:hAnsiTheme="majorHAnsi"/>
              </w:rPr>
            </w:pPr>
            <w:r>
              <w:t>-4,7</w:t>
            </w:r>
          </w:p>
        </w:tc>
        <w:tc>
          <w:tcPr>
            <w:tcW w:w="1244"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32CAEA90" w14:textId="77777777" w:rsidR="003C2935" w:rsidRDefault="003C2935">
            <w:pPr>
              <w:spacing w:before="0" w:after="0" w:line="240" w:lineRule="auto"/>
              <w:jc w:val="right"/>
              <w:rPr>
                <w:rFonts w:asciiTheme="majorHAnsi" w:hAnsiTheme="majorHAnsi"/>
              </w:rPr>
            </w:pPr>
            <w:r>
              <w:t>-1.538</w:t>
            </w:r>
          </w:p>
        </w:tc>
        <w:tc>
          <w:tcPr>
            <w:tcW w:w="1248" w:type="dxa"/>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vAlign w:val="center"/>
            <w:hideMark/>
          </w:tcPr>
          <w:p w14:paraId="2D956810" w14:textId="77777777" w:rsidR="003C2935" w:rsidRDefault="003C2935">
            <w:pPr>
              <w:spacing w:before="0" w:after="0" w:line="240" w:lineRule="auto"/>
              <w:jc w:val="right"/>
              <w:rPr>
                <w:rFonts w:asciiTheme="majorHAnsi" w:hAnsiTheme="majorHAnsi"/>
              </w:rPr>
            </w:pPr>
            <w:r>
              <w:t>-23.168</w:t>
            </w:r>
          </w:p>
        </w:tc>
      </w:tr>
      <w:tr w:rsidR="003C2935" w14:paraId="2E7E5C86" w14:textId="77777777" w:rsidTr="003C2935">
        <w:tc>
          <w:tcPr>
            <w:tcW w:w="1980" w:type="dxa"/>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5E5ABA4D"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Kovinska</w:t>
            </w:r>
          </w:p>
        </w:tc>
        <w:tc>
          <w:tcPr>
            <w:tcW w:w="1055" w:type="dxa"/>
            <w:tcBorders>
              <w:top w:val="single" w:sz="4" w:space="0" w:color="BADB7D" w:themeColor="accent2" w:themeTint="99"/>
              <w:left w:val="nil"/>
              <w:bottom w:val="single" w:sz="4" w:space="0" w:color="BADB7D" w:themeColor="accent2" w:themeTint="99"/>
              <w:right w:val="nil"/>
            </w:tcBorders>
            <w:noWrap/>
            <w:vAlign w:val="center"/>
            <w:hideMark/>
          </w:tcPr>
          <w:p w14:paraId="59AA0E76" w14:textId="77777777" w:rsidR="003C2935" w:rsidRDefault="003C2935">
            <w:pPr>
              <w:spacing w:before="0" w:after="0" w:line="240" w:lineRule="auto"/>
              <w:jc w:val="right"/>
              <w:rPr>
                <w:rFonts w:asciiTheme="majorHAnsi" w:hAnsiTheme="majorHAnsi"/>
              </w:rPr>
            </w:pPr>
            <w:r>
              <w:t>0,0</w:t>
            </w:r>
          </w:p>
        </w:tc>
        <w:tc>
          <w:tcPr>
            <w:tcW w:w="1137" w:type="dxa"/>
            <w:tcBorders>
              <w:top w:val="single" w:sz="4" w:space="0" w:color="BADB7D" w:themeColor="accent2" w:themeTint="99"/>
              <w:left w:val="nil"/>
              <w:bottom w:val="single" w:sz="4" w:space="0" w:color="BADB7D" w:themeColor="accent2" w:themeTint="99"/>
              <w:right w:val="nil"/>
            </w:tcBorders>
            <w:noWrap/>
            <w:vAlign w:val="center"/>
            <w:hideMark/>
          </w:tcPr>
          <w:p w14:paraId="6BF9B3AF" w14:textId="77777777" w:rsidR="003C2935" w:rsidRDefault="003C2935">
            <w:pPr>
              <w:spacing w:before="0" w:after="0" w:line="240" w:lineRule="auto"/>
              <w:jc w:val="right"/>
              <w:rPr>
                <w:rFonts w:asciiTheme="majorHAnsi" w:hAnsiTheme="majorHAnsi"/>
              </w:rPr>
            </w:pPr>
            <w:r>
              <w:t>1,6</w:t>
            </w:r>
          </w:p>
        </w:tc>
        <w:tc>
          <w:tcPr>
            <w:tcW w:w="1134" w:type="dxa"/>
            <w:tcBorders>
              <w:top w:val="single" w:sz="4" w:space="0" w:color="BADB7D" w:themeColor="accent2" w:themeTint="99"/>
              <w:left w:val="nil"/>
              <w:bottom w:val="single" w:sz="4" w:space="0" w:color="BADB7D" w:themeColor="accent2" w:themeTint="99"/>
              <w:right w:val="nil"/>
            </w:tcBorders>
            <w:noWrap/>
            <w:vAlign w:val="center"/>
            <w:hideMark/>
          </w:tcPr>
          <w:p w14:paraId="656F3336" w14:textId="77777777" w:rsidR="003C2935" w:rsidRDefault="003C2935">
            <w:pPr>
              <w:spacing w:before="0" w:after="0" w:line="240" w:lineRule="auto"/>
              <w:jc w:val="right"/>
              <w:rPr>
                <w:rFonts w:asciiTheme="majorHAnsi" w:hAnsiTheme="majorHAnsi"/>
              </w:rPr>
            </w:pPr>
            <w:r>
              <w:t>0,5</w:t>
            </w:r>
          </w:p>
        </w:tc>
        <w:tc>
          <w:tcPr>
            <w:tcW w:w="1352" w:type="dxa"/>
            <w:tcBorders>
              <w:top w:val="single" w:sz="4" w:space="0" w:color="BADB7D" w:themeColor="accent2" w:themeTint="99"/>
              <w:left w:val="nil"/>
              <w:bottom w:val="single" w:sz="4" w:space="0" w:color="BADB7D" w:themeColor="accent2" w:themeTint="99"/>
              <w:right w:val="nil"/>
            </w:tcBorders>
            <w:noWrap/>
            <w:vAlign w:val="center"/>
            <w:hideMark/>
          </w:tcPr>
          <w:p w14:paraId="760C9B85" w14:textId="77777777" w:rsidR="003C2935" w:rsidRDefault="003C2935">
            <w:pPr>
              <w:spacing w:before="0" w:after="0" w:line="240" w:lineRule="auto"/>
              <w:jc w:val="right"/>
              <w:rPr>
                <w:rFonts w:asciiTheme="majorHAnsi" w:hAnsiTheme="majorHAnsi"/>
              </w:rPr>
            </w:pPr>
            <w:r>
              <w:t>-0,7</w:t>
            </w:r>
          </w:p>
        </w:tc>
        <w:tc>
          <w:tcPr>
            <w:tcW w:w="1244" w:type="dxa"/>
            <w:tcBorders>
              <w:top w:val="single" w:sz="4" w:space="0" w:color="BADB7D" w:themeColor="accent2" w:themeTint="99"/>
              <w:left w:val="nil"/>
              <w:bottom w:val="single" w:sz="4" w:space="0" w:color="BADB7D" w:themeColor="accent2" w:themeTint="99"/>
              <w:right w:val="nil"/>
            </w:tcBorders>
            <w:noWrap/>
            <w:vAlign w:val="center"/>
            <w:hideMark/>
          </w:tcPr>
          <w:p w14:paraId="5CB735A6" w14:textId="77777777" w:rsidR="003C2935" w:rsidRDefault="003C2935">
            <w:pPr>
              <w:spacing w:before="0" w:after="0" w:line="240" w:lineRule="auto"/>
              <w:jc w:val="right"/>
              <w:rPr>
                <w:rFonts w:asciiTheme="majorHAnsi" w:hAnsiTheme="majorHAnsi"/>
              </w:rPr>
            </w:pPr>
            <w:r>
              <w:t>0</w:t>
            </w:r>
          </w:p>
        </w:tc>
        <w:tc>
          <w:tcPr>
            <w:tcW w:w="1248" w:type="dxa"/>
            <w:tcBorders>
              <w:top w:val="single" w:sz="4" w:space="0" w:color="BADB7D" w:themeColor="accent2" w:themeTint="99"/>
              <w:left w:val="nil"/>
              <w:bottom w:val="single" w:sz="4" w:space="0" w:color="BADB7D" w:themeColor="accent2" w:themeTint="99"/>
              <w:right w:val="single" w:sz="4" w:space="0" w:color="BADB7D" w:themeColor="accent2" w:themeTint="99"/>
            </w:tcBorders>
            <w:noWrap/>
            <w:vAlign w:val="center"/>
            <w:hideMark/>
          </w:tcPr>
          <w:p w14:paraId="7B9216B7" w14:textId="77777777" w:rsidR="003C2935" w:rsidRDefault="003C2935">
            <w:pPr>
              <w:spacing w:before="0" w:after="0" w:line="240" w:lineRule="auto"/>
              <w:jc w:val="right"/>
              <w:rPr>
                <w:rFonts w:asciiTheme="majorHAnsi" w:hAnsiTheme="majorHAnsi"/>
              </w:rPr>
            </w:pPr>
            <w:r>
              <w:t>-1.113</w:t>
            </w:r>
          </w:p>
        </w:tc>
      </w:tr>
      <w:tr w:rsidR="003C2935" w14:paraId="36F0368B" w14:textId="77777777" w:rsidTr="003C2935">
        <w:tc>
          <w:tcPr>
            <w:tcW w:w="1980" w:type="dxa"/>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40B045D7"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Elektro</w:t>
            </w:r>
          </w:p>
        </w:tc>
        <w:tc>
          <w:tcPr>
            <w:tcW w:w="1055"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457415AF" w14:textId="77777777" w:rsidR="003C2935" w:rsidRDefault="003C2935">
            <w:pPr>
              <w:spacing w:before="0" w:after="0" w:line="240" w:lineRule="auto"/>
              <w:jc w:val="right"/>
              <w:rPr>
                <w:rFonts w:asciiTheme="majorHAnsi" w:hAnsiTheme="majorHAnsi"/>
              </w:rPr>
            </w:pPr>
            <w:r>
              <w:t>-0,8</w:t>
            </w:r>
          </w:p>
        </w:tc>
        <w:tc>
          <w:tcPr>
            <w:tcW w:w="1137"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1170A67B" w14:textId="77777777" w:rsidR="003C2935" w:rsidRDefault="003C2935">
            <w:pPr>
              <w:spacing w:before="0" w:after="0" w:line="240" w:lineRule="auto"/>
              <w:jc w:val="right"/>
              <w:rPr>
                <w:rFonts w:asciiTheme="majorHAnsi" w:hAnsiTheme="majorHAnsi"/>
              </w:rPr>
            </w:pPr>
            <w:r>
              <w:t>1,6</w:t>
            </w:r>
          </w:p>
        </w:tc>
        <w:tc>
          <w:tcPr>
            <w:tcW w:w="1134"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29AF703C" w14:textId="77777777" w:rsidR="003C2935" w:rsidRDefault="003C2935">
            <w:pPr>
              <w:spacing w:before="0" w:after="0" w:line="240" w:lineRule="auto"/>
              <w:jc w:val="right"/>
              <w:rPr>
                <w:rFonts w:asciiTheme="majorHAnsi" w:hAnsiTheme="majorHAnsi"/>
              </w:rPr>
            </w:pPr>
            <w:r>
              <w:t>0,8</w:t>
            </w:r>
          </w:p>
        </w:tc>
        <w:tc>
          <w:tcPr>
            <w:tcW w:w="1352"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4A718670" w14:textId="77777777" w:rsidR="003C2935" w:rsidRDefault="003C2935">
            <w:pPr>
              <w:spacing w:before="0" w:after="0" w:line="240" w:lineRule="auto"/>
              <w:jc w:val="right"/>
              <w:rPr>
                <w:rFonts w:asciiTheme="majorHAnsi" w:hAnsiTheme="majorHAnsi"/>
              </w:rPr>
            </w:pPr>
            <w:r>
              <w:t>-0,3</w:t>
            </w:r>
          </w:p>
        </w:tc>
        <w:tc>
          <w:tcPr>
            <w:tcW w:w="1244"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003F4BF6" w14:textId="77777777" w:rsidR="003C2935" w:rsidRDefault="003C2935">
            <w:pPr>
              <w:spacing w:before="0" w:after="0" w:line="240" w:lineRule="auto"/>
              <w:jc w:val="right"/>
              <w:rPr>
                <w:rFonts w:asciiTheme="majorHAnsi" w:hAnsiTheme="majorHAnsi"/>
              </w:rPr>
            </w:pPr>
            <w:r>
              <w:t>-3.419</w:t>
            </w:r>
          </w:p>
        </w:tc>
        <w:tc>
          <w:tcPr>
            <w:tcW w:w="1248" w:type="dxa"/>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vAlign w:val="center"/>
            <w:hideMark/>
          </w:tcPr>
          <w:p w14:paraId="1751C49B" w14:textId="77777777" w:rsidR="003C2935" w:rsidRDefault="003C2935">
            <w:pPr>
              <w:spacing w:before="0" w:after="0" w:line="240" w:lineRule="auto"/>
              <w:jc w:val="right"/>
              <w:rPr>
                <w:rFonts w:asciiTheme="majorHAnsi" w:hAnsiTheme="majorHAnsi"/>
              </w:rPr>
            </w:pPr>
            <w:r>
              <w:t>-45.981</w:t>
            </w:r>
          </w:p>
        </w:tc>
      </w:tr>
      <w:tr w:rsidR="003C2935" w14:paraId="05068815" w14:textId="77777777" w:rsidTr="003C2935">
        <w:tc>
          <w:tcPr>
            <w:tcW w:w="1980" w:type="dxa"/>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3869383D"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Strojna</w:t>
            </w:r>
          </w:p>
        </w:tc>
        <w:tc>
          <w:tcPr>
            <w:tcW w:w="1055" w:type="dxa"/>
            <w:tcBorders>
              <w:top w:val="single" w:sz="4" w:space="0" w:color="BADB7D" w:themeColor="accent2" w:themeTint="99"/>
              <w:left w:val="nil"/>
              <w:bottom w:val="single" w:sz="4" w:space="0" w:color="BADB7D" w:themeColor="accent2" w:themeTint="99"/>
              <w:right w:val="nil"/>
            </w:tcBorders>
            <w:noWrap/>
            <w:vAlign w:val="center"/>
            <w:hideMark/>
          </w:tcPr>
          <w:p w14:paraId="379F3BA0" w14:textId="77777777" w:rsidR="003C2935" w:rsidRDefault="003C2935">
            <w:pPr>
              <w:spacing w:before="0" w:after="0" w:line="240" w:lineRule="auto"/>
              <w:jc w:val="right"/>
              <w:rPr>
                <w:rFonts w:asciiTheme="majorHAnsi" w:hAnsiTheme="majorHAnsi"/>
              </w:rPr>
            </w:pPr>
            <w:r>
              <w:t>0,2</w:t>
            </w:r>
          </w:p>
        </w:tc>
        <w:tc>
          <w:tcPr>
            <w:tcW w:w="1137" w:type="dxa"/>
            <w:tcBorders>
              <w:top w:val="single" w:sz="4" w:space="0" w:color="BADB7D" w:themeColor="accent2" w:themeTint="99"/>
              <w:left w:val="nil"/>
              <w:bottom w:val="single" w:sz="4" w:space="0" w:color="BADB7D" w:themeColor="accent2" w:themeTint="99"/>
              <w:right w:val="nil"/>
            </w:tcBorders>
            <w:noWrap/>
            <w:vAlign w:val="center"/>
            <w:hideMark/>
          </w:tcPr>
          <w:p w14:paraId="72BF3D31" w14:textId="77777777" w:rsidR="003C2935" w:rsidRDefault="003C2935">
            <w:pPr>
              <w:spacing w:before="0" w:after="0" w:line="240" w:lineRule="auto"/>
              <w:jc w:val="right"/>
              <w:rPr>
                <w:rFonts w:asciiTheme="majorHAnsi" w:hAnsiTheme="majorHAnsi"/>
              </w:rPr>
            </w:pPr>
            <w:r>
              <w:t>2,1</w:t>
            </w:r>
          </w:p>
        </w:tc>
        <w:tc>
          <w:tcPr>
            <w:tcW w:w="1134" w:type="dxa"/>
            <w:tcBorders>
              <w:top w:val="single" w:sz="4" w:space="0" w:color="BADB7D" w:themeColor="accent2" w:themeTint="99"/>
              <w:left w:val="nil"/>
              <w:bottom w:val="single" w:sz="4" w:space="0" w:color="BADB7D" w:themeColor="accent2" w:themeTint="99"/>
              <w:right w:val="nil"/>
            </w:tcBorders>
            <w:noWrap/>
            <w:vAlign w:val="center"/>
            <w:hideMark/>
          </w:tcPr>
          <w:p w14:paraId="2D9B795D" w14:textId="77777777" w:rsidR="003C2935" w:rsidRDefault="003C2935">
            <w:pPr>
              <w:spacing w:before="0" w:after="0" w:line="240" w:lineRule="auto"/>
              <w:jc w:val="right"/>
              <w:rPr>
                <w:rFonts w:asciiTheme="majorHAnsi" w:hAnsiTheme="majorHAnsi"/>
              </w:rPr>
            </w:pPr>
            <w:r>
              <w:t>0,6</w:t>
            </w:r>
          </w:p>
        </w:tc>
        <w:tc>
          <w:tcPr>
            <w:tcW w:w="1352" w:type="dxa"/>
            <w:tcBorders>
              <w:top w:val="single" w:sz="4" w:space="0" w:color="BADB7D" w:themeColor="accent2" w:themeTint="99"/>
              <w:left w:val="nil"/>
              <w:bottom w:val="single" w:sz="4" w:space="0" w:color="BADB7D" w:themeColor="accent2" w:themeTint="99"/>
              <w:right w:val="nil"/>
            </w:tcBorders>
            <w:noWrap/>
            <w:vAlign w:val="center"/>
            <w:hideMark/>
          </w:tcPr>
          <w:p w14:paraId="408BA24D" w14:textId="77777777" w:rsidR="003C2935" w:rsidRDefault="003C2935">
            <w:pPr>
              <w:spacing w:before="0" w:after="0" w:line="240" w:lineRule="auto"/>
              <w:jc w:val="right"/>
              <w:rPr>
                <w:rFonts w:asciiTheme="majorHAnsi" w:hAnsiTheme="majorHAnsi"/>
              </w:rPr>
            </w:pPr>
            <w:r>
              <w:t>-2,1</w:t>
            </w:r>
          </w:p>
        </w:tc>
        <w:tc>
          <w:tcPr>
            <w:tcW w:w="1244" w:type="dxa"/>
            <w:tcBorders>
              <w:top w:val="single" w:sz="4" w:space="0" w:color="BADB7D" w:themeColor="accent2" w:themeTint="99"/>
              <w:left w:val="nil"/>
              <w:bottom w:val="single" w:sz="4" w:space="0" w:color="BADB7D" w:themeColor="accent2" w:themeTint="99"/>
              <w:right w:val="nil"/>
            </w:tcBorders>
            <w:noWrap/>
            <w:vAlign w:val="center"/>
            <w:hideMark/>
          </w:tcPr>
          <w:p w14:paraId="47DE42AF" w14:textId="77777777" w:rsidR="003C2935" w:rsidRDefault="003C2935">
            <w:pPr>
              <w:spacing w:before="0" w:after="0" w:line="240" w:lineRule="auto"/>
              <w:jc w:val="right"/>
              <w:rPr>
                <w:rFonts w:asciiTheme="majorHAnsi" w:hAnsiTheme="majorHAnsi"/>
              </w:rPr>
            </w:pPr>
            <w:r>
              <w:t>0</w:t>
            </w:r>
          </w:p>
        </w:tc>
        <w:tc>
          <w:tcPr>
            <w:tcW w:w="1248" w:type="dxa"/>
            <w:tcBorders>
              <w:top w:val="single" w:sz="4" w:space="0" w:color="BADB7D" w:themeColor="accent2" w:themeTint="99"/>
              <w:left w:val="nil"/>
              <w:bottom w:val="single" w:sz="4" w:space="0" w:color="BADB7D" w:themeColor="accent2" w:themeTint="99"/>
              <w:right w:val="single" w:sz="4" w:space="0" w:color="BADB7D" w:themeColor="accent2" w:themeTint="99"/>
            </w:tcBorders>
            <w:noWrap/>
            <w:vAlign w:val="center"/>
            <w:hideMark/>
          </w:tcPr>
          <w:p w14:paraId="34B0FDD4" w14:textId="77777777" w:rsidR="003C2935" w:rsidRDefault="003C2935">
            <w:pPr>
              <w:spacing w:before="0" w:after="0" w:line="240" w:lineRule="auto"/>
              <w:jc w:val="right"/>
              <w:rPr>
                <w:rFonts w:asciiTheme="majorHAnsi" w:hAnsiTheme="majorHAnsi"/>
              </w:rPr>
            </w:pPr>
            <w:r>
              <w:t>-32.280</w:t>
            </w:r>
          </w:p>
        </w:tc>
      </w:tr>
      <w:tr w:rsidR="003C2935" w14:paraId="2300AE8D" w14:textId="77777777" w:rsidTr="003C2935">
        <w:tc>
          <w:tcPr>
            <w:tcW w:w="1980" w:type="dxa"/>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669F4DD7"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Druge</w:t>
            </w:r>
          </w:p>
        </w:tc>
        <w:tc>
          <w:tcPr>
            <w:tcW w:w="1055"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087A2480" w14:textId="77777777" w:rsidR="003C2935" w:rsidRDefault="003C2935">
            <w:pPr>
              <w:spacing w:before="0" w:after="0" w:line="240" w:lineRule="auto"/>
              <w:jc w:val="right"/>
              <w:rPr>
                <w:rFonts w:asciiTheme="majorHAnsi" w:hAnsiTheme="majorHAnsi"/>
              </w:rPr>
            </w:pPr>
            <w:r>
              <w:t>2,5</w:t>
            </w:r>
          </w:p>
        </w:tc>
        <w:tc>
          <w:tcPr>
            <w:tcW w:w="1137"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50D6EB7C" w14:textId="77777777" w:rsidR="003C2935" w:rsidRDefault="003C2935">
            <w:pPr>
              <w:spacing w:before="0" w:after="0" w:line="240" w:lineRule="auto"/>
              <w:jc w:val="right"/>
              <w:rPr>
                <w:rFonts w:asciiTheme="majorHAnsi" w:hAnsiTheme="majorHAnsi"/>
              </w:rPr>
            </w:pPr>
            <w:r>
              <w:t>0,3</w:t>
            </w:r>
          </w:p>
        </w:tc>
        <w:tc>
          <w:tcPr>
            <w:tcW w:w="1134"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6014DB99" w14:textId="77777777" w:rsidR="003C2935" w:rsidRDefault="003C2935">
            <w:pPr>
              <w:spacing w:before="0" w:after="0" w:line="240" w:lineRule="auto"/>
              <w:jc w:val="right"/>
              <w:rPr>
                <w:rFonts w:asciiTheme="majorHAnsi" w:hAnsiTheme="majorHAnsi"/>
              </w:rPr>
            </w:pPr>
            <w:r>
              <w:t>4,7</w:t>
            </w:r>
          </w:p>
        </w:tc>
        <w:tc>
          <w:tcPr>
            <w:tcW w:w="1352"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1B395779" w14:textId="77777777" w:rsidR="003C2935" w:rsidRDefault="003C2935">
            <w:pPr>
              <w:spacing w:before="0" w:after="0" w:line="240" w:lineRule="auto"/>
              <w:jc w:val="right"/>
              <w:rPr>
                <w:rFonts w:asciiTheme="majorHAnsi" w:hAnsiTheme="majorHAnsi"/>
              </w:rPr>
            </w:pPr>
            <w:r>
              <w:t>-9,3</w:t>
            </w:r>
          </w:p>
        </w:tc>
        <w:tc>
          <w:tcPr>
            <w:tcW w:w="1244" w:type="dxa"/>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01DD7D1A" w14:textId="77777777" w:rsidR="003C2935" w:rsidRDefault="003C2935">
            <w:pPr>
              <w:spacing w:before="0" w:after="0" w:line="240" w:lineRule="auto"/>
              <w:jc w:val="right"/>
              <w:rPr>
                <w:rFonts w:asciiTheme="majorHAnsi" w:hAnsiTheme="majorHAnsi"/>
              </w:rPr>
            </w:pPr>
            <w:r>
              <w:t>13.999</w:t>
            </w:r>
          </w:p>
        </w:tc>
        <w:tc>
          <w:tcPr>
            <w:tcW w:w="1248" w:type="dxa"/>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vAlign w:val="center"/>
            <w:hideMark/>
          </w:tcPr>
          <w:p w14:paraId="2914EE24" w14:textId="77777777" w:rsidR="003C2935" w:rsidRDefault="003C2935">
            <w:pPr>
              <w:spacing w:before="0" w:after="0" w:line="240" w:lineRule="auto"/>
              <w:jc w:val="right"/>
              <w:rPr>
                <w:rFonts w:asciiTheme="majorHAnsi" w:hAnsiTheme="majorHAnsi"/>
              </w:rPr>
            </w:pPr>
            <w:r>
              <w:t>30.145</w:t>
            </w:r>
          </w:p>
        </w:tc>
      </w:tr>
    </w:tbl>
    <w:p w14:paraId="6C352F09" w14:textId="77777777" w:rsidR="003C2935" w:rsidRDefault="003C2935" w:rsidP="003C2935">
      <w:pPr>
        <w:spacing w:before="20"/>
        <w:jc w:val="both"/>
        <w:rPr>
          <w:i/>
        </w:rPr>
      </w:pPr>
      <w:r>
        <w:rPr>
          <w:i/>
        </w:rPr>
        <w:t>Vir: Eurostat, strukturna statistika podjetij, preračuni Analitika GZS</w:t>
      </w:r>
    </w:p>
    <w:p w14:paraId="4F5A67FA" w14:textId="578DD62E" w:rsidR="002300BF" w:rsidRPr="002300BF" w:rsidRDefault="002300BF" w:rsidP="002300BF">
      <w:pPr>
        <w:jc w:val="both"/>
        <w:rPr>
          <w:rFonts w:cstheme="minorHAnsi"/>
        </w:rPr>
      </w:pPr>
      <w:r w:rsidRPr="002300BF">
        <w:rPr>
          <w:rFonts w:cstheme="minorHAnsi"/>
        </w:rPr>
        <w:t xml:space="preserve">Slovenija je pri glavnini kazalnikov prehitevala CEE-4, medtem ko v primerjavi z EU-27 </w:t>
      </w:r>
      <w:r w:rsidR="0062136C" w:rsidRPr="002300BF">
        <w:rPr>
          <w:rFonts w:cstheme="minorHAnsi"/>
        </w:rPr>
        <w:t xml:space="preserve">kljub višji bruto marži </w:t>
      </w:r>
      <w:r w:rsidRPr="002300BF">
        <w:rPr>
          <w:rFonts w:cstheme="minorHAnsi"/>
        </w:rPr>
        <w:t>zaostaja pri produktivnosti dela. Kljub temu je bila EBITDA marža v slovenskih predelovalnih dejavnostih, predvsem zaradi večjega pomena farmacevtske industrije znotraj kemične industrije oziroma predelovalnih dejavnosti</w:t>
      </w:r>
      <w:r w:rsidR="0062136C">
        <w:rPr>
          <w:rFonts w:cstheme="minorHAnsi"/>
        </w:rPr>
        <w:t>,</w:t>
      </w:r>
      <w:r w:rsidR="0062136C" w:rsidRPr="0062136C">
        <w:rPr>
          <w:rFonts w:cstheme="minorHAnsi"/>
        </w:rPr>
        <w:t xml:space="preserve"> </w:t>
      </w:r>
      <w:r w:rsidR="0062136C" w:rsidRPr="002300BF">
        <w:rPr>
          <w:rFonts w:cstheme="minorHAnsi"/>
        </w:rPr>
        <w:t>višja kot v EU-27</w:t>
      </w:r>
      <w:r w:rsidRPr="002300BF">
        <w:rPr>
          <w:rFonts w:cstheme="minorHAnsi"/>
        </w:rPr>
        <w:t>.</w:t>
      </w:r>
    </w:p>
    <w:p w14:paraId="5A53B776" w14:textId="77777777" w:rsidR="003C2935" w:rsidRDefault="003C2935" w:rsidP="003C2935">
      <w:pPr>
        <w:jc w:val="both"/>
        <w:rPr>
          <w:rFonts w:cstheme="minorHAnsi"/>
        </w:rPr>
      </w:pPr>
      <w:r>
        <w:rPr>
          <w:rFonts w:cstheme="minorHAnsi"/>
        </w:rPr>
        <w:t xml:space="preserve">Podrobnejšo primerjalno analizo </w:t>
      </w:r>
      <w:r>
        <w:rPr>
          <w:rFonts w:cstheme="minorHAnsi"/>
          <w:color w:val="000000" w:themeColor="text1"/>
        </w:rPr>
        <w:t xml:space="preserve">vsebuje </w:t>
      </w:r>
      <w:r>
        <w:rPr>
          <w:rFonts w:cstheme="minorHAnsi"/>
          <w:b/>
          <w:bCs/>
          <w:color w:val="000000" w:themeColor="text1"/>
          <w:u w:val="single"/>
        </w:rPr>
        <w:t>Priloga 2</w:t>
      </w:r>
      <w:r>
        <w:rPr>
          <w:rFonts w:cstheme="minorHAnsi"/>
          <w:color w:val="000000" w:themeColor="text1"/>
        </w:rPr>
        <w:t>.</w:t>
      </w:r>
    </w:p>
    <w:p w14:paraId="58B21B4F" w14:textId="77777777" w:rsidR="003C2935" w:rsidRDefault="003C2935" w:rsidP="003C2935">
      <w:pPr>
        <w:rPr>
          <w:spacing w:val="15"/>
        </w:rPr>
      </w:pPr>
      <w:r>
        <w:rPr>
          <w:caps/>
        </w:rPr>
        <w:br w:type="page"/>
      </w:r>
    </w:p>
    <w:p w14:paraId="43CE7FB0" w14:textId="77777777" w:rsidR="003C2935" w:rsidRDefault="003C2935" w:rsidP="003C2935">
      <w:pPr>
        <w:pStyle w:val="Naslov2"/>
        <w:numPr>
          <w:ilvl w:val="1"/>
          <w:numId w:val="35"/>
        </w:numPr>
        <w:rPr>
          <w:caps w:val="0"/>
        </w:rPr>
      </w:pPr>
      <w:bookmarkStart w:id="13" w:name="_Toc49344778"/>
      <w:bookmarkStart w:id="14" w:name="_Toc51140501"/>
      <w:r>
        <w:rPr>
          <w:caps w:val="0"/>
        </w:rPr>
        <w:lastRenderedPageBreak/>
        <w:t xml:space="preserve">Evropski </w:t>
      </w:r>
      <w:bookmarkEnd w:id="13"/>
      <w:r>
        <w:rPr>
          <w:caps w:val="0"/>
        </w:rPr>
        <w:t>okvir</w:t>
      </w:r>
      <w:bookmarkEnd w:id="14"/>
    </w:p>
    <w:p w14:paraId="6405628B" w14:textId="77777777" w:rsidR="006E5F51" w:rsidRPr="006E5F51" w:rsidRDefault="003C2935" w:rsidP="006E5F51">
      <w:pPr>
        <w:jc w:val="both"/>
      </w:pPr>
      <w:r>
        <w:t xml:space="preserve">V letu 2020 se je gospodarstvo Slovenije, EU in širše po svetu soočilo s pandemijo COVID-19, ki je močno zaznamovala poslovanje. Povzročila je motnje v dobavnih verigah, industrijski proizvodnji, zunanji trgovini in pretoku kapitala. Šok, ki ga doživlja gospodarstvo, je veliko hujši od zadnje gospodarsko-finančne krize iz leta 2008. Ranljivost izhaja iz močne vpetosti Slovenije in EU v globalne verige vrednosti. Zaradi očitne gospodarske soodvisnosti Evrope je pomembno, da bo okrevanje šlo tudi v smeri krepitve evropske industrijske in strateške avtonomije. Z vidika posodabljanja in prestrukturiranja gospodarstva je na mestu razmislek o diverzifikaciji gospodarstva, da bo bolje pripravljeno na tveganja, ki jih prinaša vpetost v globalne verige vrednosti. </w:t>
      </w:r>
      <w:r w:rsidR="006E5F51" w:rsidRPr="006E5F51">
        <w:t xml:space="preserve">Kot se je pokazalo med pandemijo </w:t>
      </w:r>
      <w:r w:rsidR="006E5F51">
        <w:t>COVID-19</w:t>
      </w:r>
      <w:r w:rsidR="004140AC">
        <w:t>,</w:t>
      </w:r>
      <w:r w:rsidR="006E5F51" w:rsidRPr="006E5F51">
        <w:t xml:space="preserve"> je smiselno, da se podjetja z identifikacijo tveganj in načrtovanjem ukrepov za njihovo obvladovanje pripravijo na nemoteno poslovanje tudi v času motenj. </w:t>
      </w:r>
    </w:p>
    <w:p w14:paraId="3DA26602" w14:textId="67AA573E" w:rsidR="003C2935" w:rsidRDefault="003C2935" w:rsidP="003C2935">
      <w:pPr>
        <w:jc w:val="both"/>
      </w:pPr>
      <w:r>
        <w:t>Tako Slovenija kot celotna EU v dani situaciji pripravlja</w:t>
      </w:r>
      <w:r w:rsidR="004140A8">
        <w:t>ta</w:t>
      </w:r>
      <w:r>
        <w:t xml:space="preserve"> in izvaja</w:t>
      </w:r>
      <w:r w:rsidR="004140A8">
        <w:t>ta</w:t>
      </w:r>
      <w:r>
        <w:t xml:space="preserve"> ukrepe za blažitev krize in ponovno okrevanje gospodarstva. Evropska komisija je predstavila načrt za oživitev gospodarstva. Da bi okrevanje postalo trajnostno, celostno, vključujoče in pravično za vse države članice, je Evropska komisija v okviru </w:t>
      </w:r>
      <w:r w:rsidR="00706E5E">
        <w:rPr>
          <w:b/>
        </w:rPr>
        <w:t>Načrta okrevanja za Evropo</w:t>
      </w:r>
      <w:r w:rsidR="00706E5E">
        <w:rPr>
          <w:rStyle w:val="Sprotnaopomba-sklic"/>
          <w:b/>
        </w:rPr>
        <w:footnoteReference w:id="24"/>
      </w:r>
      <w:r>
        <w:t xml:space="preserve"> predlagala oblikovanje novega instrumenta, t. i. »EU naslednje generacije«, ki prinaša precejšnja finančna sredstva tudi za Slovenijo. Ta bodo v veliki meri usmerjena v uresničevanje Evropskega zelenega dogovora in pospeševanje digitalizacije. </w:t>
      </w:r>
    </w:p>
    <w:p w14:paraId="1A3029B4" w14:textId="48DA5554" w:rsidR="00857439" w:rsidRDefault="003C2935" w:rsidP="00857439">
      <w:pPr>
        <w:jc w:val="both"/>
      </w:pPr>
      <w:r>
        <w:rPr>
          <w:b/>
          <w:bCs/>
        </w:rPr>
        <w:t>Evropski zeleni dogovor</w:t>
      </w:r>
      <w:r w:rsidR="00706E5E">
        <w:rPr>
          <w:rStyle w:val="Sprotnaopomba-sklic"/>
          <w:b/>
          <w:bCs/>
        </w:rPr>
        <w:footnoteReference w:id="25"/>
      </w:r>
      <w:r>
        <w:t>, predstavljen konec leta 2019, služi kot kažipot ukrepov za EU, ki naslavljajo okoljske in podnebne izzive sodobne družbe skozi različne družbene sektorje s ciljem, da bi do leta 2050 Evropa postala prva podnebno nevtralna celina na svetu. Doseganje podnebno nevtralnega in krožnega gospodarstva zahteva celovito mobilizacijo industrije in širše družbe. Največjo pozornost namenja gospodarstvu in skupnim strategijam, ki dajejo usmeritve za njegov prihodnji razvoj.</w:t>
      </w:r>
      <w:r w:rsidR="00857439" w:rsidRPr="00857439">
        <w:t xml:space="preserve"> </w:t>
      </w:r>
      <w:r w:rsidR="00857439">
        <w:t xml:space="preserve">Preoblikovanje industrijskega sektorja in vseh vrednostnih verig traja 25 let, celo generacijo. Da bo dosežena vizija podnebne nevtralnosti do leta 2050, je treba v naslednjih petih letih sprejeti potrebne odločitve in ukrepe. </w:t>
      </w:r>
    </w:p>
    <w:p w14:paraId="44BCA31A" w14:textId="20FFA085" w:rsidR="006E5F51" w:rsidRDefault="007B5AB2" w:rsidP="006E5F51">
      <w:pPr>
        <w:jc w:val="both"/>
      </w:pPr>
      <w:r>
        <w:t xml:space="preserve">V letu 2020 so bili </w:t>
      </w:r>
      <w:r w:rsidRPr="00706E5E">
        <w:t>p</w:t>
      </w:r>
      <w:r w:rsidR="003C2935" w:rsidRPr="00706E5E">
        <w:t>redstavljeni</w:t>
      </w:r>
      <w:r w:rsidR="008D2B46" w:rsidRPr="00706E5E">
        <w:t xml:space="preserve"> </w:t>
      </w:r>
      <w:r w:rsidR="008D2B46" w:rsidRPr="00706E5E">
        <w:rPr>
          <w:rFonts w:ascii="Arial" w:hAnsi="Arial" w:cs="Arial"/>
          <w:b/>
          <w:bCs/>
          <w:shd w:val="clear" w:color="auto" w:fill="F5F5F5"/>
        </w:rPr>
        <w:t>Nova industrijska strategija za Evropo</w:t>
      </w:r>
      <w:r w:rsidR="008D2B46" w:rsidRPr="00706E5E">
        <w:rPr>
          <w:rStyle w:val="Sprotnaopomba-sklic"/>
          <w:b/>
        </w:rPr>
        <w:footnoteReference w:id="26"/>
      </w:r>
      <w:r w:rsidR="003C2935" w:rsidRPr="00706E5E">
        <w:t xml:space="preserve">, </w:t>
      </w:r>
      <w:r w:rsidR="0063267A" w:rsidRPr="003A4905">
        <w:rPr>
          <w:b/>
        </w:rPr>
        <w:t>S</w:t>
      </w:r>
      <w:r w:rsidR="00706E5E" w:rsidRPr="00706E5E">
        <w:rPr>
          <w:rFonts w:ascii="Arial" w:hAnsi="Arial" w:cs="Arial"/>
          <w:b/>
          <w:bCs/>
          <w:shd w:val="clear" w:color="auto" w:fill="F5F5F5"/>
        </w:rPr>
        <w:t>trategija za MSP za trajnostno in digitalno Evropo</w:t>
      </w:r>
      <w:r w:rsidR="00706E5E" w:rsidRPr="00706E5E">
        <w:rPr>
          <w:rStyle w:val="Sprotnaopomba-sklic"/>
          <w:rFonts w:ascii="Arial" w:hAnsi="Arial" w:cs="Arial"/>
          <w:b/>
          <w:bCs/>
          <w:shd w:val="clear" w:color="auto" w:fill="F5F5F5"/>
        </w:rPr>
        <w:footnoteReference w:id="27"/>
      </w:r>
      <w:r w:rsidR="00706E5E" w:rsidRPr="00706E5E">
        <w:rPr>
          <w:rFonts w:ascii="Arial" w:hAnsi="Arial" w:cs="Arial"/>
          <w:b/>
          <w:bCs/>
          <w:shd w:val="clear" w:color="auto" w:fill="F5F5F5"/>
        </w:rPr>
        <w:t xml:space="preserve"> </w:t>
      </w:r>
      <w:r w:rsidR="003C2935" w:rsidRPr="00706E5E">
        <w:t xml:space="preserve">ter </w:t>
      </w:r>
      <w:r w:rsidR="003C2935">
        <w:rPr>
          <w:b/>
        </w:rPr>
        <w:t>nov</w:t>
      </w:r>
      <w:r w:rsidR="004140AC">
        <w:rPr>
          <w:b/>
        </w:rPr>
        <w:t>i</w:t>
      </w:r>
      <w:r w:rsidR="003C2935">
        <w:rPr>
          <w:b/>
        </w:rPr>
        <w:t xml:space="preserve"> </w:t>
      </w:r>
      <w:r w:rsidR="00706E5E">
        <w:rPr>
          <w:b/>
        </w:rPr>
        <w:t>A</w:t>
      </w:r>
      <w:r w:rsidR="003C2935">
        <w:rPr>
          <w:b/>
        </w:rPr>
        <w:t>kcijski načrt za krožno gospodarstvo</w:t>
      </w:r>
      <w:r w:rsidR="00706E5E">
        <w:rPr>
          <w:rStyle w:val="Sprotnaopomba-sklic"/>
          <w:b/>
        </w:rPr>
        <w:footnoteReference w:id="28"/>
      </w:r>
      <w:r w:rsidR="003C2935">
        <w:t xml:space="preserve">. Načrtovana je strategija za trajnostno in pametno mobilnost. Ozelenila se bo skupna kmetijska politika. </w:t>
      </w:r>
      <w:r w:rsidR="006E5F51" w:rsidRPr="006E5F51">
        <w:t>Veliko pozornosti bo namenjene zamenjavi nevarnih snovi z manj oz</w:t>
      </w:r>
      <w:r w:rsidR="004140AC">
        <w:t>iroma</w:t>
      </w:r>
      <w:r w:rsidR="004140AC" w:rsidRPr="006E5F51">
        <w:t xml:space="preserve"> </w:t>
      </w:r>
      <w:r w:rsidR="006E5F51" w:rsidRPr="006E5F51">
        <w:t>ne-nevarnimi kemikalijami oz</w:t>
      </w:r>
      <w:r w:rsidR="00FD0A06">
        <w:t>iroma</w:t>
      </w:r>
      <w:r w:rsidR="006E5F51" w:rsidRPr="006E5F51">
        <w:t xml:space="preserve"> drugimi alternativami</w:t>
      </w:r>
      <w:r w:rsidR="00FD0A06">
        <w:t>,</w:t>
      </w:r>
      <w:r w:rsidR="006E5F51" w:rsidRPr="006E5F51">
        <w:t xml:space="preserve"> </w:t>
      </w:r>
      <w:r w:rsidR="006E5F51">
        <w:t xml:space="preserve">skladno </w:t>
      </w:r>
      <w:r w:rsidR="006E5F51" w:rsidRPr="006E5F51">
        <w:t xml:space="preserve">s </w:t>
      </w:r>
      <w:r w:rsidR="006E5F51" w:rsidRPr="006E5F51">
        <w:rPr>
          <w:bCs/>
        </w:rPr>
        <w:t>Trajnostno strategijo za kemikalije</w:t>
      </w:r>
      <w:r w:rsidR="006E5F51">
        <w:t>.</w:t>
      </w:r>
      <w:r w:rsidR="006E5F51" w:rsidRPr="006E5F51">
        <w:t xml:space="preserve"> </w:t>
      </w:r>
      <w:r w:rsidR="006E5F51">
        <w:t>S</w:t>
      </w:r>
      <w:r w:rsidR="006E5F51" w:rsidRPr="006E5F51">
        <w:t xml:space="preserve">ledili bodo ukrepi za zmanjšanje onesnaževanja iz večjih industrijskih naprav. </w:t>
      </w:r>
    </w:p>
    <w:p w14:paraId="13C9E594" w14:textId="0E918BCD" w:rsidR="003C2935" w:rsidRDefault="003C2935" w:rsidP="003C2935">
      <w:pPr>
        <w:jc w:val="both"/>
      </w:pPr>
      <w:r>
        <w:t xml:space="preserve">Prioritete industrijske strategije je treba načrtovati z upoštevanjem financiranja, ki je na voljo v okviru </w:t>
      </w:r>
      <w:r>
        <w:rPr>
          <w:b/>
          <w:bCs/>
        </w:rPr>
        <w:t>Večletnega finančnega okvira EU 2021 – 2027</w:t>
      </w:r>
      <w:r>
        <w:t xml:space="preserve"> in </w:t>
      </w:r>
      <w:r>
        <w:rPr>
          <w:b/>
          <w:bCs/>
        </w:rPr>
        <w:t>Načrta EU za okrevanje</w:t>
      </w:r>
      <w:r w:rsidR="00857439">
        <w:rPr>
          <w:b/>
          <w:bCs/>
        </w:rPr>
        <w:t xml:space="preserve"> in odpornost</w:t>
      </w:r>
      <w:r>
        <w:t xml:space="preserve">. Za Slovenijo je skupno predvidenih 10,5 mrd </w:t>
      </w:r>
      <w:r w:rsidR="00FD0A06">
        <w:t xml:space="preserve">EUR </w:t>
      </w:r>
      <w:r>
        <w:t xml:space="preserve">sredstev. Od tega je v okviru Večletnega finančnega okvira Sloveniji dodeljenih 4,5 mrd </w:t>
      </w:r>
      <w:r w:rsidR="00FD0A06">
        <w:t xml:space="preserve">EUR </w:t>
      </w:r>
      <w:r>
        <w:t xml:space="preserve">– 2,9 mrd iz naslova Evropske kohezijske politike in 1,6 mrd iz naslova Skupne kmetijske politike. V okviru Načrta EU za okrevanje je za Slovenijo predvidenih 2,1 mrd </w:t>
      </w:r>
      <w:r w:rsidR="00FD0A06">
        <w:t xml:space="preserve">EUR </w:t>
      </w:r>
      <w:r>
        <w:t>nepovratnih in 3,</w:t>
      </w:r>
      <w:r w:rsidR="00857439">
        <w:t>6</w:t>
      </w:r>
      <w:r>
        <w:t xml:space="preserve"> mrd </w:t>
      </w:r>
      <w:r w:rsidR="00FD0A06">
        <w:t xml:space="preserve">EUR </w:t>
      </w:r>
      <w:r>
        <w:t xml:space="preserve">povratnih sredstev. Za del teh nepovratnih sredstev (1,589 mrd </w:t>
      </w:r>
      <w:r w:rsidR="00FD0A06">
        <w:t>EUR</w:t>
      </w:r>
      <w:r>
        <w:t xml:space="preserve">) bo treba pripraviti </w:t>
      </w:r>
      <w:r>
        <w:rPr>
          <w:b/>
          <w:bCs/>
        </w:rPr>
        <w:t>Nacionalni načrt okrevanja in odpornosti</w:t>
      </w:r>
      <w:r>
        <w:t xml:space="preserve">, del (cca. 312 mio </w:t>
      </w:r>
      <w:r w:rsidR="00FD0A06">
        <w:t>EUR</w:t>
      </w:r>
      <w:r>
        <w:t xml:space="preserve">) izhaja iz mehanizma </w:t>
      </w:r>
      <w:proofErr w:type="spellStart"/>
      <w:r>
        <w:rPr>
          <w:b/>
        </w:rPr>
        <w:t>ReactEU</w:t>
      </w:r>
      <w:proofErr w:type="spellEnd"/>
      <w:r>
        <w:t xml:space="preserve">, za kar bo treba dopolniti ukrepe obstoječe finančne perspektive EU, </w:t>
      </w:r>
      <w:r>
        <w:lastRenderedPageBreak/>
        <w:t xml:space="preserve">del pa se nanaša na sredstva </w:t>
      </w:r>
      <w:r>
        <w:rPr>
          <w:b/>
          <w:bCs/>
        </w:rPr>
        <w:t>Sklada za pravični prehod</w:t>
      </w:r>
      <w:r>
        <w:t xml:space="preserve"> (129 mio </w:t>
      </w:r>
      <w:r w:rsidR="00FD0A06">
        <w:t xml:space="preserve">EUR </w:t>
      </w:r>
      <w:r w:rsidR="003A4905">
        <w:t xml:space="preserve">ter še </w:t>
      </w:r>
      <w:r>
        <w:t xml:space="preserve">dodatna sredstva v okviru kohezijske politike), kjer bodo ukrepi del nove finančne perspektive EU 2021-2027. </w:t>
      </w:r>
    </w:p>
    <w:p w14:paraId="43791D08" w14:textId="25507432" w:rsidR="003C2935" w:rsidRDefault="003C2935" w:rsidP="003C2935">
      <w:pPr>
        <w:jc w:val="both"/>
      </w:pPr>
      <w:r>
        <w:t xml:space="preserve">Načrtovanje programov </w:t>
      </w:r>
      <w:r>
        <w:rPr>
          <w:b/>
          <w:bCs/>
        </w:rPr>
        <w:t>Sklada za pravični prehod</w:t>
      </w:r>
      <w:r>
        <w:t xml:space="preserve"> za obdobje 2021–2027 bo Sloveniji pomagalo nasloviti nekatere izzive, ki jih prinaša prehod na podnebno nevtralno gospodarstvo. Evropska komisija je med upravičene regije umestila premogovne regije (</w:t>
      </w:r>
      <w:r w:rsidR="00FD0A06">
        <w:t>s</w:t>
      </w:r>
      <w:r>
        <w:t>avinjsko-šaleško in zasavsko območje), medtem ko si Slovenija prizadeva za širitev še na dodatne regije, kjer je prisotna energetsko intenzivna industrija, oziroma morebitne regije v soseščini z razpoložljivimi viri za okolju prijazno industrijo.</w:t>
      </w:r>
    </w:p>
    <w:p w14:paraId="185B9393" w14:textId="40F3AD29" w:rsidR="003C2935" w:rsidRDefault="003C2935" w:rsidP="003C2935">
      <w:pPr>
        <w:jc w:val="both"/>
      </w:pPr>
      <w:r>
        <w:t xml:space="preserve">Naložbe v zeleni prehod, kot so določene v </w:t>
      </w:r>
      <w:r>
        <w:rPr>
          <w:b/>
          <w:bCs/>
        </w:rPr>
        <w:t>Nacionalnem energetskem in podnebnem načrtu Slovenije</w:t>
      </w:r>
      <w:r>
        <w:t xml:space="preserve"> </w:t>
      </w:r>
      <w:r>
        <w:rPr>
          <w:b/>
          <w:bCs/>
        </w:rPr>
        <w:t>2030</w:t>
      </w:r>
      <w:r>
        <w:rPr>
          <w:bCs/>
        </w:rPr>
        <w:t xml:space="preserve"> (s pogledom do 2040)</w:t>
      </w:r>
      <w:r>
        <w:rPr>
          <w:b/>
          <w:bCs/>
        </w:rPr>
        <w:t>,</w:t>
      </w:r>
      <w:r>
        <w:t xml:space="preserve"> bodo povečale sedanji nizki delež obnovljivih virov energije, krepila se bo energetska infrastruktura, izvajali se bodo ukrepi za zmanjšanje onesnaženosti zraka, ki je v slovenskih krajih in mestih nad povprečjem EU, krepil se bo prehod v krožno gospodarstvo, podpora bo namenjena krepit</w:t>
      </w:r>
      <w:r w:rsidR="00FD0A06">
        <w:t>vi</w:t>
      </w:r>
      <w:r>
        <w:t xml:space="preserve"> socialnega podjetništva in pospeševanj</w:t>
      </w:r>
      <w:r w:rsidR="00FD0A06">
        <w:t>u</w:t>
      </w:r>
      <w:r>
        <w:t xml:space="preserve"> prizadevanj za omejitev možnih učinkov za regije in sektorje, ki jih bo prehod najbolj prizadel. </w:t>
      </w:r>
    </w:p>
    <w:p w14:paraId="0C3935D0" w14:textId="77777777" w:rsidR="003C2935" w:rsidRDefault="00706E5E" w:rsidP="003C2935">
      <w:pPr>
        <w:jc w:val="both"/>
        <w:rPr>
          <w:rFonts w:cs="Verdana"/>
          <w:szCs w:val="22"/>
        </w:rPr>
      </w:pPr>
      <w:r>
        <w:rPr>
          <w:rFonts w:cs="Verdana"/>
          <w:b/>
          <w:bCs/>
          <w:szCs w:val="22"/>
        </w:rPr>
        <w:t>Nova industrijska strategija za Evropo</w:t>
      </w:r>
      <w:r w:rsidR="003C2935">
        <w:rPr>
          <w:rFonts w:cs="Verdana"/>
          <w:bCs/>
          <w:szCs w:val="22"/>
        </w:rPr>
        <w:t>,</w:t>
      </w:r>
      <w:r w:rsidR="003C2935">
        <w:rPr>
          <w:rFonts w:cs="Verdana"/>
          <w:b/>
          <w:bCs/>
          <w:szCs w:val="22"/>
        </w:rPr>
        <w:t xml:space="preserve"> </w:t>
      </w:r>
      <w:r w:rsidR="003C2935">
        <w:rPr>
          <w:rFonts w:cs="Verdana"/>
          <w:bCs/>
          <w:szCs w:val="22"/>
        </w:rPr>
        <w:t>predstavljena marca 2020</w:t>
      </w:r>
      <w:r w:rsidR="003C2935">
        <w:rPr>
          <w:rFonts w:cs="Verdana"/>
          <w:szCs w:val="22"/>
        </w:rPr>
        <w:t xml:space="preserve">, zasleduje tri ključne prednostne naloge, da bi Evropa zadržala vodilni položaj v industriji, in sicer: </w:t>
      </w:r>
    </w:p>
    <w:p w14:paraId="09D22403" w14:textId="77777777" w:rsidR="003C2935" w:rsidRDefault="003C2935" w:rsidP="003C2935">
      <w:pPr>
        <w:spacing w:before="0" w:after="0"/>
        <w:ind w:left="708"/>
        <w:jc w:val="both"/>
        <w:rPr>
          <w:rFonts w:cs="Verdana"/>
          <w:szCs w:val="22"/>
        </w:rPr>
      </w:pPr>
      <w:r>
        <w:rPr>
          <w:rFonts w:cs="Verdana"/>
          <w:szCs w:val="22"/>
        </w:rPr>
        <w:t xml:space="preserve">1) ohraniti svetovno konkurenčnost evropske industrije in </w:t>
      </w:r>
      <w:r>
        <w:rPr>
          <w:rFonts w:cs="Verdana"/>
        </w:rPr>
        <w:t>enake konkurenčne pogoje</w:t>
      </w:r>
      <w:r>
        <w:rPr>
          <w:rFonts w:cs="Verdana"/>
          <w:szCs w:val="22"/>
        </w:rPr>
        <w:t xml:space="preserve"> na domačem in svetovnem trgu, </w:t>
      </w:r>
    </w:p>
    <w:p w14:paraId="5DBC4A73" w14:textId="77777777" w:rsidR="003C2935" w:rsidRDefault="003C2935" w:rsidP="003C2935">
      <w:pPr>
        <w:spacing w:before="0" w:after="0"/>
        <w:ind w:left="708"/>
        <w:jc w:val="both"/>
        <w:rPr>
          <w:rFonts w:cs="Verdana"/>
          <w:szCs w:val="22"/>
        </w:rPr>
      </w:pPr>
      <w:r>
        <w:rPr>
          <w:rFonts w:cs="Verdana"/>
          <w:szCs w:val="22"/>
        </w:rPr>
        <w:t xml:space="preserve">2) zagotoviti podnebno nevtralnost Evrope do leta 2050 in </w:t>
      </w:r>
    </w:p>
    <w:p w14:paraId="1B8102EF" w14:textId="77777777" w:rsidR="003C2935" w:rsidRDefault="003C2935" w:rsidP="003C2935">
      <w:pPr>
        <w:spacing w:before="0" w:after="0"/>
        <w:ind w:left="708"/>
        <w:jc w:val="both"/>
        <w:rPr>
          <w:rFonts w:cs="Verdana"/>
          <w:szCs w:val="22"/>
        </w:rPr>
      </w:pPr>
      <w:r>
        <w:rPr>
          <w:rFonts w:cs="Verdana"/>
          <w:szCs w:val="22"/>
        </w:rPr>
        <w:t xml:space="preserve">3) oblikovati digitalno prihodnost Evrope. </w:t>
      </w:r>
    </w:p>
    <w:p w14:paraId="3F5A468B" w14:textId="77777777" w:rsidR="003C2935" w:rsidRDefault="003C2935" w:rsidP="003C2935">
      <w:pPr>
        <w:jc w:val="both"/>
        <w:rPr>
          <w:rFonts w:ascii="Trebuchet MS" w:hAnsi="Trebuchet MS" w:cstheme="minorHAnsi"/>
          <w:color w:val="000000"/>
          <w:szCs w:val="22"/>
        </w:rPr>
      </w:pPr>
      <w:r>
        <w:rPr>
          <w:rFonts w:cs="Verdana"/>
          <w:szCs w:val="22"/>
        </w:rPr>
        <w:t xml:space="preserve">Industrijska strategija EU poudarja potrebo po celovitih ukrepih za </w:t>
      </w:r>
      <w:r>
        <w:rPr>
          <w:rFonts w:cs="Verdana-Bold"/>
          <w:szCs w:val="22"/>
        </w:rPr>
        <w:t>posodobitev in razogljičenje energijsko intenzivnih industrij</w:t>
      </w:r>
      <w:r>
        <w:rPr>
          <w:rFonts w:cs="Verdana"/>
          <w:szCs w:val="22"/>
        </w:rPr>
        <w:t xml:space="preserve">, za podporo </w:t>
      </w:r>
      <w:r>
        <w:rPr>
          <w:rFonts w:cs="Verdana-Bold"/>
          <w:szCs w:val="22"/>
        </w:rPr>
        <w:t>industrijam trajnostne in pametne mobilnosti,</w:t>
      </w:r>
      <w:r>
        <w:rPr>
          <w:rFonts w:cs="Verdana"/>
          <w:szCs w:val="22"/>
        </w:rPr>
        <w:t xml:space="preserve"> za spodbujanje energijske učinkovitosti ter zagotavljanje zadostne in stalne oskrbe z </w:t>
      </w:r>
      <w:proofErr w:type="spellStart"/>
      <w:r>
        <w:rPr>
          <w:rFonts w:cs="Verdana"/>
          <w:szCs w:val="22"/>
        </w:rPr>
        <w:t>nizkoogljično</w:t>
      </w:r>
      <w:proofErr w:type="spellEnd"/>
      <w:r>
        <w:rPr>
          <w:rFonts w:cs="Verdana-Bold"/>
          <w:szCs w:val="22"/>
        </w:rPr>
        <w:t xml:space="preserve"> energijo </w:t>
      </w:r>
      <w:r>
        <w:rPr>
          <w:rFonts w:cs="Verdana"/>
          <w:szCs w:val="22"/>
        </w:rPr>
        <w:t xml:space="preserve">po </w:t>
      </w:r>
      <w:r>
        <w:rPr>
          <w:rFonts w:cs="Verdana-Bold"/>
          <w:szCs w:val="22"/>
        </w:rPr>
        <w:t xml:space="preserve">konkurenčnih cenah. </w:t>
      </w:r>
      <w:r>
        <w:rPr>
          <w:rFonts w:ascii="Trebuchet MS" w:hAnsi="Trebuchet MS" w:cstheme="minorHAnsi"/>
          <w:color w:val="000000"/>
          <w:szCs w:val="22"/>
        </w:rPr>
        <w:t xml:space="preserve">Zavezništvom za čisti vodik in </w:t>
      </w:r>
      <w:proofErr w:type="spellStart"/>
      <w:r>
        <w:rPr>
          <w:rFonts w:ascii="Trebuchet MS" w:hAnsi="Trebuchet MS" w:cstheme="minorHAnsi"/>
          <w:color w:val="000000"/>
          <w:szCs w:val="22"/>
        </w:rPr>
        <w:t>nizkoogljično</w:t>
      </w:r>
      <w:proofErr w:type="spellEnd"/>
      <w:r>
        <w:rPr>
          <w:rFonts w:ascii="Trebuchet MS" w:hAnsi="Trebuchet MS" w:cstheme="minorHAnsi"/>
          <w:color w:val="000000"/>
          <w:szCs w:val="22"/>
        </w:rPr>
        <w:t xml:space="preserve"> industrijo bodo sledila zavezništva za industrijske oblake in platforme ter zavezništvo za surovine. </w:t>
      </w:r>
    </w:p>
    <w:p w14:paraId="0551136C" w14:textId="579787C7" w:rsidR="003C2935" w:rsidRDefault="003C2935" w:rsidP="003C2935">
      <w:pPr>
        <w:spacing w:beforeAutospacing="1" w:after="100" w:afterAutospacing="1"/>
        <w:jc w:val="both"/>
        <w:rPr>
          <w:rFonts w:ascii="Trebuchet MS" w:eastAsia="Times New Roman" w:hAnsi="Trebuchet MS" w:cs="Times New Roman"/>
          <w:szCs w:val="22"/>
          <w:lang w:eastAsia="sl-SI"/>
        </w:rPr>
      </w:pPr>
      <w:r>
        <w:rPr>
          <w:rFonts w:ascii="Trebuchet MS" w:eastAsia="Times New Roman" w:hAnsi="Trebuchet MS" w:cs="Times New Roman"/>
          <w:b/>
          <w:szCs w:val="22"/>
          <w:lang w:eastAsia="sl-SI"/>
        </w:rPr>
        <w:t>Akcijski načrt EU za krožno gospodarstvo</w:t>
      </w:r>
      <w:r>
        <w:rPr>
          <w:rFonts w:ascii="Trebuchet MS" w:eastAsia="Times New Roman" w:hAnsi="Trebuchet MS" w:cs="Times New Roman"/>
          <w:szCs w:val="22"/>
          <w:lang w:eastAsia="sl-SI"/>
        </w:rPr>
        <w:t xml:space="preserve"> kot del nove Industrijske strategije EU in Zelenega dogovora predvideva ukrepe</w:t>
      </w:r>
      <w:r>
        <w:rPr>
          <w:rFonts w:ascii="Trebuchet MS" w:eastAsia="Times New Roman" w:hAnsi="Trebuchet MS" w:cs="Times New Roman"/>
          <w:lang w:eastAsia="sl-SI"/>
        </w:rPr>
        <w:t>,</w:t>
      </w:r>
      <w:r>
        <w:rPr>
          <w:rFonts w:ascii="Trebuchet MS" w:eastAsia="Times New Roman" w:hAnsi="Trebuchet MS" w:cs="Times New Roman"/>
          <w:szCs w:val="22"/>
          <w:lang w:eastAsia="sl-SI"/>
        </w:rPr>
        <w:t xml:space="preserve"> s katerimi bi s svojo zasnovo trajnostni izdelki postali pravilo in jih bo lažje ponovno uporabiti, popraviti in reciklirati</w:t>
      </w:r>
      <w:r w:rsidR="003F3100">
        <w:rPr>
          <w:rFonts w:ascii="Trebuchet MS" w:eastAsia="Times New Roman" w:hAnsi="Trebuchet MS" w:cs="Times New Roman"/>
          <w:szCs w:val="22"/>
          <w:lang w:eastAsia="sl-SI"/>
        </w:rPr>
        <w:t>,</w:t>
      </w:r>
      <w:r>
        <w:rPr>
          <w:rFonts w:ascii="Trebuchet MS" w:eastAsia="Times New Roman" w:hAnsi="Trebuchet MS" w:cs="Times New Roman"/>
          <w:szCs w:val="22"/>
          <w:lang w:eastAsia="sl-SI"/>
        </w:rPr>
        <w:t xml:space="preserve"> v največji možni meri</w:t>
      </w:r>
      <w:r w:rsidR="003F3100">
        <w:rPr>
          <w:rFonts w:ascii="Trebuchet MS" w:eastAsia="Times New Roman" w:hAnsi="Trebuchet MS" w:cs="Times New Roman"/>
          <w:szCs w:val="22"/>
          <w:lang w:eastAsia="sl-SI"/>
        </w:rPr>
        <w:t xml:space="preserve"> pa bodo</w:t>
      </w:r>
      <w:r>
        <w:rPr>
          <w:rFonts w:ascii="Trebuchet MS" w:eastAsia="Times New Roman" w:hAnsi="Trebuchet MS" w:cs="Times New Roman"/>
          <w:szCs w:val="22"/>
          <w:lang w:eastAsia="sl-SI"/>
        </w:rPr>
        <w:t xml:space="preserve"> vključevali reciklirane surovine namesto primarnih.</w:t>
      </w:r>
      <w:r w:rsidR="005936F1" w:rsidRPr="005936F1">
        <w:t xml:space="preserve"> </w:t>
      </w:r>
      <w:r w:rsidR="005936F1" w:rsidRPr="005936F1">
        <w:rPr>
          <w:rFonts w:ascii="Trebuchet MS" w:eastAsia="Times New Roman" w:hAnsi="Trebuchet MS" w:cs="Times New Roman"/>
          <w:szCs w:val="22"/>
          <w:lang w:eastAsia="sl-SI"/>
        </w:rPr>
        <w:t>Pri tem je pomemben element, ki mu je v Sloveniji potrebno posvetiti bistveno več pozornosti, vsekakor industrijska simbioz</w:t>
      </w:r>
      <w:r w:rsidR="005936F1">
        <w:rPr>
          <w:rFonts w:ascii="Trebuchet MS" w:eastAsia="Times New Roman" w:hAnsi="Trebuchet MS" w:cs="Times New Roman"/>
          <w:szCs w:val="22"/>
          <w:lang w:eastAsia="sl-SI"/>
        </w:rPr>
        <w:t>a</w:t>
      </w:r>
      <w:r w:rsidR="005936F1" w:rsidRPr="005936F1">
        <w:rPr>
          <w:rFonts w:ascii="Trebuchet MS" w:eastAsia="Times New Roman" w:hAnsi="Trebuchet MS" w:cs="Times New Roman"/>
          <w:szCs w:val="22"/>
          <w:lang w:eastAsia="sl-SI"/>
        </w:rPr>
        <w:t xml:space="preserve">, ko stranski proizvod ali odpadek enega postane surovina za drugega proizvajalca. </w:t>
      </w:r>
      <w:r>
        <w:rPr>
          <w:rFonts w:ascii="Trebuchet MS" w:eastAsia="Times New Roman" w:hAnsi="Trebuchet MS" w:cs="Times New Roman"/>
          <w:szCs w:val="22"/>
          <w:lang w:eastAsia="sl-SI"/>
        </w:rPr>
        <w:t xml:space="preserve">Ukrepi se bodo osredotočili na sektorje, ki uporabljajo največ virov in kjer so možnosti za </w:t>
      </w:r>
      <w:r w:rsidR="005936F1">
        <w:rPr>
          <w:rFonts w:ascii="Trebuchet MS" w:eastAsia="Times New Roman" w:hAnsi="Trebuchet MS" w:cs="Times New Roman"/>
          <w:szCs w:val="22"/>
          <w:lang w:eastAsia="sl-SI"/>
        </w:rPr>
        <w:t xml:space="preserve">njihovo </w:t>
      </w:r>
      <w:r>
        <w:rPr>
          <w:rFonts w:ascii="Trebuchet MS" w:eastAsia="Times New Roman" w:hAnsi="Trebuchet MS" w:cs="Times New Roman"/>
          <w:szCs w:val="22"/>
          <w:lang w:eastAsia="sl-SI"/>
        </w:rPr>
        <w:t xml:space="preserve">krožnost velike, predvsem na področjih  elektronike in IKT, baterij in vozil, embalaže z zmanjšanjem njene </w:t>
      </w:r>
      <w:r w:rsidR="005936F1">
        <w:rPr>
          <w:rFonts w:ascii="Trebuchet MS" w:eastAsia="Times New Roman" w:hAnsi="Trebuchet MS" w:cs="Times New Roman"/>
          <w:szCs w:val="22"/>
          <w:lang w:eastAsia="sl-SI"/>
        </w:rPr>
        <w:t>prekomerne uporabe</w:t>
      </w:r>
      <w:r w:rsidR="003F3100">
        <w:rPr>
          <w:rFonts w:ascii="Trebuchet MS" w:eastAsia="Times New Roman" w:hAnsi="Trebuchet MS" w:cs="Times New Roman"/>
          <w:lang w:eastAsia="sl-SI"/>
        </w:rPr>
        <w:t xml:space="preserve">; </w:t>
      </w:r>
      <w:r>
        <w:rPr>
          <w:rFonts w:ascii="Trebuchet MS" w:eastAsia="Times New Roman" w:hAnsi="Trebuchet MS" w:cs="Times New Roman"/>
          <w:lang w:eastAsia="sl-SI"/>
        </w:rPr>
        <w:t>nadalje</w:t>
      </w:r>
      <w:r>
        <w:rPr>
          <w:rFonts w:ascii="Trebuchet MS" w:eastAsia="Times New Roman" w:hAnsi="Trebuchet MS" w:cs="Times New Roman"/>
          <w:szCs w:val="22"/>
          <w:lang w:eastAsia="sl-SI"/>
        </w:rPr>
        <w:t xml:space="preserve"> glede plastike z novimi zahtevami glede vsebnosti recikliranih materialov in </w:t>
      </w:r>
      <w:r w:rsidR="005936F1" w:rsidRPr="005936F1">
        <w:rPr>
          <w:rFonts w:ascii="Trebuchet MS" w:eastAsia="Times New Roman" w:hAnsi="Trebuchet MS" w:cs="Times New Roman"/>
          <w:szCs w:val="22"/>
          <w:lang w:eastAsia="sl-SI"/>
        </w:rPr>
        <w:t xml:space="preserve">ukrepih za zmanjševanje </w:t>
      </w:r>
      <w:proofErr w:type="spellStart"/>
      <w:r w:rsidR="005936F1" w:rsidRPr="005936F1">
        <w:rPr>
          <w:rFonts w:ascii="Trebuchet MS" w:eastAsia="Times New Roman" w:hAnsi="Trebuchet MS" w:cs="Times New Roman"/>
          <w:szCs w:val="22"/>
          <w:lang w:eastAsia="sl-SI"/>
        </w:rPr>
        <w:t>mikroplastike</w:t>
      </w:r>
      <w:proofErr w:type="spellEnd"/>
      <w:r w:rsidR="005936F1" w:rsidRPr="005936F1">
        <w:rPr>
          <w:rFonts w:ascii="Trebuchet MS" w:eastAsia="Times New Roman" w:hAnsi="Trebuchet MS" w:cs="Times New Roman"/>
          <w:szCs w:val="22"/>
          <w:lang w:eastAsia="sl-SI"/>
        </w:rPr>
        <w:t xml:space="preserve"> v okolju ter vzpodbujanje uporabe biološko razgradljive plastike (Evropska strategija za plastiko v krožnem gospodarstvu).</w:t>
      </w:r>
      <w:r>
        <w:rPr>
          <w:rFonts w:ascii="Trebuchet MS" w:eastAsia="Times New Roman" w:hAnsi="Trebuchet MS" w:cs="Times New Roman"/>
          <w:szCs w:val="22"/>
          <w:lang w:eastAsia="sl-SI"/>
        </w:rPr>
        <w:t xml:space="preserve"> Na področju tekstilnih izdelkov se predvideva nova strategija za krepitev konkurenčnosti in inovativnosti za ponovno uporabo tekstila. Pripravljena bo tudi celovita strategija za trajnostno grajeno okolje, ki spodbuja načela kroženja za stavbe. Ustvariti je treba pogoje za dobro delujoč evropski trg sekundarnih surovin, v okviru blagovne znamke</w:t>
      </w:r>
      <w:r w:rsidR="003A4905">
        <w:rPr>
          <w:rFonts w:ascii="Trebuchet MS" w:eastAsia="Times New Roman" w:hAnsi="Trebuchet MS" w:cs="Times New Roman"/>
          <w:szCs w:val="22"/>
          <w:lang w:eastAsia="sl-SI"/>
        </w:rPr>
        <w:t xml:space="preserve"> </w:t>
      </w:r>
      <w:r w:rsidR="003F3100">
        <w:rPr>
          <w:rFonts w:ascii="Trebuchet MS" w:eastAsia="Times New Roman" w:hAnsi="Trebuchet MS" w:cs="Times New Roman"/>
          <w:szCs w:val="22"/>
          <w:lang w:eastAsia="sl-SI"/>
        </w:rPr>
        <w:t>»Reciklirano v EU«</w:t>
      </w:r>
      <w:r>
        <w:rPr>
          <w:rFonts w:ascii="Trebuchet MS" w:eastAsia="Times New Roman" w:hAnsi="Trebuchet MS" w:cs="Times New Roman"/>
          <w:szCs w:val="22"/>
          <w:lang w:eastAsia="sl-SI"/>
        </w:rPr>
        <w:t xml:space="preserve">, ki jo načrtuje EU. </w:t>
      </w:r>
      <w:r>
        <w:rPr>
          <w:rFonts w:ascii="Trebuchet MS" w:hAnsi="Trebuchet MS"/>
          <w:szCs w:val="22"/>
        </w:rPr>
        <w:t xml:space="preserve">Krožno gospodarstvo bo imelo neto pozitivne učinke na rast BDP in ustvarjanje delovnih mest, saj </w:t>
      </w:r>
      <w:r w:rsidR="003F3100">
        <w:rPr>
          <w:rFonts w:ascii="Trebuchet MS" w:hAnsi="Trebuchet MS"/>
          <w:szCs w:val="22"/>
        </w:rPr>
        <w:t xml:space="preserve">se </w:t>
      </w:r>
      <w:r>
        <w:rPr>
          <w:rFonts w:ascii="Trebuchet MS" w:hAnsi="Trebuchet MS"/>
          <w:szCs w:val="22"/>
        </w:rPr>
        <w:t xml:space="preserve">lahko z izvajanjem ambicioznih ukrepov krožnega gospodarstva v Evropi </w:t>
      </w:r>
      <w:r w:rsidR="005936F1">
        <w:rPr>
          <w:rFonts w:ascii="Trebuchet MS" w:hAnsi="Trebuchet MS"/>
          <w:szCs w:val="22"/>
        </w:rPr>
        <w:t>poveča</w:t>
      </w:r>
      <w:r>
        <w:rPr>
          <w:rFonts w:ascii="Trebuchet MS" w:hAnsi="Trebuchet MS"/>
          <w:szCs w:val="22"/>
        </w:rPr>
        <w:t xml:space="preserve"> BDP EU za dodatnih 0,5 % do leta 2030 in ustvari približno 700.000 novih delovnih mest.</w:t>
      </w:r>
      <w:r>
        <w:rPr>
          <w:rFonts w:ascii="Trebuchet MS" w:eastAsia="Times New Roman" w:hAnsi="Trebuchet MS" w:cs="Times New Roman"/>
          <w:szCs w:val="22"/>
          <w:lang w:eastAsia="sl-SI"/>
        </w:rPr>
        <w:t xml:space="preserve"> </w:t>
      </w:r>
    </w:p>
    <w:p w14:paraId="1262D04F" w14:textId="5F26BA35" w:rsidR="007B5AB2" w:rsidRDefault="007B5AB2" w:rsidP="007B5AB2">
      <w:pPr>
        <w:jc w:val="both"/>
      </w:pPr>
      <w:r>
        <w:t xml:space="preserve">V povezavi s tem velja poudariti </w:t>
      </w:r>
      <w:r w:rsidRPr="00857439">
        <w:rPr>
          <w:b/>
          <w:bCs/>
        </w:rPr>
        <w:t>vidik rabe surovin</w:t>
      </w:r>
      <w:r>
        <w:t xml:space="preserve">. </w:t>
      </w:r>
      <w:r>
        <w:rPr>
          <w:rFonts w:cs="Verdana"/>
          <w:szCs w:val="22"/>
        </w:rPr>
        <w:t xml:space="preserve">Evropska industrija se sooča z visoko uvozno odvisnostjo od surovin, nestabilnostjo njihovih cen in oteženim </w:t>
      </w:r>
      <w:r>
        <w:rPr>
          <w:rFonts w:cs="Verdana"/>
        </w:rPr>
        <w:t>dostopom</w:t>
      </w:r>
      <w:r>
        <w:rPr>
          <w:rFonts w:cs="Verdana"/>
          <w:szCs w:val="22"/>
        </w:rPr>
        <w:t xml:space="preserve"> do surovin zaradi omejenosti, kar velja predvsem za </w:t>
      </w:r>
      <w:r w:rsidR="00CD5B5F">
        <w:t xml:space="preserve">t. i. </w:t>
      </w:r>
      <w:r>
        <w:rPr>
          <w:rFonts w:cs="Verdana"/>
          <w:szCs w:val="22"/>
        </w:rPr>
        <w:t xml:space="preserve">kritične surovine. </w:t>
      </w:r>
      <w:r>
        <w:t xml:space="preserve">Od leta 1970 do leta 2017 se je letni svetovni obseg pridobivanja surovin potrojil in še narašča, kar je privedlo do pomanjkanja nekaterih </w:t>
      </w:r>
      <w:r>
        <w:lastRenderedPageBreak/>
        <w:t xml:space="preserve">kritičnih surovin. Poleg tega približno polovica vseh emisij toplogrednih plinov in več kot 90 % izgube biotske raznovrstnosti ter pritiska na vodne vire izhaja iz pridobivanja naravnih virov in predelave materialov, goriva in hrane. Industrija EU je začela prehod v </w:t>
      </w:r>
      <w:proofErr w:type="spellStart"/>
      <w:r>
        <w:t>nizkoogljično</w:t>
      </w:r>
      <w:proofErr w:type="spellEnd"/>
      <w:r>
        <w:t xml:space="preserve"> krožno gospodarstvo, vendar še vedno ustvarja 20 % emisij toplogrednih plinov v EU. Ostaja preveč </w:t>
      </w:r>
      <w:r w:rsidR="00D35DA2">
        <w:t>»linearna«</w:t>
      </w:r>
      <w:r>
        <w:t xml:space="preserve"> in odvisna od pretoka na novo pridobljenih surovin, trgovanja z njimi, njihove predelave in, končno, njihovega odlaganja v obliki odpadkov ali emisij. Zgolj 12 % materialov, ki jih uporablja, izvira iz recikliranih materialov. Zeleni in krožni prehod je priložnost za razširitev trajnostnih gospodarskih dejavnosti, naravnanih na ustvarjanje delovnih mest. Vendar pa j</w:t>
      </w:r>
      <w:r w:rsidR="00780F73">
        <w:t>e preobrazba prepočasna</w:t>
      </w:r>
      <w:r>
        <w:t xml:space="preserve">. Evropski zeleni dogovor bo podprl in pospešil prehod industrije EU na trajnostni model vključujoče rasti. Nov </w:t>
      </w:r>
      <w:r>
        <w:rPr>
          <w:b/>
          <w:bCs/>
        </w:rPr>
        <w:t>Akcijski načrt EU na področju kritičnih surovin</w:t>
      </w:r>
      <w:r>
        <w:t xml:space="preserve"> bo prispeval k trajnostni okrepitvi ključnih tržišč za e-mobilnost, baterije, obnovljive energije, obrambne namene in digitalne aplikacije.</w:t>
      </w:r>
    </w:p>
    <w:p w14:paraId="73DE1168" w14:textId="77777777" w:rsidR="003C2935" w:rsidRDefault="003C2935" w:rsidP="003C2935">
      <w:pPr>
        <w:jc w:val="both"/>
        <w:rPr>
          <w:rFonts w:cs="Verdana-Bold"/>
          <w:szCs w:val="22"/>
        </w:rPr>
      </w:pPr>
      <w:r>
        <w:t>K</w:t>
      </w:r>
      <w:r>
        <w:rPr>
          <w:rFonts w:cs="Verdana"/>
          <w:bCs/>
          <w:szCs w:val="22"/>
        </w:rPr>
        <w:t>repitev industrijske in strateške avtonomije Evrope</w:t>
      </w:r>
      <w:r>
        <w:rPr>
          <w:rFonts w:cs="Verdana"/>
          <w:szCs w:val="22"/>
        </w:rPr>
        <w:t xml:space="preserve"> z zagotavljanjem oskrbe s kritičnimi</w:t>
      </w:r>
      <w:r>
        <w:rPr>
          <w:rFonts w:cs="Verdana-Bold"/>
          <w:szCs w:val="22"/>
        </w:rPr>
        <w:t xml:space="preserve"> </w:t>
      </w:r>
      <w:r>
        <w:rPr>
          <w:rFonts w:cs="Verdana"/>
          <w:szCs w:val="22"/>
        </w:rPr>
        <w:t>surovinami v okviru A</w:t>
      </w:r>
      <w:r>
        <w:rPr>
          <w:rFonts w:cs="Verdana-Bold"/>
          <w:szCs w:val="22"/>
        </w:rPr>
        <w:t xml:space="preserve">kcijskega načrta o kritičnih surovinah </w:t>
      </w:r>
      <w:r>
        <w:rPr>
          <w:rFonts w:cs="Verdana"/>
          <w:szCs w:val="22"/>
        </w:rPr>
        <w:t>in farmacevtskih izdelkih je</w:t>
      </w:r>
      <w:r w:rsidR="007B5AB2">
        <w:rPr>
          <w:rFonts w:cs="Verdana"/>
          <w:szCs w:val="22"/>
        </w:rPr>
        <w:t xml:space="preserve"> prav tako </w:t>
      </w:r>
      <w:r>
        <w:rPr>
          <w:rFonts w:cs="Verdana"/>
          <w:szCs w:val="22"/>
        </w:rPr>
        <w:t xml:space="preserve">ključnega pomena. Pomembno je tudi povezovanje na EU ravni, ki poteka v okviru </w:t>
      </w:r>
      <w:r>
        <w:rPr>
          <w:rFonts w:cs="Verdana-Bold"/>
          <w:szCs w:val="22"/>
        </w:rPr>
        <w:t xml:space="preserve">zavezništva za čisti vodik </w:t>
      </w:r>
      <w:r>
        <w:rPr>
          <w:rFonts w:cs="Verdana"/>
          <w:szCs w:val="22"/>
        </w:rPr>
        <w:t xml:space="preserve">za pospešitev </w:t>
      </w:r>
      <w:proofErr w:type="spellStart"/>
      <w:r>
        <w:rPr>
          <w:rFonts w:cs="Verdana"/>
          <w:szCs w:val="22"/>
        </w:rPr>
        <w:t>razogljičenja</w:t>
      </w:r>
      <w:proofErr w:type="spellEnd"/>
      <w:r>
        <w:rPr>
          <w:rFonts w:cs="Verdana"/>
          <w:szCs w:val="22"/>
        </w:rPr>
        <w:t xml:space="preserve"> industrije, </w:t>
      </w:r>
      <w:r>
        <w:rPr>
          <w:rFonts w:cs="Verdana-Bold"/>
          <w:szCs w:val="22"/>
        </w:rPr>
        <w:t xml:space="preserve">za </w:t>
      </w:r>
      <w:proofErr w:type="spellStart"/>
      <w:r>
        <w:rPr>
          <w:rFonts w:cs="Verdana-Bold"/>
          <w:szCs w:val="22"/>
        </w:rPr>
        <w:t>nizkoogljične</w:t>
      </w:r>
      <w:proofErr w:type="spellEnd"/>
      <w:r>
        <w:rPr>
          <w:rFonts w:cs="Verdana-Bold"/>
          <w:szCs w:val="22"/>
        </w:rPr>
        <w:t xml:space="preserve"> industrije</w:t>
      </w:r>
      <w:r>
        <w:rPr>
          <w:rFonts w:cs="Verdana"/>
          <w:szCs w:val="22"/>
        </w:rPr>
        <w:t xml:space="preserve">, </w:t>
      </w:r>
      <w:r>
        <w:rPr>
          <w:rFonts w:cs="Verdana-Bold"/>
          <w:szCs w:val="22"/>
        </w:rPr>
        <w:t xml:space="preserve">industrijske oblake in platforme. Ključne so tudi naložbe v inovacije, znanja in spretnosti. Evropska industrija mora postati bolj zelena, krožna in digitalna. Nekatera industrijska zavezništva so že izpričala dobre rezultate pri razvoju baterij, plastičnih izdelkov in mikroelektronike. Zdaj je čas za zavezništva tudi na drugih ključnih tehnoloških in poslovnih področjih.   </w:t>
      </w:r>
    </w:p>
    <w:p w14:paraId="294EB127" w14:textId="6549F715" w:rsidR="003C2935" w:rsidRDefault="003C2935" w:rsidP="003C2935">
      <w:pPr>
        <w:autoSpaceDE w:val="0"/>
        <w:autoSpaceDN w:val="0"/>
        <w:adjustRightInd w:val="0"/>
        <w:spacing w:after="0"/>
        <w:jc w:val="both"/>
        <w:rPr>
          <w:rFonts w:cs="Verdana-Bold"/>
          <w:szCs w:val="22"/>
        </w:rPr>
      </w:pPr>
      <w:r>
        <w:rPr>
          <w:rFonts w:cs="Verdana-Bold"/>
          <w:b/>
          <w:bCs/>
          <w:szCs w:val="22"/>
        </w:rPr>
        <w:t>Naložbe v raziskave in inovacije</w:t>
      </w:r>
      <w:r>
        <w:rPr>
          <w:rFonts w:cs="Verdana-Bold"/>
          <w:szCs w:val="22"/>
        </w:rPr>
        <w:t xml:space="preserve"> so ključni instrument za rast produktivnosti in dodane vrednosti</w:t>
      </w:r>
      <w:r w:rsidR="00716AD6">
        <w:rPr>
          <w:rFonts w:cs="Verdana-Bold"/>
          <w:szCs w:val="22"/>
        </w:rPr>
        <w:t>,</w:t>
      </w:r>
      <w:r>
        <w:rPr>
          <w:rFonts w:cs="Verdana-Bold"/>
          <w:szCs w:val="22"/>
        </w:rPr>
        <w:t xml:space="preserve"> kot </w:t>
      </w:r>
      <w:r w:rsidR="005936F1">
        <w:rPr>
          <w:rFonts w:cs="Verdana-Bold"/>
          <w:szCs w:val="22"/>
        </w:rPr>
        <w:t xml:space="preserve">tudi pomemben del </w:t>
      </w:r>
      <w:r>
        <w:rPr>
          <w:rFonts w:cs="Verdana-Bold"/>
          <w:szCs w:val="22"/>
        </w:rPr>
        <w:t xml:space="preserve">strategije </w:t>
      </w:r>
      <w:r w:rsidR="005936F1">
        <w:rPr>
          <w:rFonts w:cs="Verdana-Bold"/>
          <w:szCs w:val="22"/>
        </w:rPr>
        <w:t>za</w:t>
      </w:r>
      <w:r>
        <w:rPr>
          <w:rFonts w:cs="Verdana-Bold"/>
          <w:szCs w:val="22"/>
        </w:rPr>
        <w:t xml:space="preserve"> okrevanje</w:t>
      </w:r>
      <w:r w:rsidR="005936F1">
        <w:rPr>
          <w:rFonts w:cs="Verdana-Bold"/>
          <w:szCs w:val="22"/>
        </w:rPr>
        <w:t xml:space="preserve"> in odpornost</w:t>
      </w:r>
      <w:r>
        <w:rPr>
          <w:rFonts w:cs="Verdana-Bold"/>
          <w:szCs w:val="22"/>
        </w:rPr>
        <w:t xml:space="preserve"> </w:t>
      </w:r>
      <w:r>
        <w:rPr>
          <w:rFonts w:cs="Verdana-Bold"/>
        </w:rPr>
        <w:t xml:space="preserve">po </w:t>
      </w:r>
      <w:r>
        <w:rPr>
          <w:rFonts w:cs="Verdana-Bold"/>
          <w:szCs w:val="22"/>
        </w:rPr>
        <w:t xml:space="preserve">pandemiji COVID-19. Tudi pred krizo je bila Slovenija ocenjena le kot </w:t>
      </w:r>
      <w:r w:rsidR="008A6E16">
        <w:rPr>
          <w:rFonts w:cs="Verdana-Bold"/>
          <w:szCs w:val="22"/>
        </w:rPr>
        <w:t>»</w:t>
      </w:r>
      <w:r>
        <w:rPr>
          <w:rFonts w:cs="Verdana-Bold"/>
          <w:szCs w:val="22"/>
        </w:rPr>
        <w:t>zmerna inovatorka</w:t>
      </w:r>
      <w:r w:rsidR="008A6E16">
        <w:rPr>
          <w:rFonts w:cs="Verdana-Bold"/>
          <w:szCs w:val="22"/>
        </w:rPr>
        <w:t>«</w:t>
      </w:r>
      <w:r>
        <w:rPr>
          <w:rFonts w:cs="Verdana-Bold"/>
          <w:szCs w:val="22"/>
        </w:rPr>
        <w:t xml:space="preserve">, kar pomeni, da bo treba bistveno pospešiti njena prizadevanja za dohitevanje najuspešnejših držav. Poslovni sektor je </w:t>
      </w:r>
      <w:r w:rsidR="005936F1">
        <w:rPr>
          <w:rFonts w:cs="Verdana-Bold"/>
          <w:szCs w:val="22"/>
        </w:rPr>
        <w:t>zaslužen</w:t>
      </w:r>
      <w:r>
        <w:rPr>
          <w:rFonts w:cs="Verdana-Bold"/>
          <w:szCs w:val="22"/>
        </w:rPr>
        <w:t xml:space="preserve"> za 75 % izdatkov za raziskave in razvoj. Upad gospodarske rasti zdaj ponovno ogroža raziskave in razvoj ter inovacije podjetij. Razmeroma nizka stopnja inovativnosti</w:t>
      </w:r>
      <w:r>
        <w:rPr>
          <w:rStyle w:val="Sprotnaopomba-sklic"/>
          <w:rFonts w:cs="Verdana-Bold"/>
          <w:szCs w:val="22"/>
        </w:rPr>
        <w:footnoteReference w:id="29"/>
      </w:r>
      <w:r>
        <w:rPr>
          <w:rFonts w:cs="Verdana-Bold"/>
          <w:szCs w:val="22"/>
        </w:rPr>
        <w:t>, zlasti v MSP, upočasnjuje razvoj in širjenje inovativnih poslovnih procesov in rešitev, ki so potrebne v razmerah za izhod iz krize zaradi epidemije. Treba bo vlagati v inovativna MSP, vključno z zagonskimi, katerih dejavnosti vključujejo nastajajoče tehnologije in prelomne inovacije, ter razviti nove modele za podporo njihovi rasti in razvoju, da bi lahko okrepila proizvodnjo. Sodelovanje med akademsko sfero in podjetji je večinoma omejeno na srednje</w:t>
      </w:r>
      <w:r w:rsidR="00867FDA">
        <w:rPr>
          <w:rFonts w:cs="Verdana-Bold"/>
          <w:szCs w:val="22"/>
        </w:rPr>
        <w:t>-</w:t>
      </w:r>
      <w:r>
        <w:rPr>
          <w:rFonts w:cs="Verdana-Bold"/>
          <w:szCs w:val="22"/>
        </w:rPr>
        <w:t xml:space="preserve"> in visokotehnološke sektorje. Učinkovitost pisarn za prenos znanja, ki jih ustanovijo raziskovalne organizacije in visokošolske ustanove, je precej neenakomerna in nezadostna. Stanje na tem področju bo treba izboljšati s povezavami med univerzami ter javnimi raziskovalnimi organizacijami</w:t>
      </w:r>
      <w:r>
        <w:t xml:space="preserve"> </w:t>
      </w:r>
      <w:r>
        <w:rPr>
          <w:rFonts w:cs="Verdana-Bold"/>
          <w:szCs w:val="22"/>
        </w:rPr>
        <w:t xml:space="preserve">in podjetji, kar bo ključno za uspešno pretvorbo znanja v inovacije, izboljšanje uspešnosti raziskav in inovacij v državi ter spodbujanje gospodarske rasti. </w:t>
      </w:r>
    </w:p>
    <w:p w14:paraId="4AEEEE13" w14:textId="558AE877" w:rsidR="003C2935" w:rsidRDefault="003C2935" w:rsidP="003C2935">
      <w:pPr>
        <w:autoSpaceDE w:val="0"/>
        <w:autoSpaceDN w:val="0"/>
        <w:adjustRightInd w:val="0"/>
        <w:spacing w:after="0"/>
        <w:jc w:val="both"/>
        <w:rPr>
          <w:rFonts w:cs="Verdana-Bold"/>
          <w:szCs w:val="22"/>
        </w:rPr>
      </w:pPr>
      <w:r>
        <w:rPr>
          <w:rFonts w:cs="Verdana-Bold"/>
          <w:b/>
          <w:bCs/>
          <w:szCs w:val="22"/>
        </w:rPr>
        <w:t>Digitalna preobrazba</w:t>
      </w:r>
      <w:r>
        <w:rPr>
          <w:rFonts w:cs="Verdana-Bold"/>
          <w:szCs w:val="22"/>
        </w:rPr>
        <w:t xml:space="preserve"> je prav tako e</w:t>
      </w:r>
      <w:r w:rsidR="008A6E16">
        <w:rPr>
          <w:rFonts w:cs="Verdana-Bold"/>
          <w:szCs w:val="22"/>
        </w:rPr>
        <w:t>den</w:t>
      </w:r>
      <w:r>
        <w:rPr>
          <w:rFonts w:cs="Verdana-Bold"/>
          <w:szCs w:val="22"/>
        </w:rPr>
        <w:t xml:space="preserve"> od bistvenih elementov za okrevanje gospodarstva po krizi. Potencial Slovenije na tem področju se je pokazal s hitro uvedbo sistemov dela na daljavo in rešitev spletne trgovine, ki so jih nekatera slovenska podjetja uvedla na začetku krize. Večja digitalizacija poslovnih modelov in proizvodnih procesov bo te spremembe razširila na več sektorjev gospodarstva. Slovenija lahko gradi na obstoječem znanju in odličnih zmogljivostih na področju robotike, umetne inteligence in blokovne tehnologije, da bi podprla širitev digitalizacije na manj napredne, tradicionalne panoge. Ponovna uporaba širokega nabora podatkov javnega sektorja, ki so trenutno na voljo, bo lahko podprla inovacije in gospodarstvo </w:t>
      </w:r>
      <w:proofErr w:type="spellStart"/>
      <w:r>
        <w:rPr>
          <w:rFonts w:cs="Verdana-Bold"/>
          <w:szCs w:val="22"/>
        </w:rPr>
        <w:t>velepodatkov</w:t>
      </w:r>
      <w:proofErr w:type="spellEnd"/>
      <w:r>
        <w:rPr>
          <w:rFonts w:cs="Verdana-Bold"/>
          <w:szCs w:val="22"/>
        </w:rPr>
        <w:t>.</w:t>
      </w:r>
    </w:p>
    <w:p w14:paraId="4B301EA0" w14:textId="650E328A" w:rsidR="003C2935" w:rsidRDefault="003C2935" w:rsidP="003C2935">
      <w:pPr>
        <w:jc w:val="both"/>
        <w:rPr>
          <w:rFonts w:ascii="Trebuchet MS" w:eastAsia="Trebuchet MS" w:hAnsi="Trebuchet MS" w:cs="Trebuchet MS"/>
        </w:rPr>
      </w:pPr>
      <w:r>
        <w:rPr>
          <w:rFonts w:ascii="Trebuchet MS" w:eastAsia="Trebuchet MS" w:hAnsi="Trebuchet MS" w:cs="Trebuchet MS"/>
        </w:rPr>
        <w:t xml:space="preserve">Okrevanje gospodarstva po krizi ni edini razlog za digitalno transformacijo, temveč le-ta dviguje produktivnost, konkurenčnost in odpornost gospodarstva. </w:t>
      </w:r>
      <w:r w:rsidR="00B467D5">
        <w:rPr>
          <w:rFonts w:ascii="Trebuchet MS" w:eastAsia="Trebuchet MS" w:hAnsi="Trebuchet MS" w:cs="Trebuchet MS"/>
        </w:rPr>
        <w:t>V</w:t>
      </w:r>
      <w:r w:rsidR="00B467D5">
        <w:rPr>
          <w:rFonts w:cs="Verdana-Bold"/>
        </w:rPr>
        <w:t xml:space="preserve">eliko pripomore tudi pri procesni varnosti – preprečevanju nezgod in velikih industrijskih nesreč (sofisticirani sistemi za zaznavanje in odpravljanje procesnih napak, alarmiranje, ukrepanje…). </w:t>
      </w:r>
      <w:r>
        <w:rPr>
          <w:rFonts w:ascii="Trebuchet MS" w:eastAsia="Trebuchet MS" w:hAnsi="Trebuchet MS" w:cs="Trebuchet MS"/>
        </w:rPr>
        <w:t>Digitalizacija že dolgo ni več zgolj opcija, za katero bi se lahko odločili, temveč je nuja, ki jo mora Slovenija sprejeti na vseh ravneh</w:t>
      </w:r>
      <w:r w:rsidR="0090492D">
        <w:rPr>
          <w:rFonts w:ascii="Trebuchet MS" w:eastAsia="Trebuchet MS" w:hAnsi="Trebuchet MS" w:cs="Trebuchet MS"/>
        </w:rPr>
        <w:t xml:space="preserve"> </w:t>
      </w:r>
      <w:r>
        <w:rPr>
          <w:rFonts w:ascii="Trebuchet MS" w:eastAsia="Trebuchet MS" w:hAnsi="Trebuchet MS" w:cs="Trebuchet MS"/>
        </w:rPr>
        <w:t xml:space="preserve">- ne le v </w:t>
      </w:r>
      <w:r>
        <w:rPr>
          <w:rFonts w:ascii="Trebuchet MS" w:eastAsia="Trebuchet MS" w:hAnsi="Trebuchet MS" w:cs="Trebuchet MS"/>
        </w:rPr>
        <w:lastRenderedPageBreak/>
        <w:t>industrijski politiki, temveč tudi na ostalih nivojih življenja posameznikov. Prevelik zaostanek zaradi neustrezne obravnave in posledično prepočasne digitalizacije bi pomenil zaostanek na vseh zadanih nivojih, ki jih ta strategija zasleduje, še poseb</w:t>
      </w:r>
      <w:r w:rsidR="0090492D">
        <w:rPr>
          <w:rFonts w:ascii="Trebuchet MS" w:eastAsia="Trebuchet MS" w:hAnsi="Trebuchet MS" w:cs="Trebuchet MS"/>
        </w:rPr>
        <w:t>ej</w:t>
      </w:r>
      <w:r>
        <w:rPr>
          <w:rFonts w:ascii="Trebuchet MS" w:eastAsia="Trebuchet MS" w:hAnsi="Trebuchet MS" w:cs="Trebuchet MS"/>
        </w:rPr>
        <w:t xml:space="preserve"> pa na področju </w:t>
      </w:r>
      <w:proofErr w:type="spellStart"/>
      <w:r>
        <w:rPr>
          <w:rFonts w:ascii="Trebuchet MS" w:eastAsia="Trebuchet MS" w:hAnsi="Trebuchet MS" w:cs="Trebuchet MS"/>
        </w:rPr>
        <w:t>pozicioniranja</w:t>
      </w:r>
      <w:proofErr w:type="spellEnd"/>
      <w:r>
        <w:rPr>
          <w:rFonts w:ascii="Trebuchet MS" w:eastAsia="Trebuchet MS" w:hAnsi="Trebuchet MS" w:cs="Trebuchet MS"/>
        </w:rPr>
        <w:t xml:space="preserve"> Slovenije v mednarodnem okolju in tudi na nacionalnem nivoju, kjer bi mednarodni konkurenti z dodelano strategijo lahko povsem presegli slovenska proizvodna podjetja.</w:t>
      </w:r>
    </w:p>
    <w:p w14:paraId="1013C428" w14:textId="341C4C0D" w:rsidR="003C2935" w:rsidRDefault="003C2935" w:rsidP="003C2935">
      <w:pPr>
        <w:rPr>
          <w:spacing w:val="15"/>
        </w:rPr>
      </w:pPr>
    </w:p>
    <w:p w14:paraId="6158F8D0" w14:textId="77777777" w:rsidR="003C2935" w:rsidRDefault="003C2935" w:rsidP="003C2935">
      <w:pPr>
        <w:pStyle w:val="Naslov2"/>
        <w:numPr>
          <w:ilvl w:val="1"/>
          <w:numId w:val="35"/>
        </w:numPr>
        <w:rPr>
          <w:caps w:val="0"/>
        </w:rPr>
      </w:pPr>
      <w:bookmarkStart w:id="15" w:name="_Toc49344779"/>
      <w:bookmarkStart w:id="16" w:name="_Toc51140502"/>
      <w:r>
        <w:rPr>
          <w:caps w:val="0"/>
        </w:rPr>
        <w:t>Napovedi 2021-2030</w:t>
      </w:r>
      <w:bookmarkEnd w:id="15"/>
      <w:bookmarkEnd w:id="16"/>
    </w:p>
    <w:p w14:paraId="2D4E2BF0" w14:textId="77777777" w:rsidR="003C2935" w:rsidRDefault="003C2935" w:rsidP="003C2935">
      <w:pPr>
        <w:autoSpaceDE w:val="0"/>
        <w:autoSpaceDN w:val="0"/>
        <w:adjustRightInd w:val="0"/>
        <w:spacing w:after="0"/>
        <w:jc w:val="both"/>
        <w:rPr>
          <w:rFonts w:cs="Verdana-Bold"/>
          <w:b/>
          <w:bCs/>
          <w:szCs w:val="22"/>
        </w:rPr>
      </w:pPr>
    </w:p>
    <w:p w14:paraId="2AF87101" w14:textId="77777777" w:rsidR="003C2935" w:rsidRDefault="003C2935" w:rsidP="003C2935">
      <w:pPr>
        <w:autoSpaceDE w:val="0"/>
        <w:autoSpaceDN w:val="0"/>
        <w:adjustRightInd w:val="0"/>
        <w:spacing w:after="0"/>
        <w:jc w:val="both"/>
        <w:rPr>
          <w:rFonts w:cs="Verdana-Bold"/>
          <w:b/>
          <w:bCs/>
          <w:szCs w:val="22"/>
        </w:rPr>
      </w:pPr>
      <w:r>
        <w:rPr>
          <w:rFonts w:cs="Verdana-Bold"/>
          <w:b/>
          <w:bCs/>
          <w:szCs w:val="22"/>
        </w:rPr>
        <w:t>Metodologija</w:t>
      </w:r>
    </w:p>
    <w:p w14:paraId="1813EC89" w14:textId="002326BC" w:rsidR="00613C55" w:rsidRPr="00613C55" w:rsidRDefault="003C2935" w:rsidP="00613C55">
      <w:pPr>
        <w:jc w:val="both"/>
        <w:rPr>
          <w:color w:val="000000" w:themeColor="text1"/>
        </w:rPr>
      </w:pPr>
      <w:r>
        <w:t>Pri napovedih za predelova</w:t>
      </w:r>
      <w:r w:rsidR="00617E8F">
        <w:t>l</w:t>
      </w:r>
      <w:r>
        <w:t xml:space="preserve">no dejavnost smo uporabili </w:t>
      </w:r>
      <w:r>
        <w:rPr>
          <w:b/>
          <w:bCs/>
        </w:rPr>
        <w:t>pristop od spodaj navzgor (»</w:t>
      </w:r>
      <w:proofErr w:type="spellStart"/>
      <w:r>
        <w:rPr>
          <w:b/>
          <w:bCs/>
        </w:rPr>
        <w:t>bottom</w:t>
      </w:r>
      <w:proofErr w:type="spellEnd"/>
      <w:r>
        <w:rPr>
          <w:b/>
          <w:bCs/>
        </w:rPr>
        <w:t>-up«)</w:t>
      </w:r>
      <w:r>
        <w:t>, ki predvideva napovedi gibanja prodaje, izvoza, dodane vrednosti, EBITDA, zaposlenih in investicij. Pri napovedih smo izhajali tako iz gibanj v zadnjem desetletju, iz odstopanj marž slovenskih panog glede na EU-27</w:t>
      </w:r>
      <w:r w:rsidR="005D072E">
        <w:t>,</w:t>
      </w:r>
      <w:r>
        <w:t xml:space="preserve"> kot tudi iz ocen konkurenčnih prednosti, ki jih uživajo določene panoge v Sloveniji. Napovedi smo oblikovali za </w:t>
      </w:r>
      <w:r w:rsidR="005D072E">
        <w:t xml:space="preserve">dve </w:t>
      </w:r>
      <w:r>
        <w:t xml:space="preserve">obdobji, in sicer za </w:t>
      </w:r>
      <w:r w:rsidR="005D072E">
        <w:t>dve</w:t>
      </w:r>
      <w:r>
        <w:t>letno (2019</w:t>
      </w:r>
      <w:r w:rsidR="00780F73">
        <w:t>-</w:t>
      </w:r>
      <w:r>
        <w:t xml:space="preserve">2020) ter </w:t>
      </w:r>
      <w:r w:rsidR="005D072E">
        <w:t>deset</w:t>
      </w:r>
      <w:r>
        <w:t xml:space="preserve">letno (2021-2030). Ti dve obdobji smo razdelili, ker </w:t>
      </w:r>
      <w:r w:rsidRPr="00613C55">
        <w:rPr>
          <w:color w:val="000000" w:themeColor="text1"/>
        </w:rPr>
        <w:t xml:space="preserve">ocenjujemo, da bo epidemija COVID-19 precej negativno vplivala na vse ključne gospodarske agregate podjetij. </w:t>
      </w:r>
      <w:r w:rsidR="00613C55" w:rsidRPr="00613C55">
        <w:rPr>
          <w:color w:val="000000" w:themeColor="text1"/>
        </w:rPr>
        <w:t xml:space="preserve">V osnovnem scenariju Analitike GZS epidemija Covid-19 po letu 2021 ne bo imela večjega negativnega učinka na poslovanje predelovalne dejavnosti. </w:t>
      </w:r>
    </w:p>
    <w:p w14:paraId="4F660DF3" w14:textId="77777777" w:rsidR="003C2935" w:rsidRDefault="003C2935" w:rsidP="003C2935">
      <w:pPr>
        <w:jc w:val="both"/>
      </w:pPr>
    </w:p>
    <w:p w14:paraId="1931F660" w14:textId="77777777" w:rsidR="003C2935" w:rsidRDefault="003C2935" w:rsidP="003C2935">
      <w:pPr>
        <w:jc w:val="both"/>
        <w:rPr>
          <w:b/>
          <w:bCs/>
        </w:rPr>
      </w:pPr>
      <w:r>
        <w:rPr>
          <w:b/>
          <w:bCs/>
        </w:rPr>
        <w:t>Prodaja</w:t>
      </w:r>
    </w:p>
    <w:tbl>
      <w:tblPr>
        <w:tblpPr w:leftFromText="180" w:rightFromText="180" w:vertAnchor="text" w:horzAnchor="margin" w:tblpY="1780"/>
        <w:tblW w:w="5000" w:type="pct"/>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tblBorders>
        <w:tblLook w:val="04A0" w:firstRow="1" w:lastRow="0" w:firstColumn="1" w:lastColumn="0" w:noHBand="0" w:noVBand="1"/>
      </w:tblPr>
      <w:tblGrid>
        <w:gridCol w:w="2135"/>
        <w:gridCol w:w="1432"/>
        <w:gridCol w:w="1432"/>
        <w:gridCol w:w="1432"/>
        <w:gridCol w:w="1432"/>
        <w:gridCol w:w="1425"/>
      </w:tblGrid>
      <w:tr w:rsidR="003C2935" w14:paraId="192A4B97" w14:textId="77777777" w:rsidTr="003C2935">
        <w:trPr>
          <w:trHeight w:val="722"/>
        </w:trPr>
        <w:tc>
          <w:tcPr>
            <w:tcW w:w="1149" w:type="pct"/>
            <w:tcBorders>
              <w:top w:val="single" w:sz="4" w:space="0" w:color="8AB833" w:themeColor="accent2"/>
              <w:left w:val="single" w:sz="4" w:space="0" w:color="8AB833" w:themeColor="accent2"/>
              <w:bottom w:val="single" w:sz="4" w:space="0" w:color="8AB833" w:themeColor="accent2"/>
              <w:right w:val="nil"/>
            </w:tcBorders>
            <w:shd w:val="clear" w:color="auto" w:fill="8AB833" w:themeFill="accent2"/>
            <w:vAlign w:val="center"/>
            <w:hideMark/>
          </w:tcPr>
          <w:p w14:paraId="2CC58536" w14:textId="77777777" w:rsidR="003C2935" w:rsidRDefault="003C2935">
            <w:pPr>
              <w:spacing w:before="0" w:after="0" w:line="240" w:lineRule="auto"/>
              <w:rPr>
                <w:rFonts w:asciiTheme="majorHAnsi" w:hAnsiTheme="majorHAnsi"/>
                <w:b/>
                <w:bCs/>
                <w:color w:val="FFFFFF" w:themeColor="background1"/>
              </w:rPr>
            </w:pPr>
            <w:r>
              <w:rPr>
                <w:rFonts w:asciiTheme="majorHAnsi" w:hAnsiTheme="majorHAnsi"/>
                <w:b/>
                <w:bCs/>
                <w:color w:val="FFFFFF" w:themeColor="background1"/>
              </w:rPr>
              <w:t>Ključne skupine predelovalnih dejavnosti</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30943545" w14:textId="77777777" w:rsidR="00775FAA" w:rsidRDefault="003C2935">
            <w:pPr>
              <w:spacing w:before="0" w:after="0" w:line="240" w:lineRule="auto"/>
              <w:jc w:val="center"/>
              <w:rPr>
                <w:rFonts w:asciiTheme="majorHAnsi" w:hAnsiTheme="majorHAnsi"/>
                <w:b/>
                <w:bCs/>
                <w:color w:val="FFFFFF" w:themeColor="background1"/>
              </w:rPr>
            </w:pPr>
            <w:r>
              <w:rPr>
                <w:rFonts w:asciiTheme="majorHAnsi" w:hAnsiTheme="majorHAnsi"/>
                <w:b/>
                <w:bCs/>
                <w:color w:val="FFFFFF" w:themeColor="background1"/>
              </w:rPr>
              <w:t xml:space="preserve">Prodaja, 2018 </w:t>
            </w:r>
          </w:p>
          <w:p w14:paraId="40CC6AF0"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(000 EUR)</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7D2F4EFA" w14:textId="77777777" w:rsidR="00775FAA" w:rsidRDefault="003C2935">
            <w:pPr>
              <w:spacing w:before="0" w:after="0" w:line="240" w:lineRule="auto"/>
              <w:jc w:val="center"/>
              <w:rPr>
                <w:rFonts w:asciiTheme="majorHAnsi" w:hAnsiTheme="majorHAnsi"/>
                <w:b/>
                <w:bCs/>
                <w:color w:val="FFFFFF" w:themeColor="background1"/>
              </w:rPr>
            </w:pPr>
            <w:r>
              <w:rPr>
                <w:rFonts w:asciiTheme="majorHAnsi" w:hAnsiTheme="majorHAnsi"/>
                <w:b/>
                <w:bCs/>
                <w:color w:val="FFFFFF" w:themeColor="background1"/>
              </w:rPr>
              <w:t xml:space="preserve">Prodaja, 2020 </w:t>
            </w:r>
          </w:p>
          <w:p w14:paraId="1AF5CC33"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(000 EUR)</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62A79246" w14:textId="77777777" w:rsidR="00775FAA" w:rsidRDefault="003C2935">
            <w:pPr>
              <w:spacing w:before="0" w:after="0" w:line="240" w:lineRule="auto"/>
              <w:jc w:val="center"/>
              <w:rPr>
                <w:rFonts w:asciiTheme="majorHAnsi" w:hAnsiTheme="majorHAnsi"/>
                <w:b/>
                <w:bCs/>
                <w:color w:val="FFFFFF" w:themeColor="background1"/>
              </w:rPr>
            </w:pPr>
            <w:r>
              <w:rPr>
                <w:rFonts w:asciiTheme="majorHAnsi" w:hAnsiTheme="majorHAnsi"/>
                <w:b/>
                <w:bCs/>
                <w:color w:val="FFFFFF" w:themeColor="background1"/>
              </w:rPr>
              <w:t xml:space="preserve">Prodaja, 2030 </w:t>
            </w:r>
          </w:p>
          <w:p w14:paraId="51A367C9"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(000 EUR)</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04D17A7E" w14:textId="31CDE131" w:rsidR="003C2935" w:rsidRDefault="007A734E" w:rsidP="00780F73">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 l</w:t>
            </w:r>
            <w:r w:rsidR="00780F73">
              <w:rPr>
                <w:rFonts w:asciiTheme="majorHAnsi" w:hAnsiTheme="majorHAnsi"/>
                <w:b/>
                <w:bCs/>
                <w:color w:val="FFFFFF" w:themeColor="background1"/>
              </w:rPr>
              <w:t>etna sprememba prodaje 2</w:t>
            </w:r>
            <w:r w:rsidR="003C2935">
              <w:rPr>
                <w:rFonts w:asciiTheme="majorHAnsi" w:hAnsiTheme="majorHAnsi"/>
                <w:b/>
                <w:bCs/>
                <w:color w:val="FFFFFF" w:themeColor="background1"/>
              </w:rPr>
              <w:t>019-2020</w:t>
            </w:r>
          </w:p>
        </w:tc>
        <w:tc>
          <w:tcPr>
            <w:tcW w:w="767" w:type="pct"/>
            <w:tcBorders>
              <w:top w:val="single" w:sz="4" w:space="0" w:color="8AB833" w:themeColor="accent2"/>
              <w:left w:val="nil"/>
              <w:bottom w:val="single" w:sz="4" w:space="0" w:color="8AB833" w:themeColor="accent2"/>
              <w:right w:val="single" w:sz="4" w:space="0" w:color="8AB833" w:themeColor="accent2"/>
            </w:tcBorders>
            <w:shd w:val="clear" w:color="auto" w:fill="8AB833" w:themeFill="accent2"/>
            <w:vAlign w:val="center"/>
            <w:hideMark/>
          </w:tcPr>
          <w:p w14:paraId="7354D989" w14:textId="028A71C8" w:rsidR="003C2935" w:rsidRDefault="007A734E">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 xml:space="preserve"> % l</w:t>
            </w:r>
            <w:r w:rsidR="00780F73" w:rsidRPr="00780F73">
              <w:rPr>
                <w:rFonts w:asciiTheme="majorHAnsi" w:hAnsiTheme="majorHAnsi"/>
                <w:b/>
                <w:bCs/>
                <w:color w:val="FFFFFF" w:themeColor="background1"/>
              </w:rPr>
              <w:t xml:space="preserve">etna sprememba prodaje   </w:t>
            </w:r>
            <w:r w:rsidR="003C2935">
              <w:rPr>
                <w:rFonts w:asciiTheme="majorHAnsi" w:hAnsiTheme="majorHAnsi"/>
                <w:b/>
                <w:bCs/>
                <w:color w:val="FFFFFF" w:themeColor="background1"/>
              </w:rPr>
              <w:t>2021-2030</w:t>
            </w:r>
          </w:p>
        </w:tc>
      </w:tr>
      <w:tr w:rsidR="003C2935" w14:paraId="4F7AAED3"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06A2AC36"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PREDEL. DEJ. SKUPAJ</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29B54A9E" w14:textId="77777777" w:rsidR="003C2935" w:rsidRDefault="003C2935">
            <w:pPr>
              <w:spacing w:before="0" w:after="0" w:line="240" w:lineRule="auto"/>
              <w:jc w:val="right"/>
              <w:rPr>
                <w:rFonts w:asciiTheme="majorHAnsi" w:hAnsiTheme="majorHAnsi"/>
                <w:b/>
              </w:rPr>
            </w:pPr>
            <w:r>
              <w:rPr>
                <w:b/>
              </w:rPr>
              <w:t>31.279.103</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hideMark/>
          </w:tcPr>
          <w:p w14:paraId="2AFC4F50" w14:textId="77777777" w:rsidR="003C2935" w:rsidRDefault="003C2935">
            <w:pPr>
              <w:spacing w:before="0" w:after="0" w:line="240" w:lineRule="auto"/>
              <w:jc w:val="right"/>
              <w:rPr>
                <w:b/>
              </w:rPr>
            </w:pPr>
            <w:r>
              <w:rPr>
                <w:b/>
              </w:rPr>
              <w:t>29.905.518</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hideMark/>
          </w:tcPr>
          <w:p w14:paraId="2C7B8795" w14:textId="77777777" w:rsidR="003C2935" w:rsidRDefault="003C2935">
            <w:pPr>
              <w:spacing w:before="0" w:after="0" w:line="240" w:lineRule="auto"/>
              <w:jc w:val="right"/>
              <w:rPr>
                <w:b/>
              </w:rPr>
            </w:pPr>
            <w:r>
              <w:t>41.806.234</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hideMark/>
          </w:tcPr>
          <w:p w14:paraId="1A0D189A" w14:textId="77777777" w:rsidR="003C2935" w:rsidRDefault="003C2935">
            <w:pPr>
              <w:spacing w:before="0" w:after="0" w:line="240" w:lineRule="auto"/>
              <w:jc w:val="right"/>
              <w:rPr>
                <w:b/>
              </w:rPr>
            </w:pPr>
            <w:r>
              <w:rPr>
                <w:b/>
              </w:rPr>
              <w:t>-2,2%</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hideMark/>
          </w:tcPr>
          <w:p w14:paraId="03758BA3" w14:textId="77777777" w:rsidR="003C2935" w:rsidRDefault="003C2935">
            <w:pPr>
              <w:spacing w:before="0" w:after="0" w:line="240" w:lineRule="auto"/>
              <w:jc w:val="right"/>
              <w:rPr>
                <w:b/>
              </w:rPr>
            </w:pPr>
            <w:r>
              <w:rPr>
                <w:b/>
              </w:rPr>
              <w:t>3,4%</w:t>
            </w:r>
          </w:p>
        </w:tc>
      </w:tr>
      <w:tr w:rsidR="003C2935" w14:paraId="22255865"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3091C0DA"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Prehrambna</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62A029C2" w14:textId="77777777" w:rsidR="003C2935" w:rsidRDefault="003C2935">
            <w:pPr>
              <w:spacing w:before="0" w:after="0" w:line="240" w:lineRule="auto"/>
              <w:jc w:val="right"/>
            </w:pPr>
            <w:r>
              <w:t>2.384.590</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356EEB04" w14:textId="77777777" w:rsidR="003C2935" w:rsidRDefault="003C2935">
            <w:pPr>
              <w:spacing w:before="0" w:after="0" w:line="240" w:lineRule="auto"/>
              <w:jc w:val="right"/>
            </w:pPr>
            <w:r>
              <w:t>2.505.310</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7B3AD5BC" w14:textId="77777777" w:rsidR="003C2935" w:rsidRDefault="003C2935">
            <w:pPr>
              <w:spacing w:before="0" w:after="0" w:line="240" w:lineRule="auto"/>
              <w:jc w:val="right"/>
            </w:pPr>
            <w:r>
              <w:t>3.175.858</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1B2692F9" w14:textId="77777777" w:rsidR="003C2935" w:rsidRDefault="003C2935">
            <w:pPr>
              <w:spacing w:before="0" w:after="0" w:line="240" w:lineRule="auto"/>
              <w:jc w:val="right"/>
            </w:pPr>
            <w:r>
              <w:t>2,5%</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31E10FBB" w14:textId="77777777" w:rsidR="003C2935" w:rsidRDefault="003C2935">
            <w:pPr>
              <w:spacing w:before="0" w:after="0" w:line="240" w:lineRule="auto"/>
              <w:jc w:val="right"/>
            </w:pPr>
            <w:r>
              <w:t>2,4%</w:t>
            </w:r>
          </w:p>
        </w:tc>
      </w:tr>
      <w:tr w:rsidR="003C2935" w14:paraId="4222BAE2"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0DBCDDE8"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Tekstilna</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2199BE23" w14:textId="77777777" w:rsidR="003C2935" w:rsidRDefault="003C2935">
            <w:pPr>
              <w:spacing w:before="0" w:after="0" w:line="240" w:lineRule="auto"/>
              <w:jc w:val="right"/>
            </w:pPr>
            <w:r>
              <w:t>898.293</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222008AD" w14:textId="77777777" w:rsidR="003C2935" w:rsidRDefault="003C2935">
            <w:pPr>
              <w:spacing w:before="0" w:after="0" w:line="240" w:lineRule="auto"/>
              <w:jc w:val="right"/>
            </w:pPr>
            <w:r>
              <w:t>827.867</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41F9A505" w14:textId="77777777" w:rsidR="003C2935" w:rsidRDefault="003C2935">
            <w:pPr>
              <w:spacing w:before="0" w:after="0" w:line="240" w:lineRule="auto"/>
              <w:jc w:val="right"/>
            </w:pPr>
            <w:r>
              <w:t>1.009.165</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213C984B" w14:textId="77777777" w:rsidR="003C2935" w:rsidRDefault="003C2935">
            <w:pPr>
              <w:spacing w:before="0" w:after="0" w:line="240" w:lineRule="auto"/>
              <w:jc w:val="right"/>
            </w:pPr>
            <w:r>
              <w:t>-4,0%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2CAB492B" w14:textId="77777777" w:rsidR="003C2935" w:rsidRDefault="003C2935">
            <w:pPr>
              <w:spacing w:before="0" w:after="0" w:line="240" w:lineRule="auto"/>
              <w:jc w:val="right"/>
            </w:pPr>
            <w:r>
              <w:t>2,0%</w:t>
            </w:r>
          </w:p>
        </w:tc>
      </w:tr>
      <w:tr w:rsidR="003C2935" w14:paraId="22C39120"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496835C9"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Lesna</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3DE43703" w14:textId="77777777" w:rsidR="003C2935" w:rsidRDefault="003C2935">
            <w:pPr>
              <w:spacing w:before="0" w:after="0" w:line="240" w:lineRule="auto"/>
              <w:jc w:val="right"/>
            </w:pPr>
            <w:r>
              <w:t>1.413.409</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771F4381" w14:textId="77777777" w:rsidR="003C2935" w:rsidRDefault="003C2935">
            <w:pPr>
              <w:spacing w:before="0" w:after="0" w:line="240" w:lineRule="auto"/>
              <w:jc w:val="right"/>
            </w:pPr>
            <w:r>
              <w:t>1.302.598</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056DAEC4" w14:textId="77777777" w:rsidR="003C2935" w:rsidRDefault="003C2935">
            <w:pPr>
              <w:spacing w:before="0" w:after="0" w:line="240" w:lineRule="auto"/>
              <w:jc w:val="right"/>
            </w:pPr>
            <w:r>
              <w:t>1.587.859</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5BD65544" w14:textId="77777777" w:rsidR="003C2935" w:rsidRDefault="003C2935">
            <w:pPr>
              <w:spacing w:before="0" w:after="0" w:line="240" w:lineRule="auto"/>
              <w:jc w:val="right"/>
            </w:pPr>
            <w:r>
              <w:t>-4,0%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4891F728" w14:textId="77777777" w:rsidR="003C2935" w:rsidRDefault="003C2935">
            <w:pPr>
              <w:spacing w:before="0" w:after="0" w:line="240" w:lineRule="auto"/>
              <w:jc w:val="right"/>
            </w:pPr>
            <w:r>
              <w:t>2,0%</w:t>
            </w:r>
          </w:p>
        </w:tc>
      </w:tr>
      <w:tr w:rsidR="003C2935" w14:paraId="291F5195"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43A33910"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Papirna</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67D0FCBE" w14:textId="77777777" w:rsidR="003C2935" w:rsidRDefault="003C2935">
            <w:pPr>
              <w:spacing w:before="0" w:after="0" w:line="240" w:lineRule="auto"/>
              <w:jc w:val="right"/>
            </w:pPr>
            <w:r>
              <w:t>1.296.843</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577CEE5F" w14:textId="77777777" w:rsidR="003C2935" w:rsidRDefault="003C2935">
            <w:pPr>
              <w:spacing w:before="0" w:after="0" w:line="240" w:lineRule="auto"/>
              <w:jc w:val="right"/>
            </w:pPr>
            <w:r>
              <w:t>1.245.488</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6ED19B2F" w14:textId="77777777" w:rsidR="003C2935" w:rsidRDefault="003C2935">
            <w:pPr>
              <w:spacing w:before="0" w:after="0" w:line="240" w:lineRule="auto"/>
              <w:jc w:val="right"/>
            </w:pPr>
            <w:r>
              <w:t>1.518.243</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7A3B50C2" w14:textId="77777777" w:rsidR="003C2935" w:rsidRDefault="003C2935">
            <w:pPr>
              <w:spacing w:before="0" w:after="0" w:line="240" w:lineRule="auto"/>
              <w:jc w:val="right"/>
            </w:pPr>
            <w:r>
              <w:t>-2,0%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509617E3" w14:textId="77777777" w:rsidR="003C2935" w:rsidRDefault="003C2935">
            <w:pPr>
              <w:spacing w:before="0" w:after="0" w:line="240" w:lineRule="auto"/>
              <w:jc w:val="right"/>
            </w:pPr>
            <w:r>
              <w:t>2,0%</w:t>
            </w:r>
          </w:p>
        </w:tc>
      </w:tr>
      <w:tr w:rsidR="003C2935" w14:paraId="0105CDE5"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31898D1B"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Kemična</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04F725B2" w14:textId="77777777" w:rsidR="003C2935" w:rsidRDefault="003C2935">
            <w:pPr>
              <w:spacing w:before="0" w:after="0" w:line="240" w:lineRule="auto"/>
              <w:jc w:val="right"/>
            </w:pPr>
            <w:r>
              <w:t>5.990.623</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186DCBD3" w14:textId="77777777" w:rsidR="003C2935" w:rsidRDefault="003C2935">
            <w:pPr>
              <w:spacing w:before="0" w:after="0" w:line="240" w:lineRule="auto"/>
              <w:jc w:val="right"/>
            </w:pPr>
            <w:r>
              <w:t>6.232.644</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47310CEF" w14:textId="77777777" w:rsidR="003C2935" w:rsidRDefault="003C2935">
            <w:pPr>
              <w:spacing w:before="0" w:after="0" w:line="240" w:lineRule="auto"/>
              <w:jc w:val="right"/>
            </w:pPr>
            <w:r>
              <w:t>8.791.760</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3FC9F7E7" w14:textId="77777777" w:rsidR="003C2935" w:rsidRDefault="003C2935">
            <w:pPr>
              <w:spacing w:before="0" w:after="0" w:line="240" w:lineRule="auto"/>
              <w:jc w:val="right"/>
            </w:pPr>
            <w:r>
              <w:t>2,0%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423832E8" w14:textId="77777777" w:rsidR="003C2935" w:rsidRDefault="003C2935">
            <w:pPr>
              <w:spacing w:before="0" w:after="0" w:line="240" w:lineRule="auto"/>
              <w:jc w:val="right"/>
            </w:pPr>
            <w:r>
              <w:t>3,5%</w:t>
            </w:r>
          </w:p>
        </w:tc>
      </w:tr>
      <w:tr w:rsidR="003C2935" w14:paraId="4F1B83E4"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56B874F9"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Nekovinska</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7D6C69CB" w14:textId="77777777" w:rsidR="003C2935" w:rsidRDefault="003C2935">
            <w:pPr>
              <w:spacing w:before="0" w:after="0" w:line="240" w:lineRule="auto"/>
              <w:jc w:val="right"/>
            </w:pPr>
            <w:r>
              <w:t>1.014.271</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43238748" w14:textId="77777777" w:rsidR="003C2935" w:rsidRDefault="003C2935">
            <w:pPr>
              <w:spacing w:before="0" w:after="0" w:line="240" w:lineRule="auto"/>
              <w:jc w:val="right"/>
            </w:pPr>
            <w:r>
              <w:t>954.328</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4509BCC8" w14:textId="77777777" w:rsidR="003C2935" w:rsidRDefault="003C2935">
            <w:pPr>
              <w:spacing w:before="0" w:after="0" w:line="240" w:lineRule="auto"/>
              <w:jc w:val="right"/>
            </w:pPr>
            <w:r>
              <w:t>1.186.333</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219C2684" w14:textId="77777777" w:rsidR="003C2935" w:rsidRDefault="003C2935">
            <w:pPr>
              <w:spacing w:before="0" w:after="0" w:line="240" w:lineRule="auto"/>
              <w:jc w:val="right"/>
            </w:pPr>
            <w:r>
              <w:t>-3,0%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7E7E51F8" w14:textId="77777777" w:rsidR="003C2935" w:rsidRDefault="003C2935">
            <w:pPr>
              <w:spacing w:before="0" w:after="0" w:line="240" w:lineRule="auto"/>
              <w:jc w:val="right"/>
            </w:pPr>
            <w:r>
              <w:t>2,2%</w:t>
            </w:r>
          </w:p>
        </w:tc>
      </w:tr>
      <w:tr w:rsidR="003C2935" w14:paraId="4949C64B"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6D9F91C6"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Kovinska</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1DA851DE" w14:textId="77777777" w:rsidR="003C2935" w:rsidRDefault="003C2935">
            <w:pPr>
              <w:spacing w:before="0" w:after="0" w:line="240" w:lineRule="auto"/>
              <w:jc w:val="right"/>
            </w:pPr>
            <w:r>
              <w:t>6.432.627</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5D596BB7" w14:textId="77777777" w:rsidR="003C2935" w:rsidRDefault="003C2935">
            <w:pPr>
              <w:spacing w:before="0" w:after="0" w:line="240" w:lineRule="auto"/>
              <w:jc w:val="right"/>
            </w:pPr>
            <w:r>
              <w:t>5.928.309</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4A8642EA" w14:textId="77777777" w:rsidR="003C2935" w:rsidRDefault="003C2935">
            <w:pPr>
              <w:spacing w:before="0" w:after="0" w:line="240" w:lineRule="auto"/>
              <w:jc w:val="right"/>
            </w:pPr>
            <w:r>
              <w:t>7.813.794</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1BC1F961" w14:textId="77777777" w:rsidR="003C2935" w:rsidRDefault="003C2935">
            <w:pPr>
              <w:spacing w:before="0" w:after="0" w:line="240" w:lineRule="auto"/>
              <w:jc w:val="right"/>
            </w:pPr>
            <w:r>
              <w:t>-4,0%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7B88C711" w14:textId="77777777" w:rsidR="003C2935" w:rsidRDefault="003C2935">
            <w:pPr>
              <w:spacing w:before="0" w:after="0" w:line="240" w:lineRule="auto"/>
              <w:jc w:val="right"/>
            </w:pPr>
            <w:r>
              <w:t>2,8%</w:t>
            </w:r>
          </w:p>
        </w:tc>
      </w:tr>
      <w:tr w:rsidR="003C2935" w14:paraId="011764ED"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2E491379"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Elektro</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447CD5D5" w14:textId="77777777" w:rsidR="003C2935" w:rsidRDefault="003C2935">
            <w:pPr>
              <w:spacing w:before="0" w:after="0" w:line="240" w:lineRule="auto"/>
              <w:jc w:val="right"/>
            </w:pPr>
            <w:r>
              <w:t>4.387.114</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04243429" w14:textId="77777777" w:rsidR="003C2935" w:rsidRDefault="003C2935">
            <w:pPr>
              <w:spacing w:before="0" w:after="0" w:line="240" w:lineRule="auto"/>
              <w:jc w:val="right"/>
            </w:pPr>
            <w:r>
              <w:t>4.085.390</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7BF1ABF5" w14:textId="77777777" w:rsidR="003C2935" w:rsidRDefault="003C2935">
            <w:pPr>
              <w:spacing w:before="0" w:after="0" w:line="240" w:lineRule="auto"/>
              <w:jc w:val="right"/>
            </w:pPr>
            <w:r>
              <w:t>6.654.670</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015ED683" w14:textId="77777777" w:rsidR="003C2935" w:rsidRDefault="003C2935">
            <w:pPr>
              <w:spacing w:before="0" w:after="0" w:line="240" w:lineRule="auto"/>
              <w:jc w:val="right"/>
            </w:pPr>
            <w:r>
              <w:t>-3,5%</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2E58007C" w14:textId="77777777" w:rsidR="003C2935" w:rsidRDefault="003C2935">
            <w:pPr>
              <w:spacing w:before="0" w:after="0" w:line="240" w:lineRule="auto"/>
              <w:jc w:val="right"/>
            </w:pPr>
            <w:r>
              <w:t>5,0%</w:t>
            </w:r>
          </w:p>
        </w:tc>
      </w:tr>
      <w:tr w:rsidR="003C2935" w14:paraId="4672AE79"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798788D6"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Strojna</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5F996CCB" w14:textId="77777777" w:rsidR="003C2935" w:rsidRDefault="003C2935">
            <w:pPr>
              <w:spacing w:before="0" w:after="0" w:line="240" w:lineRule="auto"/>
              <w:jc w:val="right"/>
            </w:pPr>
            <w:r>
              <w:t>6.977.697</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1BEF9CDD" w14:textId="77777777" w:rsidR="003C2935" w:rsidRDefault="003C2935">
            <w:pPr>
              <w:spacing w:before="0" w:after="0" w:line="240" w:lineRule="auto"/>
              <w:jc w:val="right"/>
            </w:pPr>
            <w:r>
              <w:t>6.363.834</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52617A17" w14:textId="77777777" w:rsidR="003C2935" w:rsidRDefault="003C2935">
            <w:pPr>
              <w:spacing w:before="0" w:after="0" w:line="240" w:lineRule="auto"/>
              <w:jc w:val="right"/>
            </w:pPr>
            <w:r>
              <w:t>9.420.029</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009599DA" w14:textId="77777777" w:rsidR="003C2935" w:rsidRDefault="003C2935">
            <w:pPr>
              <w:spacing w:before="0" w:after="0" w:line="240" w:lineRule="auto"/>
              <w:jc w:val="right"/>
            </w:pPr>
            <w:r>
              <w:t>-4,5%</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063BFD57" w14:textId="77777777" w:rsidR="003C2935" w:rsidRDefault="003C2935">
            <w:pPr>
              <w:spacing w:before="0" w:after="0" w:line="240" w:lineRule="auto"/>
              <w:jc w:val="right"/>
            </w:pPr>
            <w:r>
              <w:t>4,0%</w:t>
            </w:r>
          </w:p>
        </w:tc>
      </w:tr>
      <w:tr w:rsidR="003C2935" w14:paraId="0CD3D034"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389C4250"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Druge</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5DA8D64B" w14:textId="77777777" w:rsidR="003C2935" w:rsidRDefault="003C2935">
            <w:pPr>
              <w:spacing w:before="0" w:after="0" w:line="240" w:lineRule="auto"/>
              <w:jc w:val="right"/>
            </w:pPr>
            <w:r>
              <w:t>483.629</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3131F648" w14:textId="77777777" w:rsidR="003C2935" w:rsidRDefault="003C2935">
            <w:pPr>
              <w:spacing w:before="0" w:after="0" w:line="240" w:lineRule="auto"/>
              <w:jc w:val="right"/>
            </w:pPr>
            <w:r>
              <w:t>459.750</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64C1E55F" w14:textId="77777777" w:rsidR="003C2935" w:rsidRDefault="003C2935">
            <w:pPr>
              <w:spacing w:before="0" w:after="0" w:line="240" w:lineRule="auto"/>
              <w:jc w:val="right"/>
            </w:pPr>
            <w:r>
              <w:t>648.523</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7D8956B5" w14:textId="77777777" w:rsidR="003C2935" w:rsidRDefault="003C2935">
            <w:pPr>
              <w:spacing w:before="0" w:after="0" w:line="240" w:lineRule="auto"/>
              <w:jc w:val="right"/>
            </w:pPr>
            <w:r>
              <w:t>-2,5%</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18D05EDC" w14:textId="77777777" w:rsidR="003C2935" w:rsidRDefault="003C2935">
            <w:pPr>
              <w:spacing w:before="0" w:after="0" w:line="240" w:lineRule="auto"/>
              <w:jc w:val="right"/>
            </w:pPr>
            <w:r>
              <w:t>3,5%</w:t>
            </w:r>
          </w:p>
        </w:tc>
      </w:tr>
    </w:tbl>
    <w:p w14:paraId="34E709CC" w14:textId="77777777" w:rsidR="003C2935" w:rsidRDefault="003C2935" w:rsidP="003C2935">
      <w:pPr>
        <w:jc w:val="both"/>
      </w:pPr>
      <w:r>
        <w:rPr>
          <w:b/>
          <w:bCs/>
        </w:rPr>
        <w:t>Prodaja</w:t>
      </w:r>
      <w:r>
        <w:t xml:space="preserve"> predelovalne dejavnosti bo leta 2020 upadla na okoli 30 mrd EUR, kar bo 1,3 mrd EUR manj kot leta 2018. Med dejavnostmi, kjer bo rast prisotna, bosta le prehrambna in kemična industrija. Rast pri prvi bo izvirala iz ugodnih trendov, ki so bili posledica COVID-19 (rast cen hrane, povečanje državnih zalog in zalog gospodinjstev), v drugi pa predvsem iz segmenta kemične industrije na področju generičnih zdravil. Močneje bodo prizadete ciklične dejavnosti</w:t>
      </w:r>
      <w:r w:rsidR="005D072E">
        <w:t>,</w:t>
      </w:r>
      <w:r>
        <w:t xml:space="preserve"> kot so tekstilna, lesna, kovinska, strojna in elektro industrija. </w:t>
      </w:r>
    </w:p>
    <w:p w14:paraId="1E6FA5B6" w14:textId="77777777" w:rsidR="003C2935" w:rsidRDefault="003C2935" w:rsidP="003C2935">
      <w:pPr>
        <w:spacing w:before="20"/>
        <w:jc w:val="both"/>
        <w:rPr>
          <w:i/>
        </w:rPr>
      </w:pPr>
      <w:r>
        <w:rPr>
          <w:i/>
        </w:rPr>
        <w:t>Vira: Statistični urad RS, napoved Analitike GZS</w:t>
      </w:r>
    </w:p>
    <w:p w14:paraId="3C34FF59" w14:textId="7821C3B3" w:rsidR="003C2935" w:rsidRDefault="003C2935" w:rsidP="003C2935">
      <w:pPr>
        <w:jc w:val="both"/>
      </w:pPr>
      <w:r>
        <w:t>V drugem, 10-letnem obdobju</w:t>
      </w:r>
      <w:r w:rsidR="001056F1">
        <w:t>,</w:t>
      </w:r>
      <w:r>
        <w:t xml:space="preserve"> ocenjujemo, da bo povprečna rast prodaje znašala 3,4 % letno, pri čemer bo nadpovprečna v elektro, strojni in kemični industriji. V dejavnostih, ki so podvržene </w:t>
      </w:r>
      <w:r>
        <w:lastRenderedPageBreak/>
        <w:t>globalni konkurenci ter kjer Slovenija uživa šibkejše konkurenčne prednosti (tekstilna, papirna industrija), bo rast prodaje podpovprečna. V panogah, ki temeljijo na naravnih virih (les)</w:t>
      </w:r>
      <w:r w:rsidR="00CC4E48">
        <w:t>,</w:t>
      </w:r>
      <w:r>
        <w:t xml:space="preserve"> pa bomo z ukrepi za vzpostavljanje pogojev za razvoj panoge dosegli višjo rast od trenutno predvidene. Celotna prodaja bo v</w:t>
      </w:r>
      <w:r w:rsidR="0013343C">
        <w:t xml:space="preserve"> 2030 za</w:t>
      </w:r>
      <w:r>
        <w:t xml:space="preserve"> 12 mrd EUR</w:t>
      </w:r>
      <w:r w:rsidR="0013343C">
        <w:t xml:space="preserve"> višja kot v letu 2020 in bo narasla na</w:t>
      </w:r>
      <w:r>
        <w:t xml:space="preserve"> 41,8 mrd EUR. </w:t>
      </w:r>
    </w:p>
    <w:p w14:paraId="425D951A" w14:textId="77777777" w:rsidR="00155719" w:rsidRDefault="00155719" w:rsidP="003C2935">
      <w:pPr>
        <w:jc w:val="both"/>
      </w:pPr>
    </w:p>
    <w:tbl>
      <w:tblPr>
        <w:tblStyle w:val="Tabelamrea"/>
        <w:tblW w:w="0" w:type="auto"/>
        <w:tblLook w:val="04A0" w:firstRow="1" w:lastRow="0" w:firstColumn="1" w:lastColumn="0" w:noHBand="0" w:noVBand="1"/>
      </w:tblPr>
      <w:tblGrid>
        <w:gridCol w:w="9062"/>
      </w:tblGrid>
      <w:tr w:rsidR="0015542F" w14:paraId="1CF40615" w14:textId="77777777" w:rsidTr="008D2B46">
        <w:tc>
          <w:tcPr>
            <w:tcW w:w="9062" w:type="dxa"/>
            <w:shd w:val="clear" w:color="auto" w:fill="BADB7D" w:themeFill="accent2" w:themeFillTint="99"/>
          </w:tcPr>
          <w:p w14:paraId="5834D711" w14:textId="77777777" w:rsidR="0015542F" w:rsidRDefault="0015542F" w:rsidP="0015542F">
            <w:pPr>
              <w:rPr>
                <w:b/>
                <w:bCs/>
              </w:rPr>
            </w:pPr>
            <w:r w:rsidRPr="00333C8E">
              <w:rPr>
                <w:b/>
                <w:bCs/>
              </w:rPr>
              <w:t>Primer strukturnih razlik znotraj dejavnosti: proizvodnja papirja in izdelkov iz papirja</w:t>
            </w:r>
          </w:p>
          <w:p w14:paraId="7E2B89EE" w14:textId="77777777" w:rsidR="0015542F" w:rsidRDefault="0015542F" w:rsidP="0015542F">
            <w:pPr>
              <w:rPr>
                <w:b/>
                <w:bCs/>
              </w:rPr>
            </w:pPr>
          </w:p>
          <w:p w14:paraId="675758BC" w14:textId="76950913" w:rsidR="0015542F" w:rsidRDefault="0015542F" w:rsidP="00636607">
            <w:pPr>
              <w:jc w:val="both"/>
            </w:pPr>
            <w:r w:rsidRPr="00333C8E">
              <w:t>Proizvodnja papirja in papirnih i</w:t>
            </w:r>
            <w:r w:rsidR="00780F73">
              <w:t>z</w:t>
            </w:r>
            <w:r w:rsidRPr="00333C8E">
              <w:t>delkov</w:t>
            </w:r>
            <w:r>
              <w:t xml:space="preserve"> je ločena na proizvodnjo vlaknin, papirja in kartona (sem spadajo vse večje papirne družbe) in pa na proizvodnjo izdelkov iz teh materialov. V drug</w:t>
            </w:r>
            <w:r w:rsidR="00CC4E48">
              <w:t>o</w:t>
            </w:r>
            <w:r>
              <w:t xml:space="preserve"> skupino spadajo družbe, ki se ukvarjajo pretežno s tiskom, ki je področje v dejavnosti, kjer bo prisotno poslovno prestrukturiranje v smeri zviševanje produktivnosti, tudi z zniževanjem</w:t>
            </w:r>
            <w:r w:rsidR="00CC4E48">
              <w:t xml:space="preserve"> števila </w:t>
            </w:r>
            <w:r>
              <w:t xml:space="preserve"> zaposlenih. Te družbe so podvržene večji mednarodni konkurenci, tudi iz azijskih držav. Produktivnost dela v prvi dejavnosti znaša na osnovi podatkov </w:t>
            </w:r>
            <w:proofErr w:type="spellStart"/>
            <w:r>
              <w:t>Ajpes</w:t>
            </w:r>
            <w:r w:rsidR="001056F1">
              <w:t>a</w:t>
            </w:r>
            <w:proofErr w:type="spellEnd"/>
            <w:r>
              <w:t xml:space="preserve"> pri gospodarskih družbah prek</w:t>
            </w:r>
            <w:r w:rsidR="00CC4E48">
              <w:t>o</w:t>
            </w:r>
            <w:r>
              <w:t xml:space="preserve"> 70</w:t>
            </w:r>
            <w:r w:rsidR="00CC4E48">
              <w:t>.000</w:t>
            </w:r>
            <w:r>
              <w:t xml:space="preserve"> EUR (2019), v drugi pa 38</w:t>
            </w:r>
            <w:r w:rsidR="00CC4E48">
              <w:t>.000</w:t>
            </w:r>
            <w:r>
              <w:t xml:space="preserve"> EUR. Prodaja v prvi dejavnosti je znašala 60 % panožne v 2019, dodana vrednost pa 50 %. V napovedovalnem obdobju tako ocenjujemo, da se bo znotraj papirne industrije segment papirnic krepil po pomenu, segment tiska pa bo beležil nižjo rast poslovnih kategorij, pri nekaterih celo negativno (zaposlovanje). </w:t>
            </w:r>
          </w:p>
        </w:tc>
      </w:tr>
    </w:tbl>
    <w:p w14:paraId="589A08AD" w14:textId="77777777" w:rsidR="001A6A69" w:rsidRDefault="001A6A69" w:rsidP="003C2935">
      <w:pPr>
        <w:jc w:val="both"/>
        <w:rPr>
          <w:b/>
          <w:bCs/>
        </w:rPr>
      </w:pPr>
    </w:p>
    <w:p w14:paraId="284BC5C4" w14:textId="77777777" w:rsidR="003C2935" w:rsidRDefault="003C2935" w:rsidP="003C2935">
      <w:pPr>
        <w:jc w:val="both"/>
        <w:rPr>
          <w:b/>
          <w:bCs/>
        </w:rPr>
      </w:pPr>
      <w:r>
        <w:rPr>
          <w:b/>
          <w:bCs/>
        </w:rPr>
        <w:t>Izvoz</w:t>
      </w:r>
    </w:p>
    <w:p w14:paraId="7DEEBFC6" w14:textId="477AB301" w:rsidR="003C2935" w:rsidRDefault="003C2935" w:rsidP="003C2935">
      <w:pPr>
        <w:jc w:val="both"/>
      </w:pPr>
      <w:r>
        <w:t xml:space="preserve">Epidemija COVID-19 bo v večji meri vplivala na vrednostni padec izvoza v 2019-2020 kot pa na znižanje prodaje na domačem trgu. Posledično naj bi se izvoz predelovalne dejavnosti v 2020 znižal za 1,1 mrd EUR glede na leto 2018. Kasnejša rast v naslednjem 10-letnem obdobju (3,7 %) naj bi prispevala </w:t>
      </w:r>
      <w:r w:rsidR="009C55C9">
        <w:t xml:space="preserve">h </w:t>
      </w:r>
      <w:r>
        <w:t>krepitvi izvoza na okoli 30 mrd EUR do leta 2030. Delež izvoza v celotni prodaji naj bi se povišal na 71 % (70 % v 2018). Izvoz naj bi najhitreje (nominalno gledano) naraščal v strojni, elektro in kemični industriji, ki naj bi skupaj prispevala kar k 75 % celotnega povišanja izvoza v obdobju 2021-2030 (+4,8 mrd EUR). Najbolj naj bi se okrepila izvozna usmerjenost v lesni (</w:t>
      </w:r>
      <w:r w:rsidR="007F7734">
        <w:t>s</w:t>
      </w:r>
      <w:r>
        <w:t xml:space="preserve"> 55 na 58 %) in kemi</w:t>
      </w:r>
      <w:r w:rsidR="009C55C9">
        <w:t>čn</w:t>
      </w:r>
      <w:r>
        <w:t xml:space="preserve">i industriji (z 79 % na 81 %). </w:t>
      </w:r>
    </w:p>
    <w:tbl>
      <w:tblPr>
        <w:tblW w:w="5000" w:type="pct"/>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tblBorders>
        <w:tblLook w:val="04A0" w:firstRow="1" w:lastRow="0" w:firstColumn="1" w:lastColumn="0" w:noHBand="0" w:noVBand="1"/>
      </w:tblPr>
      <w:tblGrid>
        <w:gridCol w:w="2135"/>
        <w:gridCol w:w="1432"/>
        <w:gridCol w:w="1432"/>
        <w:gridCol w:w="1432"/>
        <w:gridCol w:w="1432"/>
        <w:gridCol w:w="1425"/>
      </w:tblGrid>
      <w:tr w:rsidR="003C2935" w14:paraId="4462DDC0" w14:textId="77777777" w:rsidTr="003C2935">
        <w:trPr>
          <w:trHeight w:val="722"/>
        </w:trPr>
        <w:tc>
          <w:tcPr>
            <w:tcW w:w="1149" w:type="pct"/>
            <w:tcBorders>
              <w:top w:val="single" w:sz="4" w:space="0" w:color="8AB833" w:themeColor="accent2"/>
              <w:left w:val="single" w:sz="4" w:space="0" w:color="8AB833" w:themeColor="accent2"/>
              <w:bottom w:val="single" w:sz="4" w:space="0" w:color="8AB833" w:themeColor="accent2"/>
              <w:right w:val="nil"/>
            </w:tcBorders>
            <w:shd w:val="clear" w:color="auto" w:fill="8AB833" w:themeFill="accent2"/>
            <w:vAlign w:val="center"/>
            <w:hideMark/>
          </w:tcPr>
          <w:p w14:paraId="4B400B63" w14:textId="77777777" w:rsidR="003C2935" w:rsidRDefault="003C2935">
            <w:pPr>
              <w:spacing w:before="0" w:after="0" w:line="240" w:lineRule="auto"/>
              <w:rPr>
                <w:rFonts w:asciiTheme="majorHAnsi" w:hAnsiTheme="majorHAnsi"/>
                <w:b/>
                <w:bCs/>
                <w:color w:val="FFFFFF" w:themeColor="background1"/>
              </w:rPr>
            </w:pPr>
            <w:r>
              <w:rPr>
                <w:rFonts w:asciiTheme="majorHAnsi" w:hAnsiTheme="majorHAnsi"/>
                <w:b/>
                <w:bCs/>
                <w:color w:val="FFFFFF" w:themeColor="background1"/>
              </w:rPr>
              <w:t>Ključne skupine predelovalnih dejavnosti</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7301A390"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Izvoz, 2018 (000 EUR)</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20ECB9E9"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Izvoz, 2020 (000 EUR)</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34A4D704"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Izvoz, 2030 (000 EUR)</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32D99736" w14:textId="5857ECB4" w:rsidR="003C2935" w:rsidRDefault="00780F73">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L</w:t>
            </w:r>
            <w:r w:rsidR="003C2935">
              <w:rPr>
                <w:rFonts w:asciiTheme="majorHAnsi" w:hAnsiTheme="majorHAnsi"/>
                <w:b/>
                <w:bCs/>
                <w:color w:val="FFFFFF" w:themeColor="background1"/>
              </w:rPr>
              <w:t xml:space="preserve">etna sprememba izvoza </w:t>
            </w:r>
            <w:r>
              <w:rPr>
                <w:rFonts w:asciiTheme="majorHAnsi" w:hAnsiTheme="majorHAnsi"/>
                <w:b/>
                <w:bCs/>
                <w:color w:val="FFFFFF" w:themeColor="background1"/>
              </w:rPr>
              <w:t xml:space="preserve">v % </w:t>
            </w:r>
            <w:r w:rsidR="003C2935">
              <w:rPr>
                <w:rFonts w:asciiTheme="majorHAnsi" w:hAnsiTheme="majorHAnsi"/>
                <w:b/>
                <w:bCs/>
                <w:color w:val="FFFFFF" w:themeColor="background1"/>
              </w:rPr>
              <w:t>2019-2020</w:t>
            </w:r>
          </w:p>
        </w:tc>
        <w:tc>
          <w:tcPr>
            <w:tcW w:w="767" w:type="pct"/>
            <w:tcBorders>
              <w:top w:val="single" w:sz="4" w:space="0" w:color="8AB833" w:themeColor="accent2"/>
              <w:left w:val="nil"/>
              <w:bottom w:val="single" w:sz="4" w:space="0" w:color="8AB833" w:themeColor="accent2"/>
              <w:right w:val="single" w:sz="4" w:space="0" w:color="8AB833" w:themeColor="accent2"/>
            </w:tcBorders>
            <w:shd w:val="clear" w:color="auto" w:fill="8AB833" w:themeFill="accent2"/>
            <w:vAlign w:val="center"/>
            <w:hideMark/>
          </w:tcPr>
          <w:p w14:paraId="608AB587" w14:textId="00277CB6" w:rsidR="003C2935" w:rsidRDefault="00780F73">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L</w:t>
            </w:r>
            <w:r w:rsidR="003C2935">
              <w:rPr>
                <w:rFonts w:asciiTheme="majorHAnsi" w:hAnsiTheme="majorHAnsi"/>
                <w:b/>
                <w:bCs/>
                <w:color w:val="FFFFFF" w:themeColor="background1"/>
              </w:rPr>
              <w:t>etna sprememba izvoza</w:t>
            </w:r>
            <w:r>
              <w:rPr>
                <w:rFonts w:asciiTheme="majorHAnsi" w:hAnsiTheme="majorHAnsi"/>
                <w:b/>
                <w:bCs/>
                <w:color w:val="FFFFFF" w:themeColor="background1"/>
              </w:rPr>
              <w:t xml:space="preserve"> v % </w:t>
            </w:r>
            <w:r w:rsidR="003C2935">
              <w:rPr>
                <w:rFonts w:asciiTheme="majorHAnsi" w:hAnsiTheme="majorHAnsi"/>
                <w:b/>
                <w:bCs/>
                <w:color w:val="FFFFFF" w:themeColor="background1"/>
              </w:rPr>
              <w:t xml:space="preserve"> 2021-2030</w:t>
            </w:r>
          </w:p>
        </w:tc>
      </w:tr>
      <w:tr w:rsidR="003C2935" w14:paraId="627A63DE"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1FE1E332"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PREDEL. DEJ. SKUPAJ</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37D5C3D7" w14:textId="77777777" w:rsidR="003C2935" w:rsidRDefault="003C2935">
            <w:pPr>
              <w:spacing w:before="0" w:after="0" w:line="240" w:lineRule="auto"/>
              <w:jc w:val="right"/>
              <w:rPr>
                <w:rFonts w:asciiTheme="majorHAnsi" w:hAnsiTheme="majorHAnsi"/>
                <w:b/>
              </w:rPr>
            </w:pPr>
            <w:r>
              <w:rPr>
                <w:b/>
              </w:rPr>
              <w:t>21.764.371</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1EC6DE4F" w14:textId="77777777" w:rsidR="003C2935" w:rsidRDefault="003C2935">
            <w:pPr>
              <w:spacing w:before="0" w:after="0" w:line="240" w:lineRule="auto"/>
              <w:jc w:val="right"/>
              <w:rPr>
                <w:rFonts w:asciiTheme="majorHAnsi" w:hAnsiTheme="majorHAnsi"/>
                <w:b/>
              </w:rPr>
            </w:pPr>
            <w:r>
              <w:rPr>
                <w:b/>
              </w:rPr>
              <w:t>20.666.631</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hideMark/>
          </w:tcPr>
          <w:p w14:paraId="4E4B2FF3" w14:textId="77777777" w:rsidR="003C2935" w:rsidRDefault="003C2935">
            <w:pPr>
              <w:spacing w:before="0" w:after="0" w:line="240" w:lineRule="auto"/>
              <w:jc w:val="right"/>
              <w:rPr>
                <w:rFonts w:asciiTheme="majorHAnsi" w:hAnsiTheme="majorHAnsi"/>
                <w:b/>
              </w:rPr>
            </w:pPr>
            <w:r>
              <w:rPr>
                <w:b/>
              </w:rPr>
              <w:t>29.804.170</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357B6069" w14:textId="77777777" w:rsidR="003C2935" w:rsidRDefault="003C2935">
            <w:pPr>
              <w:spacing w:before="0" w:after="0" w:line="240" w:lineRule="auto"/>
              <w:jc w:val="right"/>
              <w:rPr>
                <w:rFonts w:asciiTheme="majorHAnsi" w:hAnsiTheme="majorHAnsi"/>
                <w:b/>
              </w:rPr>
            </w:pPr>
            <w:r>
              <w:rPr>
                <w:b/>
              </w:rPr>
              <w:t>-2,6%</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hideMark/>
          </w:tcPr>
          <w:p w14:paraId="592E5B88" w14:textId="77777777" w:rsidR="003C2935" w:rsidRDefault="003C2935">
            <w:pPr>
              <w:spacing w:before="0" w:after="0" w:line="240" w:lineRule="auto"/>
              <w:jc w:val="right"/>
              <w:rPr>
                <w:rFonts w:asciiTheme="majorHAnsi" w:hAnsiTheme="majorHAnsi"/>
                <w:b/>
              </w:rPr>
            </w:pPr>
            <w:r>
              <w:rPr>
                <w:b/>
              </w:rPr>
              <w:t>3,7%</w:t>
            </w:r>
          </w:p>
        </w:tc>
      </w:tr>
      <w:tr w:rsidR="003C2935" w14:paraId="2852B947"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0C563855"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Prehrambna</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62BBD1F2" w14:textId="77777777" w:rsidR="003C2935" w:rsidRDefault="003C2935">
            <w:pPr>
              <w:spacing w:before="0" w:after="0" w:line="240" w:lineRule="auto"/>
              <w:jc w:val="right"/>
              <w:rPr>
                <w:rFonts w:asciiTheme="majorHAnsi" w:hAnsiTheme="majorHAnsi"/>
              </w:rPr>
            </w:pPr>
            <w:r>
              <w:t>630.020</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5A720C2D" w14:textId="77777777" w:rsidR="003C2935" w:rsidRDefault="003C2935">
            <w:pPr>
              <w:spacing w:before="0" w:after="0" w:line="240" w:lineRule="auto"/>
              <w:jc w:val="right"/>
              <w:rPr>
                <w:rFonts w:asciiTheme="majorHAnsi" w:hAnsiTheme="majorHAnsi"/>
              </w:rPr>
            </w:pPr>
            <w:r>
              <w:t>642.683</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6449FD53" w14:textId="77777777" w:rsidR="003C2935" w:rsidRDefault="003C2935">
            <w:pPr>
              <w:spacing w:before="0" w:after="0" w:line="240" w:lineRule="auto"/>
              <w:jc w:val="right"/>
              <w:rPr>
                <w:rFonts w:asciiTheme="majorHAnsi" w:hAnsiTheme="majorHAnsi"/>
              </w:rPr>
            </w:pPr>
            <w:r>
              <w:t>830.751</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05885756" w14:textId="77777777" w:rsidR="003C2935" w:rsidRDefault="003C2935">
            <w:pPr>
              <w:spacing w:before="0" w:after="0" w:line="240" w:lineRule="auto"/>
              <w:jc w:val="right"/>
              <w:rPr>
                <w:rFonts w:asciiTheme="majorHAnsi" w:hAnsiTheme="majorHAnsi"/>
              </w:rPr>
            </w:pPr>
            <w:r>
              <w:t>1,0%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5A8B2D39" w14:textId="77777777" w:rsidR="003C2935" w:rsidRDefault="003C2935">
            <w:pPr>
              <w:spacing w:before="0" w:after="0" w:line="240" w:lineRule="auto"/>
              <w:jc w:val="right"/>
              <w:rPr>
                <w:rFonts w:asciiTheme="majorHAnsi" w:hAnsiTheme="majorHAnsi"/>
              </w:rPr>
            </w:pPr>
            <w:r>
              <w:t>2,6%</w:t>
            </w:r>
          </w:p>
        </w:tc>
      </w:tr>
      <w:tr w:rsidR="003C2935" w14:paraId="2CBD4D25"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089A9CE8"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Tekstilna</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2E822807" w14:textId="77777777" w:rsidR="003C2935" w:rsidRDefault="003C2935">
            <w:pPr>
              <w:spacing w:before="0" w:after="0" w:line="240" w:lineRule="auto"/>
              <w:jc w:val="right"/>
              <w:rPr>
                <w:rFonts w:asciiTheme="majorHAnsi" w:hAnsiTheme="majorHAnsi"/>
              </w:rPr>
            </w:pPr>
            <w:r>
              <w:t>661.489</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524673C7" w14:textId="77777777" w:rsidR="003C2935" w:rsidRDefault="003C2935">
            <w:pPr>
              <w:spacing w:before="0" w:after="0" w:line="240" w:lineRule="auto"/>
              <w:jc w:val="right"/>
              <w:rPr>
                <w:rFonts w:asciiTheme="majorHAnsi" w:hAnsiTheme="majorHAnsi"/>
              </w:rPr>
            </w:pPr>
            <w:r>
              <w:t>603.294</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73D46DF6" w14:textId="77777777" w:rsidR="003C2935" w:rsidRDefault="003C2935">
            <w:pPr>
              <w:spacing w:before="0" w:after="0" w:line="240" w:lineRule="auto"/>
              <w:jc w:val="right"/>
              <w:rPr>
                <w:rFonts w:asciiTheme="majorHAnsi" w:hAnsiTheme="majorHAnsi"/>
              </w:rPr>
            </w:pPr>
            <w:r>
              <w:t>749.960</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378B59F3" w14:textId="77777777" w:rsidR="003C2935" w:rsidRDefault="003C2935">
            <w:pPr>
              <w:spacing w:before="0" w:after="0" w:line="240" w:lineRule="auto"/>
              <w:jc w:val="right"/>
              <w:rPr>
                <w:rFonts w:asciiTheme="majorHAnsi" w:hAnsiTheme="majorHAnsi"/>
              </w:rPr>
            </w:pPr>
            <w:r>
              <w:t>-4,5%</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7806822F" w14:textId="77777777" w:rsidR="003C2935" w:rsidRDefault="003C2935">
            <w:pPr>
              <w:spacing w:before="0" w:after="0" w:line="240" w:lineRule="auto"/>
              <w:jc w:val="right"/>
              <w:rPr>
                <w:rFonts w:asciiTheme="majorHAnsi" w:hAnsiTheme="majorHAnsi"/>
              </w:rPr>
            </w:pPr>
            <w:r>
              <w:t>2,2%</w:t>
            </w:r>
          </w:p>
        </w:tc>
      </w:tr>
      <w:tr w:rsidR="003C2935" w14:paraId="2F2269FC"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754558E2"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Lesna</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006FCB25" w14:textId="77777777" w:rsidR="003C2935" w:rsidRDefault="003C2935">
            <w:pPr>
              <w:spacing w:before="0" w:after="0" w:line="240" w:lineRule="auto"/>
              <w:jc w:val="right"/>
              <w:rPr>
                <w:rFonts w:asciiTheme="majorHAnsi" w:hAnsiTheme="majorHAnsi"/>
              </w:rPr>
            </w:pPr>
            <w:r>
              <w:t>777.082</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5BD0F36D" w14:textId="77777777" w:rsidR="003C2935" w:rsidRDefault="003C2935">
            <w:pPr>
              <w:spacing w:before="0" w:after="0" w:line="240" w:lineRule="auto"/>
              <w:jc w:val="right"/>
              <w:rPr>
                <w:rFonts w:asciiTheme="majorHAnsi" w:hAnsiTheme="majorHAnsi"/>
              </w:rPr>
            </w:pPr>
            <w:r>
              <w:t>708.718</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7A178426" w14:textId="77777777" w:rsidR="003C2935" w:rsidRDefault="003C2935">
            <w:pPr>
              <w:spacing w:before="0" w:after="0" w:line="240" w:lineRule="auto"/>
              <w:jc w:val="right"/>
              <w:rPr>
                <w:rFonts w:asciiTheme="majorHAnsi" w:hAnsiTheme="majorHAnsi"/>
              </w:rPr>
            </w:pPr>
            <w:r>
              <w:t>916.109</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73358C27" w14:textId="77777777" w:rsidR="003C2935" w:rsidRDefault="003C2935">
            <w:pPr>
              <w:spacing w:before="0" w:after="0" w:line="240" w:lineRule="auto"/>
              <w:jc w:val="right"/>
              <w:rPr>
                <w:rFonts w:asciiTheme="majorHAnsi" w:hAnsiTheme="majorHAnsi"/>
              </w:rPr>
            </w:pPr>
            <w:r>
              <w:t>-4,5%</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684EB92A" w14:textId="77777777" w:rsidR="003C2935" w:rsidRDefault="003C2935">
            <w:pPr>
              <w:spacing w:before="0" w:after="0" w:line="240" w:lineRule="auto"/>
              <w:jc w:val="right"/>
              <w:rPr>
                <w:rFonts w:asciiTheme="majorHAnsi" w:hAnsiTheme="majorHAnsi"/>
              </w:rPr>
            </w:pPr>
            <w:r>
              <w:t>2,6%</w:t>
            </w:r>
          </w:p>
        </w:tc>
      </w:tr>
      <w:tr w:rsidR="003C2935" w14:paraId="080A7C29"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5648A756"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Papirna</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3C487053" w14:textId="77777777" w:rsidR="003C2935" w:rsidRDefault="003C2935">
            <w:pPr>
              <w:spacing w:before="0" w:after="0" w:line="240" w:lineRule="auto"/>
              <w:jc w:val="right"/>
              <w:rPr>
                <w:rFonts w:asciiTheme="majorHAnsi" w:hAnsiTheme="majorHAnsi"/>
              </w:rPr>
            </w:pPr>
            <w:r>
              <w:t>743.025</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4209F113" w14:textId="77777777" w:rsidR="003C2935" w:rsidRDefault="003C2935">
            <w:pPr>
              <w:spacing w:before="0" w:after="0" w:line="240" w:lineRule="auto"/>
              <w:jc w:val="right"/>
              <w:rPr>
                <w:rFonts w:asciiTheme="majorHAnsi" w:hAnsiTheme="majorHAnsi"/>
              </w:rPr>
            </w:pPr>
            <w:r>
              <w:t>706.338</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12724657" w14:textId="77777777" w:rsidR="003C2935" w:rsidRDefault="003C2935">
            <w:pPr>
              <w:spacing w:before="0" w:after="0" w:line="240" w:lineRule="auto"/>
              <w:jc w:val="right"/>
              <w:rPr>
                <w:rFonts w:asciiTheme="majorHAnsi" w:hAnsiTheme="majorHAnsi"/>
              </w:rPr>
            </w:pPr>
            <w:r>
              <w:t>878.055</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45012251" w14:textId="77777777" w:rsidR="003C2935" w:rsidRDefault="003C2935">
            <w:pPr>
              <w:spacing w:before="0" w:after="0" w:line="240" w:lineRule="auto"/>
              <w:jc w:val="right"/>
              <w:rPr>
                <w:rFonts w:asciiTheme="majorHAnsi" w:hAnsiTheme="majorHAnsi"/>
              </w:rPr>
            </w:pPr>
            <w:r>
              <w:t>-2,5%</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578E456E" w14:textId="77777777" w:rsidR="003C2935" w:rsidRDefault="003C2935">
            <w:pPr>
              <w:spacing w:before="0" w:after="0" w:line="240" w:lineRule="auto"/>
              <w:jc w:val="right"/>
              <w:rPr>
                <w:rFonts w:asciiTheme="majorHAnsi" w:hAnsiTheme="majorHAnsi"/>
              </w:rPr>
            </w:pPr>
            <w:r>
              <w:t>2,2%</w:t>
            </w:r>
          </w:p>
        </w:tc>
      </w:tr>
      <w:tr w:rsidR="003C2935" w14:paraId="04776276"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1549D34A"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Kemična</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4C3B7FAB" w14:textId="77777777" w:rsidR="003C2935" w:rsidRDefault="003C2935">
            <w:pPr>
              <w:spacing w:before="0" w:after="0" w:line="240" w:lineRule="auto"/>
              <w:jc w:val="right"/>
              <w:rPr>
                <w:rFonts w:asciiTheme="majorHAnsi" w:hAnsiTheme="majorHAnsi"/>
              </w:rPr>
            </w:pPr>
            <w:r>
              <w:t>4.762.391</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219DAF65" w14:textId="77777777" w:rsidR="003C2935" w:rsidRDefault="003C2935">
            <w:pPr>
              <w:spacing w:before="0" w:after="0" w:line="240" w:lineRule="auto"/>
              <w:jc w:val="right"/>
              <w:rPr>
                <w:rFonts w:asciiTheme="majorHAnsi" w:hAnsiTheme="majorHAnsi"/>
              </w:rPr>
            </w:pPr>
            <w:r>
              <w:t>4.974.242</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395E7B3A" w14:textId="77777777" w:rsidR="003C2935" w:rsidRDefault="003C2935">
            <w:pPr>
              <w:spacing w:before="0" w:after="0" w:line="240" w:lineRule="auto"/>
              <w:jc w:val="right"/>
              <w:rPr>
                <w:rFonts w:asciiTheme="majorHAnsi" w:hAnsiTheme="majorHAnsi"/>
              </w:rPr>
            </w:pPr>
            <w:r>
              <w:t>7.084.749</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78AA291F" w14:textId="77777777" w:rsidR="003C2935" w:rsidRDefault="003C2935">
            <w:pPr>
              <w:spacing w:before="0" w:after="0" w:line="240" w:lineRule="auto"/>
              <w:jc w:val="right"/>
              <w:rPr>
                <w:rFonts w:asciiTheme="majorHAnsi" w:hAnsiTheme="majorHAnsi"/>
              </w:rPr>
            </w:pPr>
            <w:r>
              <w:t>2,2%</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32F88E49" w14:textId="77777777" w:rsidR="003C2935" w:rsidRDefault="003C2935">
            <w:pPr>
              <w:spacing w:before="0" w:after="0" w:line="240" w:lineRule="auto"/>
              <w:jc w:val="right"/>
              <w:rPr>
                <w:rFonts w:asciiTheme="majorHAnsi" w:hAnsiTheme="majorHAnsi"/>
              </w:rPr>
            </w:pPr>
            <w:r>
              <w:t>3,6%</w:t>
            </w:r>
          </w:p>
        </w:tc>
      </w:tr>
      <w:tr w:rsidR="003C2935" w14:paraId="34CF3A2B"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7308F778"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Nekovinska</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3A0AB60C" w14:textId="77777777" w:rsidR="003C2935" w:rsidRDefault="003C2935">
            <w:pPr>
              <w:spacing w:before="0" w:after="0" w:line="240" w:lineRule="auto"/>
              <w:jc w:val="right"/>
              <w:rPr>
                <w:rFonts w:asciiTheme="majorHAnsi" w:hAnsiTheme="majorHAnsi"/>
              </w:rPr>
            </w:pPr>
            <w:r>
              <w:t>588.995</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47F6C326" w14:textId="77777777" w:rsidR="003C2935" w:rsidRDefault="003C2935">
            <w:pPr>
              <w:spacing w:before="0" w:after="0" w:line="240" w:lineRule="auto"/>
              <w:jc w:val="right"/>
              <w:rPr>
                <w:rFonts w:asciiTheme="majorHAnsi" w:hAnsiTheme="majorHAnsi"/>
              </w:rPr>
            </w:pPr>
            <w:r>
              <w:t>548.486</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60A96C02" w14:textId="77777777" w:rsidR="003C2935" w:rsidRDefault="003C2935">
            <w:pPr>
              <w:spacing w:before="0" w:after="0" w:line="240" w:lineRule="auto"/>
              <w:jc w:val="right"/>
              <w:rPr>
                <w:rFonts w:asciiTheme="majorHAnsi" w:hAnsiTheme="majorHAnsi"/>
              </w:rPr>
            </w:pPr>
            <w:r>
              <w:t>688.529</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5EA17572" w14:textId="77777777" w:rsidR="003C2935" w:rsidRDefault="003C2935">
            <w:pPr>
              <w:spacing w:before="0" w:after="0" w:line="240" w:lineRule="auto"/>
              <w:jc w:val="right"/>
              <w:rPr>
                <w:rFonts w:asciiTheme="majorHAnsi" w:hAnsiTheme="majorHAnsi"/>
              </w:rPr>
            </w:pPr>
            <w:r>
              <w:t>-3,5%</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732385C1" w14:textId="77777777" w:rsidR="003C2935" w:rsidRDefault="003C2935">
            <w:pPr>
              <w:spacing w:before="0" w:after="0" w:line="240" w:lineRule="auto"/>
              <w:jc w:val="right"/>
              <w:rPr>
                <w:rFonts w:asciiTheme="majorHAnsi" w:hAnsiTheme="majorHAnsi"/>
              </w:rPr>
            </w:pPr>
            <w:r>
              <w:t>2,3%</w:t>
            </w:r>
          </w:p>
        </w:tc>
      </w:tr>
      <w:tr w:rsidR="003C2935" w14:paraId="4B6E4916"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0CF7639C"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Kovinska</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09B4FEF0" w14:textId="77777777" w:rsidR="003C2935" w:rsidRDefault="003C2935">
            <w:pPr>
              <w:spacing w:before="0" w:after="0" w:line="240" w:lineRule="auto"/>
              <w:jc w:val="right"/>
              <w:rPr>
                <w:rFonts w:asciiTheme="majorHAnsi" w:hAnsiTheme="majorHAnsi"/>
              </w:rPr>
            </w:pPr>
            <w:r>
              <w:t>4.293.021</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7FA4F78E" w14:textId="77777777" w:rsidR="003C2935" w:rsidRDefault="003C2935">
            <w:pPr>
              <w:spacing w:before="0" w:after="0" w:line="240" w:lineRule="auto"/>
              <w:jc w:val="right"/>
              <w:rPr>
                <w:rFonts w:asciiTheme="majorHAnsi" w:hAnsiTheme="majorHAnsi"/>
              </w:rPr>
            </w:pPr>
            <w:r>
              <w:t>3.939.981</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76B9EF87" w14:textId="77777777" w:rsidR="003C2935" w:rsidRDefault="003C2935">
            <w:pPr>
              <w:spacing w:before="0" w:after="0" w:line="240" w:lineRule="auto"/>
              <w:jc w:val="right"/>
              <w:rPr>
                <w:rFonts w:asciiTheme="majorHAnsi" w:hAnsiTheme="majorHAnsi"/>
              </w:rPr>
            </w:pPr>
            <w:r>
              <w:t>5.295.004</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56271271" w14:textId="77777777" w:rsidR="003C2935" w:rsidRDefault="003C2935">
            <w:pPr>
              <w:spacing w:before="0" w:after="0" w:line="240" w:lineRule="auto"/>
              <w:jc w:val="right"/>
              <w:rPr>
                <w:rFonts w:asciiTheme="majorHAnsi" w:hAnsiTheme="majorHAnsi"/>
              </w:rPr>
            </w:pPr>
            <w:r>
              <w:t>-4,2%</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33FB5164" w14:textId="77777777" w:rsidR="003C2935" w:rsidRDefault="003C2935">
            <w:pPr>
              <w:spacing w:before="0" w:after="0" w:line="240" w:lineRule="auto"/>
              <w:jc w:val="right"/>
              <w:rPr>
                <w:rFonts w:asciiTheme="majorHAnsi" w:hAnsiTheme="majorHAnsi"/>
              </w:rPr>
            </w:pPr>
            <w:r>
              <w:t>3,0%</w:t>
            </w:r>
          </w:p>
        </w:tc>
      </w:tr>
      <w:tr w:rsidR="003C2935" w14:paraId="3658A210"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60F6B013"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Elektro</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72CDB5FF" w14:textId="77777777" w:rsidR="003C2935" w:rsidRDefault="003C2935">
            <w:pPr>
              <w:spacing w:before="0" w:after="0" w:line="240" w:lineRule="auto"/>
              <w:jc w:val="right"/>
              <w:rPr>
                <w:rFonts w:asciiTheme="majorHAnsi" w:hAnsiTheme="majorHAnsi"/>
              </w:rPr>
            </w:pPr>
            <w:r>
              <w:t>3.525.488</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58CBE375" w14:textId="77777777" w:rsidR="003C2935" w:rsidRDefault="003C2935">
            <w:pPr>
              <w:spacing w:before="0" w:after="0" w:line="240" w:lineRule="auto"/>
              <w:jc w:val="right"/>
              <w:rPr>
                <w:rFonts w:asciiTheme="majorHAnsi" w:hAnsiTheme="majorHAnsi"/>
              </w:rPr>
            </w:pPr>
            <w:r>
              <w:t>3.269.429</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20E1E808" w14:textId="77777777" w:rsidR="003C2935" w:rsidRDefault="003C2935">
            <w:pPr>
              <w:spacing w:before="0" w:after="0" w:line="240" w:lineRule="auto"/>
              <w:jc w:val="right"/>
              <w:rPr>
                <w:rFonts w:asciiTheme="majorHAnsi" w:hAnsiTheme="majorHAnsi"/>
              </w:rPr>
            </w:pPr>
            <w:r>
              <w:t>5.427.868</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158F3D4C" w14:textId="77777777" w:rsidR="003C2935" w:rsidRDefault="003C2935">
            <w:pPr>
              <w:spacing w:before="0" w:after="0" w:line="240" w:lineRule="auto"/>
              <w:jc w:val="right"/>
              <w:rPr>
                <w:rFonts w:asciiTheme="majorHAnsi" w:hAnsiTheme="majorHAnsi"/>
              </w:rPr>
            </w:pPr>
            <w:r>
              <w:t>-3,7%</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332F3D8A" w14:textId="77777777" w:rsidR="003C2935" w:rsidRDefault="003C2935">
            <w:pPr>
              <w:spacing w:before="0" w:after="0" w:line="240" w:lineRule="auto"/>
              <w:jc w:val="right"/>
              <w:rPr>
                <w:rFonts w:asciiTheme="majorHAnsi" w:hAnsiTheme="majorHAnsi"/>
              </w:rPr>
            </w:pPr>
            <w:r>
              <w:t>5,2%</w:t>
            </w:r>
          </w:p>
        </w:tc>
      </w:tr>
      <w:tr w:rsidR="003C2935" w14:paraId="6C6A8410"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014E0BDE"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Strojna</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2A2A0523" w14:textId="77777777" w:rsidR="003C2935" w:rsidRDefault="003C2935">
            <w:pPr>
              <w:spacing w:before="0" w:after="0" w:line="240" w:lineRule="auto"/>
              <w:jc w:val="right"/>
              <w:rPr>
                <w:rFonts w:asciiTheme="majorHAnsi" w:hAnsiTheme="majorHAnsi"/>
              </w:rPr>
            </w:pPr>
            <w:r>
              <w:t>5.479.127</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2913E01E" w14:textId="77777777" w:rsidR="003C2935" w:rsidRDefault="003C2935">
            <w:pPr>
              <w:spacing w:before="0" w:after="0" w:line="240" w:lineRule="auto"/>
              <w:jc w:val="right"/>
              <w:rPr>
                <w:rFonts w:asciiTheme="majorHAnsi" w:hAnsiTheme="majorHAnsi"/>
              </w:rPr>
            </w:pPr>
            <w:r>
              <w:t>4.986.641</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7A899A0D" w14:textId="77777777" w:rsidR="003C2935" w:rsidRDefault="003C2935">
            <w:pPr>
              <w:spacing w:before="0" w:after="0" w:line="240" w:lineRule="auto"/>
              <w:jc w:val="right"/>
              <w:rPr>
                <w:rFonts w:asciiTheme="majorHAnsi" w:hAnsiTheme="majorHAnsi"/>
              </w:rPr>
            </w:pPr>
            <w:r>
              <w:t>7.524.632</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0BE7E14B" w14:textId="77777777" w:rsidR="003C2935" w:rsidRDefault="003C2935">
            <w:pPr>
              <w:spacing w:before="0" w:after="0" w:line="240" w:lineRule="auto"/>
              <w:jc w:val="right"/>
              <w:rPr>
                <w:rFonts w:asciiTheme="majorHAnsi" w:hAnsiTheme="majorHAnsi"/>
              </w:rPr>
            </w:pPr>
            <w:r>
              <w:t>-4,6%</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59BAC027" w14:textId="77777777" w:rsidR="003C2935" w:rsidRDefault="003C2935">
            <w:pPr>
              <w:spacing w:before="0" w:after="0" w:line="240" w:lineRule="auto"/>
              <w:jc w:val="right"/>
              <w:rPr>
                <w:rFonts w:asciiTheme="majorHAnsi" w:hAnsiTheme="majorHAnsi"/>
              </w:rPr>
            </w:pPr>
            <w:r>
              <w:t>4,2%</w:t>
            </w:r>
          </w:p>
        </w:tc>
      </w:tr>
      <w:tr w:rsidR="003C2935" w14:paraId="639AD359"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4D59493B"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Druge</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755B3A2A" w14:textId="77777777" w:rsidR="003C2935" w:rsidRDefault="003C2935">
            <w:pPr>
              <w:spacing w:before="0" w:after="0" w:line="240" w:lineRule="auto"/>
              <w:jc w:val="right"/>
              <w:rPr>
                <w:rFonts w:asciiTheme="majorHAnsi" w:hAnsiTheme="majorHAnsi"/>
              </w:rPr>
            </w:pPr>
            <w:r>
              <w:t>303.581</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47D36660" w14:textId="77777777" w:rsidR="003C2935" w:rsidRDefault="003C2935">
            <w:pPr>
              <w:spacing w:before="0" w:after="0" w:line="240" w:lineRule="auto"/>
              <w:jc w:val="right"/>
              <w:rPr>
                <w:rFonts w:asciiTheme="majorHAnsi" w:hAnsiTheme="majorHAnsi"/>
              </w:rPr>
            </w:pPr>
            <w:r>
              <w:t>286.819</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140B5A4D" w14:textId="77777777" w:rsidR="003C2935" w:rsidRDefault="003C2935">
            <w:pPr>
              <w:spacing w:before="0" w:after="0" w:line="240" w:lineRule="auto"/>
              <w:jc w:val="right"/>
              <w:rPr>
                <w:rFonts w:asciiTheme="majorHAnsi" w:hAnsiTheme="majorHAnsi"/>
              </w:rPr>
            </w:pPr>
            <w:r>
              <w:t>408.512</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12940541" w14:textId="77777777" w:rsidR="003C2935" w:rsidRDefault="003C2935">
            <w:pPr>
              <w:spacing w:before="0" w:after="0" w:line="240" w:lineRule="auto"/>
              <w:jc w:val="right"/>
              <w:rPr>
                <w:rFonts w:asciiTheme="majorHAnsi" w:hAnsiTheme="majorHAnsi"/>
              </w:rPr>
            </w:pPr>
            <w:r>
              <w:t>-2,8%</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539A5AD1" w14:textId="77777777" w:rsidR="003C2935" w:rsidRDefault="003C2935">
            <w:pPr>
              <w:spacing w:before="0" w:after="0" w:line="240" w:lineRule="auto"/>
              <w:jc w:val="right"/>
              <w:rPr>
                <w:rFonts w:asciiTheme="majorHAnsi" w:hAnsiTheme="majorHAnsi"/>
              </w:rPr>
            </w:pPr>
            <w:r>
              <w:t>3,6%</w:t>
            </w:r>
          </w:p>
        </w:tc>
      </w:tr>
    </w:tbl>
    <w:p w14:paraId="45AAEBDA" w14:textId="77777777" w:rsidR="003C2935" w:rsidRDefault="003C2935" w:rsidP="003C2935">
      <w:pPr>
        <w:spacing w:before="20"/>
        <w:jc w:val="both"/>
        <w:rPr>
          <w:i/>
        </w:rPr>
      </w:pPr>
      <w:r>
        <w:rPr>
          <w:i/>
        </w:rPr>
        <w:t>Vira: Statistični urad RS, napoved Analitike GZS</w:t>
      </w:r>
    </w:p>
    <w:p w14:paraId="4926E0F6" w14:textId="77777777" w:rsidR="003C2935" w:rsidRDefault="003C2935" w:rsidP="003C2935">
      <w:pPr>
        <w:jc w:val="both"/>
        <w:rPr>
          <w:b/>
          <w:bCs/>
        </w:rPr>
      </w:pPr>
      <w:r>
        <w:rPr>
          <w:b/>
          <w:bCs/>
        </w:rPr>
        <w:t>Dodana vrednost in bruto marža</w:t>
      </w:r>
    </w:p>
    <w:p w14:paraId="7391243E" w14:textId="6D022A98" w:rsidR="003C2935" w:rsidRDefault="003C2935" w:rsidP="003C2935">
      <w:pPr>
        <w:jc w:val="both"/>
      </w:pPr>
      <w:r>
        <w:t xml:space="preserve">Dodana vrednost se bo gibala precej podobno kot prodaja oziroma bo za njo rahlo zaostajala, kar je posledica naše ocene, da je izhodiščna bruto marža v slovenskem gospodarstvu </w:t>
      </w:r>
      <w:r w:rsidR="00636607">
        <w:t xml:space="preserve">bila </w:t>
      </w:r>
      <w:r>
        <w:t xml:space="preserve">že v letu 2018 nadpovprečno visoka tako glede na mediano EU-27 kot glede na zgodovinsko povprečje. Zato ocenjujemo, da je ob napovedani rasti prodaje in izvoza dovolj ambiciozen cilj, da bruto marža </w:t>
      </w:r>
      <w:r>
        <w:lastRenderedPageBreak/>
        <w:t>ostane na nivoju iz leta 2018 (28,2 %). V dejavnostih, kjer se bo dodana vrednost povečevala hitreje od prodaje, se bo posledično okrepila bruto marža. Glede na leto 2018 bo v 2030 višja v papirni (+1,6 o.t.), tekstilni (+0,9 o.t.), lesni in kovinski industriji (+0,6 o.t.), znižala pa se bo v kemi</w:t>
      </w:r>
      <w:r w:rsidR="00636607">
        <w:t>čn</w:t>
      </w:r>
      <w:r>
        <w:t>i (pritisk na cene generičnih zdravil; -0,7 o.t.) in elektro industriji</w:t>
      </w:r>
      <w:r w:rsidR="00C607A8">
        <w:rPr>
          <w:rStyle w:val="Sprotnaopomba-sklic"/>
        </w:rPr>
        <w:footnoteReference w:id="30"/>
      </w:r>
      <w:r>
        <w:t xml:space="preserve"> (-0,4 o.t.)  </w:t>
      </w:r>
    </w:p>
    <w:tbl>
      <w:tblPr>
        <w:tblW w:w="5000" w:type="pct"/>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tblBorders>
        <w:tblLook w:val="04A0" w:firstRow="1" w:lastRow="0" w:firstColumn="1" w:lastColumn="0" w:noHBand="0" w:noVBand="1"/>
      </w:tblPr>
      <w:tblGrid>
        <w:gridCol w:w="2135"/>
        <w:gridCol w:w="1432"/>
        <w:gridCol w:w="1432"/>
        <w:gridCol w:w="1432"/>
        <w:gridCol w:w="1432"/>
        <w:gridCol w:w="1425"/>
      </w:tblGrid>
      <w:tr w:rsidR="003C2935" w14:paraId="41B51DF4" w14:textId="77777777" w:rsidTr="003C2935">
        <w:trPr>
          <w:trHeight w:val="722"/>
        </w:trPr>
        <w:tc>
          <w:tcPr>
            <w:tcW w:w="1149" w:type="pct"/>
            <w:tcBorders>
              <w:top w:val="single" w:sz="4" w:space="0" w:color="8AB833" w:themeColor="accent2"/>
              <w:left w:val="single" w:sz="4" w:space="0" w:color="8AB833" w:themeColor="accent2"/>
              <w:bottom w:val="single" w:sz="4" w:space="0" w:color="8AB833" w:themeColor="accent2"/>
              <w:right w:val="nil"/>
            </w:tcBorders>
            <w:shd w:val="clear" w:color="auto" w:fill="8AB833" w:themeFill="accent2"/>
            <w:vAlign w:val="center"/>
            <w:hideMark/>
          </w:tcPr>
          <w:p w14:paraId="2228476D" w14:textId="77777777" w:rsidR="003C2935" w:rsidRDefault="003C2935">
            <w:pPr>
              <w:spacing w:before="0" w:after="0" w:line="240" w:lineRule="auto"/>
              <w:rPr>
                <w:rFonts w:asciiTheme="majorHAnsi" w:hAnsiTheme="majorHAnsi"/>
                <w:b/>
                <w:bCs/>
                <w:color w:val="FFFFFF" w:themeColor="background1"/>
              </w:rPr>
            </w:pPr>
            <w:r>
              <w:rPr>
                <w:rFonts w:asciiTheme="majorHAnsi" w:hAnsiTheme="majorHAnsi"/>
                <w:b/>
                <w:bCs/>
                <w:color w:val="FFFFFF" w:themeColor="background1"/>
              </w:rPr>
              <w:t>Ključne skupine predelovalnih dejavnosti</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7E48DF76" w14:textId="77777777" w:rsidR="00775FAA" w:rsidRDefault="003C2935">
            <w:pPr>
              <w:spacing w:before="0" w:after="0" w:line="240" w:lineRule="auto"/>
              <w:jc w:val="center"/>
              <w:rPr>
                <w:rFonts w:asciiTheme="majorHAnsi" w:hAnsiTheme="majorHAnsi"/>
                <w:b/>
                <w:bCs/>
                <w:color w:val="FFFFFF" w:themeColor="background1"/>
              </w:rPr>
            </w:pPr>
            <w:r>
              <w:rPr>
                <w:rFonts w:asciiTheme="majorHAnsi" w:hAnsiTheme="majorHAnsi"/>
                <w:b/>
                <w:bCs/>
                <w:color w:val="FFFFFF" w:themeColor="background1"/>
              </w:rPr>
              <w:t xml:space="preserve">Dodana vrednost, 2018 </w:t>
            </w:r>
          </w:p>
          <w:p w14:paraId="4CB19AEB"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(000 EUR)</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5490F652" w14:textId="77777777" w:rsidR="00775FAA" w:rsidRDefault="003C2935">
            <w:pPr>
              <w:spacing w:before="0" w:after="0" w:line="240" w:lineRule="auto"/>
              <w:jc w:val="center"/>
              <w:rPr>
                <w:rFonts w:asciiTheme="majorHAnsi" w:hAnsiTheme="majorHAnsi"/>
                <w:b/>
                <w:bCs/>
                <w:color w:val="FFFFFF" w:themeColor="background1"/>
              </w:rPr>
            </w:pPr>
            <w:r>
              <w:rPr>
                <w:rFonts w:asciiTheme="majorHAnsi" w:hAnsiTheme="majorHAnsi"/>
                <w:b/>
                <w:bCs/>
                <w:color w:val="FFFFFF" w:themeColor="background1"/>
              </w:rPr>
              <w:t xml:space="preserve">Dodana vrednost, 2020 </w:t>
            </w:r>
          </w:p>
          <w:p w14:paraId="58469688"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(000 EUR)</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2709CB14" w14:textId="77777777" w:rsidR="00775FAA" w:rsidRDefault="003C2935">
            <w:pPr>
              <w:spacing w:before="0" w:after="0" w:line="240" w:lineRule="auto"/>
              <w:jc w:val="center"/>
              <w:rPr>
                <w:rFonts w:asciiTheme="majorHAnsi" w:hAnsiTheme="majorHAnsi"/>
                <w:b/>
                <w:bCs/>
                <w:color w:val="FFFFFF" w:themeColor="background1"/>
              </w:rPr>
            </w:pPr>
            <w:r>
              <w:rPr>
                <w:rFonts w:asciiTheme="majorHAnsi" w:hAnsiTheme="majorHAnsi"/>
                <w:b/>
                <w:bCs/>
                <w:color w:val="FFFFFF" w:themeColor="background1"/>
              </w:rPr>
              <w:t>Dodana vrednost, 2030</w:t>
            </w:r>
          </w:p>
          <w:p w14:paraId="3DC098C8"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 xml:space="preserve"> (000 EUR)</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20B1F452" w14:textId="0986424C" w:rsidR="003C2935" w:rsidRDefault="00780F73" w:rsidP="00780F73">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L</w:t>
            </w:r>
            <w:r w:rsidR="003C2935">
              <w:rPr>
                <w:rFonts w:asciiTheme="majorHAnsi" w:hAnsiTheme="majorHAnsi"/>
                <w:b/>
                <w:bCs/>
                <w:color w:val="FFFFFF" w:themeColor="background1"/>
              </w:rPr>
              <w:t xml:space="preserve">etna sprememba </w:t>
            </w:r>
            <w:proofErr w:type="spellStart"/>
            <w:r w:rsidR="003C2935">
              <w:rPr>
                <w:rFonts w:asciiTheme="majorHAnsi" w:hAnsiTheme="majorHAnsi"/>
                <w:b/>
                <w:bCs/>
                <w:color w:val="FFFFFF" w:themeColor="background1"/>
              </w:rPr>
              <w:t>dod</w:t>
            </w:r>
            <w:proofErr w:type="spellEnd"/>
            <w:r w:rsidR="003C2935">
              <w:rPr>
                <w:rFonts w:asciiTheme="majorHAnsi" w:hAnsiTheme="majorHAnsi"/>
                <w:b/>
                <w:bCs/>
                <w:color w:val="FFFFFF" w:themeColor="background1"/>
              </w:rPr>
              <w:t xml:space="preserve">. </w:t>
            </w:r>
            <w:proofErr w:type="spellStart"/>
            <w:r w:rsidR="003C2935">
              <w:rPr>
                <w:rFonts w:asciiTheme="majorHAnsi" w:hAnsiTheme="majorHAnsi"/>
                <w:b/>
                <w:bCs/>
                <w:color w:val="FFFFFF" w:themeColor="background1"/>
              </w:rPr>
              <w:t>vr</w:t>
            </w:r>
            <w:proofErr w:type="spellEnd"/>
            <w:r w:rsidR="003C2935">
              <w:rPr>
                <w:rFonts w:asciiTheme="majorHAnsi" w:hAnsiTheme="majorHAnsi"/>
                <w:b/>
                <w:bCs/>
                <w:color w:val="FFFFFF" w:themeColor="background1"/>
              </w:rPr>
              <w:t>.</w:t>
            </w:r>
            <w:r>
              <w:rPr>
                <w:rFonts w:asciiTheme="majorHAnsi" w:hAnsiTheme="majorHAnsi"/>
                <w:b/>
                <w:bCs/>
                <w:color w:val="FFFFFF" w:themeColor="background1"/>
              </w:rPr>
              <w:t xml:space="preserve"> v %</w:t>
            </w:r>
            <w:r w:rsidR="003C2935">
              <w:rPr>
                <w:rFonts w:asciiTheme="majorHAnsi" w:hAnsiTheme="majorHAnsi"/>
                <w:b/>
                <w:bCs/>
                <w:color w:val="FFFFFF" w:themeColor="background1"/>
              </w:rPr>
              <w:t xml:space="preserve"> 2019-2020</w:t>
            </w:r>
          </w:p>
        </w:tc>
        <w:tc>
          <w:tcPr>
            <w:tcW w:w="767" w:type="pct"/>
            <w:tcBorders>
              <w:top w:val="single" w:sz="4" w:space="0" w:color="8AB833" w:themeColor="accent2"/>
              <w:left w:val="nil"/>
              <w:bottom w:val="single" w:sz="4" w:space="0" w:color="8AB833" w:themeColor="accent2"/>
              <w:right w:val="single" w:sz="4" w:space="0" w:color="8AB833" w:themeColor="accent2"/>
            </w:tcBorders>
            <w:shd w:val="clear" w:color="auto" w:fill="8AB833" w:themeFill="accent2"/>
            <w:vAlign w:val="center"/>
            <w:hideMark/>
          </w:tcPr>
          <w:p w14:paraId="65F6A216" w14:textId="43264930" w:rsidR="003C2935" w:rsidRDefault="00780F73" w:rsidP="00780F73">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L</w:t>
            </w:r>
            <w:r w:rsidR="003C2935">
              <w:rPr>
                <w:rFonts w:asciiTheme="majorHAnsi" w:hAnsiTheme="majorHAnsi"/>
                <w:b/>
                <w:bCs/>
                <w:color w:val="FFFFFF" w:themeColor="background1"/>
              </w:rPr>
              <w:t xml:space="preserve">etna sprememba </w:t>
            </w:r>
            <w:proofErr w:type="spellStart"/>
            <w:r w:rsidR="003C2935">
              <w:rPr>
                <w:rFonts w:asciiTheme="majorHAnsi" w:hAnsiTheme="majorHAnsi"/>
                <w:b/>
                <w:bCs/>
                <w:color w:val="FFFFFF" w:themeColor="background1"/>
              </w:rPr>
              <w:t>dod</w:t>
            </w:r>
            <w:proofErr w:type="spellEnd"/>
            <w:r w:rsidR="003C2935">
              <w:rPr>
                <w:rFonts w:asciiTheme="majorHAnsi" w:hAnsiTheme="majorHAnsi"/>
                <w:b/>
                <w:bCs/>
                <w:color w:val="FFFFFF" w:themeColor="background1"/>
              </w:rPr>
              <w:t xml:space="preserve">. </w:t>
            </w:r>
            <w:proofErr w:type="spellStart"/>
            <w:r w:rsidR="003C2935">
              <w:rPr>
                <w:rFonts w:asciiTheme="majorHAnsi" w:hAnsiTheme="majorHAnsi"/>
                <w:b/>
                <w:bCs/>
                <w:color w:val="FFFFFF" w:themeColor="background1"/>
              </w:rPr>
              <w:t>vr</w:t>
            </w:r>
            <w:proofErr w:type="spellEnd"/>
            <w:r w:rsidR="003C2935">
              <w:rPr>
                <w:rFonts w:asciiTheme="majorHAnsi" w:hAnsiTheme="majorHAnsi"/>
                <w:b/>
                <w:bCs/>
                <w:color w:val="FFFFFF" w:themeColor="background1"/>
              </w:rPr>
              <w:t xml:space="preserve">. </w:t>
            </w:r>
            <w:r>
              <w:rPr>
                <w:rFonts w:asciiTheme="majorHAnsi" w:hAnsiTheme="majorHAnsi"/>
                <w:b/>
                <w:bCs/>
                <w:color w:val="FFFFFF" w:themeColor="background1"/>
              </w:rPr>
              <w:t>v %</w:t>
            </w:r>
            <w:r w:rsidR="003C2935">
              <w:rPr>
                <w:rFonts w:asciiTheme="majorHAnsi" w:hAnsiTheme="majorHAnsi"/>
                <w:b/>
                <w:bCs/>
                <w:color w:val="FFFFFF" w:themeColor="background1"/>
              </w:rPr>
              <w:t xml:space="preserve"> 2021-2030</w:t>
            </w:r>
          </w:p>
        </w:tc>
      </w:tr>
      <w:tr w:rsidR="003C2935" w14:paraId="7ED96FF6"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5C4AEC0F"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PREDEL. DEJ. SKUPAJ</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414EF429" w14:textId="77777777" w:rsidR="003C2935" w:rsidRDefault="003C2935">
            <w:pPr>
              <w:spacing w:before="0" w:after="0" w:line="240" w:lineRule="auto"/>
              <w:jc w:val="right"/>
              <w:rPr>
                <w:b/>
              </w:rPr>
            </w:pPr>
            <w:r>
              <w:rPr>
                <w:b/>
              </w:rPr>
              <w:t>8.811.030</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0CF99447" w14:textId="77777777" w:rsidR="003C2935" w:rsidRDefault="003C2935">
            <w:pPr>
              <w:spacing w:before="0" w:after="0" w:line="240" w:lineRule="auto"/>
              <w:jc w:val="right"/>
              <w:rPr>
                <w:b/>
              </w:rPr>
            </w:pPr>
            <w:r>
              <w:rPr>
                <w:b/>
              </w:rPr>
              <w:t>8.477.406</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hideMark/>
          </w:tcPr>
          <w:p w14:paraId="5DBA10ED" w14:textId="77777777" w:rsidR="003C2935" w:rsidRDefault="003C2935">
            <w:pPr>
              <w:spacing w:before="0" w:after="0" w:line="240" w:lineRule="auto"/>
              <w:jc w:val="right"/>
              <w:rPr>
                <w:b/>
              </w:rPr>
            </w:pPr>
            <w:r>
              <w:rPr>
                <w:b/>
              </w:rPr>
              <w:t>11.798.624</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46284996" w14:textId="77777777" w:rsidR="003C2935" w:rsidRDefault="003C2935">
            <w:pPr>
              <w:spacing w:before="0" w:after="0" w:line="240" w:lineRule="auto"/>
              <w:jc w:val="right"/>
              <w:rPr>
                <w:b/>
              </w:rPr>
            </w:pPr>
            <w:r>
              <w:rPr>
                <w:b/>
              </w:rPr>
              <w:t>-1,9%</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hideMark/>
          </w:tcPr>
          <w:p w14:paraId="129BD224" w14:textId="77777777" w:rsidR="003C2935" w:rsidRDefault="003C2935">
            <w:pPr>
              <w:spacing w:before="0" w:after="0" w:line="240" w:lineRule="auto"/>
              <w:jc w:val="right"/>
              <w:rPr>
                <w:b/>
              </w:rPr>
            </w:pPr>
            <w:r>
              <w:rPr>
                <w:b/>
              </w:rPr>
              <w:t>3,4%</w:t>
            </w:r>
          </w:p>
        </w:tc>
      </w:tr>
      <w:tr w:rsidR="003C2935" w14:paraId="272C1891"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76A93C1B"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Prehrambna</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5573CEDE" w14:textId="77777777" w:rsidR="003C2935" w:rsidRDefault="003C2935">
            <w:pPr>
              <w:spacing w:before="0" w:after="0" w:line="240" w:lineRule="auto"/>
              <w:jc w:val="right"/>
            </w:pPr>
            <w:r>
              <w:t>593.469</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56D40C9D" w14:textId="77777777" w:rsidR="003C2935" w:rsidRDefault="003C2935">
            <w:pPr>
              <w:spacing w:before="0" w:after="0" w:line="240" w:lineRule="auto"/>
              <w:jc w:val="right"/>
            </w:pPr>
            <w:r>
              <w:t>617.445</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1FF4C771" w14:textId="77777777" w:rsidR="003C2935" w:rsidRDefault="003C2935">
            <w:pPr>
              <w:spacing w:before="0" w:after="0" w:line="240" w:lineRule="auto"/>
              <w:jc w:val="right"/>
            </w:pPr>
            <w:r>
              <w:t>790.382</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0C93FCD1" w14:textId="77777777" w:rsidR="003C2935" w:rsidRDefault="003C2935">
            <w:pPr>
              <w:spacing w:before="0" w:after="0" w:line="240" w:lineRule="auto"/>
              <w:jc w:val="right"/>
            </w:pPr>
            <w:r>
              <w:t>2,0%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24568B56" w14:textId="77777777" w:rsidR="003C2935" w:rsidRDefault="003C2935">
            <w:pPr>
              <w:spacing w:before="0" w:after="0" w:line="240" w:lineRule="auto"/>
              <w:jc w:val="right"/>
            </w:pPr>
            <w:r>
              <w:t>2,5%</w:t>
            </w:r>
          </w:p>
        </w:tc>
      </w:tr>
      <w:tr w:rsidR="003C2935" w14:paraId="23956894"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61B74099"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Tekstilna</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4E362A30" w14:textId="77777777" w:rsidR="003C2935" w:rsidRDefault="003C2935">
            <w:pPr>
              <w:spacing w:before="0" w:after="0" w:line="240" w:lineRule="auto"/>
              <w:jc w:val="right"/>
            </w:pPr>
            <w:r>
              <w:t>263.356</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0EFD4FE7" w14:textId="77777777" w:rsidR="003C2935" w:rsidRDefault="003C2935">
            <w:pPr>
              <w:spacing w:before="0" w:after="0" w:line="240" w:lineRule="auto"/>
              <w:jc w:val="right"/>
            </w:pPr>
            <w:r>
              <w:t>245.244</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26EF09F1" w14:textId="77777777" w:rsidR="003C2935" w:rsidRDefault="003C2935">
            <w:pPr>
              <w:spacing w:before="0" w:after="0" w:line="240" w:lineRule="auto"/>
              <w:jc w:val="right"/>
            </w:pPr>
            <w:r>
              <w:t>304.864</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3B5D1ECB" w14:textId="77777777" w:rsidR="003C2935" w:rsidRDefault="003C2935">
            <w:pPr>
              <w:spacing w:before="0" w:after="0" w:line="240" w:lineRule="auto"/>
              <w:jc w:val="right"/>
            </w:pPr>
            <w:r>
              <w:t>-3,5%</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7E732D15" w14:textId="77777777" w:rsidR="003C2935" w:rsidRDefault="003C2935">
            <w:pPr>
              <w:spacing w:before="0" w:after="0" w:line="240" w:lineRule="auto"/>
              <w:jc w:val="right"/>
            </w:pPr>
            <w:r>
              <w:t>2,2%</w:t>
            </w:r>
          </w:p>
        </w:tc>
      </w:tr>
      <w:tr w:rsidR="003C2935" w14:paraId="531D824D"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35D9C99D"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Lesna</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7F184953" w14:textId="77777777" w:rsidR="003C2935" w:rsidRDefault="003C2935">
            <w:pPr>
              <w:spacing w:before="0" w:after="0" w:line="240" w:lineRule="auto"/>
              <w:jc w:val="right"/>
            </w:pPr>
            <w:r>
              <w:t>438.515</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61C1E551" w14:textId="77777777" w:rsidR="003C2935" w:rsidRDefault="003C2935">
            <w:pPr>
              <w:spacing w:before="0" w:after="0" w:line="240" w:lineRule="auto"/>
              <w:jc w:val="right"/>
            </w:pPr>
            <w:r>
              <w:t>404.135</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6687517B" w14:textId="77777777" w:rsidR="003C2935" w:rsidRDefault="003C2935">
            <w:pPr>
              <w:spacing w:before="0" w:after="0" w:line="240" w:lineRule="auto"/>
              <w:jc w:val="right"/>
            </w:pPr>
            <w:r>
              <w:t>502.384</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704DBB97" w14:textId="77777777" w:rsidR="003C2935" w:rsidRDefault="003C2935">
            <w:pPr>
              <w:spacing w:before="0" w:after="0" w:line="240" w:lineRule="auto"/>
              <w:jc w:val="right"/>
            </w:pPr>
            <w:r>
              <w:t>-4,0%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71227CE0" w14:textId="77777777" w:rsidR="003C2935" w:rsidRDefault="003C2935">
            <w:pPr>
              <w:spacing w:before="0" w:after="0" w:line="240" w:lineRule="auto"/>
              <w:jc w:val="right"/>
            </w:pPr>
            <w:r>
              <w:t>2,2%</w:t>
            </w:r>
          </w:p>
        </w:tc>
      </w:tr>
      <w:tr w:rsidR="003C2935" w14:paraId="0DC9A6B2"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2E1CB797"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Papirna</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1EBBD9C0" w14:textId="77777777" w:rsidR="003C2935" w:rsidRDefault="003C2935">
            <w:pPr>
              <w:spacing w:before="0" w:after="0" w:line="240" w:lineRule="auto"/>
              <w:jc w:val="right"/>
            </w:pPr>
            <w:r>
              <w:t>300.052</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279D4F94" w14:textId="77777777" w:rsidR="003C2935" w:rsidRDefault="003C2935">
            <w:pPr>
              <w:spacing w:before="0" w:after="0" w:line="240" w:lineRule="auto"/>
              <w:jc w:val="right"/>
            </w:pPr>
            <w:r>
              <w:t>291.118</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5902966A" w14:textId="77777777" w:rsidR="003C2935" w:rsidRDefault="003C2935">
            <w:pPr>
              <w:spacing w:before="0" w:after="0" w:line="240" w:lineRule="auto"/>
              <w:jc w:val="right"/>
            </w:pPr>
            <w:r>
              <w:t>376.307</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53513C72" w14:textId="77777777" w:rsidR="003C2935" w:rsidRDefault="003C2935">
            <w:pPr>
              <w:spacing w:before="0" w:after="0" w:line="240" w:lineRule="auto"/>
              <w:jc w:val="right"/>
            </w:pPr>
            <w:r>
              <w:t>-1,5%</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6E88B661" w14:textId="77777777" w:rsidR="003C2935" w:rsidRDefault="003C2935">
            <w:pPr>
              <w:spacing w:before="0" w:after="0" w:line="240" w:lineRule="auto"/>
              <w:jc w:val="right"/>
            </w:pPr>
            <w:r>
              <w:t>2,6%</w:t>
            </w:r>
          </w:p>
        </w:tc>
      </w:tr>
      <w:tr w:rsidR="003C2935" w14:paraId="141EC79A"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0C0CAD18"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Kemična</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5D592E8F" w14:textId="77777777" w:rsidR="003C2935" w:rsidRDefault="003C2935">
            <w:pPr>
              <w:spacing w:before="0" w:after="0" w:line="240" w:lineRule="auto"/>
              <w:jc w:val="right"/>
            </w:pPr>
            <w:r>
              <w:t>2.050.654</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415C10AC" w14:textId="77777777" w:rsidR="003C2935" w:rsidRDefault="003C2935">
            <w:pPr>
              <w:spacing w:before="0" w:after="0" w:line="240" w:lineRule="auto"/>
              <w:jc w:val="right"/>
            </w:pPr>
            <w:r>
              <w:t>2.133.500</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03F85F78" w14:textId="77777777" w:rsidR="003C2935" w:rsidRDefault="003C2935">
            <w:pPr>
              <w:spacing w:before="0" w:after="0" w:line="240" w:lineRule="auto"/>
              <w:jc w:val="right"/>
            </w:pPr>
            <w:r>
              <w:t>2.951.861</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6A732EEC" w14:textId="77777777" w:rsidR="003C2935" w:rsidRDefault="003C2935">
            <w:pPr>
              <w:spacing w:before="0" w:after="0" w:line="240" w:lineRule="auto"/>
              <w:jc w:val="right"/>
            </w:pPr>
            <w:r>
              <w:t>2,0%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5FDBF3A4" w14:textId="77777777" w:rsidR="003C2935" w:rsidRDefault="003C2935">
            <w:pPr>
              <w:spacing w:before="0" w:after="0" w:line="240" w:lineRule="auto"/>
              <w:jc w:val="right"/>
            </w:pPr>
            <w:r>
              <w:t>3,3%</w:t>
            </w:r>
          </w:p>
        </w:tc>
      </w:tr>
      <w:tr w:rsidR="003C2935" w14:paraId="68EFC2DD"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7BDC1D6F"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Nekovinska</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466217E5" w14:textId="77777777" w:rsidR="003C2935" w:rsidRDefault="003C2935">
            <w:pPr>
              <w:spacing w:before="0" w:after="0" w:line="240" w:lineRule="auto"/>
              <w:jc w:val="right"/>
            </w:pPr>
            <w:r>
              <w:t>336.260</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3C3B8DAC" w14:textId="77777777" w:rsidR="003C2935" w:rsidRDefault="003C2935">
            <w:pPr>
              <w:spacing w:before="0" w:after="0" w:line="240" w:lineRule="auto"/>
              <w:jc w:val="right"/>
            </w:pPr>
            <w:r>
              <w:t>317.693</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53B6E563" w14:textId="77777777" w:rsidR="003C2935" w:rsidRDefault="003C2935">
            <w:pPr>
              <w:spacing w:before="0" w:after="0" w:line="240" w:lineRule="auto"/>
              <w:jc w:val="right"/>
            </w:pPr>
            <w:r>
              <w:t>394.927</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2A8AE201" w14:textId="77777777" w:rsidR="003C2935" w:rsidRDefault="003C2935">
            <w:pPr>
              <w:spacing w:before="0" w:after="0" w:line="240" w:lineRule="auto"/>
              <w:jc w:val="right"/>
            </w:pPr>
            <w:r>
              <w:t>-2,8%</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2D0D0E71" w14:textId="77777777" w:rsidR="003C2935" w:rsidRDefault="003C2935">
            <w:pPr>
              <w:spacing w:before="0" w:after="0" w:line="240" w:lineRule="auto"/>
              <w:jc w:val="right"/>
            </w:pPr>
            <w:r>
              <w:t>2,2%</w:t>
            </w:r>
          </w:p>
        </w:tc>
      </w:tr>
      <w:tr w:rsidR="003C2935" w14:paraId="4F17D146"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511392DE"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Kovinska</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76F62EC7" w14:textId="77777777" w:rsidR="003C2935" w:rsidRDefault="003C2935">
            <w:pPr>
              <w:spacing w:before="0" w:after="0" w:line="240" w:lineRule="auto"/>
              <w:jc w:val="right"/>
            </w:pPr>
            <w:r>
              <w:t>1.747.775</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5D6D8A38" w14:textId="77777777" w:rsidR="003C2935" w:rsidRDefault="003C2935">
            <w:pPr>
              <w:spacing w:before="0" w:after="0" w:line="240" w:lineRule="auto"/>
              <w:jc w:val="right"/>
            </w:pPr>
            <w:r>
              <w:t>1.614.107</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4E5C5EFC" w14:textId="77777777" w:rsidR="003C2935" w:rsidRDefault="003C2935">
            <w:pPr>
              <w:spacing w:before="0" w:after="0" w:line="240" w:lineRule="auto"/>
              <w:jc w:val="right"/>
            </w:pPr>
            <w:r>
              <w:t>2.169.225</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48B4BED1" w14:textId="77777777" w:rsidR="003C2935" w:rsidRDefault="003C2935">
            <w:pPr>
              <w:spacing w:before="0" w:after="0" w:line="240" w:lineRule="auto"/>
              <w:jc w:val="right"/>
            </w:pPr>
            <w:r>
              <w:t>-3,9%</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59092686" w14:textId="77777777" w:rsidR="003C2935" w:rsidRDefault="003C2935">
            <w:pPr>
              <w:spacing w:before="0" w:after="0" w:line="240" w:lineRule="auto"/>
              <w:jc w:val="right"/>
            </w:pPr>
            <w:r>
              <w:t>3,0%</w:t>
            </w:r>
          </w:p>
        </w:tc>
      </w:tr>
      <w:tr w:rsidR="003C2935" w14:paraId="7185CB03"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5FC4482A"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Elektro</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08115604" w14:textId="77777777" w:rsidR="003C2935" w:rsidRDefault="003C2935">
            <w:pPr>
              <w:spacing w:before="0" w:after="0" w:line="240" w:lineRule="auto"/>
              <w:jc w:val="right"/>
            </w:pPr>
            <w:r>
              <w:t>1.115.439</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1C1D9A5E" w14:textId="77777777" w:rsidR="003C2935" w:rsidRDefault="003C2935">
            <w:pPr>
              <w:spacing w:before="0" w:after="0" w:line="240" w:lineRule="auto"/>
              <w:jc w:val="right"/>
            </w:pPr>
            <w:r>
              <w:t>1.043.035</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36B7C37E" w14:textId="77777777" w:rsidR="003C2935" w:rsidRDefault="003C2935">
            <w:pPr>
              <w:spacing w:before="0" w:after="0" w:line="240" w:lineRule="auto"/>
              <w:jc w:val="right"/>
            </w:pPr>
            <w:r>
              <w:t>1.666.908</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42D38D38" w14:textId="77777777" w:rsidR="003C2935" w:rsidRDefault="003C2935">
            <w:pPr>
              <w:spacing w:before="0" w:after="0" w:line="240" w:lineRule="auto"/>
              <w:jc w:val="right"/>
            </w:pPr>
            <w:r>
              <w:t>-3,3%</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48DD6C05" w14:textId="77777777" w:rsidR="003C2935" w:rsidRDefault="003C2935">
            <w:pPr>
              <w:spacing w:before="0" w:after="0" w:line="240" w:lineRule="auto"/>
              <w:jc w:val="right"/>
            </w:pPr>
            <w:r>
              <w:t>4,8%</w:t>
            </w:r>
          </w:p>
        </w:tc>
      </w:tr>
      <w:tr w:rsidR="003C2935" w14:paraId="1027A12F"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34CA3212"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Strojna</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4BEF994E" w14:textId="77777777" w:rsidR="003C2935" w:rsidRDefault="003C2935">
            <w:pPr>
              <w:spacing w:before="0" w:after="0" w:line="240" w:lineRule="auto"/>
              <w:jc w:val="right"/>
            </w:pPr>
            <w:r>
              <w:t>1.795.365</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41D92B17" w14:textId="77777777" w:rsidR="003C2935" w:rsidRDefault="003C2935">
            <w:pPr>
              <w:spacing w:before="0" w:after="0" w:line="240" w:lineRule="auto"/>
              <w:jc w:val="right"/>
            </w:pPr>
            <w:r>
              <w:t>1.647.721</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4356DE75" w14:textId="77777777" w:rsidR="003C2935" w:rsidRDefault="003C2935">
            <w:pPr>
              <w:spacing w:before="0" w:after="0" w:line="240" w:lineRule="auto"/>
              <w:jc w:val="right"/>
            </w:pPr>
            <w:r>
              <w:t>2.415.679</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76A104D1" w14:textId="77777777" w:rsidR="003C2935" w:rsidRDefault="003C2935">
            <w:pPr>
              <w:spacing w:before="0" w:after="0" w:line="240" w:lineRule="auto"/>
              <w:jc w:val="right"/>
            </w:pPr>
            <w:r>
              <w:t>-4,2%</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1A42CFB9" w14:textId="77777777" w:rsidR="003C2935" w:rsidRDefault="003C2935">
            <w:pPr>
              <w:spacing w:before="0" w:after="0" w:line="240" w:lineRule="auto"/>
              <w:jc w:val="right"/>
            </w:pPr>
            <w:r>
              <w:t>3,9%</w:t>
            </w:r>
          </w:p>
        </w:tc>
      </w:tr>
      <w:tr w:rsidR="003C2935" w14:paraId="233689F8"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5B5F4BA8"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Druge</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71E66616" w14:textId="77777777" w:rsidR="003C2935" w:rsidRDefault="003C2935">
            <w:pPr>
              <w:spacing w:before="0" w:after="0" w:line="240" w:lineRule="auto"/>
              <w:jc w:val="right"/>
            </w:pPr>
            <w:r>
              <w:t>170.145</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2EE75613" w14:textId="77777777" w:rsidR="003C2935" w:rsidRDefault="003C2935">
            <w:pPr>
              <w:spacing w:before="0" w:after="0" w:line="240" w:lineRule="auto"/>
              <w:jc w:val="right"/>
            </w:pPr>
            <w:r>
              <w:t>163.407</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7BDDE8F2" w14:textId="77777777" w:rsidR="003C2935" w:rsidRDefault="003C2935">
            <w:pPr>
              <w:spacing w:before="0" w:after="0" w:line="240" w:lineRule="auto"/>
              <w:jc w:val="right"/>
            </w:pPr>
            <w:r>
              <w:t>226.086</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0B3E8826" w14:textId="77777777" w:rsidR="003C2935" w:rsidRDefault="003C2935">
            <w:pPr>
              <w:spacing w:before="0" w:after="0" w:line="240" w:lineRule="auto"/>
              <w:jc w:val="right"/>
            </w:pPr>
            <w:r>
              <w:t>-2,0%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78F9D392" w14:textId="77777777" w:rsidR="003C2935" w:rsidRDefault="003C2935">
            <w:pPr>
              <w:spacing w:before="0" w:after="0" w:line="240" w:lineRule="auto"/>
              <w:jc w:val="right"/>
            </w:pPr>
            <w:r>
              <w:t>3,3%</w:t>
            </w:r>
          </w:p>
        </w:tc>
      </w:tr>
    </w:tbl>
    <w:p w14:paraId="7E57A15E" w14:textId="77777777" w:rsidR="003C2935" w:rsidRDefault="003C2935" w:rsidP="003C2935">
      <w:pPr>
        <w:spacing w:before="20"/>
        <w:jc w:val="both"/>
        <w:rPr>
          <w:i/>
        </w:rPr>
      </w:pPr>
      <w:r>
        <w:rPr>
          <w:i/>
        </w:rPr>
        <w:t>Vira: Statistični urad RS, napoved Analitike GZS</w:t>
      </w:r>
    </w:p>
    <w:p w14:paraId="02D68EC9" w14:textId="77777777" w:rsidR="003C2935" w:rsidRDefault="003C2935" w:rsidP="003C2935">
      <w:pPr>
        <w:jc w:val="both"/>
        <w:rPr>
          <w:b/>
          <w:bCs/>
        </w:rPr>
      </w:pPr>
      <w:r>
        <w:rPr>
          <w:b/>
          <w:bCs/>
        </w:rPr>
        <w:t>Zaposlenost</w:t>
      </w:r>
    </w:p>
    <w:p w14:paraId="7C305D67" w14:textId="6F0A25EB" w:rsidR="003C2935" w:rsidRDefault="003C2935" w:rsidP="003C2935">
      <w:pPr>
        <w:jc w:val="both"/>
      </w:pPr>
      <w:r>
        <w:t>Povečevanje avtomatizacije in padec izvoza v 2020 zaradi epidemije COVID-</w:t>
      </w:r>
      <w:r w:rsidR="00636607">
        <w:t>19</w:t>
      </w:r>
      <w:r>
        <w:t xml:space="preserve"> naj bi prispevala k temu, da se bo zaposlenost v obdobju 2019-2020 v povprečju krčila. Podobno bo v desetletju kasneje, ko bo pritisk na dvig konkurenčnosti zahteval večj</w:t>
      </w:r>
      <w:r w:rsidR="003A69D7">
        <w:t>a</w:t>
      </w:r>
      <w:r>
        <w:t xml:space="preserve"> vlaganja in vitke, inovativne modele poslovanja. Svetli izjemi bosta strojna in elektro industrija, kjer bo visoka rast dodane vrednosti preprečevala padec zaposlenosti. Število zaposlenih naj bi se do leta 2020 skrčilo za 7.000 oseb glede na leto 2018, do leta 2030 pa se bo znižalo še za 15</w:t>
      </w:r>
      <w:r w:rsidR="00750BB2">
        <w:t>.000</w:t>
      </w:r>
      <w:r>
        <w:t xml:space="preserve">. Nominalna rast dodane vrednosti (najbolje odraža organsko rast poslovanja) bo preprečila še hitrejše znižanje </w:t>
      </w:r>
      <w:r w:rsidR="00750BB2">
        <w:t xml:space="preserve">števila </w:t>
      </w:r>
      <w:r>
        <w:t xml:space="preserve">zaposlenih, ki bo primarno posledica </w:t>
      </w:r>
      <w:r w:rsidR="00750BB2">
        <w:t xml:space="preserve">tako </w:t>
      </w:r>
      <w:r>
        <w:t>višanja stopnje avtomatizacije proizvodnje kot tudi bolj intenzivnega povezovanja industrije z drugimi deli gospodarstva</w:t>
      </w:r>
      <w:r>
        <w:rPr>
          <w:rStyle w:val="Sprotnaopomba-sklic"/>
        </w:rPr>
        <w:footnoteReference w:id="31"/>
      </w:r>
      <w:r>
        <w:t xml:space="preserve">. </w:t>
      </w:r>
    </w:p>
    <w:tbl>
      <w:tblPr>
        <w:tblW w:w="5000" w:type="pct"/>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tblBorders>
        <w:tblLook w:val="04A0" w:firstRow="1" w:lastRow="0" w:firstColumn="1" w:lastColumn="0" w:noHBand="0" w:noVBand="1"/>
      </w:tblPr>
      <w:tblGrid>
        <w:gridCol w:w="2135"/>
        <w:gridCol w:w="1432"/>
        <w:gridCol w:w="1432"/>
        <w:gridCol w:w="1432"/>
        <w:gridCol w:w="1432"/>
        <w:gridCol w:w="1425"/>
      </w:tblGrid>
      <w:tr w:rsidR="003C2935" w14:paraId="46A07763" w14:textId="77777777" w:rsidTr="003C2935">
        <w:trPr>
          <w:trHeight w:val="722"/>
        </w:trPr>
        <w:tc>
          <w:tcPr>
            <w:tcW w:w="1149" w:type="pct"/>
            <w:tcBorders>
              <w:top w:val="single" w:sz="4" w:space="0" w:color="8AB833" w:themeColor="accent2"/>
              <w:left w:val="single" w:sz="4" w:space="0" w:color="8AB833" w:themeColor="accent2"/>
              <w:bottom w:val="single" w:sz="4" w:space="0" w:color="8AB833" w:themeColor="accent2"/>
              <w:right w:val="nil"/>
            </w:tcBorders>
            <w:shd w:val="clear" w:color="auto" w:fill="8AB833" w:themeFill="accent2"/>
            <w:vAlign w:val="center"/>
            <w:hideMark/>
          </w:tcPr>
          <w:p w14:paraId="667C34F3" w14:textId="77777777" w:rsidR="003C2935" w:rsidRDefault="003C2935">
            <w:pPr>
              <w:spacing w:before="0" w:after="0" w:line="240" w:lineRule="auto"/>
              <w:rPr>
                <w:rFonts w:asciiTheme="majorHAnsi" w:hAnsiTheme="majorHAnsi"/>
                <w:b/>
                <w:bCs/>
                <w:color w:val="FFFFFF" w:themeColor="background1"/>
              </w:rPr>
            </w:pPr>
            <w:r>
              <w:rPr>
                <w:rFonts w:asciiTheme="majorHAnsi" w:hAnsiTheme="majorHAnsi"/>
                <w:b/>
                <w:bCs/>
                <w:color w:val="FFFFFF" w:themeColor="background1"/>
              </w:rPr>
              <w:t>Ključne skupine predelovalnih dejavnosti</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46083AD9"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Zaposleni, 2018</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44C6783D"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Zaposleni, 2020</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0CFF9B19"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Zaposleni, 2030</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44EDC6E1" w14:textId="7BABE60F" w:rsidR="003C2935" w:rsidRDefault="00780F73" w:rsidP="0058525A">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L</w:t>
            </w:r>
            <w:r w:rsidR="003C2935">
              <w:rPr>
                <w:rFonts w:asciiTheme="majorHAnsi" w:hAnsiTheme="majorHAnsi"/>
                <w:b/>
                <w:bCs/>
                <w:color w:val="FFFFFF" w:themeColor="background1"/>
              </w:rPr>
              <w:t xml:space="preserve">etna sprememba </w:t>
            </w:r>
            <w:proofErr w:type="spellStart"/>
            <w:r w:rsidR="003C2935">
              <w:rPr>
                <w:rFonts w:asciiTheme="majorHAnsi" w:hAnsiTheme="majorHAnsi"/>
                <w:b/>
                <w:bCs/>
                <w:color w:val="FFFFFF" w:themeColor="background1"/>
              </w:rPr>
              <w:t>zap</w:t>
            </w:r>
            <w:proofErr w:type="spellEnd"/>
            <w:r>
              <w:rPr>
                <w:rFonts w:asciiTheme="majorHAnsi" w:hAnsiTheme="majorHAnsi"/>
                <w:b/>
                <w:bCs/>
                <w:color w:val="FFFFFF" w:themeColor="background1"/>
              </w:rPr>
              <w:t>.</w:t>
            </w:r>
            <w:r w:rsidR="003C2935">
              <w:rPr>
                <w:rFonts w:asciiTheme="majorHAnsi" w:hAnsiTheme="majorHAnsi"/>
                <w:b/>
                <w:bCs/>
                <w:color w:val="FFFFFF" w:themeColor="background1"/>
              </w:rPr>
              <w:t xml:space="preserve"> </w:t>
            </w:r>
            <w:r>
              <w:rPr>
                <w:rFonts w:asciiTheme="majorHAnsi" w:hAnsiTheme="majorHAnsi"/>
                <w:b/>
                <w:bCs/>
                <w:color w:val="FFFFFF" w:themeColor="background1"/>
              </w:rPr>
              <w:t xml:space="preserve">v % </w:t>
            </w:r>
            <w:r w:rsidR="003C2935">
              <w:rPr>
                <w:rFonts w:asciiTheme="majorHAnsi" w:hAnsiTheme="majorHAnsi"/>
                <w:b/>
                <w:bCs/>
                <w:color w:val="FFFFFF" w:themeColor="background1"/>
              </w:rPr>
              <w:t>2019-2020</w:t>
            </w:r>
          </w:p>
        </w:tc>
        <w:tc>
          <w:tcPr>
            <w:tcW w:w="767" w:type="pct"/>
            <w:tcBorders>
              <w:top w:val="single" w:sz="4" w:space="0" w:color="8AB833" w:themeColor="accent2"/>
              <w:left w:val="nil"/>
              <w:bottom w:val="single" w:sz="4" w:space="0" w:color="8AB833" w:themeColor="accent2"/>
              <w:right w:val="single" w:sz="4" w:space="0" w:color="8AB833" w:themeColor="accent2"/>
            </w:tcBorders>
            <w:shd w:val="clear" w:color="auto" w:fill="8AB833" w:themeFill="accent2"/>
            <w:vAlign w:val="center"/>
            <w:hideMark/>
          </w:tcPr>
          <w:p w14:paraId="70F37370" w14:textId="444B6E84" w:rsidR="003C2935" w:rsidRDefault="00780F73" w:rsidP="0058525A">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L</w:t>
            </w:r>
            <w:r w:rsidR="003C2935">
              <w:rPr>
                <w:rFonts w:asciiTheme="majorHAnsi" w:hAnsiTheme="majorHAnsi"/>
                <w:b/>
                <w:bCs/>
                <w:color w:val="FFFFFF" w:themeColor="background1"/>
              </w:rPr>
              <w:t xml:space="preserve">etna sprememba </w:t>
            </w:r>
            <w:proofErr w:type="spellStart"/>
            <w:r w:rsidR="003C2935">
              <w:rPr>
                <w:rFonts w:asciiTheme="majorHAnsi" w:hAnsiTheme="majorHAnsi"/>
                <w:b/>
                <w:bCs/>
                <w:color w:val="FFFFFF" w:themeColor="background1"/>
              </w:rPr>
              <w:t>zap</w:t>
            </w:r>
            <w:proofErr w:type="spellEnd"/>
            <w:r>
              <w:rPr>
                <w:rFonts w:asciiTheme="majorHAnsi" w:hAnsiTheme="majorHAnsi"/>
                <w:b/>
                <w:bCs/>
                <w:color w:val="FFFFFF" w:themeColor="background1"/>
              </w:rPr>
              <w:t>. v %</w:t>
            </w:r>
            <w:r w:rsidR="003C2935">
              <w:rPr>
                <w:rFonts w:asciiTheme="majorHAnsi" w:hAnsiTheme="majorHAnsi"/>
                <w:b/>
                <w:bCs/>
                <w:color w:val="FFFFFF" w:themeColor="background1"/>
              </w:rPr>
              <w:t xml:space="preserve">  2021-2030</w:t>
            </w:r>
          </w:p>
        </w:tc>
      </w:tr>
      <w:tr w:rsidR="003C2935" w14:paraId="467D7541"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1510F9CB"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PREDEL. DEJ. SKUPAJ</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474B98A4" w14:textId="77777777" w:rsidR="003C2935" w:rsidRDefault="003C2935">
            <w:pPr>
              <w:spacing w:before="0" w:after="0" w:line="240" w:lineRule="auto"/>
              <w:jc w:val="right"/>
              <w:rPr>
                <w:rFonts w:asciiTheme="majorHAnsi" w:hAnsiTheme="majorHAnsi"/>
                <w:b/>
              </w:rPr>
            </w:pPr>
            <w:r>
              <w:rPr>
                <w:rFonts w:asciiTheme="majorHAnsi" w:hAnsiTheme="majorHAnsi"/>
                <w:b/>
              </w:rPr>
              <w:t>201.722</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3A2BB8C0" w14:textId="77777777" w:rsidR="003C2935" w:rsidRDefault="003C2935">
            <w:pPr>
              <w:spacing w:before="0" w:after="0" w:line="240" w:lineRule="auto"/>
              <w:jc w:val="right"/>
              <w:rPr>
                <w:rFonts w:asciiTheme="majorHAnsi" w:hAnsiTheme="majorHAnsi"/>
                <w:b/>
              </w:rPr>
            </w:pPr>
            <w:r>
              <w:rPr>
                <w:rFonts w:asciiTheme="majorHAnsi" w:hAnsiTheme="majorHAnsi"/>
                <w:b/>
              </w:rPr>
              <w:t>193.943</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hideMark/>
          </w:tcPr>
          <w:p w14:paraId="3A5B6A2D" w14:textId="77777777" w:rsidR="003C2935" w:rsidRDefault="003C2935">
            <w:pPr>
              <w:spacing w:before="0" w:after="0" w:line="240" w:lineRule="auto"/>
              <w:jc w:val="right"/>
              <w:rPr>
                <w:rFonts w:asciiTheme="majorHAnsi" w:hAnsiTheme="majorHAnsi"/>
                <w:b/>
              </w:rPr>
            </w:pPr>
            <w:r>
              <w:rPr>
                <w:rFonts w:asciiTheme="majorHAnsi" w:hAnsiTheme="majorHAnsi"/>
                <w:b/>
              </w:rPr>
              <w:t>179.222</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600524AD" w14:textId="77777777" w:rsidR="003C2935" w:rsidRDefault="003C2935">
            <w:pPr>
              <w:spacing w:before="0" w:after="0" w:line="240" w:lineRule="auto"/>
              <w:jc w:val="right"/>
              <w:rPr>
                <w:rFonts w:asciiTheme="majorHAnsi" w:hAnsiTheme="majorHAnsi"/>
                <w:b/>
              </w:rPr>
            </w:pPr>
            <w:r>
              <w:rPr>
                <w:rFonts w:asciiTheme="majorHAnsi" w:hAnsiTheme="majorHAnsi"/>
                <w:b/>
              </w:rPr>
              <w:t>-1,9%</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hideMark/>
          </w:tcPr>
          <w:p w14:paraId="405CE301" w14:textId="77777777" w:rsidR="003C2935" w:rsidRDefault="003C2935">
            <w:pPr>
              <w:spacing w:before="0" w:after="0" w:line="240" w:lineRule="auto"/>
              <w:jc w:val="right"/>
              <w:rPr>
                <w:rFonts w:asciiTheme="majorHAnsi" w:hAnsiTheme="majorHAnsi"/>
                <w:b/>
              </w:rPr>
            </w:pPr>
            <w:r>
              <w:rPr>
                <w:rFonts w:asciiTheme="majorHAnsi" w:hAnsiTheme="majorHAnsi"/>
                <w:b/>
              </w:rPr>
              <w:t>-0,8%</w:t>
            </w:r>
          </w:p>
        </w:tc>
      </w:tr>
      <w:tr w:rsidR="003C2935" w14:paraId="286C70AC"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56081AED"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Prehrambna</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0FFDC78C" w14:textId="77777777" w:rsidR="003C2935" w:rsidRDefault="003C2935">
            <w:pPr>
              <w:spacing w:before="0" w:after="0" w:line="240" w:lineRule="auto"/>
              <w:jc w:val="right"/>
              <w:rPr>
                <w:rFonts w:asciiTheme="majorHAnsi" w:hAnsiTheme="majorHAnsi"/>
              </w:rPr>
            </w:pPr>
            <w:r>
              <w:rPr>
                <w:rFonts w:asciiTheme="majorHAnsi" w:hAnsiTheme="majorHAnsi"/>
              </w:rPr>
              <w:t>16.338</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15DD0A59" w14:textId="77777777" w:rsidR="003C2935" w:rsidRDefault="003C2935">
            <w:pPr>
              <w:spacing w:before="0" w:after="0" w:line="240" w:lineRule="auto"/>
              <w:jc w:val="right"/>
              <w:rPr>
                <w:rFonts w:asciiTheme="majorHAnsi" w:hAnsiTheme="majorHAnsi"/>
              </w:rPr>
            </w:pPr>
            <w:r>
              <w:rPr>
                <w:rFonts w:asciiTheme="majorHAnsi" w:hAnsiTheme="majorHAnsi"/>
              </w:rPr>
              <w:t>16.338</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5BE2AC8E" w14:textId="77777777" w:rsidR="003C2935" w:rsidRDefault="003C2935">
            <w:pPr>
              <w:spacing w:before="0" w:after="0" w:line="240" w:lineRule="auto"/>
              <w:jc w:val="right"/>
              <w:rPr>
                <w:rFonts w:asciiTheme="majorHAnsi" w:hAnsiTheme="majorHAnsi"/>
              </w:rPr>
            </w:pPr>
            <w:r>
              <w:rPr>
                <w:rFonts w:asciiTheme="majorHAnsi" w:hAnsiTheme="majorHAnsi"/>
              </w:rPr>
              <w:t>14.046</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2202B494" w14:textId="77777777" w:rsidR="003C2935" w:rsidRDefault="003C2935">
            <w:pPr>
              <w:spacing w:before="0" w:after="0" w:line="240" w:lineRule="auto"/>
              <w:jc w:val="right"/>
              <w:rPr>
                <w:rFonts w:asciiTheme="majorHAnsi" w:hAnsiTheme="majorHAnsi"/>
              </w:rPr>
            </w:pPr>
            <w:r>
              <w:rPr>
                <w:rFonts w:asciiTheme="majorHAnsi" w:hAnsiTheme="majorHAnsi"/>
              </w:rPr>
              <w:t>0,0%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5CD6684E" w14:textId="77777777" w:rsidR="003C2935" w:rsidRDefault="003C2935">
            <w:pPr>
              <w:spacing w:before="0" w:after="0" w:line="240" w:lineRule="auto"/>
              <w:jc w:val="right"/>
              <w:rPr>
                <w:rFonts w:asciiTheme="majorHAnsi" w:hAnsiTheme="majorHAnsi"/>
              </w:rPr>
            </w:pPr>
            <w:r>
              <w:rPr>
                <w:rFonts w:asciiTheme="majorHAnsi" w:hAnsiTheme="majorHAnsi"/>
              </w:rPr>
              <w:t>-1,5%</w:t>
            </w:r>
          </w:p>
        </w:tc>
      </w:tr>
      <w:tr w:rsidR="003C2935" w14:paraId="399AB9CD"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632B4562"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Tekstilna</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0E11A4B6" w14:textId="77777777" w:rsidR="003C2935" w:rsidRDefault="003C2935">
            <w:pPr>
              <w:spacing w:before="0" w:after="0" w:line="240" w:lineRule="auto"/>
              <w:jc w:val="right"/>
              <w:rPr>
                <w:rFonts w:asciiTheme="majorHAnsi" w:hAnsiTheme="majorHAnsi"/>
              </w:rPr>
            </w:pPr>
            <w:r>
              <w:rPr>
                <w:rFonts w:asciiTheme="majorHAnsi" w:hAnsiTheme="majorHAnsi"/>
              </w:rPr>
              <w:t>9.163</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55E88101" w14:textId="77777777" w:rsidR="003C2935" w:rsidRDefault="003C2935">
            <w:pPr>
              <w:spacing w:before="0" w:after="0" w:line="240" w:lineRule="auto"/>
              <w:jc w:val="right"/>
              <w:rPr>
                <w:rFonts w:asciiTheme="majorHAnsi" w:hAnsiTheme="majorHAnsi"/>
              </w:rPr>
            </w:pPr>
            <w:r>
              <w:rPr>
                <w:rFonts w:asciiTheme="majorHAnsi" w:hAnsiTheme="majorHAnsi"/>
              </w:rPr>
              <w:t>8.800</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53A9E79E" w14:textId="77777777" w:rsidR="003C2935" w:rsidRDefault="003C2935">
            <w:pPr>
              <w:spacing w:before="0" w:after="0" w:line="240" w:lineRule="auto"/>
              <w:jc w:val="right"/>
              <w:rPr>
                <w:rFonts w:asciiTheme="majorHAnsi" w:hAnsiTheme="majorHAnsi"/>
              </w:rPr>
            </w:pPr>
            <w:r>
              <w:rPr>
                <w:rFonts w:asciiTheme="majorHAnsi" w:hAnsiTheme="majorHAnsi"/>
              </w:rPr>
              <w:t>6.624</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38277396" w14:textId="77777777" w:rsidR="003C2935" w:rsidRDefault="003C2935">
            <w:pPr>
              <w:spacing w:before="0" w:after="0" w:line="240" w:lineRule="auto"/>
              <w:jc w:val="right"/>
              <w:rPr>
                <w:rFonts w:asciiTheme="majorHAnsi" w:hAnsiTheme="majorHAnsi"/>
              </w:rPr>
            </w:pPr>
            <w:r>
              <w:rPr>
                <w:rFonts w:asciiTheme="majorHAnsi" w:hAnsiTheme="majorHAnsi"/>
              </w:rPr>
              <w:t>-2,0%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5C8A1D81" w14:textId="77777777" w:rsidR="003C2935" w:rsidRDefault="003C2935">
            <w:pPr>
              <w:spacing w:before="0" w:after="0" w:line="240" w:lineRule="auto"/>
              <w:jc w:val="right"/>
              <w:rPr>
                <w:rFonts w:asciiTheme="majorHAnsi" w:hAnsiTheme="majorHAnsi"/>
              </w:rPr>
            </w:pPr>
            <w:r>
              <w:rPr>
                <w:rFonts w:asciiTheme="majorHAnsi" w:hAnsiTheme="majorHAnsi"/>
              </w:rPr>
              <w:t>-2,8%</w:t>
            </w:r>
          </w:p>
        </w:tc>
      </w:tr>
      <w:tr w:rsidR="003C2935" w14:paraId="3FF5DC97"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7FD6C270"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Lesna</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6CEE4223" w14:textId="77777777" w:rsidR="003C2935" w:rsidRDefault="003C2935">
            <w:pPr>
              <w:spacing w:before="0" w:after="0" w:line="240" w:lineRule="auto"/>
              <w:jc w:val="right"/>
              <w:rPr>
                <w:rFonts w:asciiTheme="majorHAnsi" w:hAnsiTheme="majorHAnsi"/>
              </w:rPr>
            </w:pPr>
            <w:r>
              <w:rPr>
                <w:rFonts w:asciiTheme="majorHAnsi" w:hAnsiTheme="majorHAnsi"/>
              </w:rPr>
              <w:t>12.808</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0B6C37DF" w14:textId="77777777" w:rsidR="003C2935" w:rsidRDefault="003C2935">
            <w:pPr>
              <w:spacing w:before="0" w:after="0" w:line="240" w:lineRule="auto"/>
              <w:jc w:val="right"/>
              <w:rPr>
                <w:rFonts w:asciiTheme="majorHAnsi" w:hAnsiTheme="majorHAnsi"/>
              </w:rPr>
            </w:pPr>
            <w:r>
              <w:rPr>
                <w:rFonts w:asciiTheme="majorHAnsi" w:hAnsiTheme="majorHAnsi"/>
              </w:rPr>
              <w:t>12.051</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51A822ED" w14:textId="77777777" w:rsidR="003C2935" w:rsidRDefault="003C2935">
            <w:pPr>
              <w:spacing w:before="0" w:after="0" w:line="240" w:lineRule="auto"/>
              <w:jc w:val="right"/>
              <w:rPr>
                <w:rFonts w:asciiTheme="majorHAnsi" w:hAnsiTheme="majorHAnsi"/>
              </w:rPr>
            </w:pPr>
            <w:r>
              <w:rPr>
                <w:rFonts w:asciiTheme="majorHAnsi" w:hAnsiTheme="majorHAnsi"/>
              </w:rPr>
              <w:t>9.847</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3A50D1CA" w14:textId="77777777" w:rsidR="003C2935" w:rsidRDefault="003C2935">
            <w:pPr>
              <w:spacing w:before="0" w:after="0" w:line="240" w:lineRule="auto"/>
              <w:jc w:val="right"/>
              <w:rPr>
                <w:rFonts w:asciiTheme="majorHAnsi" w:hAnsiTheme="majorHAnsi"/>
              </w:rPr>
            </w:pPr>
            <w:r>
              <w:rPr>
                <w:rFonts w:asciiTheme="majorHAnsi" w:hAnsiTheme="majorHAnsi"/>
              </w:rPr>
              <w:t>-3,0%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498CF73E" w14:textId="77777777" w:rsidR="003C2935" w:rsidRDefault="003C2935">
            <w:pPr>
              <w:spacing w:before="0" w:after="0" w:line="240" w:lineRule="auto"/>
              <w:jc w:val="right"/>
              <w:rPr>
                <w:rFonts w:asciiTheme="majorHAnsi" w:hAnsiTheme="majorHAnsi"/>
              </w:rPr>
            </w:pPr>
            <w:r>
              <w:rPr>
                <w:rFonts w:asciiTheme="majorHAnsi" w:hAnsiTheme="majorHAnsi"/>
              </w:rPr>
              <w:t>-2,0%</w:t>
            </w:r>
          </w:p>
        </w:tc>
      </w:tr>
      <w:tr w:rsidR="003C2935" w14:paraId="334534E2"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561C693E"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Papirna</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1AFE47F1" w14:textId="77777777" w:rsidR="003C2935" w:rsidRDefault="003C2935">
            <w:pPr>
              <w:spacing w:before="0" w:after="0" w:line="240" w:lineRule="auto"/>
              <w:jc w:val="right"/>
              <w:rPr>
                <w:rFonts w:asciiTheme="majorHAnsi" w:hAnsiTheme="majorHAnsi"/>
              </w:rPr>
            </w:pPr>
            <w:r>
              <w:rPr>
                <w:rFonts w:asciiTheme="majorHAnsi" w:hAnsiTheme="majorHAnsi"/>
              </w:rPr>
              <w:t>8.208</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281AA8EA" w14:textId="77777777" w:rsidR="003C2935" w:rsidRDefault="003C2935">
            <w:pPr>
              <w:spacing w:before="0" w:after="0" w:line="240" w:lineRule="auto"/>
              <w:jc w:val="right"/>
              <w:rPr>
                <w:rFonts w:asciiTheme="majorHAnsi" w:hAnsiTheme="majorHAnsi"/>
              </w:rPr>
            </w:pPr>
            <w:r>
              <w:rPr>
                <w:rFonts w:asciiTheme="majorHAnsi" w:hAnsiTheme="majorHAnsi"/>
              </w:rPr>
              <w:t>7.883</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21CEF3F9" w14:textId="77777777" w:rsidR="003C2935" w:rsidRDefault="003C2935">
            <w:pPr>
              <w:spacing w:before="0" w:after="0" w:line="240" w:lineRule="auto"/>
              <w:jc w:val="right"/>
              <w:rPr>
                <w:rFonts w:asciiTheme="majorHAnsi" w:hAnsiTheme="majorHAnsi"/>
              </w:rPr>
            </w:pPr>
            <w:r>
              <w:rPr>
                <w:rFonts w:asciiTheme="majorHAnsi" w:hAnsiTheme="majorHAnsi"/>
              </w:rPr>
              <w:t>6.441</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1B725E91" w14:textId="77777777" w:rsidR="003C2935" w:rsidRDefault="003C2935">
            <w:pPr>
              <w:spacing w:before="0" w:after="0" w:line="240" w:lineRule="auto"/>
              <w:jc w:val="right"/>
              <w:rPr>
                <w:rFonts w:asciiTheme="majorHAnsi" w:hAnsiTheme="majorHAnsi"/>
              </w:rPr>
            </w:pPr>
            <w:r>
              <w:rPr>
                <w:rFonts w:asciiTheme="majorHAnsi" w:hAnsiTheme="majorHAnsi"/>
              </w:rPr>
              <w:t>-2,0%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0DA2A29E" w14:textId="77777777" w:rsidR="003C2935" w:rsidRDefault="003C2935">
            <w:pPr>
              <w:spacing w:before="0" w:after="0" w:line="240" w:lineRule="auto"/>
              <w:jc w:val="right"/>
              <w:rPr>
                <w:rFonts w:asciiTheme="majorHAnsi" w:hAnsiTheme="majorHAnsi"/>
              </w:rPr>
            </w:pPr>
            <w:r>
              <w:rPr>
                <w:rFonts w:asciiTheme="majorHAnsi" w:hAnsiTheme="majorHAnsi"/>
              </w:rPr>
              <w:t>-2,0%</w:t>
            </w:r>
          </w:p>
        </w:tc>
      </w:tr>
      <w:tr w:rsidR="003C2935" w14:paraId="268ECE0C"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010A7F66"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Kemična</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0AC60F80" w14:textId="77777777" w:rsidR="003C2935" w:rsidRDefault="003C2935">
            <w:pPr>
              <w:spacing w:before="0" w:after="0" w:line="240" w:lineRule="auto"/>
              <w:jc w:val="right"/>
              <w:rPr>
                <w:rFonts w:asciiTheme="majorHAnsi" w:hAnsiTheme="majorHAnsi"/>
              </w:rPr>
            </w:pPr>
            <w:r>
              <w:rPr>
                <w:rFonts w:asciiTheme="majorHAnsi" w:hAnsiTheme="majorHAnsi"/>
              </w:rPr>
              <w:t>31.987</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6B4D51C1" w14:textId="77777777" w:rsidR="003C2935" w:rsidRDefault="003C2935">
            <w:pPr>
              <w:spacing w:before="0" w:after="0" w:line="240" w:lineRule="auto"/>
              <w:jc w:val="right"/>
              <w:rPr>
                <w:rFonts w:asciiTheme="majorHAnsi" w:hAnsiTheme="majorHAnsi"/>
              </w:rPr>
            </w:pPr>
            <w:r>
              <w:rPr>
                <w:rFonts w:asciiTheme="majorHAnsi" w:hAnsiTheme="majorHAnsi"/>
              </w:rPr>
              <w:t>31.668</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10463D8F" w14:textId="77777777" w:rsidR="003C2935" w:rsidRDefault="003C2935">
            <w:pPr>
              <w:spacing w:before="0" w:after="0" w:line="240" w:lineRule="auto"/>
              <w:jc w:val="right"/>
              <w:rPr>
                <w:rFonts w:asciiTheme="majorHAnsi" w:hAnsiTheme="majorHAnsi"/>
              </w:rPr>
            </w:pPr>
            <w:r>
              <w:rPr>
                <w:rFonts w:asciiTheme="majorHAnsi" w:hAnsiTheme="majorHAnsi"/>
              </w:rPr>
              <w:t>27.226</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71B44A1F" w14:textId="77777777" w:rsidR="003C2935" w:rsidRDefault="003C2935">
            <w:pPr>
              <w:spacing w:before="0" w:after="0" w:line="240" w:lineRule="auto"/>
              <w:jc w:val="right"/>
              <w:rPr>
                <w:rFonts w:asciiTheme="majorHAnsi" w:hAnsiTheme="majorHAnsi"/>
              </w:rPr>
            </w:pPr>
            <w:r>
              <w:rPr>
                <w:rFonts w:asciiTheme="majorHAnsi" w:hAnsiTheme="majorHAnsi"/>
              </w:rPr>
              <w:t>-0,5%</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2C8C89CA" w14:textId="77777777" w:rsidR="003C2935" w:rsidRDefault="003C2935">
            <w:pPr>
              <w:spacing w:before="0" w:after="0" w:line="240" w:lineRule="auto"/>
              <w:jc w:val="right"/>
              <w:rPr>
                <w:rFonts w:asciiTheme="majorHAnsi" w:hAnsiTheme="majorHAnsi"/>
              </w:rPr>
            </w:pPr>
            <w:r>
              <w:rPr>
                <w:rFonts w:asciiTheme="majorHAnsi" w:hAnsiTheme="majorHAnsi"/>
              </w:rPr>
              <w:t>-1,5%</w:t>
            </w:r>
          </w:p>
        </w:tc>
      </w:tr>
      <w:tr w:rsidR="003C2935" w14:paraId="0F768BD9"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4F8356A9"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Nekovinska</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7CA062FD" w14:textId="77777777" w:rsidR="003C2935" w:rsidRDefault="003C2935">
            <w:pPr>
              <w:spacing w:before="0" w:after="0" w:line="240" w:lineRule="auto"/>
              <w:jc w:val="right"/>
              <w:rPr>
                <w:rFonts w:asciiTheme="majorHAnsi" w:hAnsiTheme="majorHAnsi"/>
              </w:rPr>
            </w:pPr>
            <w:r>
              <w:rPr>
                <w:rFonts w:asciiTheme="majorHAnsi" w:hAnsiTheme="majorHAnsi"/>
              </w:rPr>
              <w:t>6.998</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30027CB2" w14:textId="77777777" w:rsidR="003C2935" w:rsidRDefault="003C2935">
            <w:pPr>
              <w:spacing w:before="0" w:after="0" w:line="240" w:lineRule="auto"/>
              <w:jc w:val="right"/>
              <w:rPr>
                <w:rFonts w:asciiTheme="majorHAnsi" w:hAnsiTheme="majorHAnsi"/>
              </w:rPr>
            </w:pPr>
            <w:r>
              <w:rPr>
                <w:rFonts w:asciiTheme="majorHAnsi" w:hAnsiTheme="majorHAnsi"/>
              </w:rPr>
              <w:t>6.721</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6A768B02" w14:textId="77777777" w:rsidR="003C2935" w:rsidRDefault="003C2935">
            <w:pPr>
              <w:spacing w:before="0" w:after="0" w:line="240" w:lineRule="auto"/>
              <w:jc w:val="right"/>
              <w:rPr>
                <w:rFonts w:asciiTheme="majorHAnsi" w:hAnsiTheme="majorHAnsi"/>
              </w:rPr>
            </w:pPr>
            <w:r>
              <w:rPr>
                <w:rFonts w:asciiTheme="majorHAnsi" w:hAnsiTheme="majorHAnsi"/>
              </w:rPr>
              <w:t>5.778</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60BFBD77" w14:textId="77777777" w:rsidR="003C2935" w:rsidRDefault="003C2935">
            <w:pPr>
              <w:spacing w:before="0" w:after="0" w:line="240" w:lineRule="auto"/>
              <w:jc w:val="right"/>
              <w:rPr>
                <w:rFonts w:asciiTheme="majorHAnsi" w:hAnsiTheme="majorHAnsi"/>
              </w:rPr>
            </w:pPr>
            <w:r>
              <w:rPr>
                <w:rFonts w:asciiTheme="majorHAnsi" w:hAnsiTheme="majorHAnsi"/>
              </w:rPr>
              <w:t>-2,0%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36D47418" w14:textId="77777777" w:rsidR="003C2935" w:rsidRDefault="003C2935">
            <w:pPr>
              <w:spacing w:before="0" w:after="0" w:line="240" w:lineRule="auto"/>
              <w:jc w:val="right"/>
              <w:rPr>
                <w:rFonts w:asciiTheme="majorHAnsi" w:hAnsiTheme="majorHAnsi"/>
              </w:rPr>
            </w:pPr>
            <w:r>
              <w:rPr>
                <w:rFonts w:asciiTheme="majorHAnsi" w:hAnsiTheme="majorHAnsi"/>
              </w:rPr>
              <w:t>-1,5%</w:t>
            </w:r>
          </w:p>
        </w:tc>
      </w:tr>
      <w:tr w:rsidR="003C2935" w14:paraId="77DF1048"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51DFB01D"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Kovinska</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0D742FCA" w14:textId="77777777" w:rsidR="003C2935" w:rsidRDefault="003C2935">
            <w:pPr>
              <w:spacing w:before="0" w:after="0" w:line="240" w:lineRule="auto"/>
              <w:jc w:val="right"/>
              <w:rPr>
                <w:rFonts w:asciiTheme="majorHAnsi" w:hAnsiTheme="majorHAnsi"/>
              </w:rPr>
            </w:pPr>
            <w:r>
              <w:rPr>
                <w:rFonts w:asciiTheme="majorHAnsi" w:hAnsiTheme="majorHAnsi"/>
              </w:rPr>
              <w:t>42.698</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3D5A1766" w14:textId="77777777" w:rsidR="003C2935" w:rsidRDefault="003C2935">
            <w:pPr>
              <w:spacing w:before="0" w:after="0" w:line="240" w:lineRule="auto"/>
              <w:jc w:val="right"/>
              <w:rPr>
                <w:rFonts w:asciiTheme="majorHAnsi" w:hAnsiTheme="majorHAnsi"/>
              </w:rPr>
            </w:pPr>
            <w:r>
              <w:rPr>
                <w:rFonts w:asciiTheme="majorHAnsi" w:hAnsiTheme="majorHAnsi"/>
              </w:rPr>
              <w:t>40.590</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444074AD" w14:textId="77777777" w:rsidR="003C2935" w:rsidRDefault="003C2935">
            <w:pPr>
              <w:spacing w:before="0" w:after="0" w:line="240" w:lineRule="auto"/>
              <w:jc w:val="right"/>
              <w:rPr>
                <w:rFonts w:asciiTheme="majorHAnsi" w:hAnsiTheme="majorHAnsi"/>
              </w:rPr>
            </w:pPr>
            <w:r>
              <w:rPr>
                <w:rFonts w:asciiTheme="majorHAnsi" w:hAnsiTheme="majorHAnsi"/>
              </w:rPr>
              <w:t>34.896</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77C8FBC4" w14:textId="77777777" w:rsidR="003C2935" w:rsidRDefault="003C2935">
            <w:pPr>
              <w:spacing w:before="0" w:after="0" w:line="240" w:lineRule="auto"/>
              <w:jc w:val="right"/>
              <w:rPr>
                <w:rFonts w:asciiTheme="majorHAnsi" w:hAnsiTheme="majorHAnsi"/>
              </w:rPr>
            </w:pPr>
            <w:r>
              <w:rPr>
                <w:rFonts w:asciiTheme="majorHAnsi" w:hAnsiTheme="majorHAnsi"/>
              </w:rPr>
              <w:t>-2,5%</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746F961F" w14:textId="77777777" w:rsidR="003C2935" w:rsidRDefault="003C2935">
            <w:pPr>
              <w:spacing w:before="0" w:after="0" w:line="240" w:lineRule="auto"/>
              <w:jc w:val="right"/>
              <w:rPr>
                <w:rFonts w:asciiTheme="majorHAnsi" w:hAnsiTheme="majorHAnsi"/>
              </w:rPr>
            </w:pPr>
            <w:r>
              <w:rPr>
                <w:rFonts w:asciiTheme="majorHAnsi" w:hAnsiTheme="majorHAnsi"/>
              </w:rPr>
              <w:t>-1,5%</w:t>
            </w:r>
          </w:p>
        </w:tc>
      </w:tr>
      <w:tr w:rsidR="003C2935" w14:paraId="77C44FCD"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43807F16"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Elektro</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33983C3F" w14:textId="77777777" w:rsidR="003C2935" w:rsidRDefault="003C2935">
            <w:pPr>
              <w:spacing w:before="0" w:after="0" w:line="240" w:lineRule="auto"/>
              <w:jc w:val="right"/>
              <w:rPr>
                <w:rFonts w:asciiTheme="majorHAnsi" w:hAnsiTheme="majorHAnsi"/>
              </w:rPr>
            </w:pPr>
            <w:r>
              <w:rPr>
                <w:rFonts w:asciiTheme="majorHAnsi" w:hAnsiTheme="majorHAnsi"/>
              </w:rPr>
              <w:t>28.023</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724BFAC6" w14:textId="77777777" w:rsidR="003C2935" w:rsidRDefault="003C2935">
            <w:pPr>
              <w:spacing w:before="0" w:after="0" w:line="240" w:lineRule="auto"/>
              <w:jc w:val="right"/>
              <w:rPr>
                <w:rFonts w:asciiTheme="majorHAnsi" w:hAnsiTheme="majorHAnsi"/>
              </w:rPr>
            </w:pPr>
            <w:r>
              <w:rPr>
                <w:rFonts w:asciiTheme="majorHAnsi" w:hAnsiTheme="majorHAnsi"/>
              </w:rPr>
              <w:t>26.913</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67E07F7B" w14:textId="77777777" w:rsidR="003C2935" w:rsidRDefault="003C2935">
            <w:pPr>
              <w:spacing w:before="0" w:after="0" w:line="240" w:lineRule="auto"/>
              <w:jc w:val="right"/>
              <w:rPr>
                <w:rFonts w:asciiTheme="majorHAnsi" w:hAnsiTheme="majorHAnsi"/>
              </w:rPr>
            </w:pPr>
            <w:r>
              <w:rPr>
                <w:rFonts w:asciiTheme="majorHAnsi" w:hAnsiTheme="majorHAnsi"/>
              </w:rPr>
              <w:t>29.729</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2A876DC6" w14:textId="77777777" w:rsidR="003C2935" w:rsidRDefault="003C2935">
            <w:pPr>
              <w:spacing w:before="0" w:after="0" w:line="240" w:lineRule="auto"/>
              <w:jc w:val="right"/>
              <w:rPr>
                <w:rFonts w:asciiTheme="majorHAnsi" w:hAnsiTheme="majorHAnsi"/>
              </w:rPr>
            </w:pPr>
            <w:r>
              <w:rPr>
                <w:rFonts w:asciiTheme="majorHAnsi" w:hAnsiTheme="majorHAnsi"/>
              </w:rPr>
              <w:t>-2,0%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288B0179" w14:textId="77777777" w:rsidR="003C2935" w:rsidRDefault="003C2935">
            <w:pPr>
              <w:spacing w:before="0" w:after="0" w:line="240" w:lineRule="auto"/>
              <w:jc w:val="right"/>
              <w:rPr>
                <w:rFonts w:asciiTheme="majorHAnsi" w:hAnsiTheme="majorHAnsi"/>
              </w:rPr>
            </w:pPr>
            <w:r>
              <w:rPr>
                <w:rFonts w:asciiTheme="majorHAnsi" w:hAnsiTheme="majorHAnsi"/>
              </w:rPr>
              <w:t>1,0%</w:t>
            </w:r>
          </w:p>
        </w:tc>
      </w:tr>
      <w:tr w:rsidR="003C2935" w14:paraId="37E5E12E"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41366B4D"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Strojna</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5FBF3E50" w14:textId="77777777" w:rsidR="003C2935" w:rsidRDefault="003C2935">
            <w:pPr>
              <w:spacing w:before="0" w:after="0" w:line="240" w:lineRule="auto"/>
              <w:jc w:val="right"/>
              <w:rPr>
                <w:rFonts w:asciiTheme="majorHAnsi" w:hAnsiTheme="majorHAnsi"/>
              </w:rPr>
            </w:pPr>
            <w:r>
              <w:rPr>
                <w:rFonts w:asciiTheme="majorHAnsi" w:hAnsiTheme="majorHAnsi"/>
              </w:rPr>
              <w:t>41.185</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46C67EFE" w14:textId="77777777" w:rsidR="003C2935" w:rsidRDefault="003C2935">
            <w:pPr>
              <w:spacing w:before="0" w:after="0" w:line="240" w:lineRule="auto"/>
              <w:jc w:val="right"/>
              <w:rPr>
                <w:rFonts w:asciiTheme="majorHAnsi" w:hAnsiTheme="majorHAnsi"/>
              </w:rPr>
            </w:pPr>
            <w:r>
              <w:rPr>
                <w:rFonts w:asciiTheme="majorHAnsi" w:hAnsiTheme="majorHAnsi"/>
              </w:rPr>
              <w:t>38.751</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4802C0BF" w14:textId="77777777" w:rsidR="003C2935" w:rsidRDefault="003C2935">
            <w:pPr>
              <w:spacing w:before="0" w:after="0" w:line="240" w:lineRule="auto"/>
              <w:jc w:val="right"/>
              <w:rPr>
                <w:rFonts w:asciiTheme="majorHAnsi" w:hAnsiTheme="majorHAnsi"/>
              </w:rPr>
            </w:pPr>
            <w:r>
              <w:rPr>
                <w:rFonts w:asciiTheme="majorHAnsi" w:hAnsiTheme="majorHAnsi"/>
              </w:rPr>
              <w:t>40.733</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2CA93D80" w14:textId="77777777" w:rsidR="003C2935" w:rsidRDefault="003C2935">
            <w:pPr>
              <w:spacing w:before="0" w:after="0" w:line="240" w:lineRule="auto"/>
              <w:jc w:val="right"/>
              <w:rPr>
                <w:rFonts w:asciiTheme="majorHAnsi" w:hAnsiTheme="majorHAnsi"/>
              </w:rPr>
            </w:pPr>
            <w:r>
              <w:rPr>
                <w:rFonts w:asciiTheme="majorHAnsi" w:hAnsiTheme="majorHAnsi"/>
              </w:rPr>
              <w:t>-3,0%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73A9105E" w14:textId="77777777" w:rsidR="003C2935" w:rsidRDefault="003C2935">
            <w:pPr>
              <w:spacing w:before="0" w:after="0" w:line="240" w:lineRule="auto"/>
              <w:jc w:val="right"/>
              <w:rPr>
                <w:rFonts w:asciiTheme="majorHAnsi" w:hAnsiTheme="majorHAnsi"/>
              </w:rPr>
            </w:pPr>
            <w:r>
              <w:rPr>
                <w:rFonts w:asciiTheme="majorHAnsi" w:hAnsiTheme="majorHAnsi"/>
              </w:rPr>
              <w:t>0,5%</w:t>
            </w:r>
          </w:p>
        </w:tc>
      </w:tr>
      <w:tr w:rsidR="003C2935" w14:paraId="33D1BD68"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08FC8572"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Druge</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5A9810D2" w14:textId="77777777" w:rsidR="003C2935" w:rsidRDefault="003C2935">
            <w:pPr>
              <w:spacing w:before="0" w:after="0" w:line="240" w:lineRule="auto"/>
              <w:jc w:val="right"/>
              <w:rPr>
                <w:rFonts w:asciiTheme="majorHAnsi" w:hAnsiTheme="majorHAnsi"/>
              </w:rPr>
            </w:pPr>
            <w:r>
              <w:rPr>
                <w:rFonts w:asciiTheme="majorHAnsi" w:hAnsiTheme="majorHAnsi"/>
              </w:rPr>
              <w:t>4.314</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16CA4127" w14:textId="77777777" w:rsidR="003C2935" w:rsidRDefault="003C2935">
            <w:pPr>
              <w:spacing w:before="0" w:after="0" w:line="240" w:lineRule="auto"/>
              <w:jc w:val="right"/>
              <w:rPr>
                <w:rFonts w:asciiTheme="majorHAnsi" w:hAnsiTheme="majorHAnsi"/>
              </w:rPr>
            </w:pPr>
            <w:r>
              <w:rPr>
                <w:rFonts w:asciiTheme="majorHAnsi" w:hAnsiTheme="majorHAnsi"/>
              </w:rPr>
              <w:t>4.228</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6832281E" w14:textId="77777777" w:rsidR="003C2935" w:rsidRDefault="003C2935">
            <w:pPr>
              <w:spacing w:before="0" w:after="0" w:line="240" w:lineRule="auto"/>
              <w:jc w:val="right"/>
              <w:rPr>
                <w:rFonts w:asciiTheme="majorHAnsi" w:hAnsiTheme="majorHAnsi"/>
              </w:rPr>
            </w:pPr>
            <w:r>
              <w:rPr>
                <w:rFonts w:asciiTheme="majorHAnsi" w:hAnsiTheme="majorHAnsi"/>
              </w:rPr>
              <w:t>3.902</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6739F484" w14:textId="77777777" w:rsidR="003C2935" w:rsidRDefault="003C2935">
            <w:pPr>
              <w:spacing w:before="0" w:after="0" w:line="240" w:lineRule="auto"/>
              <w:jc w:val="right"/>
              <w:rPr>
                <w:rFonts w:asciiTheme="majorHAnsi" w:hAnsiTheme="majorHAnsi"/>
              </w:rPr>
            </w:pPr>
            <w:r>
              <w:rPr>
                <w:rFonts w:asciiTheme="majorHAnsi" w:hAnsiTheme="majorHAnsi"/>
              </w:rPr>
              <w:t>-1,0%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35666231" w14:textId="77777777" w:rsidR="003C2935" w:rsidRDefault="003C2935">
            <w:pPr>
              <w:spacing w:before="0" w:after="0" w:line="240" w:lineRule="auto"/>
              <w:jc w:val="right"/>
              <w:rPr>
                <w:rFonts w:asciiTheme="majorHAnsi" w:hAnsiTheme="majorHAnsi"/>
              </w:rPr>
            </w:pPr>
            <w:r>
              <w:rPr>
                <w:rFonts w:asciiTheme="majorHAnsi" w:hAnsiTheme="majorHAnsi"/>
              </w:rPr>
              <w:t>-0,8%</w:t>
            </w:r>
          </w:p>
        </w:tc>
      </w:tr>
    </w:tbl>
    <w:p w14:paraId="105BFCD3" w14:textId="5CBC67A9" w:rsidR="003C2935" w:rsidRDefault="003C2935" w:rsidP="003C2935">
      <w:pPr>
        <w:spacing w:before="20"/>
        <w:jc w:val="both"/>
        <w:rPr>
          <w:i/>
        </w:rPr>
      </w:pPr>
      <w:r>
        <w:rPr>
          <w:i/>
        </w:rPr>
        <w:t>Vira: Statistični urad RS, napoved Analitike GZS</w:t>
      </w:r>
    </w:p>
    <w:p w14:paraId="42E1ACFD" w14:textId="1B829F1F" w:rsidR="00155719" w:rsidRDefault="00155719" w:rsidP="003C2935">
      <w:pPr>
        <w:spacing w:before="20"/>
        <w:jc w:val="both"/>
        <w:rPr>
          <w:i/>
        </w:rPr>
      </w:pPr>
    </w:p>
    <w:p w14:paraId="7D1F368F" w14:textId="0156B227" w:rsidR="00155719" w:rsidRDefault="00155719" w:rsidP="003C2935">
      <w:pPr>
        <w:spacing w:before="20"/>
        <w:jc w:val="both"/>
        <w:rPr>
          <w:i/>
        </w:rPr>
      </w:pPr>
    </w:p>
    <w:p w14:paraId="75FD3E08" w14:textId="77777777" w:rsidR="00155719" w:rsidRDefault="00155719" w:rsidP="003C2935">
      <w:pPr>
        <w:spacing w:before="20"/>
        <w:jc w:val="both"/>
        <w:rPr>
          <w:i/>
        </w:rPr>
      </w:pPr>
    </w:p>
    <w:tbl>
      <w:tblPr>
        <w:tblStyle w:val="Tabelamrea"/>
        <w:tblW w:w="0" w:type="auto"/>
        <w:tblLook w:val="04A0" w:firstRow="1" w:lastRow="0" w:firstColumn="1" w:lastColumn="0" w:noHBand="0" w:noVBand="1"/>
      </w:tblPr>
      <w:tblGrid>
        <w:gridCol w:w="9062"/>
      </w:tblGrid>
      <w:tr w:rsidR="0015542F" w14:paraId="53928DEA" w14:textId="77777777" w:rsidTr="008D2B46">
        <w:tc>
          <w:tcPr>
            <w:tcW w:w="9062" w:type="dxa"/>
            <w:shd w:val="clear" w:color="auto" w:fill="BADB7D" w:themeFill="accent2" w:themeFillTint="99"/>
          </w:tcPr>
          <w:p w14:paraId="33FEED6A" w14:textId="77777777" w:rsidR="0015542F" w:rsidRDefault="0015542F" w:rsidP="0015542F">
            <w:pPr>
              <w:jc w:val="both"/>
              <w:rPr>
                <w:b/>
                <w:bCs/>
              </w:rPr>
            </w:pPr>
            <w:r w:rsidRPr="00D87173">
              <w:rPr>
                <w:b/>
                <w:bCs/>
              </w:rPr>
              <w:t>Spremenjena struktura sodobnega gospodarstva</w:t>
            </w:r>
          </w:p>
          <w:p w14:paraId="55E6CF47" w14:textId="77777777" w:rsidR="0015542F" w:rsidRPr="00D87173" w:rsidRDefault="0015542F" w:rsidP="0015542F">
            <w:pPr>
              <w:jc w:val="both"/>
              <w:rPr>
                <w:b/>
                <w:bCs/>
              </w:rPr>
            </w:pPr>
          </w:p>
          <w:p w14:paraId="12AAB37B" w14:textId="68C12166" w:rsidR="0015542F" w:rsidRDefault="0015542F" w:rsidP="0015542F">
            <w:pPr>
              <w:jc w:val="both"/>
            </w:pPr>
            <w:r w:rsidRPr="009005DA">
              <w:t>Dinamik</w:t>
            </w:r>
            <w:r w:rsidR="00750BB2">
              <w:t>i</w:t>
            </w:r>
            <w:r w:rsidRPr="009005DA">
              <w:t xml:space="preserve"> zmanjševanja zaposlenih v </w:t>
            </w:r>
            <w:r>
              <w:t xml:space="preserve">glavnini </w:t>
            </w:r>
            <w:r w:rsidRPr="009005DA">
              <w:t xml:space="preserve">predelovalnih dejavnostih bo sledila </w:t>
            </w:r>
            <w:r>
              <w:t xml:space="preserve">vzporedna </w:t>
            </w:r>
            <w:r w:rsidRPr="009005DA">
              <w:t>rast zaposlovanje v storitvenih sektorjih, ki so vezan</w:t>
            </w:r>
            <w:r w:rsidR="00750BB2">
              <w:t>i</w:t>
            </w:r>
            <w:r w:rsidRPr="009005DA">
              <w:t xml:space="preserve"> na predelovalno dejavnost, še poseb</w:t>
            </w:r>
            <w:r w:rsidR="00750BB2">
              <w:t>ej</w:t>
            </w:r>
            <w:r w:rsidRPr="009005DA">
              <w:t xml:space="preserve"> v dejavnosti zaposlovanja </w:t>
            </w:r>
            <w:r>
              <w:t xml:space="preserve">napotene </w:t>
            </w:r>
            <w:r w:rsidRPr="009005DA">
              <w:t>delovne sile, montaže</w:t>
            </w:r>
            <w:r>
              <w:t>, kreativnih industrij, pravnega, davčne</w:t>
            </w:r>
            <w:r w:rsidR="00750BB2">
              <w:t>ga</w:t>
            </w:r>
            <w:r>
              <w:t>, poslovnega svetovanja, čiščenja in vrste drugih podpornih funkcij. Trendi izločanja podpornih funkcij iz matičnih družb bodo posledica optimizacije poslovnih modelov po vzorih najuspešnejših družb v tujini. Z drugimi besedami to pomeni, da se bo multiplikator zaposlovanja predelovalnih dejavnosti do 2030 povečeval (vsako delovno mesto v predelovalnih dejavnosti bo v večji meri prispevalo k novem</w:t>
            </w:r>
            <w:r w:rsidR="00750BB2">
              <w:t>u</w:t>
            </w:r>
            <w:r>
              <w:t xml:space="preserve"> delovnem</w:t>
            </w:r>
            <w:r w:rsidR="00750BB2">
              <w:t>u</w:t>
            </w:r>
            <w:r>
              <w:t xml:space="preserve"> mestu v storitvenem delu gospodarstva).  </w:t>
            </w:r>
          </w:p>
          <w:p w14:paraId="39B4439C" w14:textId="77777777" w:rsidR="001A6A69" w:rsidRDefault="001A6A69" w:rsidP="0015542F">
            <w:pPr>
              <w:jc w:val="both"/>
            </w:pPr>
          </w:p>
        </w:tc>
      </w:tr>
    </w:tbl>
    <w:p w14:paraId="19EFD868" w14:textId="77777777" w:rsidR="00155719" w:rsidRDefault="00155719" w:rsidP="003C2935">
      <w:pPr>
        <w:rPr>
          <w:b/>
          <w:bCs/>
        </w:rPr>
      </w:pPr>
    </w:p>
    <w:p w14:paraId="385B2678" w14:textId="4BC6852C" w:rsidR="003C2935" w:rsidRDefault="003C2935" w:rsidP="003C2935">
      <w:pPr>
        <w:rPr>
          <w:b/>
          <w:bCs/>
        </w:rPr>
      </w:pPr>
      <w:r>
        <w:rPr>
          <w:b/>
          <w:bCs/>
        </w:rPr>
        <w:t>Investicije</w:t>
      </w:r>
    </w:p>
    <w:p w14:paraId="1BDFA8FB" w14:textId="0DE1A090" w:rsidR="003C2935" w:rsidRDefault="003C2935" w:rsidP="003C2935">
      <w:pPr>
        <w:jc w:val="both"/>
      </w:pPr>
      <w:r>
        <w:t>Investicije se bodo po naši oceni v prvem obdobju znižale za petino, potem pa bodo zlagoma naraščale po povprečni letni stopnji 3,7 %. V prvem obdobju se bodo najbolj krčile v strojni, kovinski, tekstilni, lesni in papirni industriji. V obdobju 2019-2020 bodo investicije znašale 5,4 % letne prodaje, kar je nekoliko manj kot v obdobju 2008-2018 (5,5 % letne prodaje). V drugem obdobju bo</w:t>
      </w:r>
      <w:r w:rsidR="00780F73">
        <w:t xml:space="preserve"> </w:t>
      </w:r>
      <w:r>
        <w:t>do leta 2030 v predelovalni dejavnosti za investicije</w:t>
      </w:r>
      <w:r w:rsidR="00780F73">
        <w:t xml:space="preserve"> namenjenih</w:t>
      </w:r>
      <w:r>
        <w:t xml:space="preserve"> v povprečju 5,6 % letne prodaje. Najbolj bodo naraščale v kemični in kovinski industriji, kjer bo uresničena polovica celotnih investicij. Relativno pa bodo najbolj narasle v tekstilni industriji, ker bodo potrebne za doseganje ustreznega dviga produktivnosti dela. </w:t>
      </w:r>
    </w:p>
    <w:tbl>
      <w:tblPr>
        <w:tblW w:w="5000" w:type="pct"/>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tblBorders>
        <w:tblLook w:val="04A0" w:firstRow="1" w:lastRow="0" w:firstColumn="1" w:lastColumn="0" w:noHBand="0" w:noVBand="1"/>
      </w:tblPr>
      <w:tblGrid>
        <w:gridCol w:w="2135"/>
        <w:gridCol w:w="1432"/>
        <w:gridCol w:w="1432"/>
        <w:gridCol w:w="1432"/>
        <w:gridCol w:w="1432"/>
        <w:gridCol w:w="1425"/>
      </w:tblGrid>
      <w:tr w:rsidR="003C2935" w14:paraId="3AED7DF9" w14:textId="77777777" w:rsidTr="003C2935">
        <w:trPr>
          <w:trHeight w:val="722"/>
        </w:trPr>
        <w:tc>
          <w:tcPr>
            <w:tcW w:w="1149" w:type="pct"/>
            <w:tcBorders>
              <w:top w:val="single" w:sz="4" w:space="0" w:color="8AB833" w:themeColor="accent2"/>
              <w:left w:val="single" w:sz="4" w:space="0" w:color="8AB833" w:themeColor="accent2"/>
              <w:bottom w:val="single" w:sz="4" w:space="0" w:color="8AB833" w:themeColor="accent2"/>
              <w:right w:val="nil"/>
            </w:tcBorders>
            <w:shd w:val="clear" w:color="auto" w:fill="8AB833" w:themeFill="accent2"/>
            <w:vAlign w:val="center"/>
            <w:hideMark/>
          </w:tcPr>
          <w:p w14:paraId="6E62616C" w14:textId="77777777" w:rsidR="003C2935" w:rsidRDefault="003C2935">
            <w:pPr>
              <w:spacing w:before="0" w:after="0" w:line="240" w:lineRule="auto"/>
              <w:rPr>
                <w:rFonts w:asciiTheme="majorHAnsi" w:hAnsiTheme="majorHAnsi"/>
                <w:b/>
                <w:bCs/>
                <w:color w:val="FFFFFF" w:themeColor="background1"/>
              </w:rPr>
            </w:pPr>
            <w:r>
              <w:rPr>
                <w:rFonts w:asciiTheme="majorHAnsi" w:hAnsiTheme="majorHAnsi"/>
                <w:b/>
                <w:bCs/>
                <w:color w:val="FFFFFF" w:themeColor="background1"/>
              </w:rPr>
              <w:t>Ključne skupine predelovalnih dejavnosti</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4F406DEF"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Investicije, 2018, v 000 EUR</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75C653D8"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Investicije, 2020, v 000 EUR</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548B867F"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Investicije, 2030, v 000 EUR</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07B387E3" w14:textId="238910AD" w:rsidR="003C2935" w:rsidRDefault="0058525A" w:rsidP="0058525A">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Letna sprememba inv. v %</w:t>
            </w:r>
            <w:r w:rsidR="003C2935">
              <w:rPr>
                <w:rFonts w:asciiTheme="majorHAnsi" w:hAnsiTheme="majorHAnsi"/>
                <w:b/>
                <w:bCs/>
                <w:color w:val="FFFFFF" w:themeColor="background1"/>
              </w:rPr>
              <w:t xml:space="preserve"> 2019-2020</w:t>
            </w:r>
          </w:p>
        </w:tc>
        <w:tc>
          <w:tcPr>
            <w:tcW w:w="767" w:type="pct"/>
            <w:tcBorders>
              <w:top w:val="single" w:sz="4" w:space="0" w:color="8AB833" w:themeColor="accent2"/>
              <w:left w:val="nil"/>
              <w:bottom w:val="single" w:sz="4" w:space="0" w:color="8AB833" w:themeColor="accent2"/>
              <w:right w:val="single" w:sz="4" w:space="0" w:color="8AB833" w:themeColor="accent2"/>
            </w:tcBorders>
            <w:shd w:val="clear" w:color="auto" w:fill="8AB833" w:themeFill="accent2"/>
            <w:vAlign w:val="center"/>
            <w:hideMark/>
          </w:tcPr>
          <w:p w14:paraId="0D70C976" w14:textId="02CDF3AE" w:rsidR="003C2935" w:rsidRDefault="0058525A" w:rsidP="0058525A">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L</w:t>
            </w:r>
            <w:r w:rsidR="003C2935">
              <w:rPr>
                <w:rFonts w:asciiTheme="majorHAnsi" w:hAnsiTheme="majorHAnsi"/>
                <w:b/>
                <w:bCs/>
                <w:color w:val="FFFFFF" w:themeColor="background1"/>
              </w:rPr>
              <w:t>etna sprememba inv</w:t>
            </w:r>
            <w:r>
              <w:rPr>
                <w:rFonts w:asciiTheme="majorHAnsi" w:hAnsiTheme="majorHAnsi"/>
                <w:b/>
                <w:bCs/>
                <w:color w:val="FFFFFF" w:themeColor="background1"/>
              </w:rPr>
              <w:t>. v %</w:t>
            </w:r>
            <w:r w:rsidR="003C2935">
              <w:rPr>
                <w:rFonts w:asciiTheme="majorHAnsi" w:hAnsiTheme="majorHAnsi"/>
                <w:b/>
                <w:bCs/>
                <w:color w:val="FFFFFF" w:themeColor="background1"/>
              </w:rPr>
              <w:t xml:space="preserve">  2021-2030</w:t>
            </w:r>
          </w:p>
        </w:tc>
      </w:tr>
      <w:tr w:rsidR="003C2935" w14:paraId="42CBCE67" w14:textId="77777777" w:rsidTr="007A734E">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44068596"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PREDEL. DEJ. SKUPAJ</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493F93F3" w14:textId="77777777" w:rsidR="003C2935" w:rsidRDefault="003C2935" w:rsidP="007A734E">
            <w:pPr>
              <w:spacing w:before="0" w:after="0" w:line="240" w:lineRule="auto"/>
              <w:jc w:val="right"/>
              <w:rPr>
                <w:rFonts w:asciiTheme="majorHAnsi" w:hAnsiTheme="majorHAnsi"/>
                <w:b/>
              </w:rPr>
            </w:pPr>
            <w:r>
              <w:rPr>
                <w:rFonts w:asciiTheme="majorHAnsi" w:hAnsiTheme="majorHAnsi"/>
                <w:b/>
              </w:rPr>
              <w:t>1.975.153</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271B9D8E" w14:textId="77777777" w:rsidR="003C2935" w:rsidRDefault="003C2935" w:rsidP="007A734E">
            <w:pPr>
              <w:spacing w:before="0" w:after="0" w:line="240" w:lineRule="auto"/>
              <w:jc w:val="right"/>
              <w:rPr>
                <w:rFonts w:asciiTheme="majorHAnsi" w:hAnsiTheme="majorHAnsi"/>
                <w:b/>
              </w:rPr>
            </w:pPr>
            <w:r>
              <w:rPr>
                <w:rFonts w:asciiTheme="majorHAnsi" w:hAnsiTheme="majorHAnsi"/>
                <w:b/>
              </w:rPr>
              <w:t>1.612.974</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697826FA" w14:textId="77777777" w:rsidR="003C2935" w:rsidRDefault="003C2935" w:rsidP="007A734E">
            <w:pPr>
              <w:spacing w:before="0" w:after="0" w:line="240" w:lineRule="auto"/>
              <w:jc w:val="right"/>
              <w:rPr>
                <w:rFonts w:asciiTheme="majorHAnsi" w:hAnsiTheme="majorHAnsi"/>
                <w:b/>
              </w:rPr>
            </w:pPr>
            <w:r>
              <w:rPr>
                <w:rFonts w:asciiTheme="majorHAnsi" w:hAnsiTheme="majorHAnsi"/>
                <w:b/>
              </w:rPr>
              <w:t>2.348.692</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417C2F38" w14:textId="77777777" w:rsidR="003C2935" w:rsidRDefault="003C2935" w:rsidP="007A734E">
            <w:pPr>
              <w:spacing w:before="0" w:after="0" w:line="240" w:lineRule="auto"/>
              <w:jc w:val="right"/>
              <w:rPr>
                <w:rFonts w:asciiTheme="majorHAnsi" w:hAnsiTheme="majorHAnsi"/>
                <w:b/>
              </w:rPr>
            </w:pPr>
            <w:r>
              <w:rPr>
                <w:rFonts w:asciiTheme="majorHAnsi" w:hAnsiTheme="majorHAnsi"/>
                <w:b/>
              </w:rPr>
              <w:t>-9,6%</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vAlign w:val="center"/>
            <w:hideMark/>
          </w:tcPr>
          <w:p w14:paraId="542C4E7C" w14:textId="77777777" w:rsidR="003C2935" w:rsidRDefault="003C2935" w:rsidP="007A734E">
            <w:pPr>
              <w:spacing w:before="0" w:after="0" w:line="240" w:lineRule="auto"/>
              <w:jc w:val="right"/>
              <w:rPr>
                <w:rFonts w:asciiTheme="majorHAnsi" w:hAnsiTheme="majorHAnsi"/>
                <w:b/>
              </w:rPr>
            </w:pPr>
            <w:r>
              <w:rPr>
                <w:rFonts w:asciiTheme="majorHAnsi" w:hAnsiTheme="majorHAnsi"/>
                <w:b/>
              </w:rPr>
              <w:t>3,8%</w:t>
            </w:r>
          </w:p>
        </w:tc>
      </w:tr>
      <w:tr w:rsidR="003C2935" w14:paraId="3FB02A43"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1FBA19B7"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Prehrambna</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41794238" w14:textId="77777777" w:rsidR="003C2935" w:rsidRDefault="003C2935">
            <w:pPr>
              <w:spacing w:before="0" w:after="0" w:line="240" w:lineRule="auto"/>
              <w:jc w:val="right"/>
              <w:rPr>
                <w:rFonts w:asciiTheme="majorHAnsi" w:hAnsiTheme="majorHAnsi"/>
              </w:rPr>
            </w:pPr>
            <w:r>
              <w:rPr>
                <w:rFonts w:asciiTheme="majorHAnsi" w:hAnsiTheme="majorHAnsi"/>
              </w:rPr>
              <w:t>117.578</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63EE35C8" w14:textId="77777777" w:rsidR="003C2935" w:rsidRDefault="003C2935">
            <w:pPr>
              <w:spacing w:before="0" w:after="0" w:line="240" w:lineRule="auto"/>
              <w:jc w:val="right"/>
              <w:rPr>
                <w:rFonts w:asciiTheme="majorHAnsi" w:hAnsiTheme="majorHAnsi"/>
              </w:rPr>
            </w:pPr>
            <w:r>
              <w:rPr>
                <w:rFonts w:asciiTheme="majorHAnsi" w:hAnsiTheme="majorHAnsi"/>
              </w:rPr>
              <w:t>103.892</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449238E2" w14:textId="77777777" w:rsidR="003C2935" w:rsidRDefault="003C2935">
            <w:pPr>
              <w:spacing w:before="0" w:after="0" w:line="240" w:lineRule="auto"/>
              <w:jc w:val="right"/>
              <w:rPr>
                <w:rFonts w:asciiTheme="majorHAnsi" w:hAnsiTheme="majorHAnsi"/>
              </w:rPr>
            </w:pPr>
            <w:r>
              <w:rPr>
                <w:rFonts w:asciiTheme="majorHAnsi" w:hAnsiTheme="majorHAnsi"/>
              </w:rPr>
              <w:t>149.406</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389D2047" w14:textId="77777777" w:rsidR="003C2935" w:rsidRDefault="003C2935">
            <w:pPr>
              <w:spacing w:before="0" w:after="0" w:line="240" w:lineRule="auto"/>
              <w:jc w:val="right"/>
              <w:rPr>
                <w:rFonts w:asciiTheme="majorHAnsi" w:hAnsiTheme="majorHAnsi"/>
              </w:rPr>
            </w:pPr>
            <w:r>
              <w:rPr>
                <w:rFonts w:asciiTheme="majorHAnsi" w:hAnsiTheme="majorHAnsi"/>
              </w:rPr>
              <w:t>-6,0%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7EEC0607" w14:textId="77777777" w:rsidR="003C2935" w:rsidRDefault="003C2935">
            <w:pPr>
              <w:spacing w:before="0" w:after="0" w:line="240" w:lineRule="auto"/>
              <w:jc w:val="right"/>
              <w:rPr>
                <w:rFonts w:asciiTheme="majorHAnsi" w:hAnsiTheme="majorHAnsi"/>
              </w:rPr>
            </w:pPr>
            <w:r>
              <w:rPr>
                <w:rFonts w:asciiTheme="majorHAnsi" w:hAnsiTheme="majorHAnsi"/>
              </w:rPr>
              <w:t>3,7%</w:t>
            </w:r>
          </w:p>
        </w:tc>
      </w:tr>
      <w:tr w:rsidR="003C2935" w14:paraId="65A4F517"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64521F95"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Tekstilna</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3D928FC4" w14:textId="77777777" w:rsidR="003C2935" w:rsidRDefault="003C2935">
            <w:pPr>
              <w:spacing w:before="0" w:after="0" w:line="240" w:lineRule="auto"/>
              <w:jc w:val="right"/>
              <w:rPr>
                <w:rFonts w:asciiTheme="majorHAnsi" w:hAnsiTheme="majorHAnsi"/>
              </w:rPr>
            </w:pPr>
            <w:r>
              <w:rPr>
                <w:rFonts w:asciiTheme="majorHAnsi" w:hAnsiTheme="majorHAnsi"/>
              </w:rPr>
              <w:t>38.245</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3AA2169D" w14:textId="77777777" w:rsidR="003C2935" w:rsidRDefault="003C2935">
            <w:pPr>
              <w:spacing w:before="0" w:after="0" w:line="240" w:lineRule="auto"/>
              <w:jc w:val="right"/>
              <w:rPr>
                <w:rFonts w:asciiTheme="majorHAnsi" w:hAnsiTheme="majorHAnsi"/>
              </w:rPr>
            </w:pPr>
            <w:r>
              <w:rPr>
                <w:rFonts w:asciiTheme="majorHAnsi" w:hAnsiTheme="majorHAnsi"/>
              </w:rPr>
              <w:t>30.978</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774A58A7" w14:textId="77777777" w:rsidR="003C2935" w:rsidRDefault="003C2935">
            <w:pPr>
              <w:spacing w:before="0" w:after="0" w:line="240" w:lineRule="auto"/>
              <w:jc w:val="right"/>
              <w:rPr>
                <w:rFonts w:asciiTheme="majorHAnsi" w:hAnsiTheme="majorHAnsi"/>
              </w:rPr>
            </w:pPr>
            <w:r>
              <w:rPr>
                <w:rFonts w:asciiTheme="majorHAnsi" w:hAnsiTheme="majorHAnsi"/>
              </w:rPr>
              <w:t>49.037</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7A37F3C7" w14:textId="77777777" w:rsidR="003C2935" w:rsidRDefault="003C2935">
            <w:pPr>
              <w:spacing w:before="0" w:after="0" w:line="240" w:lineRule="auto"/>
              <w:jc w:val="right"/>
              <w:rPr>
                <w:rFonts w:asciiTheme="majorHAnsi" w:hAnsiTheme="majorHAnsi"/>
              </w:rPr>
            </w:pPr>
            <w:r>
              <w:rPr>
                <w:rFonts w:asciiTheme="majorHAnsi" w:hAnsiTheme="majorHAnsi"/>
              </w:rPr>
              <w:t>-10,0%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4F9015E6" w14:textId="77777777" w:rsidR="003C2935" w:rsidRDefault="003C2935">
            <w:pPr>
              <w:spacing w:before="0" w:after="0" w:line="240" w:lineRule="auto"/>
              <w:jc w:val="right"/>
              <w:rPr>
                <w:rFonts w:asciiTheme="majorHAnsi" w:hAnsiTheme="majorHAnsi"/>
              </w:rPr>
            </w:pPr>
            <w:r>
              <w:rPr>
                <w:rFonts w:asciiTheme="majorHAnsi" w:hAnsiTheme="majorHAnsi"/>
              </w:rPr>
              <w:t>4,7%</w:t>
            </w:r>
          </w:p>
        </w:tc>
      </w:tr>
      <w:tr w:rsidR="003C2935" w14:paraId="04F98BED"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045B59B6"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Lesna</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3F8D533D" w14:textId="77777777" w:rsidR="003C2935" w:rsidRDefault="003C2935">
            <w:pPr>
              <w:spacing w:before="0" w:after="0" w:line="240" w:lineRule="auto"/>
              <w:jc w:val="right"/>
              <w:rPr>
                <w:rFonts w:asciiTheme="majorHAnsi" w:hAnsiTheme="majorHAnsi"/>
              </w:rPr>
            </w:pPr>
            <w:r>
              <w:rPr>
                <w:rFonts w:asciiTheme="majorHAnsi" w:hAnsiTheme="majorHAnsi"/>
              </w:rPr>
              <w:t>133.871</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2BBF26E0" w14:textId="77777777" w:rsidR="003C2935" w:rsidRDefault="003C2935">
            <w:pPr>
              <w:spacing w:before="0" w:after="0" w:line="240" w:lineRule="auto"/>
              <w:jc w:val="right"/>
              <w:rPr>
                <w:rFonts w:asciiTheme="majorHAnsi" w:hAnsiTheme="majorHAnsi"/>
              </w:rPr>
            </w:pPr>
            <w:r>
              <w:rPr>
                <w:rFonts w:asciiTheme="majorHAnsi" w:hAnsiTheme="majorHAnsi"/>
              </w:rPr>
              <w:t>108.436</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5F431F70" w14:textId="77777777" w:rsidR="003C2935" w:rsidRDefault="003C2935">
            <w:pPr>
              <w:spacing w:before="0" w:after="0" w:line="240" w:lineRule="auto"/>
              <w:jc w:val="right"/>
              <w:rPr>
                <w:rFonts w:asciiTheme="majorHAnsi" w:hAnsiTheme="majorHAnsi"/>
              </w:rPr>
            </w:pPr>
            <w:r>
              <w:rPr>
                <w:rFonts w:asciiTheme="majorHAnsi" w:hAnsiTheme="majorHAnsi"/>
              </w:rPr>
              <w:t>152.959</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2D19F124" w14:textId="77777777" w:rsidR="003C2935" w:rsidRDefault="003C2935">
            <w:pPr>
              <w:spacing w:before="0" w:after="0" w:line="240" w:lineRule="auto"/>
              <w:jc w:val="right"/>
              <w:rPr>
                <w:rFonts w:asciiTheme="majorHAnsi" w:hAnsiTheme="majorHAnsi"/>
              </w:rPr>
            </w:pPr>
            <w:r>
              <w:rPr>
                <w:rFonts w:asciiTheme="majorHAnsi" w:hAnsiTheme="majorHAnsi"/>
              </w:rPr>
              <w:t>-10,0%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5744C9AB" w14:textId="77777777" w:rsidR="003C2935" w:rsidRDefault="003C2935">
            <w:pPr>
              <w:spacing w:before="0" w:after="0" w:line="240" w:lineRule="auto"/>
              <w:jc w:val="right"/>
              <w:rPr>
                <w:rFonts w:asciiTheme="majorHAnsi" w:hAnsiTheme="majorHAnsi"/>
              </w:rPr>
            </w:pPr>
            <w:r>
              <w:rPr>
                <w:rFonts w:asciiTheme="majorHAnsi" w:hAnsiTheme="majorHAnsi"/>
              </w:rPr>
              <w:t>3,5%</w:t>
            </w:r>
          </w:p>
        </w:tc>
      </w:tr>
      <w:tr w:rsidR="003C2935" w14:paraId="6BC11BF6"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7479BEAA"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Papirna</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7D94691B" w14:textId="77777777" w:rsidR="003C2935" w:rsidRDefault="003C2935">
            <w:pPr>
              <w:spacing w:before="0" w:after="0" w:line="240" w:lineRule="auto"/>
              <w:jc w:val="right"/>
              <w:rPr>
                <w:rFonts w:asciiTheme="majorHAnsi" w:hAnsiTheme="majorHAnsi"/>
              </w:rPr>
            </w:pPr>
            <w:r>
              <w:rPr>
                <w:rFonts w:asciiTheme="majorHAnsi" w:hAnsiTheme="majorHAnsi"/>
              </w:rPr>
              <w:t>60.432</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419119A2" w14:textId="77777777" w:rsidR="003C2935" w:rsidRDefault="003C2935">
            <w:pPr>
              <w:spacing w:before="0" w:after="0" w:line="240" w:lineRule="auto"/>
              <w:jc w:val="right"/>
              <w:rPr>
                <w:rFonts w:asciiTheme="majorHAnsi" w:hAnsiTheme="majorHAnsi"/>
              </w:rPr>
            </w:pPr>
            <w:r>
              <w:rPr>
                <w:rFonts w:asciiTheme="majorHAnsi" w:hAnsiTheme="majorHAnsi"/>
              </w:rPr>
              <w:t>48.950</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76913A2F" w14:textId="77777777" w:rsidR="003C2935" w:rsidRDefault="003C2935">
            <w:pPr>
              <w:spacing w:before="0" w:after="0" w:line="240" w:lineRule="auto"/>
              <w:jc w:val="right"/>
              <w:rPr>
                <w:rFonts w:asciiTheme="majorHAnsi" w:hAnsiTheme="majorHAnsi"/>
              </w:rPr>
            </w:pPr>
            <w:r>
              <w:rPr>
                <w:rFonts w:asciiTheme="majorHAnsi" w:hAnsiTheme="majorHAnsi"/>
              </w:rPr>
              <w:t>69.718</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3C721137" w14:textId="77777777" w:rsidR="003C2935" w:rsidRDefault="003C2935">
            <w:pPr>
              <w:spacing w:before="0" w:after="0" w:line="240" w:lineRule="auto"/>
              <w:jc w:val="right"/>
              <w:rPr>
                <w:rFonts w:asciiTheme="majorHAnsi" w:hAnsiTheme="majorHAnsi"/>
              </w:rPr>
            </w:pPr>
            <w:r>
              <w:rPr>
                <w:rFonts w:asciiTheme="majorHAnsi" w:hAnsiTheme="majorHAnsi"/>
              </w:rPr>
              <w:t>-10,0%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7F0B336F" w14:textId="77777777" w:rsidR="003C2935" w:rsidRDefault="003C2935">
            <w:pPr>
              <w:spacing w:before="0" w:after="0" w:line="240" w:lineRule="auto"/>
              <w:jc w:val="right"/>
              <w:rPr>
                <w:rFonts w:asciiTheme="majorHAnsi" w:hAnsiTheme="majorHAnsi"/>
              </w:rPr>
            </w:pPr>
            <w:r>
              <w:rPr>
                <w:rFonts w:asciiTheme="majorHAnsi" w:hAnsiTheme="majorHAnsi"/>
              </w:rPr>
              <w:t>3,6%</w:t>
            </w:r>
          </w:p>
        </w:tc>
      </w:tr>
      <w:tr w:rsidR="003C2935" w14:paraId="49DA2881"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6A5AA945"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Kemična</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331CB47A" w14:textId="77777777" w:rsidR="003C2935" w:rsidRDefault="003C2935">
            <w:pPr>
              <w:spacing w:before="0" w:after="0" w:line="240" w:lineRule="auto"/>
              <w:jc w:val="right"/>
              <w:rPr>
                <w:rFonts w:asciiTheme="majorHAnsi" w:hAnsiTheme="majorHAnsi"/>
              </w:rPr>
            </w:pPr>
            <w:r>
              <w:rPr>
                <w:rFonts w:asciiTheme="majorHAnsi" w:hAnsiTheme="majorHAnsi"/>
              </w:rPr>
              <w:t>437.150</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6F448230" w14:textId="77777777" w:rsidR="003C2935" w:rsidRDefault="003C2935">
            <w:pPr>
              <w:spacing w:before="0" w:after="0" w:line="240" w:lineRule="auto"/>
              <w:jc w:val="right"/>
              <w:rPr>
                <w:rFonts w:asciiTheme="majorHAnsi" w:hAnsiTheme="majorHAnsi"/>
              </w:rPr>
            </w:pPr>
            <w:r>
              <w:rPr>
                <w:rFonts w:asciiTheme="majorHAnsi" w:hAnsiTheme="majorHAnsi"/>
              </w:rPr>
              <w:t>386.266</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32434B6C" w14:textId="77777777" w:rsidR="003C2935" w:rsidRDefault="003C2935">
            <w:pPr>
              <w:spacing w:before="0" w:after="0" w:line="240" w:lineRule="auto"/>
              <w:jc w:val="right"/>
              <w:rPr>
                <w:rFonts w:asciiTheme="majorHAnsi" w:hAnsiTheme="majorHAnsi"/>
              </w:rPr>
            </w:pPr>
            <w:r>
              <w:rPr>
                <w:rFonts w:asciiTheme="majorHAnsi" w:hAnsiTheme="majorHAnsi"/>
              </w:rPr>
              <w:t>588.477</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5AB13BEF" w14:textId="77777777" w:rsidR="003C2935" w:rsidRDefault="003C2935">
            <w:pPr>
              <w:spacing w:before="0" w:after="0" w:line="240" w:lineRule="auto"/>
              <w:jc w:val="right"/>
              <w:rPr>
                <w:rFonts w:asciiTheme="majorHAnsi" w:hAnsiTheme="majorHAnsi"/>
              </w:rPr>
            </w:pPr>
            <w:r>
              <w:rPr>
                <w:rFonts w:asciiTheme="majorHAnsi" w:hAnsiTheme="majorHAnsi"/>
              </w:rPr>
              <w:t>-6,0%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5C552786" w14:textId="77777777" w:rsidR="003C2935" w:rsidRDefault="003C2935">
            <w:pPr>
              <w:spacing w:before="0" w:after="0" w:line="240" w:lineRule="auto"/>
              <w:jc w:val="right"/>
              <w:rPr>
                <w:rFonts w:asciiTheme="majorHAnsi" w:hAnsiTheme="majorHAnsi"/>
              </w:rPr>
            </w:pPr>
            <w:r>
              <w:rPr>
                <w:rFonts w:asciiTheme="majorHAnsi" w:hAnsiTheme="majorHAnsi"/>
              </w:rPr>
              <w:t>4,3%</w:t>
            </w:r>
          </w:p>
        </w:tc>
      </w:tr>
      <w:tr w:rsidR="003C2935" w14:paraId="6A7368EF"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5150BB1F"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Nekovinska</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2127816F" w14:textId="77777777" w:rsidR="003C2935" w:rsidRDefault="003C2935">
            <w:pPr>
              <w:spacing w:before="0" w:after="0" w:line="240" w:lineRule="auto"/>
              <w:jc w:val="right"/>
              <w:rPr>
                <w:rFonts w:asciiTheme="majorHAnsi" w:hAnsiTheme="majorHAnsi"/>
              </w:rPr>
            </w:pPr>
            <w:r>
              <w:rPr>
                <w:rFonts w:asciiTheme="majorHAnsi" w:hAnsiTheme="majorHAnsi"/>
              </w:rPr>
              <w:t>67.746</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039D4BC1" w14:textId="77777777" w:rsidR="003C2935" w:rsidRDefault="003C2935">
            <w:pPr>
              <w:spacing w:before="0" w:after="0" w:line="240" w:lineRule="auto"/>
              <w:jc w:val="right"/>
              <w:rPr>
                <w:rFonts w:asciiTheme="majorHAnsi" w:hAnsiTheme="majorHAnsi"/>
              </w:rPr>
            </w:pPr>
            <w:r>
              <w:rPr>
                <w:rFonts w:asciiTheme="majorHAnsi" w:hAnsiTheme="majorHAnsi"/>
              </w:rPr>
              <w:t>59.860</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446FE914" w14:textId="77777777" w:rsidR="003C2935" w:rsidRDefault="003C2935">
            <w:pPr>
              <w:spacing w:before="0" w:after="0" w:line="240" w:lineRule="auto"/>
              <w:jc w:val="right"/>
              <w:rPr>
                <w:rFonts w:asciiTheme="majorHAnsi" w:hAnsiTheme="majorHAnsi"/>
              </w:rPr>
            </w:pPr>
            <w:r>
              <w:rPr>
                <w:rFonts w:asciiTheme="majorHAnsi" w:hAnsiTheme="majorHAnsi"/>
              </w:rPr>
              <w:t>82.821</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144D866D" w14:textId="77777777" w:rsidR="003C2935" w:rsidRDefault="003C2935">
            <w:pPr>
              <w:spacing w:before="0" w:after="0" w:line="240" w:lineRule="auto"/>
              <w:jc w:val="right"/>
              <w:rPr>
                <w:rFonts w:asciiTheme="majorHAnsi" w:hAnsiTheme="majorHAnsi"/>
              </w:rPr>
            </w:pPr>
            <w:r>
              <w:rPr>
                <w:rFonts w:asciiTheme="majorHAnsi" w:hAnsiTheme="majorHAnsi"/>
              </w:rPr>
              <w:t>-6,0%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7D2AB51F" w14:textId="77777777" w:rsidR="003C2935" w:rsidRDefault="003C2935">
            <w:pPr>
              <w:spacing w:before="0" w:after="0" w:line="240" w:lineRule="auto"/>
              <w:jc w:val="right"/>
              <w:rPr>
                <w:rFonts w:asciiTheme="majorHAnsi" w:hAnsiTheme="majorHAnsi"/>
              </w:rPr>
            </w:pPr>
            <w:r>
              <w:rPr>
                <w:rFonts w:asciiTheme="majorHAnsi" w:hAnsiTheme="majorHAnsi"/>
              </w:rPr>
              <w:t>3,3%</w:t>
            </w:r>
          </w:p>
        </w:tc>
      </w:tr>
      <w:tr w:rsidR="003C2935" w14:paraId="298B98A2"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688D90A2"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Kovinska</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19F281B4" w14:textId="77777777" w:rsidR="003C2935" w:rsidRDefault="003C2935">
            <w:pPr>
              <w:spacing w:before="0" w:after="0" w:line="240" w:lineRule="auto"/>
              <w:jc w:val="right"/>
              <w:rPr>
                <w:rFonts w:asciiTheme="majorHAnsi" w:hAnsiTheme="majorHAnsi"/>
              </w:rPr>
            </w:pPr>
            <w:r>
              <w:rPr>
                <w:rFonts w:asciiTheme="majorHAnsi" w:hAnsiTheme="majorHAnsi"/>
              </w:rPr>
              <w:t>423.567</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07668A9F" w14:textId="77777777" w:rsidR="003C2935" w:rsidRDefault="003C2935">
            <w:pPr>
              <w:spacing w:before="0" w:after="0" w:line="240" w:lineRule="auto"/>
              <w:jc w:val="right"/>
              <w:rPr>
                <w:rFonts w:asciiTheme="majorHAnsi" w:hAnsiTheme="majorHAnsi"/>
              </w:rPr>
            </w:pPr>
            <w:r>
              <w:rPr>
                <w:rFonts w:asciiTheme="majorHAnsi" w:hAnsiTheme="majorHAnsi"/>
              </w:rPr>
              <w:t>343.089</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03E09A08" w14:textId="77777777" w:rsidR="003C2935" w:rsidRDefault="003C2935">
            <w:pPr>
              <w:spacing w:before="0" w:after="0" w:line="240" w:lineRule="auto"/>
              <w:jc w:val="right"/>
              <w:rPr>
                <w:rFonts w:asciiTheme="majorHAnsi" w:hAnsiTheme="majorHAnsi"/>
              </w:rPr>
            </w:pPr>
            <w:r>
              <w:rPr>
                <w:rFonts w:asciiTheme="majorHAnsi" w:hAnsiTheme="majorHAnsi"/>
              </w:rPr>
              <w:t>512.760</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5A81D515" w14:textId="77777777" w:rsidR="003C2935" w:rsidRDefault="003C2935">
            <w:pPr>
              <w:spacing w:before="0" w:after="0" w:line="240" w:lineRule="auto"/>
              <w:jc w:val="right"/>
              <w:rPr>
                <w:rFonts w:asciiTheme="majorHAnsi" w:hAnsiTheme="majorHAnsi"/>
              </w:rPr>
            </w:pPr>
            <w:r>
              <w:rPr>
                <w:rFonts w:asciiTheme="majorHAnsi" w:hAnsiTheme="majorHAnsi"/>
              </w:rPr>
              <w:t>-10,0%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41D87EF7" w14:textId="77777777" w:rsidR="003C2935" w:rsidRDefault="003C2935">
            <w:pPr>
              <w:spacing w:before="0" w:after="0" w:line="240" w:lineRule="auto"/>
              <w:jc w:val="right"/>
              <w:rPr>
                <w:rFonts w:asciiTheme="majorHAnsi" w:hAnsiTheme="majorHAnsi"/>
              </w:rPr>
            </w:pPr>
            <w:r>
              <w:rPr>
                <w:rFonts w:asciiTheme="majorHAnsi" w:hAnsiTheme="majorHAnsi"/>
              </w:rPr>
              <w:t>4,1%</w:t>
            </w:r>
          </w:p>
        </w:tc>
      </w:tr>
      <w:tr w:rsidR="003C2935" w14:paraId="3C8EDEFB"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6B6B3C97"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Elektro</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0C006079" w14:textId="77777777" w:rsidR="003C2935" w:rsidRDefault="003C2935">
            <w:pPr>
              <w:spacing w:before="0" w:after="0" w:line="240" w:lineRule="auto"/>
              <w:jc w:val="right"/>
              <w:rPr>
                <w:rFonts w:asciiTheme="majorHAnsi" w:hAnsiTheme="majorHAnsi"/>
              </w:rPr>
            </w:pPr>
            <w:r>
              <w:rPr>
                <w:rFonts w:asciiTheme="majorHAnsi" w:hAnsiTheme="majorHAnsi"/>
              </w:rPr>
              <w:t>203.590</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0581BFED" w14:textId="77777777" w:rsidR="003C2935" w:rsidRDefault="003C2935">
            <w:pPr>
              <w:spacing w:before="0" w:after="0" w:line="240" w:lineRule="auto"/>
              <w:jc w:val="right"/>
              <w:rPr>
                <w:rFonts w:asciiTheme="majorHAnsi" w:hAnsiTheme="majorHAnsi"/>
              </w:rPr>
            </w:pPr>
            <w:r>
              <w:rPr>
                <w:rFonts w:asciiTheme="majorHAnsi" w:hAnsiTheme="majorHAnsi"/>
              </w:rPr>
              <w:t>172.319</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5DACA2E4" w14:textId="77777777" w:rsidR="003C2935" w:rsidRDefault="003C2935">
            <w:pPr>
              <w:spacing w:before="0" w:after="0" w:line="240" w:lineRule="auto"/>
              <w:jc w:val="right"/>
              <w:rPr>
                <w:rFonts w:asciiTheme="majorHAnsi" w:hAnsiTheme="majorHAnsi"/>
              </w:rPr>
            </w:pPr>
            <w:r>
              <w:rPr>
                <w:rFonts w:asciiTheme="majorHAnsi" w:hAnsiTheme="majorHAnsi"/>
              </w:rPr>
              <w:t>245.431</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42F1DCB8" w14:textId="77777777" w:rsidR="003C2935" w:rsidRDefault="003C2935">
            <w:pPr>
              <w:spacing w:before="0" w:after="0" w:line="240" w:lineRule="auto"/>
              <w:jc w:val="right"/>
              <w:rPr>
                <w:rFonts w:asciiTheme="majorHAnsi" w:hAnsiTheme="majorHAnsi"/>
              </w:rPr>
            </w:pPr>
            <w:r>
              <w:rPr>
                <w:rFonts w:asciiTheme="majorHAnsi" w:hAnsiTheme="majorHAnsi"/>
              </w:rPr>
              <w:t>-8,0%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53AD5B28" w14:textId="77777777" w:rsidR="003C2935" w:rsidRDefault="003C2935">
            <w:pPr>
              <w:spacing w:before="0" w:after="0" w:line="240" w:lineRule="auto"/>
              <w:jc w:val="right"/>
              <w:rPr>
                <w:rFonts w:asciiTheme="majorHAnsi" w:hAnsiTheme="majorHAnsi"/>
              </w:rPr>
            </w:pPr>
            <w:r>
              <w:rPr>
                <w:rFonts w:asciiTheme="majorHAnsi" w:hAnsiTheme="majorHAnsi"/>
              </w:rPr>
              <w:t>3,6%</w:t>
            </w:r>
          </w:p>
        </w:tc>
      </w:tr>
      <w:tr w:rsidR="003C2935" w14:paraId="7AB3D1CF"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500D07AB"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Strojna</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1EEC05B6" w14:textId="77777777" w:rsidR="003C2935" w:rsidRDefault="003C2935">
            <w:pPr>
              <w:spacing w:before="0" w:after="0" w:line="240" w:lineRule="auto"/>
              <w:jc w:val="right"/>
              <w:rPr>
                <w:rFonts w:asciiTheme="majorHAnsi" w:hAnsiTheme="majorHAnsi"/>
              </w:rPr>
            </w:pPr>
            <w:r>
              <w:rPr>
                <w:rFonts w:asciiTheme="majorHAnsi" w:hAnsiTheme="majorHAnsi"/>
              </w:rPr>
              <w:t>468.673</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5FA3E1BF" w14:textId="77777777" w:rsidR="003C2935" w:rsidRDefault="003C2935">
            <w:pPr>
              <w:spacing w:before="0" w:after="0" w:line="240" w:lineRule="auto"/>
              <w:jc w:val="right"/>
              <w:rPr>
                <w:rFonts w:asciiTheme="majorHAnsi" w:hAnsiTheme="majorHAnsi"/>
              </w:rPr>
            </w:pPr>
            <w:r>
              <w:rPr>
                <w:rFonts w:asciiTheme="majorHAnsi" w:hAnsiTheme="majorHAnsi"/>
              </w:rPr>
              <w:t>338.616</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2D1832EE" w14:textId="77777777" w:rsidR="003C2935" w:rsidRDefault="003C2935">
            <w:pPr>
              <w:spacing w:before="0" w:after="0" w:line="240" w:lineRule="auto"/>
              <w:jc w:val="right"/>
              <w:rPr>
                <w:rFonts w:asciiTheme="majorHAnsi" w:hAnsiTheme="majorHAnsi"/>
              </w:rPr>
            </w:pPr>
            <w:r>
              <w:rPr>
                <w:rFonts w:asciiTheme="majorHAnsi" w:hAnsiTheme="majorHAnsi"/>
              </w:rPr>
              <w:t>468.502</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1466A66F" w14:textId="77777777" w:rsidR="003C2935" w:rsidRDefault="003C2935">
            <w:pPr>
              <w:spacing w:before="0" w:after="0" w:line="240" w:lineRule="auto"/>
              <w:jc w:val="right"/>
              <w:rPr>
                <w:rFonts w:asciiTheme="majorHAnsi" w:hAnsiTheme="majorHAnsi"/>
              </w:rPr>
            </w:pPr>
            <w:r>
              <w:rPr>
                <w:rFonts w:asciiTheme="majorHAnsi" w:hAnsiTheme="majorHAnsi"/>
              </w:rPr>
              <w:t>-15,0%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410BBF39" w14:textId="77777777" w:rsidR="003C2935" w:rsidRDefault="003C2935">
            <w:pPr>
              <w:spacing w:before="0" w:after="0" w:line="240" w:lineRule="auto"/>
              <w:jc w:val="right"/>
              <w:rPr>
                <w:rFonts w:asciiTheme="majorHAnsi" w:hAnsiTheme="majorHAnsi"/>
              </w:rPr>
            </w:pPr>
            <w:r>
              <w:rPr>
                <w:rFonts w:asciiTheme="majorHAnsi" w:hAnsiTheme="majorHAnsi"/>
              </w:rPr>
              <w:t>3,3%</w:t>
            </w:r>
          </w:p>
        </w:tc>
      </w:tr>
      <w:tr w:rsidR="003C2935" w14:paraId="7956D718"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5F84E5D0"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Druge</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087140E5" w14:textId="77777777" w:rsidR="003C2935" w:rsidRDefault="003C2935">
            <w:pPr>
              <w:spacing w:before="0" w:after="0" w:line="240" w:lineRule="auto"/>
              <w:jc w:val="right"/>
              <w:rPr>
                <w:rFonts w:asciiTheme="majorHAnsi" w:hAnsiTheme="majorHAnsi"/>
              </w:rPr>
            </w:pPr>
            <w:r>
              <w:rPr>
                <w:rFonts w:asciiTheme="majorHAnsi" w:hAnsiTheme="majorHAnsi"/>
              </w:rPr>
              <w:t>24.301</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7BD34CFB" w14:textId="77777777" w:rsidR="003C2935" w:rsidRDefault="003C2935">
            <w:pPr>
              <w:spacing w:before="0" w:after="0" w:line="240" w:lineRule="auto"/>
              <w:jc w:val="right"/>
              <w:rPr>
                <w:rFonts w:asciiTheme="majorHAnsi" w:hAnsiTheme="majorHAnsi"/>
              </w:rPr>
            </w:pPr>
            <w:r>
              <w:rPr>
                <w:rFonts w:asciiTheme="majorHAnsi" w:hAnsiTheme="majorHAnsi"/>
              </w:rPr>
              <w:t>20.568</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743D376F" w14:textId="77777777" w:rsidR="003C2935" w:rsidRDefault="003C2935">
            <w:pPr>
              <w:spacing w:before="0" w:after="0" w:line="240" w:lineRule="auto"/>
              <w:jc w:val="right"/>
              <w:rPr>
                <w:rFonts w:asciiTheme="majorHAnsi" w:hAnsiTheme="majorHAnsi"/>
              </w:rPr>
            </w:pPr>
            <w:r>
              <w:rPr>
                <w:rFonts w:asciiTheme="majorHAnsi" w:hAnsiTheme="majorHAnsi"/>
              </w:rPr>
              <w:t>29.579</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6B84A012" w14:textId="77777777" w:rsidR="003C2935" w:rsidRDefault="003C2935">
            <w:pPr>
              <w:spacing w:before="0" w:after="0" w:line="240" w:lineRule="auto"/>
              <w:jc w:val="right"/>
              <w:rPr>
                <w:rFonts w:asciiTheme="majorHAnsi" w:hAnsiTheme="majorHAnsi"/>
              </w:rPr>
            </w:pPr>
            <w:r>
              <w:rPr>
                <w:rFonts w:asciiTheme="majorHAnsi" w:hAnsiTheme="majorHAnsi"/>
              </w:rPr>
              <w:t>-8,0%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59FDD164" w14:textId="77777777" w:rsidR="003C2935" w:rsidRDefault="003C2935">
            <w:pPr>
              <w:spacing w:before="0" w:after="0" w:line="240" w:lineRule="auto"/>
              <w:jc w:val="right"/>
              <w:rPr>
                <w:rFonts w:asciiTheme="majorHAnsi" w:hAnsiTheme="majorHAnsi"/>
              </w:rPr>
            </w:pPr>
            <w:r>
              <w:rPr>
                <w:rFonts w:asciiTheme="majorHAnsi" w:hAnsiTheme="majorHAnsi"/>
              </w:rPr>
              <w:t>3,7%</w:t>
            </w:r>
          </w:p>
        </w:tc>
      </w:tr>
    </w:tbl>
    <w:p w14:paraId="1386B7E5" w14:textId="77777777" w:rsidR="003C2935" w:rsidRDefault="003C2935" w:rsidP="003C2935">
      <w:pPr>
        <w:spacing w:before="20"/>
        <w:jc w:val="both"/>
        <w:rPr>
          <w:i/>
        </w:rPr>
      </w:pPr>
      <w:r>
        <w:rPr>
          <w:i/>
        </w:rPr>
        <w:t>Vira: Statistični urad RS, napoved Analitike GZS</w:t>
      </w:r>
    </w:p>
    <w:p w14:paraId="403F47A1" w14:textId="77777777" w:rsidR="00155719" w:rsidRDefault="00155719" w:rsidP="003C2935">
      <w:pPr>
        <w:rPr>
          <w:b/>
          <w:bCs/>
        </w:rPr>
      </w:pPr>
    </w:p>
    <w:p w14:paraId="32498F8E" w14:textId="472A63B1" w:rsidR="003C2935" w:rsidRDefault="003C2935" w:rsidP="003C2935">
      <w:pPr>
        <w:rPr>
          <w:b/>
          <w:bCs/>
        </w:rPr>
      </w:pPr>
      <w:r>
        <w:rPr>
          <w:b/>
          <w:bCs/>
        </w:rPr>
        <w:t>EBITDA in EBITDA marže</w:t>
      </w:r>
    </w:p>
    <w:p w14:paraId="4B14F960" w14:textId="60F76251" w:rsidR="003C2935" w:rsidRDefault="003C2935" w:rsidP="003C2935">
      <w:pPr>
        <w:jc w:val="both"/>
      </w:pPr>
      <w:r>
        <w:t>EBITDA v 2020 bo za 6 % nižja od tiste v 2018, do 2030 bo naraščala po 3,7-odstotni rasti na 4,7 mrd EUR</w:t>
      </w:r>
      <w:r w:rsidRPr="00A35B90">
        <w:t>. V prvem obdobju (201</w:t>
      </w:r>
      <w:r w:rsidR="005328D0" w:rsidRPr="00A35B90">
        <w:t>9</w:t>
      </w:r>
      <w:r w:rsidRPr="00A35B90">
        <w:t>-2020)</w:t>
      </w:r>
      <w:r>
        <w:t xml:space="preserve"> bo nominalni padec največji v strojni (40 % padca) in v kovinski </w:t>
      </w:r>
      <w:r w:rsidR="00E11315">
        <w:t xml:space="preserve">industriji </w:t>
      </w:r>
      <w:r>
        <w:t xml:space="preserve">(31 % celotnega padca), vseeno pa naj bi v kemični industriji zrasla za 40 mio EUR, zaradi večjega povpraševanja po generičnih zdravilih. V drugem obdobju (2021-2030) bo kemična industrija </w:t>
      </w:r>
      <w:r>
        <w:lastRenderedPageBreak/>
        <w:t xml:space="preserve">prispevala k rasti EBITDA v višini 27 %, strojna v višini 23 % in elektro industrija v višini 18 %. EBITDA marža v predelovalni dejavnosti se bo v 2030 </w:t>
      </w:r>
      <w:r w:rsidR="006B7EDB">
        <w:t xml:space="preserve">iz 11,0 % v letu 2020 </w:t>
      </w:r>
      <w:r>
        <w:t xml:space="preserve">povečala na 11,3 %. </w:t>
      </w:r>
    </w:p>
    <w:p w14:paraId="486E8CEB" w14:textId="77777777" w:rsidR="00155719" w:rsidRDefault="00155719" w:rsidP="003C2935">
      <w:pPr>
        <w:jc w:val="both"/>
      </w:pPr>
    </w:p>
    <w:tbl>
      <w:tblPr>
        <w:tblW w:w="5000" w:type="pct"/>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tblBorders>
        <w:tblLook w:val="04A0" w:firstRow="1" w:lastRow="0" w:firstColumn="1" w:lastColumn="0" w:noHBand="0" w:noVBand="1"/>
      </w:tblPr>
      <w:tblGrid>
        <w:gridCol w:w="2135"/>
        <w:gridCol w:w="1432"/>
        <w:gridCol w:w="1432"/>
        <w:gridCol w:w="1432"/>
        <w:gridCol w:w="1432"/>
        <w:gridCol w:w="1425"/>
      </w:tblGrid>
      <w:tr w:rsidR="003C2935" w14:paraId="565DA41B" w14:textId="77777777" w:rsidTr="003C2935">
        <w:trPr>
          <w:trHeight w:val="722"/>
        </w:trPr>
        <w:tc>
          <w:tcPr>
            <w:tcW w:w="1149" w:type="pct"/>
            <w:tcBorders>
              <w:top w:val="single" w:sz="4" w:space="0" w:color="8AB833" w:themeColor="accent2"/>
              <w:left w:val="single" w:sz="4" w:space="0" w:color="8AB833" w:themeColor="accent2"/>
              <w:bottom w:val="single" w:sz="4" w:space="0" w:color="8AB833" w:themeColor="accent2"/>
              <w:right w:val="nil"/>
            </w:tcBorders>
            <w:shd w:val="clear" w:color="auto" w:fill="8AB833" w:themeFill="accent2"/>
            <w:vAlign w:val="center"/>
            <w:hideMark/>
          </w:tcPr>
          <w:p w14:paraId="7EAFB9F4" w14:textId="77777777" w:rsidR="003C2935" w:rsidRDefault="003C2935">
            <w:pPr>
              <w:spacing w:before="0" w:after="0" w:line="240" w:lineRule="auto"/>
              <w:rPr>
                <w:rFonts w:asciiTheme="majorHAnsi" w:hAnsiTheme="majorHAnsi"/>
                <w:b/>
                <w:bCs/>
                <w:color w:val="FFFFFF" w:themeColor="background1"/>
              </w:rPr>
            </w:pPr>
            <w:r>
              <w:rPr>
                <w:rFonts w:asciiTheme="majorHAnsi" w:hAnsiTheme="majorHAnsi"/>
                <w:b/>
                <w:bCs/>
                <w:color w:val="FFFFFF" w:themeColor="background1"/>
              </w:rPr>
              <w:t>Ključne skupine predelovalnih dejavnosti</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367DBCED"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EBITDA, 2018, v 000 EUR</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10C5B089"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EBITDA, 2020, v 000 EUR</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0B12227B"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EBITDA, 2030, v 000 EUR</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51C190B0" w14:textId="3D4269E8" w:rsidR="003C2935" w:rsidRDefault="0058525A" w:rsidP="0058525A">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L</w:t>
            </w:r>
            <w:r w:rsidR="003C2935">
              <w:rPr>
                <w:rFonts w:asciiTheme="majorHAnsi" w:hAnsiTheme="majorHAnsi"/>
                <w:b/>
                <w:bCs/>
                <w:color w:val="FFFFFF" w:themeColor="background1"/>
              </w:rPr>
              <w:t xml:space="preserve">etna sprememba EBITDA </w:t>
            </w:r>
            <w:r>
              <w:rPr>
                <w:rFonts w:asciiTheme="majorHAnsi" w:hAnsiTheme="majorHAnsi"/>
                <w:b/>
                <w:bCs/>
                <w:color w:val="FFFFFF" w:themeColor="background1"/>
              </w:rPr>
              <w:t xml:space="preserve">v % </w:t>
            </w:r>
            <w:r w:rsidR="003C2935">
              <w:rPr>
                <w:rFonts w:asciiTheme="majorHAnsi" w:hAnsiTheme="majorHAnsi"/>
                <w:b/>
                <w:bCs/>
                <w:color w:val="FFFFFF" w:themeColor="background1"/>
              </w:rPr>
              <w:t>2019-2020</w:t>
            </w:r>
          </w:p>
        </w:tc>
        <w:tc>
          <w:tcPr>
            <w:tcW w:w="767" w:type="pct"/>
            <w:tcBorders>
              <w:top w:val="single" w:sz="4" w:space="0" w:color="8AB833" w:themeColor="accent2"/>
              <w:left w:val="nil"/>
              <w:bottom w:val="single" w:sz="4" w:space="0" w:color="8AB833" w:themeColor="accent2"/>
              <w:right w:val="single" w:sz="4" w:space="0" w:color="8AB833" w:themeColor="accent2"/>
            </w:tcBorders>
            <w:shd w:val="clear" w:color="auto" w:fill="8AB833" w:themeFill="accent2"/>
            <w:vAlign w:val="center"/>
            <w:hideMark/>
          </w:tcPr>
          <w:p w14:paraId="09D89F22" w14:textId="1AE37701" w:rsidR="003C2935" w:rsidRDefault="0058525A">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L</w:t>
            </w:r>
            <w:r w:rsidR="003C2935">
              <w:rPr>
                <w:rFonts w:asciiTheme="majorHAnsi" w:hAnsiTheme="majorHAnsi"/>
                <w:b/>
                <w:bCs/>
                <w:color w:val="FFFFFF" w:themeColor="background1"/>
              </w:rPr>
              <w:t>etna sprememba EBITDA</w:t>
            </w:r>
            <w:r>
              <w:rPr>
                <w:rFonts w:asciiTheme="majorHAnsi" w:hAnsiTheme="majorHAnsi"/>
                <w:b/>
                <w:bCs/>
                <w:color w:val="FFFFFF" w:themeColor="background1"/>
              </w:rPr>
              <w:t xml:space="preserve"> v %</w:t>
            </w:r>
            <w:r w:rsidR="003C2935">
              <w:rPr>
                <w:rFonts w:asciiTheme="majorHAnsi" w:hAnsiTheme="majorHAnsi"/>
                <w:b/>
                <w:bCs/>
                <w:color w:val="FFFFFF" w:themeColor="background1"/>
              </w:rPr>
              <w:t xml:space="preserve">  2021-2030</w:t>
            </w:r>
          </w:p>
        </w:tc>
      </w:tr>
      <w:tr w:rsidR="003C2935" w14:paraId="605A90D9"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616D87F5"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PREDEL. DEJ. SKUPAJ</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4205AE47" w14:textId="77777777" w:rsidR="003C2935" w:rsidRDefault="003C2935">
            <w:pPr>
              <w:spacing w:before="0" w:after="0" w:line="240" w:lineRule="auto"/>
              <w:jc w:val="right"/>
              <w:rPr>
                <w:rFonts w:asciiTheme="majorHAnsi" w:hAnsiTheme="majorHAnsi"/>
                <w:b/>
              </w:rPr>
            </w:pPr>
            <w:r>
              <w:rPr>
                <w:rFonts w:asciiTheme="majorHAnsi" w:hAnsiTheme="majorHAnsi"/>
                <w:b/>
              </w:rPr>
              <w:t>3.435.310</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6EFB9F53" w14:textId="77777777" w:rsidR="003C2935" w:rsidRDefault="003C2935">
            <w:pPr>
              <w:spacing w:before="0" w:after="0" w:line="240" w:lineRule="auto"/>
              <w:jc w:val="right"/>
              <w:rPr>
                <w:rFonts w:asciiTheme="majorHAnsi" w:hAnsiTheme="majorHAnsi"/>
                <w:b/>
              </w:rPr>
            </w:pPr>
            <w:r>
              <w:rPr>
                <w:rFonts w:asciiTheme="majorHAnsi" w:hAnsiTheme="majorHAnsi"/>
                <w:b/>
              </w:rPr>
              <w:t>3.282.032</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hideMark/>
          </w:tcPr>
          <w:p w14:paraId="461C2292" w14:textId="77777777" w:rsidR="003C2935" w:rsidRDefault="003C2935">
            <w:pPr>
              <w:spacing w:before="0" w:after="0" w:line="240" w:lineRule="auto"/>
              <w:jc w:val="right"/>
              <w:rPr>
                <w:rFonts w:asciiTheme="majorHAnsi" w:hAnsiTheme="majorHAnsi"/>
                <w:b/>
              </w:rPr>
            </w:pPr>
            <w:r>
              <w:rPr>
                <w:rFonts w:asciiTheme="majorHAnsi" w:hAnsiTheme="majorHAnsi"/>
                <w:b/>
              </w:rPr>
              <w:t>4.721.170</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406718C6" w14:textId="77777777" w:rsidR="003C2935" w:rsidRDefault="003C2935">
            <w:pPr>
              <w:spacing w:before="0" w:after="0" w:line="240" w:lineRule="auto"/>
              <w:jc w:val="right"/>
              <w:rPr>
                <w:rFonts w:asciiTheme="majorHAnsi" w:hAnsiTheme="majorHAnsi"/>
                <w:b/>
              </w:rPr>
            </w:pPr>
            <w:r>
              <w:rPr>
                <w:rFonts w:asciiTheme="majorHAnsi" w:hAnsiTheme="majorHAnsi"/>
                <w:b/>
              </w:rPr>
              <w:t>-2,7%</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hideMark/>
          </w:tcPr>
          <w:p w14:paraId="4E2E46AF" w14:textId="77777777" w:rsidR="003C2935" w:rsidRDefault="003C2935">
            <w:pPr>
              <w:spacing w:before="0" w:after="0" w:line="240" w:lineRule="auto"/>
              <w:jc w:val="right"/>
              <w:rPr>
                <w:rFonts w:asciiTheme="majorHAnsi" w:hAnsiTheme="majorHAnsi"/>
                <w:b/>
              </w:rPr>
            </w:pPr>
            <w:r>
              <w:rPr>
                <w:rFonts w:asciiTheme="majorHAnsi" w:hAnsiTheme="majorHAnsi"/>
                <w:b/>
              </w:rPr>
              <w:t>3,7%</w:t>
            </w:r>
          </w:p>
        </w:tc>
      </w:tr>
      <w:tr w:rsidR="003C2935" w14:paraId="44E9A743"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0D73B68B"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Prehrambna</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2B2EA094" w14:textId="77777777" w:rsidR="003C2935" w:rsidRDefault="003C2935">
            <w:pPr>
              <w:spacing w:before="0" w:after="0" w:line="240" w:lineRule="auto"/>
              <w:jc w:val="right"/>
              <w:rPr>
                <w:rFonts w:asciiTheme="majorHAnsi" w:hAnsiTheme="majorHAnsi"/>
              </w:rPr>
            </w:pPr>
            <w:r>
              <w:rPr>
                <w:rFonts w:asciiTheme="majorHAnsi" w:hAnsiTheme="majorHAnsi"/>
              </w:rPr>
              <w:t>228.978</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36D31C71" w14:textId="77777777" w:rsidR="003C2935" w:rsidRDefault="003C2935">
            <w:pPr>
              <w:spacing w:before="0" w:after="0" w:line="240" w:lineRule="auto"/>
              <w:jc w:val="right"/>
              <w:rPr>
                <w:rFonts w:asciiTheme="majorHAnsi" w:hAnsiTheme="majorHAnsi"/>
              </w:rPr>
            </w:pPr>
            <w:r>
              <w:rPr>
                <w:rFonts w:asciiTheme="majorHAnsi" w:hAnsiTheme="majorHAnsi"/>
              </w:rPr>
              <w:t>231.274</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5BF6EA40" w14:textId="77777777" w:rsidR="003C2935" w:rsidRDefault="003C2935">
            <w:pPr>
              <w:spacing w:before="0" w:after="0" w:line="240" w:lineRule="auto"/>
              <w:jc w:val="right"/>
              <w:rPr>
                <w:rFonts w:asciiTheme="majorHAnsi" w:hAnsiTheme="majorHAnsi"/>
              </w:rPr>
            </w:pPr>
            <w:r>
              <w:rPr>
                <w:rFonts w:asciiTheme="majorHAnsi" w:hAnsiTheme="majorHAnsi"/>
              </w:rPr>
              <w:t>304.830</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2A8572DE" w14:textId="77777777" w:rsidR="003C2935" w:rsidRDefault="003C2935">
            <w:pPr>
              <w:spacing w:before="0" w:after="0" w:line="240" w:lineRule="auto"/>
              <w:jc w:val="right"/>
              <w:rPr>
                <w:rFonts w:asciiTheme="majorHAnsi" w:hAnsiTheme="majorHAnsi"/>
              </w:rPr>
            </w:pPr>
            <w:r>
              <w:rPr>
                <w:rFonts w:asciiTheme="majorHAnsi" w:hAnsiTheme="majorHAnsi"/>
              </w:rPr>
              <w:t>0,5%</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5C946B6A" w14:textId="77777777" w:rsidR="003C2935" w:rsidRDefault="003C2935">
            <w:pPr>
              <w:spacing w:before="0" w:after="0" w:line="240" w:lineRule="auto"/>
              <w:jc w:val="right"/>
              <w:rPr>
                <w:rFonts w:asciiTheme="majorHAnsi" w:hAnsiTheme="majorHAnsi"/>
              </w:rPr>
            </w:pPr>
            <w:r>
              <w:rPr>
                <w:rFonts w:asciiTheme="majorHAnsi" w:hAnsiTheme="majorHAnsi"/>
              </w:rPr>
              <w:t>2,8%</w:t>
            </w:r>
          </w:p>
        </w:tc>
      </w:tr>
      <w:tr w:rsidR="003C2935" w14:paraId="00D67D23"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52C28271"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Tekstilna</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0B12FF5F" w14:textId="77777777" w:rsidR="003C2935" w:rsidRDefault="003C2935">
            <w:pPr>
              <w:spacing w:before="0" w:after="0" w:line="240" w:lineRule="auto"/>
              <w:jc w:val="right"/>
              <w:rPr>
                <w:rFonts w:asciiTheme="majorHAnsi" w:hAnsiTheme="majorHAnsi"/>
              </w:rPr>
            </w:pPr>
            <w:r>
              <w:rPr>
                <w:rFonts w:asciiTheme="majorHAnsi" w:hAnsiTheme="majorHAnsi"/>
              </w:rPr>
              <w:t>83.271</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72DB9C93" w14:textId="77777777" w:rsidR="003C2935" w:rsidRDefault="003C2935">
            <w:pPr>
              <w:spacing w:before="0" w:after="0" w:line="240" w:lineRule="auto"/>
              <w:jc w:val="right"/>
              <w:rPr>
                <w:rFonts w:asciiTheme="majorHAnsi" w:hAnsiTheme="majorHAnsi"/>
              </w:rPr>
            </w:pPr>
            <w:r>
              <w:rPr>
                <w:rFonts w:asciiTheme="majorHAnsi" w:hAnsiTheme="majorHAnsi"/>
              </w:rPr>
              <w:t>78.350</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6E12B507" w14:textId="77777777" w:rsidR="003C2935" w:rsidRDefault="003C2935">
            <w:pPr>
              <w:spacing w:before="0" w:after="0" w:line="240" w:lineRule="auto"/>
              <w:jc w:val="right"/>
              <w:rPr>
                <w:rFonts w:asciiTheme="majorHAnsi" w:hAnsiTheme="majorHAnsi"/>
              </w:rPr>
            </w:pPr>
            <w:r>
              <w:rPr>
                <w:rFonts w:asciiTheme="majorHAnsi" w:hAnsiTheme="majorHAnsi"/>
              </w:rPr>
              <w:t>105.295</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5EB7B0AC" w14:textId="77777777" w:rsidR="003C2935" w:rsidRDefault="003C2935">
            <w:pPr>
              <w:spacing w:before="0" w:after="0" w:line="240" w:lineRule="auto"/>
              <w:jc w:val="right"/>
              <w:rPr>
                <w:rFonts w:asciiTheme="majorHAnsi" w:hAnsiTheme="majorHAnsi"/>
              </w:rPr>
            </w:pPr>
            <w:r>
              <w:rPr>
                <w:rFonts w:asciiTheme="majorHAnsi" w:hAnsiTheme="majorHAnsi"/>
              </w:rPr>
              <w:t>-3,0%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48019C50" w14:textId="77777777" w:rsidR="003C2935" w:rsidRDefault="003C2935">
            <w:pPr>
              <w:spacing w:before="0" w:after="0" w:line="240" w:lineRule="auto"/>
              <w:jc w:val="right"/>
              <w:rPr>
                <w:rFonts w:asciiTheme="majorHAnsi" w:hAnsiTheme="majorHAnsi"/>
              </w:rPr>
            </w:pPr>
            <w:r>
              <w:rPr>
                <w:rFonts w:asciiTheme="majorHAnsi" w:hAnsiTheme="majorHAnsi"/>
              </w:rPr>
              <w:t>3,0%</w:t>
            </w:r>
          </w:p>
        </w:tc>
      </w:tr>
      <w:tr w:rsidR="003C2935" w14:paraId="72D7E7CE"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3F8B538C"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Lesna</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5F1105AA" w14:textId="77777777" w:rsidR="003C2935" w:rsidRDefault="003C2935">
            <w:pPr>
              <w:spacing w:before="0" w:after="0" w:line="240" w:lineRule="auto"/>
              <w:jc w:val="right"/>
              <w:rPr>
                <w:rFonts w:asciiTheme="majorHAnsi" w:hAnsiTheme="majorHAnsi"/>
              </w:rPr>
            </w:pPr>
            <w:r>
              <w:rPr>
                <w:rFonts w:asciiTheme="majorHAnsi" w:hAnsiTheme="majorHAnsi"/>
              </w:rPr>
              <w:t>167.568</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2B132DF7" w14:textId="77777777" w:rsidR="003C2935" w:rsidRDefault="003C2935">
            <w:pPr>
              <w:spacing w:before="0" w:after="0" w:line="240" w:lineRule="auto"/>
              <w:jc w:val="right"/>
              <w:rPr>
                <w:rFonts w:asciiTheme="majorHAnsi" w:hAnsiTheme="majorHAnsi"/>
              </w:rPr>
            </w:pPr>
            <w:r>
              <w:rPr>
                <w:rFonts w:asciiTheme="majorHAnsi" w:hAnsiTheme="majorHAnsi"/>
              </w:rPr>
              <w:t>141.830</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19D72317" w14:textId="77777777" w:rsidR="003C2935" w:rsidRDefault="003C2935">
            <w:pPr>
              <w:spacing w:before="0" w:after="0" w:line="240" w:lineRule="auto"/>
              <w:jc w:val="right"/>
              <w:rPr>
                <w:rFonts w:asciiTheme="majorHAnsi" w:hAnsiTheme="majorHAnsi"/>
              </w:rPr>
            </w:pPr>
            <w:r>
              <w:rPr>
                <w:rFonts w:asciiTheme="majorHAnsi" w:hAnsiTheme="majorHAnsi"/>
              </w:rPr>
              <w:t>181.554</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6D69F255" w14:textId="77777777" w:rsidR="003C2935" w:rsidRDefault="003C2935">
            <w:pPr>
              <w:spacing w:before="0" w:after="0" w:line="240" w:lineRule="auto"/>
              <w:jc w:val="right"/>
              <w:rPr>
                <w:rFonts w:asciiTheme="majorHAnsi" w:hAnsiTheme="majorHAnsi"/>
              </w:rPr>
            </w:pPr>
            <w:r>
              <w:rPr>
                <w:rFonts w:asciiTheme="majorHAnsi" w:hAnsiTheme="majorHAnsi"/>
              </w:rPr>
              <w:t>-8,0%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1482A3F0" w14:textId="77777777" w:rsidR="003C2935" w:rsidRDefault="003C2935">
            <w:pPr>
              <w:spacing w:before="0" w:after="0" w:line="240" w:lineRule="auto"/>
              <w:jc w:val="right"/>
              <w:rPr>
                <w:rFonts w:asciiTheme="majorHAnsi" w:hAnsiTheme="majorHAnsi"/>
              </w:rPr>
            </w:pPr>
            <w:r>
              <w:rPr>
                <w:rFonts w:asciiTheme="majorHAnsi" w:hAnsiTheme="majorHAnsi"/>
              </w:rPr>
              <w:t>2,5%</w:t>
            </w:r>
          </w:p>
        </w:tc>
      </w:tr>
      <w:tr w:rsidR="003C2935" w14:paraId="7E4E8A1E"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5FE4BDD3"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Papirna</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65532862" w14:textId="77777777" w:rsidR="003C2935" w:rsidRDefault="003C2935">
            <w:pPr>
              <w:spacing w:before="0" w:after="0" w:line="240" w:lineRule="auto"/>
              <w:jc w:val="right"/>
              <w:rPr>
                <w:rFonts w:asciiTheme="majorHAnsi" w:hAnsiTheme="majorHAnsi"/>
              </w:rPr>
            </w:pPr>
            <w:r>
              <w:rPr>
                <w:rFonts w:asciiTheme="majorHAnsi" w:hAnsiTheme="majorHAnsi"/>
              </w:rPr>
              <w:t>100.046</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4241248C" w14:textId="77777777" w:rsidR="003C2935" w:rsidRDefault="003C2935">
            <w:pPr>
              <w:spacing w:before="0" w:after="0" w:line="240" w:lineRule="auto"/>
              <w:jc w:val="right"/>
              <w:rPr>
                <w:rFonts w:asciiTheme="majorHAnsi" w:hAnsiTheme="majorHAnsi"/>
              </w:rPr>
            </w:pPr>
            <w:r>
              <w:rPr>
                <w:rFonts w:asciiTheme="majorHAnsi" w:hAnsiTheme="majorHAnsi"/>
              </w:rPr>
              <w:t>95.106</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5823ECBE" w14:textId="77777777" w:rsidR="003C2935" w:rsidRDefault="003C2935">
            <w:pPr>
              <w:spacing w:before="0" w:after="0" w:line="240" w:lineRule="auto"/>
              <w:jc w:val="right"/>
              <w:rPr>
                <w:rFonts w:asciiTheme="majorHAnsi" w:hAnsiTheme="majorHAnsi"/>
              </w:rPr>
            </w:pPr>
            <w:r>
              <w:rPr>
                <w:rFonts w:asciiTheme="majorHAnsi" w:hAnsiTheme="majorHAnsi"/>
              </w:rPr>
              <w:t>134.157</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753E25B6" w14:textId="77777777" w:rsidR="003C2935" w:rsidRDefault="003C2935">
            <w:pPr>
              <w:spacing w:before="0" w:after="0" w:line="240" w:lineRule="auto"/>
              <w:jc w:val="right"/>
              <w:rPr>
                <w:rFonts w:asciiTheme="majorHAnsi" w:hAnsiTheme="majorHAnsi"/>
              </w:rPr>
            </w:pPr>
            <w:r>
              <w:rPr>
                <w:rFonts w:asciiTheme="majorHAnsi" w:hAnsiTheme="majorHAnsi"/>
              </w:rPr>
              <w:t>-2,5%</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6C39BE83" w14:textId="77777777" w:rsidR="003C2935" w:rsidRDefault="003C2935">
            <w:pPr>
              <w:spacing w:before="0" w:after="0" w:line="240" w:lineRule="auto"/>
              <w:jc w:val="right"/>
              <w:rPr>
                <w:rFonts w:asciiTheme="majorHAnsi" w:hAnsiTheme="majorHAnsi"/>
              </w:rPr>
            </w:pPr>
            <w:r>
              <w:rPr>
                <w:rFonts w:asciiTheme="majorHAnsi" w:hAnsiTheme="majorHAnsi"/>
              </w:rPr>
              <w:t>3,5%</w:t>
            </w:r>
          </w:p>
        </w:tc>
      </w:tr>
      <w:tr w:rsidR="003C2935" w14:paraId="0BE71B93"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26159BB5"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Kemična</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26033D81" w14:textId="77777777" w:rsidR="003C2935" w:rsidRDefault="003C2935">
            <w:pPr>
              <w:spacing w:before="0" w:after="0" w:line="240" w:lineRule="auto"/>
              <w:jc w:val="right"/>
              <w:rPr>
                <w:rFonts w:asciiTheme="majorHAnsi" w:hAnsiTheme="majorHAnsi"/>
              </w:rPr>
            </w:pPr>
            <w:r>
              <w:rPr>
                <w:rFonts w:asciiTheme="majorHAnsi" w:hAnsiTheme="majorHAnsi"/>
              </w:rPr>
              <w:t>971.961</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655B5407" w14:textId="77777777" w:rsidR="003C2935" w:rsidRDefault="003C2935">
            <w:pPr>
              <w:spacing w:before="0" w:after="0" w:line="240" w:lineRule="auto"/>
              <w:jc w:val="right"/>
              <w:rPr>
                <w:rFonts w:asciiTheme="majorHAnsi" w:hAnsiTheme="majorHAnsi"/>
              </w:rPr>
            </w:pPr>
            <w:r>
              <w:rPr>
                <w:rFonts w:asciiTheme="majorHAnsi" w:hAnsiTheme="majorHAnsi"/>
              </w:rPr>
              <w:t>1.011.228</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7BB38C65" w14:textId="77777777" w:rsidR="003C2935" w:rsidRDefault="003C2935">
            <w:pPr>
              <w:spacing w:before="0" w:after="0" w:line="240" w:lineRule="auto"/>
              <w:jc w:val="right"/>
              <w:rPr>
                <w:rFonts w:asciiTheme="majorHAnsi" w:hAnsiTheme="majorHAnsi"/>
              </w:rPr>
            </w:pPr>
            <w:r>
              <w:rPr>
                <w:rFonts w:asciiTheme="majorHAnsi" w:hAnsiTheme="majorHAnsi"/>
              </w:rPr>
              <w:t>1.399.112</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321E0890" w14:textId="77777777" w:rsidR="003C2935" w:rsidRDefault="003C2935">
            <w:pPr>
              <w:spacing w:before="0" w:after="0" w:line="240" w:lineRule="auto"/>
              <w:jc w:val="right"/>
              <w:rPr>
                <w:rFonts w:asciiTheme="majorHAnsi" w:hAnsiTheme="majorHAnsi"/>
              </w:rPr>
            </w:pPr>
            <w:r>
              <w:rPr>
                <w:rFonts w:asciiTheme="majorHAnsi" w:hAnsiTheme="majorHAnsi"/>
              </w:rPr>
              <w:t>2,0%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453B382E" w14:textId="77777777" w:rsidR="003C2935" w:rsidRDefault="003C2935">
            <w:pPr>
              <w:spacing w:before="0" w:after="0" w:line="240" w:lineRule="auto"/>
              <w:jc w:val="right"/>
              <w:rPr>
                <w:rFonts w:asciiTheme="majorHAnsi" w:hAnsiTheme="majorHAnsi"/>
              </w:rPr>
            </w:pPr>
            <w:r>
              <w:rPr>
                <w:rFonts w:asciiTheme="majorHAnsi" w:hAnsiTheme="majorHAnsi"/>
              </w:rPr>
              <w:t>3,3%</w:t>
            </w:r>
          </w:p>
        </w:tc>
      </w:tr>
      <w:tr w:rsidR="003C2935" w14:paraId="2474CBD2"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3C19883B"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Nekovinska</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3A8C1142" w14:textId="77777777" w:rsidR="003C2935" w:rsidRDefault="003C2935">
            <w:pPr>
              <w:spacing w:before="0" w:after="0" w:line="240" w:lineRule="auto"/>
              <w:jc w:val="right"/>
              <w:rPr>
                <w:rFonts w:asciiTheme="majorHAnsi" w:hAnsiTheme="majorHAnsi"/>
              </w:rPr>
            </w:pPr>
            <w:r>
              <w:rPr>
                <w:rFonts w:asciiTheme="majorHAnsi" w:hAnsiTheme="majorHAnsi"/>
              </w:rPr>
              <w:t>150.270</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2A7ED1F1" w14:textId="77777777" w:rsidR="003C2935" w:rsidRDefault="003C2935">
            <w:pPr>
              <w:spacing w:before="0" w:after="0" w:line="240" w:lineRule="auto"/>
              <w:jc w:val="right"/>
              <w:rPr>
                <w:rFonts w:asciiTheme="majorHAnsi" w:hAnsiTheme="majorHAnsi"/>
              </w:rPr>
            </w:pPr>
            <w:r>
              <w:rPr>
                <w:rFonts w:asciiTheme="majorHAnsi" w:hAnsiTheme="majorHAnsi"/>
              </w:rPr>
              <w:t>137.050</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5E48D088" w14:textId="77777777" w:rsidR="003C2935" w:rsidRDefault="003C2935">
            <w:pPr>
              <w:spacing w:before="0" w:after="0" w:line="240" w:lineRule="auto"/>
              <w:jc w:val="right"/>
              <w:rPr>
                <w:rFonts w:asciiTheme="majorHAnsi" w:hAnsiTheme="majorHAnsi"/>
              </w:rPr>
            </w:pPr>
            <w:r>
              <w:rPr>
                <w:rFonts w:asciiTheme="majorHAnsi" w:hAnsiTheme="majorHAnsi"/>
              </w:rPr>
              <w:t>170.368</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2A74E446" w14:textId="77777777" w:rsidR="003C2935" w:rsidRDefault="003C2935">
            <w:pPr>
              <w:spacing w:before="0" w:after="0" w:line="240" w:lineRule="auto"/>
              <w:jc w:val="right"/>
              <w:rPr>
                <w:rFonts w:asciiTheme="majorHAnsi" w:hAnsiTheme="majorHAnsi"/>
              </w:rPr>
            </w:pPr>
            <w:r>
              <w:rPr>
                <w:rFonts w:asciiTheme="majorHAnsi" w:hAnsiTheme="majorHAnsi"/>
              </w:rPr>
              <w:t>-4,5%</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6166165D" w14:textId="77777777" w:rsidR="003C2935" w:rsidRDefault="003C2935">
            <w:pPr>
              <w:spacing w:before="0" w:after="0" w:line="240" w:lineRule="auto"/>
              <w:jc w:val="right"/>
              <w:rPr>
                <w:rFonts w:asciiTheme="majorHAnsi" w:hAnsiTheme="majorHAnsi"/>
              </w:rPr>
            </w:pPr>
            <w:r>
              <w:rPr>
                <w:rFonts w:asciiTheme="majorHAnsi" w:hAnsiTheme="majorHAnsi"/>
              </w:rPr>
              <w:t>2,2%</w:t>
            </w:r>
          </w:p>
        </w:tc>
      </w:tr>
      <w:tr w:rsidR="003C2935" w14:paraId="3C8CC13A"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2FBC0F8E"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Kovinska</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5CAD9360" w14:textId="77777777" w:rsidR="003C2935" w:rsidRDefault="003C2935">
            <w:pPr>
              <w:spacing w:before="0" w:after="0" w:line="240" w:lineRule="auto"/>
              <w:jc w:val="right"/>
              <w:rPr>
                <w:rFonts w:asciiTheme="majorHAnsi" w:hAnsiTheme="majorHAnsi"/>
              </w:rPr>
            </w:pPr>
            <w:r>
              <w:rPr>
                <w:rFonts w:asciiTheme="majorHAnsi" w:hAnsiTheme="majorHAnsi"/>
              </w:rPr>
              <w:t>642.121</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09FBAD15" w14:textId="77777777" w:rsidR="003C2935" w:rsidRDefault="003C2935">
            <w:pPr>
              <w:spacing w:before="0" w:after="0" w:line="240" w:lineRule="auto"/>
              <w:jc w:val="right"/>
              <w:rPr>
                <w:rFonts w:asciiTheme="majorHAnsi" w:hAnsiTheme="majorHAnsi"/>
              </w:rPr>
            </w:pPr>
            <w:r>
              <w:rPr>
                <w:rFonts w:asciiTheme="majorHAnsi" w:hAnsiTheme="majorHAnsi"/>
              </w:rPr>
              <w:t>594.247</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172BC4FD" w14:textId="77777777" w:rsidR="003C2935" w:rsidRDefault="003C2935">
            <w:pPr>
              <w:spacing w:before="0" w:after="0" w:line="240" w:lineRule="auto"/>
              <w:jc w:val="right"/>
              <w:rPr>
                <w:rFonts w:asciiTheme="majorHAnsi" w:hAnsiTheme="majorHAnsi"/>
              </w:rPr>
            </w:pPr>
            <w:r>
              <w:rPr>
                <w:rFonts w:asciiTheme="majorHAnsi" w:hAnsiTheme="majorHAnsi"/>
              </w:rPr>
              <w:t>814.262</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0530E6E5" w14:textId="77777777" w:rsidR="003C2935" w:rsidRDefault="003C2935">
            <w:pPr>
              <w:spacing w:before="0" w:after="0" w:line="240" w:lineRule="auto"/>
              <w:jc w:val="right"/>
              <w:rPr>
                <w:rFonts w:asciiTheme="majorHAnsi" w:hAnsiTheme="majorHAnsi"/>
              </w:rPr>
            </w:pPr>
            <w:r>
              <w:rPr>
                <w:rFonts w:asciiTheme="majorHAnsi" w:hAnsiTheme="majorHAnsi"/>
              </w:rPr>
              <w:t>-3,8%</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40168F85" w14:textId="77777777" w:rsidR="003C2935" w:rsidRDefault="003C2935">
            <w:pPr>
              <w:spacing w:before="0" w:after="0" w:line="240" w:lineRule="auto"/>
              <w:jc w:val="right"/>
              <w:rPr>
                <w:rFonts w:asciiTheme="majorHAnsi" w:hAnsiTheme="majorHAnsi"/>
              </w:rPr>
            </w:pPr>
            <w:r>
              <w:rPr>
                <w:rFonts w:asciiTheme="majorHAnsi" w:hAnsiTheme="majorHAnsi"/>
              </w:rPr>
              <w:t>3,2%</w:t>
            </w:r>
          </w:p>
        </w:tc>
      </w:tr>
      <w:tr w:rsidR="003C2935" w14:paraId="087450AA"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7EDD94B9"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Elektro</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159F886D" w14:textId="77777777" w:rsidR="003C2935" w:rsidRDefault="003C2935">
            <w:pPr>
              <w:spacing w:before="0" w:after="0" w:line="240" w:lineRule="auto"/>
              <w:jc w:val="right"/>
              <w:rPr>
                <w:rFonts w:asciiTheme="majorHAnsi" w:hAnsiTheme="majorHAnsi"/>
              </w:rPr>
            </w:pPr>
            <w:r>
              <w:rPr>
                <w:rFonts w:asciiTheme="majorHAnsi" w:hAnsiTheme="majorHAnsi"/>
              </w:rPr>
              <w:t>374.832</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244183F5" w14:textId="77777777" w:rsidR="003C2935" w:rsidRDefault="003C2935">
            <w:pPr>
              <w:spacing w:before="0" w:after="0" w:line="240" w:lineRule="auto"/>
              <w:jc w:val="right"/>
              <w:rPr>
                <w:rFonts w:asciiTheme="majorHAnsi" w:hAnsiTheme="majorHAnsi"/>
              </w:rPr>
            </w:pPr>
            <w:r>
              <w:rPr>
                <w:rFonts w:asciiTheme="majorHAnsi" w:hAnsiTheme="majorHAnsi"/>
              </w:rPr>
              <w:t>345.445</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007016FD" w14:textId="77777777" w:rsidR="003C2935" w:rsidRDefault="003C2935">
            <w:pPr>
              <w:spacing w:before="0" w:after="0" w:line="240" w:lineRule="auto"/>
              <w:jc w:val="right"/>
              <w:rPr>
                <w:rFonts w:asciiTheme="majorHAnsi" w:hAnsiTheme="majorHAnsi"/>
              </w:rPr>
            </w:pPr>
            <w:r>
              <w:rPr>
                <w:rFonts w:asciiTheme="majorHAnsi" w:hAnsiTheme="majorHAnsi"/>
              </w:rPr>
              <w:t>607.066</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672E983D" w14:textId="77777777" w:rsidR="003C2935" w:rsidRDefault="003C2935">
            <w:pPr>
              <w:spacing w:before="0" w:after="0" w:line="240" w:lineRule="auto"/>
              <w:jc w:val="right"/>
              <w:rPr>
                <w:rFonts w:asciiTheme="majorHAnsi" w:hAnsiTheme="majorHAnsi"/>
              </w:rPr>
            </w:pPr>
            <w:r>
              <w:rPr>
                <w:rFonts w:asciiTheme="majorHAnsi" w:hAnsiTheme="majorHAnsi"/>
              </w:rPr>
              <w:t>-4,0%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01933C13" w14:textId="77777777" w:rsidR="003C2935" w:rsidRDefault="003C2935">
            <w:pPr>
              <w:spacing w:before="0" w:after="0" w:line="240" w:lineRule="auto"/>
              <w:jc w:val="right"/>
              <w:rPr>
                <w:rFonts w:asciiTheme="majorHAnsi" w:hAnsiTheme="majorHAnsi"/>
              </w:rPr>
            </w:pPr>
            <w:r>
              <w:rPr>
                <w:rFonts w:asciiTheme="majorHAnsi" w:hAnsiTheme="majorHAnsi"/>
              </w:rPr>
              <w:t>5,8%</w:t>
            </w:r>
          </w:p>
        </w:tc>
      </w:tr>
      <w:tr w:rsidR="003C2935" w14:paraId="6594531B"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7147403B"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Strojna</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5577FECC" w14:textId="77777777" w:rsidR="003C2935" w:rsidRDefault="003C2935">
            <w:pPr>
              <w:spacing w:before="0" w:after="0" w:line="240" w:lineRule="auto"/>
              <w:jc w:val="right"/>
              <w:rPr>
                <w:rFonts w:asciiTheme="majorHAnsi" w:hAnsiTheme="majorHAnsi"/>
              </w:rPr>
            </w:pPr>
            <w:r>
              <w:rPr>
                <w:rFonts w:asciiTheme="majorHAnsi" w:hAnsiTheme="majorHAnsi"/>
              </w:rPr>
              <w:t>642.159</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7776B4CB" w14:textId="77777777" w:rsidR="003C2935" w:rsidRDefault="003C2935">
            <w:pPr>
              <w:spacing w:before="0" w:after="0" w:line="240" w:lineRule="auto"/>
              <w:jc w:val="right"/>
              <w:rPr>
                <w:rFonts w:asciiTheme="majorHAnsi" w:hAnsiTheme="majorHAnsi"/>
              </w:rPr>
            </w:pPr>
            <w:r>
              <w:rPr>
                <w:rFonts w:asciiTheme="majorHAnsi" w:hAnsiTheme="majorHAnsi"/>
              </w:rPr>
              <w:t>579.548</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2002C409" w14:textId="77777777" w:rsidR="003C2935" w:rsidRDefault="003C2935">
            <w:pPr>
              <w:spacing w:before="0" w:after="0" w:line="240" w:lineRule="auto"/>
              <w:jc w:val="right"/>
              <w:rPr>
                <w:rFonts w:asciiTheme="majorHAnsi" w:hAnsiTheme="majorHAnsi"/>
              </w:rPr>
            </w:pPr>
            <w:r>
              <w:rPr>
                <w:rFonts w:asciiTheme="majorHAnsi" w:hAnsiTheme="majorHAnsi"/>
              </w:rPr>
              <w:t>908.671</w:t>
            </w:r>
          </w:p>
        </w:tc>
        <w:tc>
          <w:tcPr>
            <w:tcW w:w="771" w:type="pct"/>
            <w:tcBorders>
              <w:top w:val="single" w:sz="4" w:space="0" w:color="BADB7D" w:themeColor="accent2" w:themeTint="99"/>
              <w:left w:val="nil"/>
              <w:bottom w:val="single" w:sz="4" w:space="0" w:color="BADB7D" w:themeColor="accent2" w:themeTint="99"/>
              <w:right w:val="nil"/>
            </w:tcBorders>
            <w:noWrap/>
            <w:vAlign w:val="center"/>
            <w:hideMark/>
          </w:tcPr>
          <w:p w14:paraId="25276384" w14:textId="77777777" w:rsidR="003C2935" w:rsidRDefault="003C2935">
            <w:pPr>
              <w:spacing w:before="0" w:after="0" w:line="240" w:lineRule="auto"/>
              <w:jc w:val="right"/>
              <w:rPr>
                <w:rFonts w:asciiTheme="majorHAnsi" w:hAnsiTheme="majorHAnsi"/>
              </w:rPr>
            </w:pPr>
            <w:r>
              <w:rPr>
                <w:rFonts w:asciiTheme="majorHAnsi" w:hAnsiTheme="majorHAnsi"/>
              </w:rPr>
              <w:t>-5,0%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7321750C" w14:textId="77777777" w:rsidR="003C2935" w:rsidRDefault="003C2935">
            <w:pPr>
              <w:spacing w:before="0" w:after="0" w:line="240" w:lineRule="auto"/>
              <w:jc w:val="right"/>
              <w:rPr>
                <w:rFonts w:asciiTheme="majorHAnsi" w:hAnsiTheme="majorHAnsi"/>
              </w:rPr>
            </w:pPr>
            <w:r>
              <w:rPr>
                <w:rFonts w:asciiTheme="majorHAnsi" w:hAnsiTheme="majorHAnsi"/>
              </w:rPr>
              <w:t>4,6%</w:t>
            </w:r>
          </w:p>
        </w:tc>
      </w:tr>
      <w:tr w:rsidR="003C2935" w14:paraId="78A6B6AE"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0645157E"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Druge</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23563EB8" w14:textId="77777777" w:rsidR="003C2935" w:rsidRDefault="003C2935">
            <w:pPr>
              <w:spacing w:before="0" w:after="0" w:line="240" w:lineRule="auto"/>
              <w:jc w:val="right"/>
              <w:rPr>
                <w:rFonts w:asciiTheme="majorHAnsi" w:hAnsiTheme="majorHAnsi"/>
              </w:rPr>
            </w:pPr>
            <w:r>
              <w:rPr>
                <w:rFonts w:asciiTheme="majorHAnsi" w:hAnsiTheme="majorHAnsi"/>
              </w:rPr>
              <w:t>70.756</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3EB0D84F" w14:textId="77777777" w:rsidR="003C2935" w:rsidRDefault="003C2935">
            <w:pPr>
              <w:spacing w:before="0" w:after="0" w:line="240" w:lineRule="auto"/>
              <w:jc w:val="right"/>
              <w:rPr>
                <w:rFonts w:asciiTheme="majorHAnsi" w:hAnsiTheme="majorHAnsi"/>
              </w:rPr>
            </w:pPr>
            <w:r>
              <w:rPr>
                <w:rFonts w:asciiTheme="majorHAnsi" w:hAnsiTheme="majorHAnsi"/>
              </w:rPr>
              <w:t>67.954</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216722C5" w14:textId="77777777" w:rsidR="003C2935" w:rsidRDefault="003C2935">
            <w:pPr>
              <w:spacing w:before="0" w:after="0" w:line="240" w:lineRule="auto"/>
              <w:jc w:val="right"/>
              <w:rPr>
                <w:rFonts w:asciiTheme="majorHAnsi" w:hAnsiTheme="majorHAnsi"/>
              </w:rPr>
            </w:pPr>
            <w:r>
              <w:rPr>
                <w:rFonts w:asciiTheme="majorHAnsi" w:hAnsiTheme="majorHAnsi"/>
              </w:rPr>
              <w:t>95.856</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vAlign w:val="center"/>
            <w:hideMark/>
          </w:tcPr>
          <w:p w14:paraId="0CADB1C4" w14:textId="77777777" w:rsidR="003C2935" w:rsidRDefault="003C2935">
            <w:pPr>
              <w:spacing w:before="0" w:after="0" w:line="240" w:lineRule="auto"/>
              <w:jc w:val="right"/>
              <w:rPr>
                <w:rFonts w:asciiTheme="majorHAnsi" w:hAnsiTheme="majorHAnsi"/>
              </w:rPr>
            </w:pPr>
            <w:r>
              <w:rPr>
                <w:rFonts w:asciiTheme="majorHAnsi" w:hAnsiTheme="majorHAnsi"/>
              </w:rPr>
              <w:t>-2,0%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7E8969A4" w14:textId="77777777" w:rsidR="003C2935" w:rsidRDefault="003C2935">
            <w:pPr>
              <w:spacing w:before="0" w:after="0" w:line="240" w:lineRule="auto"/>
              <w:jc w:val="right"/>
              <w:rPr>
                <w:rFonts w:asciiTheme="majorHAnsi" w:hAnsiTheme="majorHAnsi"/>
              </w:rPr>
            </w:pPr>
            <w:r>
              <w:rPr>
                <w:rFonts w:asciiTheme="majorHAnsi" w:hAnsiTheme="majorHAnsi"/>
              </w:rPr>
              <w:t>3,5%</w:t>
            </w:r>
          </w:p>
        </w:tc>
      </w:tr>
    </w:tbl>
    <w:p w14:paraId="2EBB2607" w14:textId="77777777" w:rsidR="003C2935" w:rsidRDefault="003C2935" w:rsidP="003C2935">
      <w:pPr>
        <w:spacing w:before="20"/>
        <w:jc w:val="both"/>
        <w:rPr>
          <w:i/>
        </w:rPr>
      </w:pPr>
      <w:r>
        <w:rPr>
          <w:i/>
        </w:rPr>
        <w:t>Vira: Statistični urad RS, napoved Analitike GZS</w:t>
      </w:r>
    </w:p>
    <w:p w14:paraId="38BD5285" w14:textId="77777777" w:rsidR="00155719" w:rsidRDefault="00155719" w:rsidP="003C2935">
      <w:pPr>
        <w:rPr>
          <w:b/>
          <w:bCs/>
        </w:rPr>
      </w:pPr>
    </w:p>
    <w:p w14:paraId="5CAE94E9" w14:textId="0BA44A26" w:rsidR="003C2935" w:rsidRDefault="003C2935" w:rsidP="003C2935">
      <w:pPr>
        <w:rPr>
          <w:b/>
        </w:rPr>
      </w:pPr>
      <w:r>
        <w:rPr>
          <w:b/>
          <w:bCs/>
        </w:rPr>
        <w:t>Izdatki za raziskave in razvoj</w:t>
      </w:r>
    </w:p>
    <w:p w14:paraId="30939B97" w14:textId="5D26D24C" w:rsidR="003C2935" w:rsidRDefault="003C2935" w:rsidP="003C2935">
      <w:pPr>
        <w:jc w:val="both"/>
      </w:pPr>
      <w:r>
        <w:t>Pri napovedi izdatkov za R&amp;R smo sledili ciljni usmeritvi, da izdatki za R&amp;R v zasebnem sektorju dosežejo 1,8 % BDP v letu 2030. Kemi</w:t>
      </w:r>
      <w:r w:rsidR="00570B92">
        <w:t>čn</w:t>
      </w:r>
      <w:r>
        <w:t xml:space="preserve">a industrija naj bi kljub podpovprečni rasti izdatkov za R&amp;R (5,4 %) </w:t>
      </w:r>
      <w:r w:rsidRPr="000E0302">
        <w:t>v obdobju 2</w:t>
      </w:r>
      <w:r w:rsidR="0058525A" w:rsidRPr="000E0302">
        <w:t>021</w:t>
      </w:r>
      <w:r w:rsidRPr="000E0302">
        <w:t>-2030 prispevala</w:t>
      </w:r>
      <w:r>
        <w:t xml:space="preserve"> k 43-odstotnem</w:t>
      </w:r>
      <w:r w:rsidR="00570B92">
        <w:t>u</w:t>
      </w:r>
      <w:r>
        <w:t xml:space="preserve"> povečanju celotnih izdatkov za ta namen v predelovalni dejavnosti. Sledila naj bi ji elektro industrija s 26-odstotnim in strojna industrija z 18-odstotnim</w:t>
      </w:r>
      <w:r w:rsidR="00542B87" w:rsidRPr="00542B87">
        <w:t xml:space="preserve"> </w:t>
      </w:r>
      <w:r w:rsidR="00542B87">
        <w:t>deležem</w:t>
      </w:r>
      <w:r>
        <w:t xml:space="preserve">. </w:t>
      </w:r>
      <w:r w:rsidR="003C1867">
        <w:t>Na nacionalnem nivoju je do leta 2030 cilj povečanja vlaganj v raziskave in razvoj najmanj 3 % BDP, od tega najmanj 1 % BDP iz javnih sredstev.</w:t>
      </w:r>
    </w:p>
    <w:tbl>
      <w:tblPr>
        <w:tblW w:w="5000" w:type="pct"/>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tblBorders>
        <w:tblLook w:val="04A0" w:firstRow="1" w:lastRow="0" w:firstColumn="1" w:lastColumn="0" w:noHBand="0" w:noVBand="1"/>
      </w:tblPr>
      <w:tblGrid>
        <w:gridCol w:w="2135"/>
        <w:gridCol w:w="1432"/>
        <w:gridCol w:w="1432"/>
        <w:gridCol w:w="1432"/>
        <w:gridCol w:w="1432"/>
        <w:gridCol w:w="1425"/>
      </w:tblGrid>
      <w:tr w:rsidR="003C2935" w14:paraId="3F12332C" w14:textId="77777777" w:rsidTr="003C2935">
        <w:trPr>
          <w:trHeight w:val="722"/>
        </w:trPr>
        <w:tc>
          <w:tcPr>
            <w:tcW w:w="1149" w:type="pct"/>
            <w:tcBorders>
              <w:top w:val="single" w:sz="4" w:space="0" w:color="8AB833" w:themeColor="accent2"/>
              <w:left w:val="single" w:sz="4" w:space="0" w:color="8AB833" w:themeColor="accent2"/>
              <w:bottom w:val="single" w:sz="4" w:space="0" w:color="8AB833" w:themeColor="accent2"/>
              <w:right w:val="nil"/>
            </w:tcBorders>
            <w:shd w:val="clear" w:color="auto" w:fill="8AB833" w:themeFill="accent2"/>
            <w:vAlign w:val="center"/>
            <w:hideMark/>
          </w:tcPr>
          <w:p w14:paraId="29C4CDBE" w14:textId="77777777" w:rsidR="003C2935" w:rsidRDefault="003C2935">
            <w:pPr>
              <w:spacing w:before="0" w:after="0" w:line="240" w:lineRule="auto"/>
              <w:rPr>
                <w:rFonts w:asciiTheme="majorHAnsi" w:hAnsiTheme="majorHAnsi"/>
                <w:b/>
                <w:bCs/>
                <w:color w:val="FFFFFF" w:themeColor="background1"/>
              </w:rPr>
            </w:pPr>
            <w:r>
              <w:rPr>
                <w:rFonts w:asciiTheme="majorHAnsi" w:hAnsiTheme="majorHAnsi"/>
                <w:b/>
                <w:bCs/>
                <w:color w:val="FFFFFF" w:themeColor="background1"/>
              </w:rPr>
              <w:t>Ključne skupine predelovalnih dejavnosti</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7E15BC59"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Izdatki za R&amp;R, 2018, v 000 EUR</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22E7A9BB"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Izdatki za R&amp;R, 2020, v 000 EUR</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2C67271A" w14:textId="77777777" w:rsidR="003C2935" w:rsidRDefault="003C2935">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Izdatki za R&amp;R, 2030, v 000 EUR</w:t>
            </w:r>
          </w:p>
        </w:tc>
        <w:tc>
          <w:tcPr>
            <w:tcW w:w="771" w:type="pct"/>
            <w:tcBorders>
              <w:top w:val="single" w:sz="4" w:space="0" w:color="8AB833" w:themeColor="accent2"/>
              <w:left w:val="nil"/>
              <w:bottom w:val="single" w:sz="4" w:space="0" w:color="8AB833" w:themeColor="accent2"/>
              <w:right w:val="nil"/>
            </w:tcBorders>
            <w:shd w:val="clear" w:color="auto" w:fill="8AB833" w:themeFill="accent2"/>
            <w:vAlign w:val="center"/>
            <w:hideMark/>
          </w:tcPr>
          <w:p w14:paraId="0C53E4D1" w14:textId="0511EDCF" w:rsidR="003C2935" w:rsidRDefault="0058525A">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L</w:t>
            </w:r>
            <w:r w:rsidR="003C2935">
              <w:rPr>
                <w:rFonts w:asciiTheme="majorHAnsi" w:hAnsiTheme="majorHAnsi"/>
                <w:b/>
                <w:bCs/>
                <w:color w:val="FFFFFF" w:themeColor="background1"/>
              </w:rPr>
              <w:t xml:space="preserve">etna sprememba Izdatki za R&amp;R </w:t>
            </w:r>
            <w:r>
              <w:rPr>
                <w:rFonts w:asciiTheme="majorHAnsi" w:hAnsiTheme="majorHAnsi"/>
                <w:b/>
                <w:bCs/>
                <w:color w:val="FFFFFF" w:themeColor="background1"/>
              </w:rPr>
              <w:t xml:space="preserve">v % </w:t>
            </w:r>
            <w:r w:rsidR="003C2935">
              <w:rPr>
                <w:rFonts w:asciiTheme="majorHAnsi" w:hAnsiTheme="majorHAnsi"/>
                <w:b/>
                <w:bCs/>
                <w:color w:val="FFFFFF" w:themeColor="background1"/>
              </w:rPr>
              <w:t>2019-2020</w:t>
            </w:r>
          </w:p>
        </w:tc>
        <w:tc>
          <w:tcPr>
            <w:tcW w:w="767" w:type="pct"/>
            <w:tcBorders>
              <w:top w:val="single" w:sz="4" w:space="0" w:color="8AB833" w:themeColor="accent2"/>
              <w:left w:val="nil"/>
              <w:bottom w:val="single" w:sz="4" w:space="0" w:color="8AB833" w:themeColor="accent2"/>
              <w:right w:val="single" w:sz="4" w:space="0" w:color="8AB833" w:themeColor="accent2"/>
            </w:tcBorders>
            <w:shd w:val="clear" w:color="auto" w:fill="8AB833" w:themeFill="accent2"/>
            <w:vAlign w:val="center"/>
            <w:hideMark/>
          </w:tcPr>
          <w:p w14:paraId="097DEDA3" w14:textId="3008BAA6" w:rsidR="003C2935" w:rsidRDefault="0058525A">
            <w:pPr>
              <w:spacing w:before="0" w:after="0" w:line="240" w:lineRule="auto"/>
              <w:jc w:val="center"/>
              <w:rPr>
                <w:rFonts w:asciiTheme="majorHAnsi" w:hAnsiTheme="majorHAnsi"/>
                <w:bCs/>
                <w:color w:val="FFFFFF" w:themeColor="background1"/>
              </w:rPr>
            </w:pPr>
            <w:r>
              <w:rPr>
                <w:rFonts w:asciiTheme="majorHAnsi" w:hAnsiTheme="majorHAnsi"/>
                <w:b/>
                <w:bCs/>
                <w:color w:val="FFFFFF" w:themeColor="background1"/>
              </w:rPr>
              <w:t>L</w:t>
            </w:r>
            <w:r w:rsidR="003C2935">
              <w:rPr>
                <w:rFonts w:asciiTheme="majorHAnsi" w:hAnsiTheme="majorHAnsi"/>
                <w:b/>
                <w:bCs/>
                <w:color w:val="FFFFFF" w:themeColor="background1"/>
              </w:rPr>
              <w:t xml:space="preserve">etna sprememba Izdatki za R&amp;R </w:t>
            </w:r>
            <w:r>
              <w:rPr>
                <w:rFonts w:asciiTheme="majorHAnsi" w:hAnsiTheme="majorHAnsi"/>
                <w:b/>
                <w:bCs/>
                <w:color w:val="FFFFFF" w:themeColor="background1"/>
              </w:rPr>
              <w:t>v %</w:t>
            </w:r>
            <w:r w:rsidR="003C2935">
              <w:rPr>
                <w:rFonts w:asciiTheme="majorHAnsi" w:hAnsiTheme="majorHAnsi"/>
                <w:b/>
                <w:bCs/>
                <w:color w:val="FFFFFF" w:themeColor="background1"/>
              </w:rPr>
              <w:t xml:space="preserve"> 2021-2030</w:t>
            </w:r>
          </w:p>
        </w:tc>
      </w:tr>
      <w:tr w:rsidR="003C2935" w14:paraId="5568C39D"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3841F83A"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PREDEL. DEJ. SKUPAJ</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55DC895C" w14:textId="77777777" w:rsidR="003C2935" w:rsidRDefault="003C2935">
            <w:pPr>
              <w:spacing w:before="0" w:after="0" w:line="240" w:lineRule="auto"/>
              <w:jc w:val="right"/>
              <w:rPr>
                <w:b/>
              </w:rPr>
            </w:pPr>
            <w:r>
              <w:rPr>
                <w:b/>
              </w:rPr>
              <w:t>488.636</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088E626C" w14:textId="77777777" w:rsidR="003C2935" w:rsidRDefault="003C2935">
            <w:pPr>
              <w:spacing w:before="0" w:after="0" w:line="240" w:lineRule="auto"/>
              <w:jc w:val="right"/>
              <w:rPr>
                <w:b/>
              </w:rPr>
            </w:pPr>
            <w:r>
              <w:rPr>
                <w:b/>
              </w:rPr>
              <w:t>446.144</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59626E19" w14:textId="77777777" w:rsidR="003C2935" w:rsidRDefault="003C2935">
            <w:pPr>
              <w:spacing w:before="0" w:after="0" w:line="240" w:lineRule="auto"/>
              <w:jc w:val="right"/>
              <w:rPr>
                <w:b/>
              </w:rPr>
            </w:pPr>
            <w:r>
              <w:rPr>
                <w:b/>
              </w:rPr>
              <w:t>800.364</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vAlign w:val="center"/>
            <w:hideMark/>
          </w:tcPr>
          <w:p w14:paraId="30269D02" w14:textId="77777777" w:rsidR="003C2935" w:rsidRDefault="003C2935">
            <w:pPr>
              <w:spacing w:before="0" w:after="0" w:line="240" w:lineRule="auto"/>
              <w:jc w:val="right"/>
              <w:rPr>
                <w:b/>
              </w:rPr>
            </w:pPr>
            <w:r>
              <w:rPr>
                <w:b/>
              </w:rPr>
              <w:t>-4,4%</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vAlign w:val="center"/>
            <w:hideMark/>
          </w:tcPr>
          <w:p w14:paraId="54622D18" w14:textId="77777777" w:rsidR="003C2935" w:rsidRDefault="003C2935">
            <w:pPr>
              <w:spacing w:before="0" w:after="0" w:line="240" w:lineRule="auto"/>
              <w:jc w:val="right"/>
              <w:rPr>
                <w:b/>
              </w:rPr>
            </w:pPr>
            <w:r>
              <w:rPr>
                <w:b/>
              </w:rPr>
              <w:t>6,0%</w:t>
            </w:r>
          </w:p>
        </w:tc>
      </w:tr>
      <w:tr w:rsidR="003C2935" w14:paraId="3AA2D12E"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2F254C55"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Prehrambna</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44EE1ABE" w14:textId="77777777" w:rsidR="003C2935" w:rsidRDefault="003C2935">
            <w:pPr>
              <w:spacing w:before="0" w:after="0" w:line="240" w:lineRule="auto"/>
              <w:jc w:val="right"/>
            </w:pPr>
            <w:r>
              <w:t>7.616</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7D84B7E5" w14:textId="77777777" w:rsidR="003C2935" w:rsidRDefault="003C2935">
            <w:pPr>
              <w:spacing w:before="0" w:after="0" w:line="240" w:lineRule="auto"/>
              <w:jc w:val="right"/>
            </w:pPr>
            <w:r>
              <w:t>6.169</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678FDA54" w14:textId="77777777" w:rsidR="003C2935" w:rsidRDefault="003C2935">
            <w:pPr>
              <w:spacing w:before="0" w:after="0" w:line="240" w:lineRule="auto"/>
              <w:jc w:val="right"/>
            </w:pPr>
            <w:r>
              <w:t>11.580</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14B7B863" w14:textId="77777777" w:rsidR="003C2935" w:rsidRDefault="003C2935">
            <w:pPr>
              <w:spacing w:before="0" w:after="0" w:line="240" w:lineRule="auto"/>
              <w:jc w:val="right"/>
              <w:rPr>
                <w:rFonts w:asciiTheme="majorHAnsi" w:hAnsiTheme="majorHAnsi"/>
              </w:rPr>
            </w:pPr>
            <w:r>
              <w:t>-10,0%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672968B5" w14:textId="77777777" w:rsidR="003C2935" w:rsidRDefault="003C2935">
            <w:pPr>
              <w:spacing w:before="0" w:after="0" w:line="240" w:lineRule="auto"/>
              <w:jc w:val="right"/>
              <w:rPr>
                <w:rFonts w:asciiTheme="majorHAnsi" w:hAnsiTheme="majorHAnsi"/>
              </w:rPr>
            </w:pPr>
            <w:r>
              <w:t>6,5%</w:t>
            </w:r>
          </w:p>
        </w:tc>
      </w:tr>
      <w:tr w:rsidR="003C2935" w14:paraId="057DB308"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133F9AFE"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Tekstilna</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0A29CE7B" w14:textId="77777777" w:rsidR="003C2935" w:rsidRDefault="003C2935">
            <w:pPr>
              <w:spacing w:before="0" w:after="0" w:line="240" w:lineRule="auto"/>
              <w:jc w:val="right"/>
            </w:pPr>
            <w:r>
              <w:t>7.026</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00E2EDC0" w14:textId="77777777" w:rsidR="003C2935" w:rsidRDefault="003C2935">
            <w:pPr>
              <w:spacing w:before="0" w:after="0" w:line="240" w:lineRule="auto"/>
              <w:jc w:val="right"/>
            </w:pPr>
            <w:r>
              <w:t>5.076</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1CC7808C" w14:textId="77777777" w:rsidR="003C2935" w:rsidRDefault="003C2935">
            <w:pPr>
              <w:spacing w:before="0" w:after="0" w:line="240" w:lineRule="auto"/>
              <w:jc w:val="right"/>
            </w:pPr>
            <w:r>
              <w:t>9.091</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2C9B2B44" w14:textId="77777777" w:rsidR="003C2935" w:rsidRDefault="003C2935">
            <w:pPr>
              <w:spacing w:before="0" w:after="0" w:line="240" w:lineRule="auto"/>
              <w:jc w:val="right"/>
              <w:rPr>
                <w:rFonts w:asciiTheme="majorHAnsi" w:hAnsiTheme="majorHAnsi"/>
              </w:rPr>
            </w:pPr>
            <w:r>
              <w:t>-15,0%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57D79BB7" w14:textId="77777777" w:rsidR="003C2935" w:rsidRDefault="003C2935">
            <w:pPr>
              <w:spacing w:before="0" w:after="0" w:line="240" w:lineRule="auto"/>
              <w:jc w:val="right"/>
              <w:rPr>
                <w:rFonts w:asciiTheme="majorHAnsi" w:hAnsiTheme="majorHAnsi"/>
              </w:rPr>
            </w:pPr>
            <w:r>
              <w:t>6,0%</w:t>
            </w:r>
          </w:p>
        </w:tc>
      </w:tr>
      <w:tr w:rsidR="003C2935" w14:paraId="1D8EAF11"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4249F925"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Lesna</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2AE7E5F9" w14:textId="77777777" w:rsidR="003C2935" w:rsidRDefault="003C2935">
            <w:pPr>
              <w:spacing w:before="0" w:after="0" w:line="240" w:lineRule="auto"/>
              <w:jc w:val="right"/>
            </w:pPr>
            <w:r>
              <w:t>4.215</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1D6E39A8" w14:textId="77777777" w:rsidR="003C2935" w:rsidRDefault="003C2935">
            <w:pPr>
              <w:spacing w:before="0" w:after="0" w:line="240" w:lineRule="auto"/>
              <w:jc w:val="right"/>
            </w:pPr>
            <w:r>
              <w:t>4.215</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28A69E5A" w14:textId="77777777" w:rsidR="003C2935" w:rsidRDefault="003C2935">
            <w:pPr>
              <w:spacing w:before="0" w:after="0" w:line="240" w:lineRule="auto"/>
              <w:jc w:val="right"/>
            </w:pPr>
            <w:r>
              <w:t>8.292</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1B159EA4" w14:textId="77777777" w:rsidR="003C2935" w:rsidRDefault="003C2935">
            <w:pPr>
              <w:spacing w:before="0" w:after="0" w:line="240" w:lineRule="auto"/>
              <w:jc w:val="right"/>
              <w:rPr>
                <w:rFonts w:asciiTheme="majorHAnsi" w:hAnsiTheme="majorHAnsi"/>
              </w:rPr>
            </w:pPr>
            <w:r>
              <w:t>0,0%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2773B90B" w14:textId="77777777" w:rsidR="003C2935" w:rsidRDefault="003C2935">
            <w:pPr>
              <w:spacing w:before="0" w:after="0" w:line="240" w:lineRule="auto"/>
              <w:jc w:val="right"/>
              <w:rPr>
                <w:rFonts w:asciiTheme="majorHAnsi" w:hAnsiTheme="majorHAnsi"/>
              </w:rPr>
            </w:pPr>
            <w:r>
              <w:t>7,0%</w:t>
            </w:r>
          </w:p>
        </w:tc>
      </w:tr>
      <w:tr w:rsidR="003C2935" w14:paraId="4A48DDD0"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05DEF160"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Papirna</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54DEAD51" w14:textId="77777777" w:rsidR="003C2935" w:rsidRDefault="003C2935">
            <w:pPr>
              <w:spacing w:before="0" w:after="0" w:line="240" w:lineRule="auto"/>
              <w:jc w:val="right"/>
            </w:pPr>
            <w:r>
              <w:t>4.642</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7DABD42A" w14:textId="77777777" w:rsidR="003C2935" w:rsidRDefault="003C2935">
            <w:pPr>
              <w:spacing w:before="0" w:after="0" w:line="240" w:lineRule="auto"/>
              <w:jc w:val="right"/>
            </w:pPr>
            <w:r>
              <w:t>3.760</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43F743FF" w14:textId="77777777" w:rsidR="003C2935" w:rsidRDefault="003C2935">
            <w:pPr>
              <w:spacing w:before="0" w:after="0" w:line="240" w:lineRule="auto"/>
              <w:jc w:val="right"/>
            </w:pPr>
            <w:r>
              <w:t>6.734</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7FF86779" w14:textId="77777777" w:rsidR="003C2935" w:rsidRDefault="003C2935">
            <w:pPr>
              <w:spacing w:before="0" w:after="0" w:line="240" w:lineRule="auto"/>
              <w:jc w:val="right"/>
              <w:rPr>
                <w:rFonts w:asciiTheme="majorHAnsi" w:hAnsiTheme="majorHAnsi"/>
              </w:rPr>
            </w:pPr>
            <w:r>
              <w:t>-10,0%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77A684FD" w14:textId="77777777" w:rsidR="003C2935" w:rsidRDefault="003C2935">
            <w:pPr>
              <w:spacing w:before="0" w:after="0" w:line="240" w:lineRule="auto"/>
              <w:jc w:val="right"/>
              <w:rPr>
                <w:rFonts w:asciiTheme="majorHAnsi" w:hAnsiTheme="majorHAnsi"/>
              </w:rPr>
            </w:pPr>
            <w:r>
              <w:t>6,0%</w:t>
            </w:r>
          </w:p>
        </w:tc>
      </w:tr>
      <w:tr w:rsidR="003C2935" w14:paraId="70CB653E"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687250CC"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Kemična</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049292F5" w14:textId="77777777" w:rsidR="003C2935" w:rsidRDefault="003C2935">
            <w:pPr>
              <w:spacing w:before="0" w:after="0" w:line="240" w:lineRule="auto"/>
              <w:jc w:val="right"/>
            </w:pPr>
            <w:r>
              <w:t>212.255</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061C6340" w14:textId="77777777" w:rsidR="003C2935" w:rsidRDefault="003C2935">
            <w:pPr>
              <w:spacing w:before="0" w:after="0" w:line="240" w:lineRule="auto"/>
              <w:jc w:val="right"/>
            </w:pPr>
            <w:r>
              <w:t>220.830</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0A18421B" w14:textId="77777777" w:rsidR="003C2935" w:rsidRDefault="003C2935">
            <w:pPr>
              <w:spacing w:before="0" w:after="0" w:line="240" w:lineRule="auto"/>
              <w:jc w:val="right"/>
            </w:pPr>
            <w:r>
              <w:t>373.649</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5FACAD98" w14:textId="77777777" w:rsidR="003C2935" w:rsidRDefault="003C2935">
            <w:pPr>
              <w:spacing w:before="0" w:after="0" w:line="240" w:lineRule="auto"/>
              <w:jc w:val="right"/>
              <w:rPr>
                <w:rFonts w:asciiTheme="majorHAnsi" w:hAnsiTheme="majorHAnsi"/>
              </w:rPr>
            </w:pPr>
            <w:r>
              <w:t>2,0%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7E8C8B5D" w14:textId="77777777" w:rsidR="003C2935" w:rsidRDefault="003C2935">
            <w:pPr>
              <w:spacing w:before="0" w:after="0" w:line="240" w:lineRule="auto"/>
              <w:jc w:val="right"/>
              <w:rPr>
                <w:rFonts w:asciiTheme="majorHAnsi" w:hAnsiTheme="majorHAnsi"/>
              </w:rPr>
            </w:pPr>
            <w:r>
              <w:t>5,4%</w:t>
            </w:r>
          </w:p>
        </w:tc>
      </w:tr>
      <w:tr w:rsidR="003C2935" w14:paraId="0AE58E39"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45F80278"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Nekovinska</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568394AD" w14:textId="77777777" w:rsidR="003C2935" w:rsidRDefault="003C2935">
            <w:pPr>
              <w:spacing w:before="0" w:after="0" w:line="240" w:lineRule="auto"/>
              <w:jc w:val="right"/>
            </w:pPr>
            <w:r>
              <w:t>4.090</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10EB9DF2" w14:textId="77777777" w:rsidR="003C2935" w:rsidRDefault="003C2935">
            <w:pPr>
              <w:spacing w:before="0" w:after="0" w:line="240" w:lineRule="auto"/>
              <w:jc w:val="right"/>
            </w:pPr>
            <w:r>
              <w:t>4.090</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3A171260" w14:textId="77777777" w:rsidR="003C2935" w:rsidRDefault="003C2935">
            <w:pPr>
              <w:spacing w:before="0" w:after="0" w:line="240" w:lineRule="auto"/>
              <w:jc w:val="right"/>
            </w:pPr>
            <w:r>
              <w:t>8.046</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2228AEF7" w14:textId="77777777" w:rsidR="003C2935" w:rsidRDefault="003C2935">
            <w:pPr>
              <w:spacing w:before="0" w:after="0" w:line="240" w:lineRule="auto"/>
              <w:jc w:val="right"/>
              <w:rPr>
                <w:rFonts w:asciiTheme="majorHAnsi" w:hAnsiTheme="majorHAnsi"/>
              </w:rPr>
            </w:pPr>
            <w:r>
              <w:t>0,0%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0DCCF527" w14:textId="77777777" w:rsidR="003C2935" w:rsidRDefault="003C2935">
            <w:pPr>
              <w:spacing w:before="0" w:after="0" w:line="240" w:lineRule="auto"/>
              <w:jc w:val="right"/>
              <w:rPr>
                <w:rFonts w:asciiTheme="majorHAnsi" w:hAnsiTheme="majorHAnsi"/>
              </w:rPr>
            </w:pPr>
            <w:r>
              <w:t>7,0%</w:t>
            </w:r>
          </w:p>
        </w:tc>
      </w:tr>
      <w:tr w:rsidR="003C2935" w14:paraId="7CF4D179"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238DC4E6"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Kovinska</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10C77B22" w14:textId="77777777" w:rsidR="003C2935" w:rsidRDefault="003C2935">
            <w:pPr>
              <w:spacing w:before="0" w:after="0" w:line="240" w:lineRule="auto"/>
              <w:jc w:val="right"/>
            </w:pPr>
            <w:r>
              <w:t>21.073</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4FCB7715" w14:textId="77777777" w:rsidR="003C2935" w:rsidRDefault="003C2935">
            <w:pPr>
              <w:spacing w:before="0" w:after="0" w:line="240" w:lineRule="auto"/>
              <w:jc w:val="right"/>
            </w:pPr>
            <w:r>
              <w:t>17.069</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4BA42F27" w14:textId="77777777" w:rsidR="003C2935" w:rsidRDefault="003C2935">
            <w:pPr>
              <w:spacing w:before="0" w:after="0" w:line="240" w:lineRule="auto"/>
              <w:jc w:val="right"/>
            </w:pPr>
            <w:r>
              <w:t>40.409</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74B1D2CA" w14:textId="77777777" w:rsidR="003C2935" w:rsidRDefault="003C2935">
            <w:pPr>
              <w:spacing w:before="0" w:after="0" w:line="240" w:lineRule="auto"/>
              <w:jc w:val="right"/>
              <w:rPr>
                <w:rFonts w:asciiTheme="majorHAnsi" w:hAnsiTheme="majorHAnsi"/>
              </w:rPr>
            </w:pPr>
            <w:r>
              <w:t>-10,0%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64F0979A" w14:textId="77777777" w:rsidR="003C2935" w:rsidRDefault="003C2935">
            <w:pPr>
              <w:spacing w:before="0" w:after="0" w:line="240" w:lineRule="auto"/>
              <w:jc w:val="right"/>
              <w:rPr>
                <w:rFonts w:asciiTheme="majorHAnsi" w:hAnsiTheme="majorHAnsi"/>
              </w:rPr>
            </w:pPr>
            <w:r>
              <w:t>9,0%</w:t>
            </w:r>
          </w:p>
        </w:tc>
      </w:tr>
      <w:tr w:rsidR="003C2935" w14:paraId="3BA7F7AE"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571509B0"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Elektro</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5D219328" w14:textId="77777777" w:rsidR="003C2935" w:rsidRDefault="003C2935">
            <w:pPr>
              <w:spacing w:before="0" w:after="0" w:line="240" w:lineRule="auto"/>
              <w:jc w:val="right"/>
            </w:pPr>
            <w:r>
              <w:t>128.820</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6C1746C9" w14:textId="77777777" w:rsidR="003C2935" w:rsidRDefault="003C2935">
            <w:pPr>
              <w:spacing w:before="0" w:after="0" w:line="240" w:lineRule="auto"/>
              <w:jc w:val="right"/>
            </w:pPr>
            <w:r>
              <w:t>116.260</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54038461" w14:textId="77777777" w:rsidR="003C2935" w:rsidRDefault="003C2935">
            <w:pPr>
              <w:spacing w:before="0" w:after="0" w:line="240" w:lineRule="auto"/>
              <w:jc w:val="right"/>
            </w:pPr>
            <w:r>
              <w:t>208.204</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25FA64B7" w14:textId="77777777" w:rsidR="003C2935" w:rsidRDefault="003C2935">
            <w:pPr>
              <w:spacing w:before="0" w:after="0" w:line="240" w:lineRule="auto"/>
              <w:jc w:val="right"/>
              <w:rPr>
                <w:rFonts w:asciiTheme="majorHAnsi" w:hAnsiTheme="majorHAnsi"/>
              </w:rPr>
            </w:pPr>
            <w:r>
              <w:t>-5,0%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11F69467" w14:textId="77777777" w:rsidR="003C2935" w:rsidRDefault="003C2935">
            <w:pPr>
              <w:spacing w:before="0" w:after="0" w:line="240" w:lineRule="auto"/>
              <w:jc w:val="right"/>
              <w:rPr>
                <w:rFonts w:asciiTheme="majorHAnsi" w:hAnsiTheme="majorHAnsi"/>
              </w:rPr>
            </w:pPr>
            <w:r>
              <w:t>6,0%</w:t>
            </w:r>
          </w:p>
        </w:tc>
      </w:tr>
      <w:tr w:rsidR="003C2935" w14:paraId="5C33D7B5"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hideMark/>
          </w:tcPr>
          <w:p w14:paraId="35D593E5"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Strojna</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5D978F2F" w14:textId="77777777" w:rsidR="003C2935" w:rsidRDefault="003C2935">
            <w:pPr>
              <w:spacing w:before="0" w:after="0" w:line="240" w:lineRule="auto"/>
              <w:jc w:val="right"/>
            </w:pPr>
            <w:r>
              <w:t>79.647</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1A5CD37F" w14:textId="77777777" w:rsidR="003C2935" w:rsidRDefault="003C2935">
            <w:pPr>
              <w:spacing w:before="0" w:after="0" w:line="240" w:lineRule="auto"/>
              <w:jc w:val="right"/>
            </w:pPr>
            <w:r>
              <w:t>64.514</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762A654F" w14:textId="77777777" w:rsidR="003C2935" w:rsidRDefault="003C2935">
            <w:pPr>
              <w:spacing w:before="0" w:after="0" w:line="240" w:lineRule="auto"/>
              <w:jc w:val="right"/>
            </w:pPr>
            <w:r>
              <w:t>126.909</w:t>
            </w:r>
          </w:p>
        </w:tc>
        <w:tc>
          <w:tcPr>
            <w:tcW w:w="771" w:type="pct"/>
            <w:tcBorders>
              <w:top w:val="single" w:sz="4" w:space="0" w:color="BADB7D" w:themeColor="accent2" w:themeTint="99"/>
              <w:left w:val="nil"/>
              <w:bottom w:val="single" w:sz="4" w:space="0" w:color="BADB7D" w:themeColor="accent2" w:themeTint="99"/>
              <w:right w:val="nil"/>
            </w:tcBorders>
            <w:noWrap/>
            <w:hideMark/>
          </w:tcPr>
          <w:p w14:paraId="537D6E0D" w14:textId="77777777" w:rsidR="003C2935" w:rsidRDefault="003C2935">
            <w:pPr>
              <w:spacing w:before="0" w:after="0" w:line="240" w:lineRule="auto"/>
              <w:jc w:val="right"/>
              <w:rPr>
                <w:rFonts w:asciiTheme="majorHAnsi" w:hAnsiTheme="majorHAnsi"/>
              </w:rPr>
            </w:pPr>
            <w:r>
              <w:t>-10,0%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noWrap/>
            <w:hideMark/>
          </w:tcPr>
          <w:p w14:paraId="0DF3C75C" w14:textId="77777777" w:rsidR="003C2935" w:rsidRDefault="003C2935">
            <w:pPr>
              <w:spacing w:before="0" w:after="0" w:line="240" w:lineRule="auto"/>
              <w:jc w:val="right"/>
              <w:rPr>
                <w:rFonts w:asciiTheme="majorHAnsi" w:hAnsiTheme="majorHAnsi"/>
              </w:rPr>
            </w:pPr>
            <w:r>
              <w:t>7,0%</w:t>
            </w:r>
          </w:p>
        </w:tc>
      </w:tr>
      <w:tr w:rsidR="003C2935" w14:paraId="0F176441" w14:textId="77777777" w:rsidTr="003C2935">
        <w:tc>
          <w:tcPr>
            <w:tcW w:w="1149" w:type="pct"/>
            <w:tcBorders>
              <w:top w:val="single" w:sz="4" w:space="0" w:color="BADB7D" w:themeColor="accent2" w:themeTint="99"/>
              <w:left w:val="single" w:sz="4" w:space="0" w:color="BADB7D" w:themeColor="accent2" w:themeTint="99"/>
              <w:bottom w:val="single" w:sz="4" w:space="0" w:color="BADB7D" w:themeColor="accent2" w:themeTint="99"/>
              <w:right w:val="nil"/>
            </w:tcBorders>
            <w:shd w:val="clear" w:color="auto" w:fill="E8F3D3" w:themeFill="accent2" w:themeFillTint="33"/>
            <w:hideMark/>
          </w:tcPr>
          <w:p w14:paraId="4BE718F0" w14:textId="77777777" w:rsidR="003C2935" w:rsidRDefault="003C2935">
            <w:pPr>
              <w:spacing w:before="0" w:after="0" w:line="240" w:lineRule="auto"/>
              <w:rPr>
                <w:rFonts w:asciiTheme="majorHAnsi" w:hAnsiTheme="majorHAnsi"/>
                <w:bCs/>
              </w:rPr>
            </w:pPr>
            <w:r>
              <w:rPr>
                <w:rFonts w:asciiTheme="majorHAnsi" w:hAnsiTheme="majorHAnsi"/>
                <w:b/>
                <w:bCs/>
                <w:color w:val="000000" w:themeColor="text1"/>
              </w:rPr>
              <w:t>Druge</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7BB49563" w14:textId="77777777" w:rsidR="003C2935" w:rsidRDefault="003C2935">
            <w:pPr>
              <w:spacing w:before="0" w:after="0" w:line="240" w:lineRule="auto"/>
              <w:jc w:val="right"/>
            </w:pPr>
            <w:r>
              <w:t>4.610</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59D3EDE0" w14:textId="77777777" w:rsidR="003C2935" w:rsidRDefault="003C2935">
            <w:pPr>
              <w:spacing w:before="0" w:after="0" w:line="240" w:lineRule="auto"/>
              <w:jc w:val="right"/>
            </w:pPr>
            <w:r>
              <w:t>4.161</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32598E68" w14:textId="77777777" w:rsidR="003C2935" w:rsidRDefault="003C2935">
            <w:pPr>
              <w:spacing w:before="0" w:after="0" w:line="240" w:lineRule="auto"/>
              <w:jc w:val="right"/>
            </w:pPr>
            <w:r>
              <w:t>7.451</w:t>
            </w:r>
          </w:p>
        </w:tc>
        <w:tc>
          <w:tcPr>
            <w:tcW w:w="771" w:type="pct"/>
            <w:tcBorders>
              <w:top w:val="single" w:sz="4" w:space="0" w:color="BADB7D" w:themeColor="accent2" w:themeTint="99"/>
              <w:left w:val="nil"/>
              <w:bottom w:val="single" w:sz="4" w:space="0" w:color="BADB7D" w:themeColor="accent2" w:themeTint="99"/>
              <w:right w:val="nil"/>
            </w:tcBorders>
            <w:shd w:val="clear" w:color="auto" w:fill="E8F3D3" w:themeFill="accent2" w:themeFillTint="33"/>
            <w:noWrap/>
            <w:hideMark/>
          </w:tcPr>
          <w:p w14:paraId="30B8F211" w14:textId="77777777" w:rsidR="003C2935" w:rsidRDefault="003C2935">
            <w:pPr>
              <w:spacing w:before="0" w:after="0" w:line="240" w:lineRule="auto"/>
              <w:jc w:val="right"/>
              <w:rPr>
                <w:rFonts w:asciiTheme="majorHAnsi" w:hAnsiTheme="majorHAnsi"/>
              </w:rPr>
            </w:pPr>
            <w:r>
              <w:t>-5,0%</w:t>
            </w:r>
          </w:p>
        </w:tc>
        <w:tc>
          <w:tcPr>
            <w:tcW w:w="767" w:type="pct"/>
            <w:tcBorders>
              <w:top w:val="single" w:sz="4" w:space="0" w:color="BADB7D" w:themeColor="accent2" w:themeTint="99"/>
              <w:left w:val="nil"/>
              <w:bottom w:val="single" w:sz="4" w:space="0" w:color="BADB7D" w:themeColor="accent2" w:themeTint="99"/>
              <w:right w:val="single" w:sz="4" w:space="0" w:color="BADB7D" w:themeColor="accent2" w:themeTint="99"/>
            </w:tcBorders>
            <w:shd w:val="clear" w:color="auto" w:fill="E8F3D3" w:themeFill="accent2" w:themeFillTint="33"/>
            <w:noWrap/>
            <w:hideMark/>
          </w:tcPr>
          <w:p w14:paraId="422B3830" w14:textId="77777777" w:rsidR="003C2935" w:rsidRDefault="003C2935">
            <w:pPr>
              <w:spacing w:before="0" w:after="0" w:line="240" w:lineRule="auto"/>
              <w:jc w:val="right"/>
              <w:rPr>
                <w:rFonts w:asciiTheme="majorHAnsi" w:hAnsiTheme="majorHAnsi"/>
              </w:rPr>
            </w:pPr>
            <w:r>
              <w:t>6,0%</w:t>
            </w:r>
          </w:p>
        </w:tc>
      </w:tr>
    </w:tbl>
    <w:p w14:paraId="0F6DCAC9" w14:textId="77777777" w:rsidR="003C2935" w:rsidRDefault="003C2935" w:rsidP="003C2935">
      <w:pPr>
        <w:spacing w:before="20"/>
        <w:jc w:val="both"/>
        <w:rPr>
          <w:i/>
        </w:rPr>
      </w:pPr>
      <w:r>
        <w:rPr>
          <w:i/>
        </w:rPr>
        <w:t>Vira: Statistični urad RS, napoved Analitike GZS</w:t>
      </w:r>
    </w:p>
    <w:p w14:paraId="02094B34" w14:textId="77777777" w:rsidR="003810A7" w:rsidRDefault="003810A7">
      <w:pPr>
        <w:rPr>
          <w:caps/>
          <w:spacing w:val="15"/>
        </w:rPr>
      </w:pPr>
      <w:r>
        <w:br w:type="page"/>
      </w:r>
    </w:p>
    <w:p w14:paraId="3996B6A0" w14:textId="77777777" w:rsidR="003C33FD" w:rsidRPr="009B538E" w:rsidRDefault="008B25DE" w:rsidP="002C7476">
      <w:pPr>
        <w:pStyle w:val="Naslov1"/>
        <w:numPr>
          <w:ilvl w:val="0"/>
          <w:numId w:val="5"/>
        </w:numPr>
        <w:rPr>
          <w:sz w:val="20"/>
        </w:rPr>
      </w:pPr>
      <w:bookmarkStart w:id="17" w:name="_Toc51140503"/>
      <w:r w:rsidRPr="009B538E">
        <w:rPr>
          <w:caps w:val="0"/>
          <w:sz w:val="20"/>
        </w:rPr>
        <w:lastRenderedPageBreak/>
        <w:t>ZELEN</w:t>
      </w:r>
      <w:r w:rsidR="00585501">
        <w:rPr>
          <w:caps w:val="0"/>
          <w:sz w:val="20"/>
        </w:rPr>
        <w:t>I RAZVOJ</w:t>
      </w:r>
      <w:bookmarkEnd w:id="17"/>
    </w:p>
    <w:p w14:paraId="65E8DC76" w14:textId="421AEFEC" w:rsidR="003C3D8B" w:rsidRPr="00600C9A" w:rsidRDefault="007F5DC4" w:rsidP="003C3D8B">
      <w:pPr>
        <w:autoSpaceDE w:val="0"/>
        <w:autoSpaceDN w:val="0"/>
        <w:adjustRightInd w:val="0"/>
        <w:spacing w:after="0"/>
        <w:jc w:val="both"/>
        <w:rPr>
          <w:rFonts w:cs="Verdana-Bold"/>
          <w:szCs w:val="22"/>
        </w:rPr>
      </w:pPr>
      <w:r>
        <w:t>Zeleni, trajnostni in krožni</w:t>
      </w:r>
      <w:r w:rsidR="00A02E20">
        <w:t xml:space="preserve"> </w:t>
      </w:r>
      <w:r>
        <w:t>razvoj</w:t>
      </w:r>
      <w:r w:rsidR="00A02E20">
        <w:t xml:space="preserve"> gospodarstva postaja trend in hkrati nujnost za ohranjanje </w:t>
      </w:r>
      <w:r w:rsidR="00897FCB">
        <w:t xml:space="preserve">dolgoročne </w:t>
      </w:r>
      <w:r w:rsidR="00A02E20">
        <w:t xml:space="preserve">mednarodne konkurenčnosti. </w:t>
      </w:r>
      <w:r w:rsidR="00C65E64" w:rsidRPr="00C65E64">
        <w:t xml:space="preserve">Prehod v </w:t>
      </w:r>
      <w:proofErr w:type="spellStart"/>
      <w:r w:rsidR="00C72567" w:rsidRPr="003F63BA">
        <w:t>nizkoogljično</w:t>
      </w:r>
      <w:proofErr w:type="spellEnd"/>
      <w:r w:rsidR="00C72567" w:rsidRPr="003F63BA">
        <w:t xml:space="preserve"> </w:t>
      </w:r>
      <w:r w:rsidR="00C65E64" w:rsidRPr="00C65E64">
        <w:t xml:space="preserve">krožno gospodarstvo smo v Sloveniji umestili med strateške razvojne prioritete. </w:t>
      </w:r>
      <w:r w:rsidR="00D47ECE">
        <w:t xml:space="preserve">Vlada Republike Slovenije je konec leta 2017 sprejela </w:t>
      </w:r>
      <w:r w:rsidR="00D47ECE" w:rsidRPr="001469E3">
        <w:rPr>
          <w:b/>
        </w:rPr>
        <w:t>Strategijo razvoja Slovenije 2030</w:t>
      </w:r>
      <w:r w:rsidR="001469E3">
        <w:t xml:space="preserve"> (v nadaljevanju SRS 2030)</w:t>
      </w:r>
      <w:r w:rsidR="00D47ECE">
        <w:t>, kjer je opredeljen</w:t>
      </w:r>
      <w:r w:rsidR="00650E7F">
        <w:t>ih</w:t>
      </w:r>
      <w:r w:rsidR="00D47ECE">
        <w:t xml:space="preserve"> 12 ključnih ciljev, med katerimi je tudi </w:t>
      </w:r>
      <w:proofErr w:type="spellStart"/>
      <w:r w:rsidR="00D47ECE">
        <w:t>nizkoogljično</w:t>
      </w:r>
      <w:proofErr w:type="spellEnd"/>
      <w:r w:rsidR="00D47ECE">
        <w:t xml:space="preserve"> krožno gospodarstvo. Ta cilj bomo dosegli s spodbujanjem inovacij, novih poslovnih modelov, </w:t>
      </w:r>
      <w:r w:rsidR="009763A7">
        <w:t xml:space="preserve">digitalizacijo, </w:t>
      </w:r>
      <w:r w:rsidR="00D47ECE">
        <w:t xml:space="preserve">učinkovito rabo surovin </w:t>
      </w:r>
      <w:r w:rsidR="009763A7">
        <w:t>z zapiranjem snovnih tokov</w:t>
      </w:r>
      <w:r w:rsidR="00D47ECE">
        <w:t xml:space="preserve"> in energije ter učinkovitim prilagajanjem na podnebne spremembe. V skladu s tem bo potrebno prilagoditi vse politike</w:t>
      </w:r>
      <w:r w:rsidR="00650E7F">
        <w:t>,</w:t>
      </w:r>
      <w:r w:rsidR="00D47ECE">
        <w:t xml:space="preserve"> od raziskovalno-inovacijske do politike izobraževanja in zaposlovanja.</w:t>
      </w:r>
      <w:r w:rsidR="003C3D8B" w:rsidRPr="003C3D8B">
        <w:rPr>
          <w:rFonts w:cs="Verdana-Bold"/>
          <w:szCs w:val="22"/>
        </w:rPr>
        <w:t xml:space="preserve"> </w:t>
      </w:r>
      <w:r w:rsidR="003C3D8B">
        <w:rPr>
          <w:rFonts w:cs="Verdana-Bold"/>
          <w:szCs w:val="22"/>
        </w:rPr>
        <w:t xml:space="preserve">Ključna je tudi prilagoditev in oblikovanje novih kompetenc na vseh nivojih izobraževanja in usposabljanja ter zagotovitev ustreznega </w:t>
      </w:r>
      <w:r w:rsidR="003C3D8B" w:rsidRPr="003C3D8B">
        <w:rPr>
          <w:rFonts w:cs="Verdana-Bold"/>
          <w:szCs w:val="22"/>
        </w:rPr>
        <w:t>števil</w:t>
      </w:r>
      <w:r w:rsidR="003C3D8B">
        <w:rPr>
          <w:rFonts w:cs="Verdana-Bold"/>
          <w:szCs w:val="22"/>
        </w:rPr>
        <w:t>a usposobljenih</w:t>
      </w:r>
      <w:r w:rsidR="003C3D8B" w:rsidRPr="003C3D8B">
        <w:rPr>
          <w:rFonts w:cs="Verdana-Bold"/>
          <w:szCs w:val="22"/>
        </w:rPr>
        <w:t xml:space="preserve"> kadrov.</w:t>
      </w:r>
    </w:p>
    <w:p w14:paraId="315E7E86" w14:textId="77777777" w:rsidR="001469E3" w:rsidRDefault="001469E3" w:rsidP="001469E3">
      <w:pPr>
        <w:jc w:val="both"/>
      </w:pPr>
      <w:r>
        <w:t xml:space="preserve">Prav tako je v tem kontekstu pomembno izvajanje ukrepov iz </w:t>
      </w:r>
      <w:r w:rsidRPr="001469E3">
        <w:rPr>
          <w:b/>
        </w:rPr>
        <w:t xml:space="preserve">Nacionalnega podnebno energetskega načrta 2030 </w:t>
      </w:r>
      <w:r>
        <w:t>(v nadaljevanju NEPN 2030).</w:t>
      </w:r>
      <w:r w:rsidRPr="001469E3">
        <w:t xml:space="preserve"> </w:t>
      </w:r>
      <w:r>
        <w:t xml:space="preserve">Ključni cilji </w:t>
      </w:r>
      <w:r w:rsidR="00D85012">
        <w:t>NEPN</w:t>
      </w:r>
      <w:r w:rsidR="00876955">
        <w:t>-a</w:t>
      </w:r>
      <w:r w:rsidR="00D85012">
        <w:t xml:space="preserve"> 2030</w:t>
      </w:r>
      <w:r>
        <w:t xml:space="preserve"> so:</w:t>
      </w:r>
    </w:p>
    <w:p w14:paraId="1128A47D" w14:textId="77777777" w:rsidR="001469E3" w:rsidRDefault="001469E3" w:rsidP="002C7476">
      <w:pPr>
        <w:pStyle w:val="Odstavekseznama"/>
        <w:numPr>
          <w:ilvl w:val="0"/>
          <w:numId w:val="17"/>
        </w:numPr>
        <w:jc w:val="both"/>
      </w:pPr>
      <w:r w:rsidRPr="00C72375">
        <w:rPr>
          <w:b/>
        </w:rPr>
        <w:t>zmanjšanje skupnih emisij toplogrednih plinov za 36 %,</w:t>
      </w:r>
      <w:r>
        <w:t xml:space="preserve"> od tega za 20 % v sektorju ne-ETS (kar je 5 odstotnih točk nad sprejeto zavezo Slovenije</w:t>
      </w:r>
      <w:r w:rsidRPr="00FD4C45">
        <w:t>)</w:t>
      </w:r>
      <w:r w:rsidR="00A4780E">
        <w:t>,</w:t>
      </w:r>
    </w:p>
    <w:p w14:paraId="5F3AFFAA" w14:textId="654D3EA4" w:rsidR="001469E3" w:rsidRDefault="001469E3" w:rsidP="002C7476">
      <w:pPr>
        <w:pStyle w:val="Odstavekseznama"/>
        <w:numPr>
          <w:ilvl w:val="0"/>
          <w:numId w:val="17"/>
        </w:numPr>
        <w:jc w:val="both"/>
      </w:pPr>
      <w:r w:rsidRPr="00C72375">
        <w:rPr>
          <w:b/>
        </w:rPr>
        <w:t>vsaj 35</w:t>
      </w:r>
      <w:r w:rsidR="00650E7F">
        <w:rPr>
          <w:b/>
        </w:rPr>
        <w:t>-odstotno</w:t>
      </w:r>
      <w:r w:rsidRPr="00C72375">
        <w:rPr>
          <w:b/>
        </w:rPr>
        <w:t xml:space="preserve"> izboljšanje energetske učinkovitosti</w:t>
      </w:r>
      <w:r>
        <w:t>, kar je višje od cilja</w:t>
      </w:r>
      <w:r w:rsidR="00650E7F">
        <w:t>.</w:t>
      </w:r>
      <w:r>
        <w:t xml:space="preserve"> sprejetega na ravni EU (32,5 </w:t>
      </w:r>
      <w:r w:rsidRPr="00FD4C45">
        <w:t>%)</w:t>
      </w:r>
      <w:r w:rsidR="00A4780E">
        <w:t>,</w:t>
      </w:r>
    </w:p>
    <w:p w14:paraId="756EF5B2" w14:textId="0F61D095" w:rsidR="001469E3" w:rsidRDefault="001469E3" w:rsidP="002C7476">
      <w:pPr>
        <w:pStyle w:val="Odstavekseznama"/>
        <w:numPr>
          <w:ilvl w:val="0"/>
          <w:numId w:val="17"/>
        </w:numPr>
        <w:jc w:val="both"/>
      </w:pPr>
      <w:r w:rsidRPr="00C72375">
        <w:rPr>
          <w:b/>
        </w:rPr>
        <w:t>vsaj 27 % obnovljivih virov energije</w:t>
      </w:r>
      <w:r>
        <w:t>, kjer je Slovenija zaradi relevantnih nacionalnih okoliščin</w:t>
      </w:r>
      <w:r w:rsidR="00650E7F">
        <w:t xml:space="preserve"> - </w:t>
      </w:r>
      <w:r>
        <w:t>v prvi vrsti okoljskih omejitev</w:t>
      </w:r>
      <w:r w:rsidR="00650E7F">
        <w:t xml:space="preserve"> -</w:t>
      </w:r>
      <w:r>
        <w:t xml:space="preserve"> morala pristati na nižji cilj od cilja na ravni EU (32 %)</w:t>
      </w:r>
      <w:r w:rsidR="00650E7F">
        <w:t>,</w:t>
      </w:r>
      <w:r>
        <w:t xml:space="preserve"> s prizadevanjem, da se ambicija zviša pri naslednji posodobitvi NEPN</w:t>
      </w:r>
      <w:r w:rsidR="00876955">
        <w:t>-a</w:t>
      </w:r>
      <w:r>
        <w:t xml:space="preserve"> (2023/24),</w:t>
      </w:r>
    </w:p>
    <w:p w14:paraId="3CD49ECE" w14:textId="1CD3C9F2" w:rsidR="001469E3" w:rsidRDefault="001469E3" w:rsidP="002C7476">
      <w:pPr>
        <w:pStyle w:val="Odstavekseznama"/>
        <w:numPr>
          <w:ilvl w:val="0"/>
          <w:numId w:val="17"/>
        </w:numPr>
        <w:jc w:val="both"/>
      </w:pPr>
      <w:r w:rsidRPr="00C72375">
        <w:rPr>
          <w:b/>
        </w:rPr>
        <w:t>3</w:t>
      </w:r>
      <w:r w:rsidR="00BD1351">
        <w:rPr>
          <w:b/>
        </w:rPr>
        <w:t>-odstot</w:t>
      </w:r>
      <w:r w:rsidR="00AB62AC">
        <w:rPr>
          <w:b/>
        </w:rPr>
        <w:t>n</w:t>
      </w:r>
      <w:r w:rsidR="00BD1351">
        <w:rPr>
          <w:b/>
        </w:rPr>
        <w:t>a</w:t>
      </w:r>
      <w:r w:rsidRPr="00C72375">
        <w:rPr>
          <w:b/>
        </w:rPr>
        <w:t xml:space="preserve"> vlaganja v raziskave in razvoj</w:t>
      </w:r>
      <w:r>
        <w:t xml:space="preserve">, od tega 1 % javnih </w:t>
      </w:r>
      <w:r w:rsidR="00C72567" w:rsidRPr="003F63BA">
        <w:t>sredstev</w:t>
      </w:r>
      <w:r>
        <w:t>.</w:t>
      </w:r>
    </w:p>
    <w:p w14:paraId="43DD2977" w14:textId="4742FF32" w:rsidR="001469E3" w:rsidRDefault="001469E3" w:rsidP="001469E3">
      <w:pPr>
        <w:jc w:val="both"/>
      </w:pPr>
      <w:r>
        <w:t>Izboljšanje energetske in snovne učinkovitosti v vseh sektorjih in posledično zmanjšanje rabe energije in drugih naravnih virov je tudi prvi in ključni ukrep na poti k podnebno nevtralni družbi. Izpolnjevanje NEPN</w:t>
      </w:r>
      <w:r w:rsidR="00876955">
        <w:t>-a</w:t>
      </w:r>
      <w:r>
        <w:t xml:space="preserve"> nas vodi v zmanjševanje odvisnosti od fosilnih goriv</w:t>
      </w:r>
      <w:r w:rsidR="00155918">
        <w:t>;</w:t>
      </w:r>
      <w:r>
        <w:t xml:space="preserve"> hkrati z NEPN</w:t>
      </w:r>
      <w:r w:rsidR="00876955">
        <w:t>-om</w:t>
      </w:r>
      <w:r>
        <w:t xml:space="preserve"> podpiramo tudi trajnostne rešitve v prometu (javni trajnostni transport), v stavbah (ogrevanje in hlajenje, celovita prenova) in v industriji (v teku zaradi zagotavljanja konkurenčnosti). NEPN med drugim opredeljuje tudi cilje za zmanjšanje in opuščanje rabe premoga, do leta 2030 za 30 </w:t>
      </w:r>
      <w:r w:rsidR="00876955">
        <w:t>%</w:t>
      </w:r>
      <w:r>
        <w:t>. Do konca leta 2021 bo sprejeta strategija o opuščanju rabe premoga v Sloveniji in datum zaprtja bloka 6 Termoelektrarne Šoštanj. NEPN določa preučitev uporabe možnosti novih jedrskih energij in najkasneje do leta 2027 sprejetje odločitve o drugem bloku Nuklearne elektrarne Krško (NEK). Poleg tega določa NEPN tudi postopno zmanjševanje subvencij fosilnim virom energije in njihovo ukinitev. NEPN določa tudi krepitev vlaganj v raziskave in razvoj ter več vlaganj v kadre, ki bodo pomembni za prehod v podnebno nevtralno družbo.</w:t>
      </w:r>
      <w:r w:rsidR="0011340D">
        <w:t xml:space="preserve"> Eno izmed ključnih področij, ki jih izpostavlja NEPN</w:t>
      </w:r>
      <w:r w:rsidR="00876955">
        <w:t>,</w:t>
      </w:r>
      <w:r w:rsidR="0011340D">
        <w:t xml:space="preserve"> je tudi prehod v krožno gospodarstvo.</w:t>
      </w:r>
    </w:p>
    <w:p w14:paraId="168C91E6" w14:textId="4F0AA61C" w:rsidR="008D7FF4" w:rsidRDefault="008D7FF4" w:rsidP="008D7FF4">
      <w:pPr>
        <w:jc w:val="both"/>
        <w:rPr>
          <w:rFonts w:asciiTheme="majorHAnsi" w:hAnsiTheme="majorHAnsi"/>
          <w:szCs w:val="22"/>
        </w:rPr>
      </w:pPr>
      <w:r w:rsidRPr="008D7FF4">
        <w:rPr>
          <w:rFonts w:asciiTheme="majorHAnsi" w:hAnsiTheme="majorHAnsi" w:cs="Times New Roman"/>
          <w:color w:val="000000"/>
          <w:szCs w:val="22"/>
        </w:rPr>
        <w:t xml:space="preserve">Nov investicijski zagon mora temeljiti na zelenih </w:t>
      </w:r>
      <w:r w:rsidR="00897FCB">
        <w:rPr>
          <w:rFonts w:asciiTheme="majorHAnsi" w:hAnsiTheme="majorHAnsi" w:cs="Times New Roman"/>
          <w:color w:val="000000"/>
          <w:szCs w:val="22"/>
        </w:rPr>
        <w:t>načelih</w:t>
      </w:r>
      <w:r w:rsidR="00897FCB" w:rsidRPr="008D7FF4">
        <w:rPr>
          <w:rFonts w:asciiTheme="majorHAnsi" w:hAnsiTheme="majorHAnsi" w:cs="Times New Roman"/>
          <w:color w:val="000000"/>
          <w:szCs w:val="22"/>
        </w:rPr>
        <w:t xml:space="preserve"> </w:t>
      </w:r>
      <w:r w:rsidRPr="008D7FF4">
        <w:rPr>
          <w:rFonts w:asciiTheme="majorHAnsi" w:hAnsiTheme="majorHAnsi" w:cs="Times New Roman"/>
          <w:color w:val="000000"/>
          <w:szCs w:val="22"/>
        </w:rPr>
        <w:t xml:space="preserve">bolj odpornega in </w:t>
      </w:r>
      <w:r w:rsidR="00897FCB">
        <w:rPr>
          <w:rFonts w:asciiTheme="majorHAnsi" w:hAnsiTheme="majorHAnsi" w:cs="Times New Roman"/>
          <w:color w:val="000000"/>
          <w:szCs w:val="22"/>
        </w:rPr>
        <w:t xml:space="preserve">vključujočega </w:t>
      </w:r>
      <w:r w:rsidRPr="008D7FF4">
        <w:rPr>
          <w:rFonts w:asciiTheme="majorHAnsi" w:hAnsiTheme="majorHAnsi" w:cs="Times New Roman"/>
          <w:color w:val="000000"/>
          <w:szCs w:val="22"/>
        </w:rPr>
        <w:t xml:space="preserve">podnebno nevtralnega modela za </w:t>
      </w:r>
      <w:r w:rsidR="007F5DC4">
        <w:rPr>
          <w:rFonts w:asciiTheme="majorHAnsi" w:hAnsiTheme="majorHAnsi" w:cs="Times New Roman"/>
          <w:color w:val="000000"/>
          <w:szCs w:val="22"/>
        </w:rPr>
        <w:t>zaščito biotske raznovrstnosti</w:t>
      </w:r>
      <w:r w:rsidR="007F5DC4" w:rsidRPr="008D7FF4">
        <w:rPr>
          <w:rFonts w:asciiTheme="majorHAnsi" w:hAnsiTheme="majorHAnsi" w:cs="Times New Roman"/>
          <w:color w:val="000000"/>
          <w:szCs w:val="22"/>
        </w:rPr>
        <w:t xml:space="preserve"> </w:t>
      </w:r>
      <w:r w:rsidRPr="008D7FF4">
        <w:rPr>
          <w:rFonts w:asciiTheme="majorHAnsi" w:hAnsiTheme="majorHAnsi" w:cs="Times New Roman"/>
          <w:color w:val="000000"/>
          <w:szCs w:val="22"/>
        </w:rPr>
        <w:t>in izboljšanj</w:t>
      </w:r>
      <w:r w:rsidR="00A36C56">
        <w:rPr>
          <w:rFonts w:asciiTheme="majorHAnsi" w:hAnsiTheme="majorHAnsi" w:cs="Times New Roman"/>
          <w:color w:val="000000"/>
          <w:szCs w:val="22"/>
        </w:rPr>
        <w:t>e</w:t>
      </w:r>
      <w:r w:rsidRPr="008D7FF4">
        <w:rPr>
          <w:rFonts w:asciiTheme="majorHAnsi" w:hAnsiTheme="majorHAnsi" w:cs="Times New Roman"/>
          <w:color w:val="000000"/>
          <w:szCs w:val="22"/>
        </w:rPr>
        <w:t xml:space="preserve"> </w:t>
      </w:r>
      <w:r w:rsidR="00897FCB">
        <w:rPr>
          <w:rFonts w:asciiTheme="majorHAnsi" w:hAnsiTheme="majorHAnsi" w:cs="Times New Roman"/>
          <w:color w:val="000000"/>
          <w:szCs w:val="22"/>
        </w:rPr>
        <w:t xml:space="preserve">kakovosti </w:t>
      </w:r>
      <w:r w:rsidRPr="008D7FF4">
        <w:rPr>
          <w:rFonts w:asciiTheme="majorHAnsi" w:hAnsiTheme="majorHAnsi" w:cs="Times New Roman"/>
          <w:color w:val="000000"/>
          <w:szCs w:val="22"/>
        </w:rPr>
        <w:t>življenja</w:t>
      </w:r>
      <w:r w:rsidR="007F5DC4">
        <w:rPr>
          <w:rFonts w:asciiTheme="majorHAnsi" w:hAnsiTheme="majorHAnsi" w:cs="Times New Roman"/>
          <w:color w:val="000000"/>
          <w:szCs w:val="22"/>
        </w:rPr>
        <w:t xml:space="preserve"> za vse, kar je krovni cilj SRS 2030</w:t>
      </w:r>
      <w:r w:rsidRPr="008D7FF4">
        <w:rPr>
          <w:rFonts w:asciiTheme="majorHAnsi" w:hAnsiTheme="majorHAnsi" w:cs="Times New Roman"/>
          <w:color w:val="000000"/>
          <w:szCs w:val="22"/>
        </w:rPr>
        <w:t>.</w:t>
      </w:r>
      <w:r w:rsidRPr="00453CD1">
        <w:rPr>
          <w:rFonts w:asciiTheme="majorHAnsi" w:hAnsiTheme="majorHAnsi"/>
          <w:szCs w:val="22"/>
        </w:rPr>
        <w:t xml:space="preserve"> Gre za spremembo linearnega ekonomskega modela, ki deluje po načelu </w:t>
      </w:r>
      <w:r w:rsidR="00A36C56">
        <w:rPr>
          <w:rFonts w:asciiTheme="majorHAnsi" w:hAnsiTheme="majorHAnsi"/>
          <w:szCs w:val="22"/>
        </w:rPr>
        <w:t>»</w:t>
      </w:r>
      <w:r w:rsidRPr="00453CD1">
        <w:rPr>
          <w:rFonts w:asciiTheme="majorHAnsi" w:hAnsiTheme="majorHAnsi"/>
          <w:szCs w:val="22"/>
        </w:rPr>
        <w:t>vzemi, porabi, zavrzi</w:t>
      </w:r>
      <w:r w:rsidR="00A36C56">
        <w:rPr>
          <w:rFonts w:asciiTheme="majorHAnsi" w:hAnsiTheme="majorHAnsi"/>
          <w:szCs w:val="22"/>
        </w:rPr>
        <w:t>«,</w:t>
      </w:r>
      <w:r w:rsidRPr="00453CD1">
        <w:rPr>
          <w:rFonts w:asciiTheme="majorHAnsi" w:hAnsiTheme="majorHAnsi"/>
          <w:szCs w:val="22"/>
        </w:rPr>
        <w:t xml:space="preserve"> </w:t>
      </w:r>
      <w:r w:rsidRPr="00453CD1">
        <w:rPr>
          <w:rFonts w:asciiTheme="majorHAnsi" w:hAnsiTheme="majorHAnsi"/>
          <w:b/>
          <w:bCs/>
          <w:szCs w:val="22"/>
        </w:rPr>
        <w:t>v krožni ekonomski model</w:t>
      </w:r>
      <w:r w:rsidRPr="00453CD1">
        <w:rPr>
          <w:rFonts w:asciiTheme="majorHAnsi" w:hAnsiTheme="majorHAnsi"/>
          <w:szCs w:val="22"/>
        </w:rPr>
        <w:t xml:space="preserve">, ki temelji na čim </w:t>
      </w:r>
      <w:r w:rsidRPr="001469E3">
        <w:rPr>
          <w:rFonts w:asciiTheme="majorHAnsi" w:hAnsiTheme="majorHAnsi"/>
          <w:bCs/>
          <w:szCs w:val="22"/>
        </w:rPr>
        <w:t xml:space="preserve">daljšem ohranjanju vrednosti materialov in izdelkov, nadomeščanju produktov s storitvami, prehodu od lastništva k souporabi ter </w:t>
      </w:r>
      <w:r w:rsidR="001469E3" w:rsidRPr="00FD4C45">
        <w:rPr>
          <w:rFonts w:asciiTheme="majorHAnsi" w:hAnsiTheme="majorHAnsi"/>
          <w:bCs/>
        </w:rPr>
        <w:t>uporab</w:t>
      </w:r>
      <w:r w:rsidR="00887B8F">
        <w:rPr>
          <w:rFonts w:asciiTheme="majorHAnsi" w:hAnsiTheme="majorHAnsi"/>
          <w:bCs/>
        </w:rPr>
        <w:t>i</w:t>
      </w:r>
      <w:r w:rsidR="001469E3">
        <w:rPr>
          <w:rFonts w:asciiTheme="majorHAnsi" w:hAnsiTheme="majorHAnsi"/>
          <w:bCs/>
          <w:szCs w:val="22"/>
        </w:rPr>
        <w:t xml:space="preserve"> </w:t>
      </w:r>
      <w:r w:rsidR="001469E3" w:rsidRPr="001469E3">
        <w:rPr>
          <w:rFonts w:asciiTheme="majorHAnsi" w:hAnsiTheme="majorHAnsi"/>
          <w:bCs/>
          <w:szCs w:val="22"/>
        </w:rPr>
        <w:t>digitalizacij</w:t>
      </w:r>
      <w:r w:rsidR="001469E3">
        <w:rPr>
          <w:rFonts w:asciiTheme="majorHAnsi" w:hAnsiTheme="majorHAnsi"/>
          <w:bCs/>
          <w:szCs w:val="22"/>
        </w:rPr>
        <w:t>e</w:t>
      </w:r>
      <w:r w:rsidRPr="001469E3">
        <w:rPr>
          <w:rFonts w:asciiTheme="majorHAnsi" w:hAnsiTheme="majorHAnsi"/>
          <w:bCs/>
          <w:szCs w:val="22"/>
        </w:rPr>
        <w:t>.</w:t>
      </w:r>
      <w:r w:rsidRPr="00453CD1">
        <w:rPr>
          <w:rFonts w:asciiTheme="majorHAnsi" w:hAnsiTheme="majorHAnsi"/>
          <w:b/>
          <w:bCs/>
          <w:szCs w:val="22"/>
        </w:rPr>
        <w:t xml:space="preserve"> </w:t>
      </w:r>
      <w:r w:rsidRPr="00453CD1">
        <w:rPr>
          <w:rFonts w:asciiTheme="majorHAnsi" w:hAnsiTheme="majorHAnsi"/>
          <w:szCs w:val="22"/>
        </w:rPr>
        <w:t>Nove tehnologije</w:t>
      </w:r>
      <w:r w:rsidR="00887B8F">
        <w:rPr>
          <w:rFonts w:asciiTheme="majorHAnsi" w:hAnsiTheme="majorHAnsi"/>
        </w:rPr>
        <w:t>,</w:t>
      </w:r>
      <w:r w:rsidRPr="00453CD1">
        <w:rPr>
          <w:rFonts w:asciiTheme="majorHAnsi" w:hAnsiTheme="majorHAnsi"/>
          <w:szCs w:val="22"/>
        </w:rPr>
        <w:t xml:space="preserve"> osnovane na digitalizaciji, </w:t>
      </w:r>
      <w:r w:rsidR="00897FCB" w:rsidRPr="00453CD1">
        <w:rPr>
          <w:rFonts w:asciiTheme="majorHAnsi" w:hAnsiTheme="majorHAnsi"/>
          <w:szCs w:val="22"/>
        </w:rPr>
        <w:t>obnovljivi</w:t>
      </w:r>
      <w:r w:rsidR="00897FCB">
        <w:rPr>
          <w:rFonts w:asciiTheme="majorHAnsi" w:hAnsiTheme="majorHAnsi"/>
          <w:szCs w:val="22"/>
        </w:rPr>
        <w:t>h</w:t>
      </w:r>
      <w:r w:rsidR="00897FCB" w:rsidRPr="00453CD1">
        <w:rPr>
          <w:rFonts w:asciiTheme="majorHAnsi" w:hAnsiTheme="majorHAnsi"/>
          <w:szCs w:val="22"/>
        </w:rPr>
        <w:t xml:space="preserve"> </w:t>
      </w:r>
      <w:r w:rsidR="007F5DC4">
        <w:rPr>
          <w:rFonts w:asciiTheme="majorHAnsi" w:hAnsiTheme="majorHAnsi"/>
          <w:szCs w:val="22"/>
        </w:rPr>
        <w:t xml:space="preserve">virih </w:t>
      </w:r>
      <w:r w:rsidRPr="00453CD1">
        <w:rPr>
          <w:rFonts w:asciiTheme="majorHAnsi" w:hAnsiTheme="majorHAnsi"/>
          <w:szCs w:val="22"/>
        </w:rPr>
        <w:t xml:space="preserve">energije in </w:t>
      </w:r>
      <w:r w:rsidR="00897FCB" w:rsidRPr="00453CD1">
        <w:rPr>
          <w:rFonts w:asciiTheme="majorHAnsi" w:hAnsiTheme="majorHAnsi"/>
          <w:szCs w:val="22"/>
        </w:rPr>
        <w:t>razvijajoči</w:t>
      </w:r>
      <w:r w:rsidR="00897FCB">
        <w:rPr>
          <w:rFonts w:asciiTheme="majorHAnsi" w:hAnsiTheme="majorHAnsi"/>
          <w:szCs w:val="22"/>
        </w:rPr>
        <w:t>h</w:t>
      </w:r>
      <w:r w:rsidR="00897FCB" w:rsidRPr="00453CD1">
        <w:rPr>
          <w:rFonts w:asciiTheme="majorHAnsi" w:hAnsiTheme="majorHAnsi"/>
          <w:szCs w:val="22"/>
        </w:rPr>
        <w:t xml:space="preserve"> hibridni</w:t>
      </w:r>
      <w:r w:rsidR="00897FCB">
        <w:rPr>
          <w:rFonts w:asciiTheme="majorHAnsi" w:hAnsiTheme="majorHAnsi"/>
          <w:szCs w:val="22"/>
        </w:rPr>
        <w:t>h</w:t>
      </w:r>
      <w:r w:rsidR="00897FCB" w:rsidRPr="00453CD1">
        <w:rPr>
          <w:rFonts w:asciiTheme="majorHAnsi" w:hAnsiTheme="majorHAnsi"/>
          <w:szCs w:val="22"/>
        </w:rPr>
        <w:t xml:space="preserve"> </w:t>
      </w:r>
      <w:r w:rsidRPr="00FD4C45">
        <w:rPr>
          <w:rFonts w:asciiTheme="majorHAnsi" w:hAnsiTheme="majorHAnsi"/>
        </w:rPr>
        <w:t>tehnologij</w:t>
      </w:r>
      <w:r w:rsidR="00A00A3F">
        <w:rPr>
          <w:rFonts w:asciiTheme="majorHAnsi" w:hAnsiTheme="majorHAnsi"/>
        </w:rPr>
        <w:t>ah</w:t>
      </w:r>
      <w:r w:rsidR="00A36C56">
        <w:rPr>
          <w:rFonts w:asciiTheme="majorHAnsi" w:hAnsiTheme="majorHAnsi"/>
        </w:rPr>
        <w:t>,</w:t>
      </w:r>
      <w:r w:rsidRPr="00453CD1">
        <w:rPr>
          <w:rFonts w:asciiTheme="majorHAnsi" w:hAnsiTheme="majorHAnsi"/>
          <w:szCs w:val="22"/>
        </w:rPr>
        <w:t xml:space="preserve"> kot so dodajalne ali aplikativne tehnologije (3</w:t>
      </w:r>
      <w:r w:rsidR="00BC02E0">
        <w:rPr>
          <w:rFonts w:asciiTheme="majorHAnsi" w:hAnsiTheme="majorHAnsi"/>
          <w:szCs w:val="22"/>
        </w:rPr>
        <w:t xml:space="preserve">D </w:t>
      </w:r>
      <w:r w:rsidRPr="00453CD1">
        <w:rPr>
          <w:rFonts w:asciiTheme="majorHAnsi" w:hAnsiTheme="majorHAnsi"/>
          <w:szCs w:val="22"/>
        </w:rPr>
        <w:t>tiskanje) z novimi</w:t>
      </w:r>
      <w:r w:rsidR="008560E4">
        <w:rPr>
          <w:rFonts w:asciiTheme="majorHAnsi" w:hAnsiTheme="majorHAnsi"/>
          <w:szCs w:val="22"/>
        </w:rPr>
        <w:t xml:space="preserve"> in alternativnimi</w:t>
      </w:r>
      <w:r w:rsidRPr="00453CD1">
        <w:rPr>
          <w:rFonts w:asciiTheme="majorHAnsi" w:hAnsiTheme="majorHAnsi"/>
          <w:szCs w:val="22"/>
        </w:rPr>
        <w:t xml:space="preserve"> materiali</w:t>
      </w:r>
      <w:r w:rsidR="00A00A3F">
        <w:rPr>
          <w:rFonts w:asciiTheme="majorHAnsi" w:hAnsiTheme="majorHAnsi"/>
        </w:rPr>
        <w:t>,</w:t>
      </w:r>
      <w:r w:rsidRPr="00453CD1">
        <w:rPr>
          <w:rFonts w:asciiTheme="majorHAnsi" w:hAnsiTheme="majorHAnsi"/>
          <w:szCs w:val="22"/>
        </w:rPr>
        <w:t xml:space="preserve"> so podporne tehnologije </w:t>
      </w:r>
      <w:r w:rsidRPr="008D7FF4">
        <w:t>za</w:t>
      </w:r>
      <w:r w:rsidRPr="00453CD1">
        <w:rPr>
          <w:rFonts w:asciiTheme="majorHAnsi" w:hAnsiTheme="majorHAnsi"/>
          <w:szCs w:val="22"/>
        </w:rPr>
        <w:t xml:space="preserve"> prehod v krožno gospodarstvo</w:t>
      </w:r>
      <w:r w:rsidR="00A00A3F">
        <w:rPr>
          <w:rFonts w:asciiTheme="majorHAnsi" w:hAnsiTheme="majorHAnsi"/>
        </w:rPr>
        <w:t>.</w:t>
      </w:r>
      <w:r w:rsidRPr="00453CD1">
        <w:rPr>
          <w:rFonts w:asciiTheme="majorHAnsi" w:hAnsiTheme="majorHAnsi"/>
          <w:szCs w:val="22"/>
        </w:rPr>
        <w:t xml:space="preserve"> Krožni koncept (poimenovan tudi 3R – »</w:t>
      </w:r>
      <w:proofErr w:type="spellStart"/>
      <w:r w:rsidRPr="00453CD1">
        <w:rPr>
          <w:rFonts w:asciiTheme="majorHAnsi" w:hAnsiTheme="majorHAnsi"/>
          <w:szCs w:val="22"/>
        </w:rPr>
        <w:t>reduce</w:t>
      </w:r>
      <w:proofErr w:type="spellEnd"/>
      <w:r w:rsidRPr="00453CD1">
        <w:rPr>
          <w:rFonts w:asciiTheme="majorHAnsi" w:hAnsiTheme="majorHAnsi"/>
          <w:szCs w:val="22"/>
        </w:rPr>
        <w:t xml:space="preserve">, </w:t>
      </w:r>
      <w:proofErr w:type="spellStart"/>
      <w:r w:rsidRPr="00453CD1">
        <w:rPr>
          <w:rFonts w:asciiTheme="majorHAnsi" w:hAnsiTheme="majorHAnsi"/>
          <w:szCs w:val="22"/>
        </w:rPr>
        <w:t>reuse</w:t>
      </w:r>
      <w:proofErr w:type="spellEnd"/>
      <w:r w:rsidRPr="00453CD1">
        <w:rPr>
          <w:rFonts w:asciiTheme="majorHAnsi" w:hAnsiTheme="majorHAnsi"/>
          <w:szCs w:val="22"/>
        </w:rPr>
        <w:t xml:space="preserve">, </w:t>
      </w:r>
      <w:proofErr w:type="spellStart"/>
      <w:r w:rsidRPr="00453CD1">
        <w:rPr>
          <w:rFonts w:asciiTheme="majorHAnsi" w:hAnsiTheme="majorHAnsi"/>
          <w:szCs w:val="22"/>
        </w:rPr>
        <w:t>recycle</w:t>
      </w:r>
      <w:proofErr w:type="spellEnd"/>
      <w:r w:rsidRPr="00453CD1">
        <w:rPr>
          <w:rFonts w:asciiTheme="majorHAnsi" w:hAnsiTheme="majorHAnsi"/>
          <w:szCs w:val="22"/>
        </w:rPr>
        <w:t>«) stremi k cilju zapiranja snovnih tokov na način, da se količina odpadkov minimizira oziroma uporabi kot vir. Izdelki so zasnovani tako, da jih je možno popravljati, nadgrajevati, obnavljati in ponovno uporabiti, šele v skrajni fazi reciklirati.</w:t>
      </w:r>
      <w:r w:rsidR="00897FCB">
        <w:rPr>
          <w:rFonts w:asciiTheme="majorHAnsi" w:hAnsiTheme="majorHAnsi"/>
          <w:szCs w:val="22"/>
        </w:rPr>
        <w:t xml:space="preserve"> Zato je </w:t>
      </w:r>
      <w:r w:rsidR="00897FCB" w:rsidRPr="00FD4C45">
        <w:rPr>
          <w:rFonts w:asciiTheme="majorHAnsi" w:hAnsiTheme="majorHAnsi"/>
        </w:rPr>
        <w:t>bistven</w:t>
      </w:r>
      <w:r w:rsidR="00897FCB">
        <w:rPr>
          <w:rFonts w:asciiTheme="majorHAnsi" w:hAnsiTheme="majorHAnsi"/>
          <w:szCs w:val="22"/>
        </w:rPr>
        <w:t xml:space="preserve"> gradnik prehoda v </w:t>
      </w:r>
      <w:proofErr w:type="spellStart"/>
      <w:r w:rsidR="00897FCB">
        <w:rPr>
          <w:rFonts w:asciiTheme="majorHAnsi" w:hAnsiTheme="majorHAnsi"/>
          <w:szCs w:val="22"/>
        </w:rPr>
        <w:t>nizkoogljično</w:t>
      </w:r>
      <w:proofErr w:type="spellEnd"/>
      <w:r w:rsidR="00897FCB">
        <w:rPr>
          <w:rFonts w:asciiTheme="majorHAnsi" w:hAnsiTheme="majorHAnsi"/>
          <w:szCs w:val="22"/>
        </w:rPr>
        <w:t xml:space="preserve"> gospodarstvo integracija </w:t>
      </w:r>
      <w:proofErr w:type="spellStart"/>
      <w:r w:rsidR="00897FCB">
        <w:rPr>
          <w:rFonts w:asciiTheme="majorHAnsi" w:hAnsiTheme="majorHAnsi"/>
          <w:szCs w:val="22"/>
        </w:rPr>
        <w:t>eko</w:t>
      </w:r>
      <w:proofErr w:type="spellEnd"/>
      <w:r w:rsidR="00897FCB">
        <w:rPr>
          <w:rFonts w:asciiTheme="majorHAnsi" w:hAnsiTheme="majorHAnsi"/>
          <w:szCs w:val="22"/>
        </w:rPr>
        <w:t xml:space="preserve"> dizajna v iskanje rešitev pri izdelkih, storitvah ali poslovnih modelih.</w:t>
      </w:r>
      <w:r w:rsidRPr="00453CD1">
        <w:rPr>
          <w:rFonts w:asciiTheme="majorHAnsi" w:hAnsiTheme="majorHAnsi"/>
          <w:szCs w:val="22"/>
        </w:rPr>
        <w:t xml:space="preserve"> Narava sama je krožni sistem, v katerem vse kroži, ni izgub in odpadkov. </w:t>
      </w:r>
      <w:r w:rsidR="00D2456E" w:rsidRPr="00D2456E">
        <w:rPr>
          <w:rFonts w:asciiTheme="majorHAnsi" w:hAnsiTheme="majorHAnsi"/>
          <w:szCs w:val="22"/>
        </w:rPr>
        <w:t xml:space="preserve">Pri uveljavitvi krožnega gospodarstva pa se morajo upoštevali tudi </w:t>
      </w:r>
      <w:r w:rsidR="00D2456E" w:rsidRPr="00D2456E">
        <w:rPr>
          <w:rFonts w:asciiTheme="majorHAnsi" w:hAnsiTheme="majorHAnsi"/>
          <w:szCs w:val="22"/>
        </w:rPr>
        <w:lastRenderedPageBreak/>
        <w:t>pozitivni vplivi ponora CO</w:t>
      </w:r>
      <w:r w:rsidR="0063267A" w:rsidRPr="0058525A">
        <w:rPr>
          <w:rFonts w:asciiTheme="majorHAnsi" w:hAnsiTheme="majorHAnsi"/>
          <w:szCs w:val="22"/>
          <w:vertAlign w:val="subscript"/>
        </w:rPr>
        <w:t>2</w:t>
      </w:r>
      <w:r w:rsidR="00D2456E" w:rsidRPr="00D2456E">
        <w:rPr>
          <w:rFonts w:asciiTheme="majorHAnsi" w:hAnsiTheme="majorHAnsi"/>
          <w:szCs w:val="22"/>
        </w:rPr>
        <w:t xml:space="preserve"> v fazi nastajanja materiala. Pri tem je učinkovit predvsem kaskadni način uporabe lesa, s katerim lahko dosežemo celo negativen </w:t>
      </w:r>
      <w:proofErr w:type="spellStart"/>
      <w:r w:rsidR="00D2456E" w:rsidRPr="00D2456E">
        <w:rPr>
          <w:rFonts w:asciiTheme="majorHAnsi" w:hAnsiTheme="majorHAnsi"/>
          <w:szCs w:val="22"/>
        </w:rPr>
        <w:t>ogljični</w:t>
      </w:r>
      <w:proofErr w:type="spellEnd"/>
      <w:r w:rsidR="00D2456E" w:rsidRPr="00D2456E">
        <w:rPr>
          <w:rFonts w:asciiTheme="majorHAnsi" w:hAnsiTheme="majorHAnsi"/>
          <w:szCs w:val="22"/>
        </w:rPr>
        <w:t xml:space="preserve"> odtis.</w:t>
      </w:r>
    </w:p>
    <w:p w14:paraId="29C5EBF7" w14:textId="77777777" w:rsidR="00D47ECE" w:rsidRDefault="00D47ECE" w:rsidP="002969BB">
      <w:pPr>
        <w:spacing w:beforeAutospacing="1" w:after="100" w:afterAutospacing="1"/>
        <w:jc w:val="both"/>
      </w:pPr>
      <w:r>
        <w:t xml:space="preserve">Prehod v </w:t>
      </w:r>
      <w:proofErr w:type="spellStart"/>
      <w:r>
        <w:t>nizkoogljično</w:t>
      </w:r>
      <w:proofErr w:type="spellEnd"/>
      <w:r>
        <w:t xml:space="preserve"> k</w:t>
      </w:r>
      <w:r w:rsidRPr="00D47ECE">
        <w:t xml:space="preserve">rožno gospodarstvo pomeni priložnost za </w:t>
      </w:r>
      <w:r w:rsidR="00897FCB">
        <w:t>razvoj</w:t>
      </w:r>
      <w:r w:rsidR="00897FCB" w:rsidRPr="00D47ECE">
        <w:t xml:space="preserve"> </w:t>
      </w:r>
      <w:r w:rsidRPr="00D47ECE">
        <w:t xml:space="preserve">gospodarstva, saj prinaša konkretne finančne koristi podjetjem in gospodarstvu, spodbuja inovacije in znižuje negativen okoljski vpliv v dobaviteljski verigi. Odpravljanje odpadkov iz industrijskih verig preko ponovne uporabe materialov </w:t>
      </w:r>
      <w:r w:rsidR="00897FCB">
        <w:t>ustvarja</w:t>
      </w:r>
      <w:r w:rsidR="00897FCB" w:rsidRPr="00D47ECE">
        <w:t xml:space="preserve"> </w:t>
      </w:r>
      <w:r w:rsidRPr="00D47ECE">
        <w:t>prihranke v proizvodnji in manjšo odvisnost od primarnih</w:t>
      </w:r>
      <w:r w:rsidR="009763A7">
        <w:t>, predvsem kritičnih</w:t>
      </w:r>
      <w:r w:rsidRPr="00D47ECE">
        <w:t xml:space="preserve"> surovin.</w:t>
      </w:r>
      <w:r w:rsidR="0011340D">
        <w:t xml:space="preserve"> Posebno pozornost je treba posvetiti tudi komunalnim odpadkom in izboljšati podporno okolje z infrastrukturo</w:t>
      </w:r>
      <w:r w:rsidR="002969BB">
        <w:rPr>
          <w:rFonts w:ascii="Trebuchet MS" w:eastAsia="Times New Roman" w:hAnsi="Trebuchet MS" w:cs="Times New Roman"/>
          <w:lang w:eastAsia="sl-SI"/>
        </w:rPr>
        <w:t xml:space="preserve"> </w:t>
      </w:r>
      <w:r w:rsidR="002969BB">
        <w:t>ter</w:t>
      </w:r>
      <w:r w:rsidR="0011340D">
        <w:t xml:space="preserve"> povečati samozadostnost države za ustrezno ravnanje s temi odpadki v skladu s hierarhijo ravnanja z odpadki.</w:t>
      </w:r>
      <w:r w:rsidR="008560E4" w:rsidRPr="008560E4">
        <w:rPr>
          <w:rFonts w:ascii="Trebuchet MS" w:eastAsia="Times New Roman" w:hAnsi="Trebuchet MS" w:cs="Times New Roman"/>
          <w:lang w:eastAsia="sl-SI"/>
        </w:rPr>
        <w:t xml:space="preserve"> </w:t>
      </w:r>
    </w:p>
    <w:p w14:paraId="28FA1A2E" w14:textId="77777777" w:rsidR="00D10C0A" w:rsidRDefault="00D10C0A" w:rsidP="00D47ECE">
      <w:pPr>
        <w:jc w:val="both"/>
      </w:pPr>
      <w:r>
        <w:t xml:space="preserve">Slika </w:t>
      </w:r>
      <w:r w:rsidR="00686A2A">
        <w:t>3</w:t>
      </w:r>
      <w:r>
        <w:t xml:space="preserve">: </w:t>
      </w:r>
      <w:r w:rsidR="00313E67">
        <w:t>Shematski prikaz krožnega gospodarstva</w:t>
      </w:r>
    </w:p>
    <w:p w14:paraId="1DCB1A13" w14:textId="77777777" w:rsidR="00AC555E" w:rsidRDefault="0083477C" w:rsidP="00A02E20">
      <w:pPr>
        <w:jc w:val="both"/>
      </w:pPr>
      <w:r>
        <w:rPr>
          <w:noProof/>
          <w:lang w:eastAsia="sl-SI"/>
        </w:rPr>
        <w:drawing>
          <wp:inline distT="0" distB="0" distL="0" distR="0" wp14:anchorId="35015CEF" wp14:editId="10570F06">
            <wp:extent cx="5760720" cy="3412490"/>
            <wp:effectExtent l="0" t="0" r="0" b="0"/>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760720" cy="3412490"/>
                    </a:xfrm>
                    <a:prstGeom prst="rect">
                      <a:avLst/>
                    </a:prstGeom>
                  </pic:spPr>
                </pic:pic>
              </a:graphicData>
            </a:graphic>
          </wp:inline>
        </w:drawing>
      </w:r>
    </w:p>
    <w:p w14:paraId="13B409B2" w14:textId="77777777" w:rsidR="00BC02E0" w:rsidRDefault="00BC02E0" w:rsidP="006A4A37">
      <w:pPr>
        <w:autoSpaceDE w:val="0"/>
        <w:autoSpaceDN w:val="0"/>
        <w:adjustRightInd w:val="0"/>
        <w:spacing w:after="0"/>
        <w:jc w:val="both"/>
        <w:rPr>
          <w:rFonts w:cs="Verdana-Bold"/>
          <w:bCs/>
          <w:szCs w:val="22"/>
        </w:rPr>
      </w:pPr>
    </w:p>
    <w:p w14:paraId="7CE4AD61" w14:textId="77777777" w:rsidR="00AB12AC" w:rsidRDefault="006A4A37" w:rsidP="006A4A37">
      <w:pPr>
        <w:autoSpaceDE w:val="0"/>
        <w:autoSpaceDN w:val="0"/>
        <w:adjustRightInd w:val="0"/>
        <w:spacing w:after="0"/>
        <w:jc w:val="both"/>
        <w:rPr>
          <w:rFonts w:cs="Verdana-Bold"/>
          <w:szCs w:val="22"/>
        </w:rPr>
      </w:pPr>
      <w:r w:rsidRPr="006A4A37">
        <w:rPr>
          <w:rFonts w:cs="Verdana-Bold"/>
          <w:bCs/>
          <w:szCs w:val="22"/>
        </w:rPr>
        <w:t xml:space="preserve">Prehod v </w:t>
      </w:r>
      <w:proofErr w:type="spellStart"/>
      <w:r w:rsidR="006E3481">
        <w:rPr>
          <w:rFonts w:cs="Verdana-Bold"/>
          <w:bCs/>
          <w:szCs w:val="22"/>
        </w:rPr>
        <w:t>nizkoogljično</w:t>
      </w:r>
      <w:proofErr w:type="spellEnd"/>
      <w:r w:rsidRPr="006A4A37">
        <w:rPr>
          <w:rFonts w:cs="Verdana-Bold"/>
          <w:bCs/>
          <w:szCs w:val="22"/>
        </w:rPr>
        <w:t xml:space="preserve"> krožno gospodarstvo</w:t>
      </w:r>
      <w:r>
        <w:rPr>
          <w:rFonts w:cs="Verdana-Bold"/>
          <w:bCs/>
          <w:szCs w:val="22"/>
        </w:rPr>
        <w:t xml:space="preserve"> torej</w:t>
      </w:r>
      <w:r w:rsidRPr="006D0B48">
        <w:rPr>
          <w:rFonts w:cs="Verdana-Bold"/>
          <w:szCs w:val="22"/>
        </w:rPr>
        <w:t xml:space="preserve"> terja boljše ravnanje </w:t>
      </w:r>
      <w:r w:rsidR="00AB12AC" w:rsidRPr="006D0B48">
        <w:rPr>
          <w:rFonts w:cs="Verdana-Bold"/>
          <w:szCs w:val="22"/>
        </w:rPr>
        <w:t xml:space="preserve">z </w:t>
      </w:r>
      <w:r w:rsidR="00AB12AC">
        <w:rPr>
          <w:rFonts w:cs="Verdana-Bold"/>
          <w:szCs w:val="22"/>
        </w:rPr>
        <w:t>viri in se mora najprej osredotočiti na preprečevanje nastajanja odpadkov</w:t>
      </w:r>
      <w:r w:rsidR="006E3481">
        <w:rPr>
          <w:rFonts w:cs="Verdana-Bold"/>
          <w:szCs w:val="22"/>
        </w:rPr>
        <w:t xml:space="preserve"> že od zasnove proizvodov (»</w:t>
      </w:r>
      <w:proofErr w:type="spellStart"/>
      <w:r w:rsidR="006E3481">
        <w:rPr>
          <w:rFonts w:cs="Verdana-Bold"/>
          <w:szCs w:val="22"/>
        </w:rPr>
        <w:t>circular</w:t>
      </w:r>
      <w:proofErr w:type="spellEnd"/>
      <w:r w:rsidR="006E3481">
        <w:rPr>
          <w:rFonts w:cs="Verdana-Bold"/>
          <w:szCs w:val="22"/>
        </w:rPr>
        <w:t xml:space="preserve"> </w:t>
      </w:r>
      <w:proofErr w:type="spellStart"/>
      <w:r w:rsidR="006E3481">
        <w:rPr>
          <w:rFonts w:cs="Verdana-Bold"/>
          <w:szCs w:val="22"/>
        </w:rPr>
        <w:t>and</w:t>
      </w:r>
      <w:proofErr w:type="spellEnd"/>
      <w:r w:rsidR="006E3481">
        <w:rPr>
          <w:rFonts w:cs="Verdana-Bold"/>
          <w:szCs w:val="22"/>
        </w:rPr>
        <w:t xml:space="preserve"> </w:t>
      </w:r>
      <w:proofErr w:type="spellStart"/>
      <w:r w:rsidR="006E3481">
        <w:rPr>
          <w:rFonts w:cs="Verdana-Bold"/>
          <w:szCs w:val="22"/>
        </w:rPr>
        <w:t>digital</w:t>
      </w:r>
      <w:proofErr w:type="spellEnd"/>
      <w:r w:rsidR="006E3481">
        <w:rPr>
          <w:rFonts w:cs="Verdana-Bold"/>
          <w:szCs w:val="22"/>
        </w:rPr>
        <w:t xml:space="preserve"> </w:t>
      </w:r>
      <w:proofErr w:type="spellStart"/>
      <w:r w:rsidR="006E3481">
        <w:rPr>
          <w:rFonts w:cs="Verdana-Bold"/>
          <w:szCs w:val="22"/>
        </w:rPr>
        <w:t>by</w:t>
      </w:r>
      <w:proofErr w:type="spellEnd"/>
      <w:r w:rsidR="006E3481">
        <w:rPr>
          <w:rFonts w:cs="Verdana-Bold"/>
          <w:szCs w:val="22"/>
        </w:rPr>
        <w:t xml:space="preserve"> design«)</w:t>
      </w:r>
      <w:r w:rsidR="00AB12AC">
        <w:rPr>
          <w:rFonts w:cs="Verdana-Bold"/>
          <w:szCs w:val="22"/>
        </w:rPr>
        <w:t xml:space="preserve"> </w:t>
      </w:r>
      <w:r w:rsidR="00AB12AC" w:rsidRPr="006D0B48">
        <w:rPr>
          <w:rFonts w:cs="Verdana-Bold"/>
          <w:szCs w:val="22"/>
        </w:rPr>
        <w:t xml:space="preserve">do izboljšanega zbiranja za </w:t>
      </w:r>
      <w:r w:rsidR="00AB12AC">
        <w:rPr>
          <w:rFonts w:cs="Verdana-Bold"/>
          <w:szCs w:val="22"/>
        </w:rPr>
        <w:t>povečanje/</w:t>
      </w:r>
      <w:r w:rsidR="00AB12AC" w:rsidRPr="006D0B48">
        <w:rPr>
          <w:rFonts w:cs="Verdana-Bold"/>
          <w:szCs w:val="22"/>
        </w:rPr>
        <w:t>ohranitev čistosti tokov za njihovo izboljšano predelavo oziroma reciklažo.</w:t>
      </w:r>
      <w:r w:rsidRPr="006D0B48">
        <w:rPr>
          <w:rFonts w:cs="Verdana-Bold"/>
          <w:szCs w:val="22"/>
        </w:rPr>
        <w:t xml:space="preserve"> </w:t>
      </w:r>
      <w:r w:rsidR="006E3481">
        <w:rPr>
          <w:rFonts w:cs="Verdana-Bold"/>
          <w:szCs w:val="22"/>
        </w:rPr>
        <w:t xml:space="preserve">Pri tem je treba upoštevati cel življenjski cikel proizvoda </w:t>
      </w:r>
      <w:r w:rsidR="006E3481" w:rsidRPr="006E3481">
        <w:rPr>
          <w:rFonts w:cs="Verdana-Bold"/>
          <w:szCs w:val="22"/>
        </w:rPr>
        <w:t>skozi celotno verigo vrednosti.</w:t>
      </w:r>
    </w:p>
    <w:p w14:paraId="6BDC5986" w14:textId="77777777" w:rsidR="00E3682C" w:rsidRPr="00600C9A" w:rsidRDefault="00AB12AC" w:rsidP="00E3682C">
      <w:pPr>
        <w:autoSpaceDE w:val="0"/>
        <w:autoSpaceDN w:val="0"/>
        <w:adjustRightInd w:val="0"/>
        <w:spacing w:after="0"/>
        <w:jc w:val="both"/>
        <w:rPr>
          <w:rFonts w:cs="Verdana-Bold"/>
          <w:szCs w:val="22"/>
        </w:rPr>
      </w:pPr>
      <w:r>
        <w:t xml:space="preserve">Z uvajanjem načel </w:t>
      </w:r>
      <w:proofErr w:type="spellStart"/>
      <w:r>
        <w:t>nizkoogljičnega</w:t>
      </w:r>
      <w:proofErr w:type="spellEnd"/>
      <w:r>
        <w:t xml:space="preserve"> krožnega gospodarstva</w:t>
      </w:r>
      <w:r w:rsidR="00D971D5">
        <w:t xml:space="preserve"> bomo</w:t>
      </w:r>
      <w:r>
        <w:t xml:space="preserve"> </w:t>
      </w:r>
      <w:r w:rsidR="00860492">
        <w:t>izboljšali</w:t>
      </w:r>
      <w:r>
        <w:t xml:space="preserve"> energijsko in snovno samozadostnost in zmanjšali odvisnost</w:t>
      </w:r>
      <w:r w:rsidR="00860492">
        <w:t xml:space="preserve"> od tujih trgov</w:t>
      </w:r>
      <w:r w:rsidR="00476BFB" w:rsidRPr="006D0B48">
        <w:rPr>
          <w:rFonts w:cs="Verdana-Bold"/>
          <w:szCs w:val="22"/>
        </w:rPr>
        <w:t>. Pomembna bo infrastruktura za oskrbo z energijo, predvsem električno,</w:t>
      </w:r>
      <w:r w:rsidR="00D971D5">
        <w:rPr>
          <w:rFonts w:cs="Verdana-Bold"/>
          <w:szCs w:val="22"/>
        </w:rPr>
        <w:t xml:space="preserve"> </w:t>
      </w:r>
      <w:r w:rsidR="00326C17">
        <w:rPr>
          <w:rFonts w:cs="Verdana-Bold"/>
          <w:szCs w:val="22"/>
        </w:rPr>
        <w:t xml:space="preserve">tako </w:t>
      </w:r>
      <w:r w:rsidR="00D971D5">
        <w:rPr>
          <w:rFonts w:cs="Verdana-Bold"/>
          <w:szCs w:val="22"/>
        </w:rPr>
        <w:t>za</w:t>
      </w:r>
      <w:r w:rsidR="00476BFB" w:rsidRPr="006D0B48">
        <w:rPr>
          <w:rFonts w:cs="Verdana-Bold"/>
          <w:szCs w:val="22"/>
        </w:rPr>
        <w:t xml:space="preserve"> obdelavo odpadkov</w:t>
      </w:r>
      <w:r w:rsidR="00D971D5">
        <w:rPr>
          <w:rFonts w:cs="Verdana-Bold"/>
          <w:szCs w:val="22"/>
        </w:rPr>
        <w:t xml:space="preserve"> kot</w:t>
      </w:r>
      <w:r w:rsidR="00476BFB" w:rsidRPr="006D0B48">
        <w:rPr>
          <w:rFonts w:cs="Verdana-Bold"/>
          <w:szCs w:val="22"/>
        </w:rPr>
        <w:t xml:space="preserve"> tudi za boljšo oskrbo s surovinskimi in energetskimi viri iz odpadnih tokov.</w:t>
      </w:r>
      <w:r w:rsidR="00476BFB">
        <w:rPr>
          <w:rFonts w:cs="Verdana-Bold"/>
          <w:szCs w:val="22"/>
        </w:rPr>
        <w:t xml:space="preserve"> Za prehod v krožno gospodarstvo je ključna tudi </w:t>
      </w:r>
      <w:r w:rsidR="00476BFB" w:rsidRPr="006D0B48">
        <w:rPr>
          <w:rFonts w:cs="Verdana-Bold"/>
          <w:szCs w:val="22"/>
        </w:rPr>
        <w:t>optimizacij</w:t>
      </w:r>
      <w:r w:rsidR="00476BFB">
        <w:rPr>
          <w:rFonts w:cs="Verdana-Bold"/>
          <w:szCs w:val="22"/>
        </w:rPr>
        <w:t>a</w:t>
      </w:r>
      <w:r w:rsidR="00476BFB" w:rsidRPr="006D0B48">
        <w:rPr>
          <w:rFonts w:cs="Verdana-Bold"/>
          <w:szCs w:val="22"/>
        </w:rPr>
        <w:t xml:space="preserve"> z digitalizacijo in umetno inteligenco</w:t>
      </w:r>
      <w:r w:rsidR="00476BFB">
        <w:rPr>
          <w:rFonts w:cs="Verdana-Bold"/>
          <w:szCs w:val="22"/>
        </w:rPr>
        <w:t xml:space="preserve"> ter</w:t>
      </w:r>
      <w:r w:rsidR="00476BFB" w:rsidRPr="006D0B48">
        <w:rPr>
          <w:rFonts w:cs="Verdana-Bold"/>
          <w:szCs w:val="22"/>
        </w:rPr>
        <w:t xml:space="preserve"> postopn</w:t>
      </w:r>
      <w:r w:rsidR="00476BFB">
        <w:rPr>
          <w:rFonts w:cs="Verdana-Bold"/>
          <w:szCs w:val="22"/>
        </w:rPr>
        <w:t>a</w:t>
      </w:r>
      <w:r w:rsidR="00476BFB" w:rsidRPr="006D0B48">
        <w:rPr>
          <w:rFonts w:cs="Verdana-Bold"/>
          <w:szCs w:val="22"/>
        </w:rPr>
        <w:t xml:space="preserve"> elektrifikacij</w:t>
      </w:r>
      <w:r w:rsidR="00476BFB">
        <w:rPr>
          <w:rFonts w:cs="Verdana-Bold"/>
          <w:szCs w:val="22"/>
        </w:rPr>
        <w:t>a</w:t>
      </w:r>
      <w:r w:rsidR="00476BFB" w:rsidRPr="006D0B48">
        <w:rPr>
          <w:rFonts w:cs="Verdana-Bold"/>
          <w:szCs w:val="22"/>
        </w:rPr>
        <w:t xml:space="preserve"> različnih postopkov</w:t>
      </w:r>
      <w:r w:rsidR="00476BFB">
        <w:rPr>
          <w:rFonts w:cs="Verdana-Bold"/>
          <w:szCs w:val="22"/>
        </w:rPr>
        <w:t>,</w:t>
      </w:r>
      <w:r w:rsidR="00476BFB" w:rsidRPr="006D0B48">
        <w:rPr>
          <w:rFonts w:cs="Verdana-Bold"/>
          <w:szCs w:val="22"/>
        </w:rPr>
        <w:t xml:space="preserve"> od elektrifikacije toplote in tehnoloških postopkov do proizvodnje vodika kot tudi </w:t>
      </w:r>
      <w:r w:rsidR="00E3682C" w:rsidRPr="003F63BA">
        <w:rPr>
          <w:rFonts w:cs="Verdana-Bold"/>
          <w:szCs w:val="22"/>
        </w:rPr>
        <w:t>zajema in shrambe ogljika</w:t>
      </w:r>
      <w:r w:rsidR="00AE030A">
        <w:rPr>
          <w:rFonts w:cs="Verdana-Bold"/>
          <w:szCs w:val="22"/>
        </w:rPr>
        <w:t>, pri čemer je treba hkrati s tehnološkim razvojem prilagajati tudi zakonodajni okvir</w:t>
      </w:r>
      <w:r w:rsidR="00E3682C" w:rsidRPr="00600C9A">
        <w:rPr>
          <w:rFonts w:cs="Verdana-Bold"/>
          <w:szCs w:val="22"/>
        </w:rPr>
        <w:t xml:space="preserve">. Vse naštete tehnologije prihodnosti </w:t>
      </w:r>
      <w:r w:rsidR="00E3682C" w:rsidRPr="003F63BA">
        <w:rPr>
          <w:rFonts w:cs="Verdana-Bold"/>
          <w:szCs w:val="22"/>
        </w:rPr>
        <w:t xml:space="preserve">temeljijo na </w:t>
      </w:r>
      <w:proofErr w:type="spellStart"/>
      <w:r w:rsidR="00AE030A">
        <w:rPr>
          <w:rFonts w:cs="Verdana-Bold"/>
          <w:szCs w:val="22"/>
        </w:rPr>
        <w:t>nizkoogljičnih</w:t>
      </w:r>
      <w:proofErr w:type="spellEnd"/>
      <w:r w:rsidR="00AE030A">
        <w:rPr>
          <w:rFonts w:cs="Verdana-Bold"/>
          <w:szCs w:val="22"/>
        </w:rPr>
        <w:t xml:space="preserve"> in obnovljivih </w:t>
      </w:r>
      <w:r w:rsidR="00E3682C" w:rsidRPr="003F63BA">
        <w:rPr>
          <w:rFonts w:cs="Verdana-Bold"/>
          <w:szCs w:val="22"/>
        </w:rPr>
        <w:t>vir</w:t>
      </w:r>
      <w:r w:rsidR="00AE030A">
        <w:rPr>
          <w:rFonts w:cs="Verdana-Bold"/>
          <w:szCs w:val="22"/>
        </w:rPr>
        <w:t>ih</w:t>
      </w:r>
      <w:r w:rsidR="00E3682C" w:rsidRPr="003F63BA">
        <w:rPr>
          <w:rFonts w:cs="Verdana-Bold"/>
          <w:szCs w:val="22"/>
        </w:rPr>
        <w:t xml:space="preserve"> energije</w:t>
      </w:r>
      <w:r w:rsidR="00AE030A">
        <w:rPr>
          <w:rFonts w:cs="Verdana-Bold"/>
          <w:szCs w:val="22"/>
        </w:rPr>
        <w:t>.</w:t>
      </w:r>
      <w:r w:rsidR="003C3D8B" w:rsidRPr="003C3D8B">
        <w:t xml:space="preserve"> </w:t>
      </w:r>
    </w:p>
    <w:p w14:paraId="7F634A1C" w14:textId="77777777" w:rsidR="00256291" w:rsidRDefault="00256291" w:rsidP="006A4A37">
      <w:pPr>
        <w:autoSpaceDE w:val="0"/>
        <w:autoSpaceDN w:val="0"/>
        <w:adjustRightInd w:val="0"/>
        <w:spacing w:after="0"/>
        <w:jc w:val="both"/>
        <w:rPr>
          <w:rFonts w:cs="Verdana-Bold"/>
          <w:szCs w:val="22"/>
        </w:rPr>
      </w:pPr>
    </w:p>
    <w:p w14:paraId="1F1F0BAF" w14:textId="77777777" w:rsidR="003C3D8B" w:rsidRDefault="003C3D8B" w:rsidP="006A4A37">
      <w:pPr>
        <w:autoSpaceDE w:val="0"/>
        <w:autoSpaceDN w:val="0"/>
        <w:adjustRightInd w:val="0"/>
        <w:spacing w:after="0"/>
        <w:jc w:val="both"/>
        <w:rPr>
          <w:rFonts w:cs="Verdana-Bold"/>
          <w:szCs w:val="22"/>
        </w:rPr>
      </w:pPr>
    </w:p>
    <w:p w14:paraId="051007A1" w14:textId="77777777" w:rsidR="00940143" w:rsidRPr="0059557B" w:rsidRDefault="00940143" w:rsidP="002C7476">
      <w:pPr>
        <w:pStyle w:val="Naslov2"/>
        <w:numPr>
          <w:ilvl w:val="1"/>
          <w:numId w:val="6"/>
        </w:numPr>
        <w:rPr>
          <w:rFonts w:eastAsia="Times New Roman"/>
          <w:lang w:eastAsia="sl-SI"/>
        </w:rPr>
      </w:pPr>
      <w:bookmarkStart w:id="18" w:name="_Toc51140504"/>
      <w:r w:rsidRPr="0059557B">
        <w:rPr>
          <w:rFonts w:eastAsia="Times New Roman"/>
          <w:caps w:val="0"/>
          <w:lang w:eastAsia="sl-SI"/>
        </w:rPr>
        <w:lastRenderedPageBreak/>
        <w:t>Celoviti strateški projekt razogl</w:t>
      </w:r>
      <w:r w:rsidR="00E3682C">
        <w:rPr>
          <w:rFonts w:eastAsia="Times New Roman"/>
          <w:caps w:val="0"/>
          <w:lang w:eastAsia="sl-SI"/>
        </w:rPr>
        <w:t>j</w:t>
      </w:r>
      <w:r w:rsidRPr="0059557B">
        <w:rPr>
          <w:rFonts w:eastAsia="Times New Roman"/>
          <w:caps w:val="0"/>
          <w:lang w:eastAsia="sl-SI"/>
        </w:rPr>
        <w:t>ičenja preko prehoda v krožno gospodarstvo</w:t>
      </w:r>
      <w:bookmarkEnd w:id="18"/>
    </w:p>
    <w:p w14:paraId="530150CD" w14:textId="46C9075E" w:rsidR="00E3682C" w:rsidRPr="00600C9A" w:rsidRDefault="00642B96" w:rsidP="00E3682C">
      <w:pPr>
        <w:jc w:val="both"/>
      </w:pPr>
      <w:r>
        <w:t xml:space="preserve">V skladu </w:t>
      </w:r>
      <w:r w:rsidR="005178DA">
        <w:t>s pobudami na evropski ravni tudi Slovenija pripravlja načrt prehoda v krožno gospodarstvo. Gre za t.</w:t>
      </w:r>
      <w:r w:rsidR="00256291">
        <w:t xml:space="preserve"> </w:t>
      </w:r>
      <w:r w:rsidR="005178DA">
        <w:t xml:space="preserve">i. </w:t>
      </w:r>
      <w:r w:rsidR="005178DA" w:rsidRPr="004F1A17">
        <w:rPr>
          <w:b/>
        </w:rPr>
        <w:t xml:space="preserve">Celoviti strateški projekt </w:t>
      </w:r>
      <w:r w:rsidR="00E3682C" w:rsidRPr="004F1A17">
        <w:rPr>
          <w:b/>
        </w:rPr>
        <w:t>razogljičenja</w:t>
      </w:r>
      <w:r w:rsidR="005178DA" w:rsidRPr="004F1A17">
        <w:rPr>
          <w:b/>
        </w:rPr>
        <w:t xml:space="preserve"> preko prehoda v krožno gospodarstvo</w:t>
      </w:r>
      <w:r w:rsidR="005178DA">
        <w:t>, ki je eden izmed</w:t>
      </w:r>
      <w:r w:rsidRPr="006E6F23">
        <w:t xml:space="preserve"> ključnih nacionalnih projekto</w:t>
      </w:r>
      <w:r w:rsidR="005178DA">
        <w:t>v, ki bo prinesel</w:t>
      </w:r>
      <w:r w:rsidRPr="006E6F23">
        <w:t xml:space="preserve"> </w:t>
      </w:r>
      <w:r w:rsidR="005178DA">
        <w:t>pozitivne</w:t>
      </w:r>
      <w:r w:rsidRPr="006E6F23">
        <w:t xml:space="preserve"> učink</w:t>
      </w:r>
      <w:r w:rsidR="005178DA">
        <w:t>e</w:t>
      </w:r>
      <w:r w:rsidRPr="006E6F23">
        <w:t xml:space="preserve"> na konkurenčnost gospodarstva, okolje, zaposlovanje in druge družbene vidike ter s tem višj</w:t>
      </w:r>
      <w:r w:rsidR="005178DA">
        <w:t>o</w:t>
      </w:r>
      <w:r w:rsidRPr="006E6F23">
        <w:t xml:space="preserve"> kakovost življenja.</w:t>
      </w:r>
      <w:r w:rsidR="003C3D8B">
        <w:t xml:space="preserve"> Projekt je sistemske narave in je usmerjen na vsa področja, ki so ključnega pomena za prehod v </w:t>
      </w:r>
      <w:proofErr w:type="spellStart"/>
      <w:r w:rsidR="003C3D8B">
        <w:t>nizkoogljično</w:t>
      </w:r>
      <w:proofErr w:type="spellEnd"/>
      <w:r w:rsidR="003C3D8B">
        <w:t xml:space="preserve"> krožno gospodarstvo.</w:t>
      </w:r>
      <w:r w:rsidRPr="006E6F23">
        <w:t xml:space="preserve"> </w:t>
      </w:r>
      <w:r w:rsidR="00E3682C" w:rsidRPr="003F63BA">
        <w:t>Projekt se pripravlja v partnerstvu z vodilnimi evropskimi institucijami na tem področju</w:t>
      </w:r>
      <w:r w:rsidR="006B7138">
        <w:rPr>
          <w:rStyle w:val="Sprotnaopomba-sklic"/>
        </w:rPr>
        <w:footnoteReference w:id="32"/>
      </w:r>
      <w:r w:rsidR="00E3682C" w:rsidRPr="003F63BA">
        <w:t xml:space="preserve">. Tako bomo lahko v Slovenijo prenesli najbolj aktualno evropsko znanje za prehod v </w:t>
      </w:r>
      <w:proofErr w:type="spellStart"/>
      <w:r w:rsidR="00E3682C" w:rsidRPr="003F63BA">
        <w:t>nizkoogljično</w:t>
      </w:r>
      <w:proofErr w:type="spellEnd"/>
      <w:r w:rsidR="00E3682C" w:rsidRPr="003F63BA">
        <w:t xml:space="preserve"> krožno gospodarstvo, ga povezali z domačim znanjem in nadgradili. </w:t>
      </w:r>
    </w:p>
    <w:p w14:paraId="7485B3D8" w14:textId="34B7A522" w:rsidR="00642B96" w:rsidRDefault="00642B96" w:rsidP="00642B96">
      <w:pPr>
        <w:jc w:val="both"/>
      </w:pPr>
      <w:r>
        <w:t>Predlog projekta med drugim zajema</w:t>
      </w:r>
      <w:r w:rsidRPr="0043728C">
        <w:t xml:space="preserve"> </w:t>
      </w:r>
      <w:r w:rsidR="004B135A">
        <w:t xml:space="preserve">podporo ustanavljanju </w:t>
      </w:r>
      <w:r w:rsidRPr="0043728C">
        <w:t xml:space="preserve">zagonskih </w:t>
      </w:r>
      <w:r w:rsidRPr="00D1001D">
        <w:t>podjetij</w:t>
      </w:r>
      <w:r w:rsidRPr="0043728C">
        <w:t xml:space="preserve">, ki bodo delovala na področju </w:t>
      </w:r>
      <w:proofErr w:type="spellStart"/>
      <w:r w:rsidRPr="0043728C">
        <w:t>nizkoogljičnih</w:t>
      </w:r>
      <w:proofErr w:type="spellEnd"/>
      <w:r w:rsidRPr="0043728C">
        <w:t xml:space="preserve"> krožnih rešitev in </w:t>
      </w:r>
      <w:r>
        <w:t>podporo</w:t>
      </w:r>
      <w:r w:rsidRPr="0043728C">
        <w:t xml:space="preserve"> proces</w:t>
      </w:r>
      <w:r>
        <w:t>u</w:t>
      </w:r>
      <w:r w:rsidRPr="0043728C">
        <w:t xml:space="preserve"> inoviranja </w:t>
      </w:r>
      <w:r w:rsidR="005178DA">
        <w:t>ter</w:t>
      </w:r>
      <w:r w:rsidRPr="0043728C">
        <w:t xml:space="preserve"> prehoda MSP v </w:t>
      </w:r>
      <w:proofErr w:type="spellStart"/>
      <w:r w:rsidRPr="0043728C">
        <w:t>nizkoogljične</w:t>
      </w:r>
      <w:proofErr w:type="spellEnd"/>
      <w:r w:rsidRPr="0043728C">
        <w:t xml:space="preserve"> krožne </w:t>
      </w:r>
      <w:r w:rsidR="005178DA">
        <w:t xml:space="preserve">poslovne </w:t>
      </w:r>
      <w:r w:rsidRPr="0043728C">
        <w:t xml:space="preserve">modele. </w:t>
      </w:r>
      <w:r>
        <w:t>Hkrati bodo</w:t>
      </w:r>
      <w:r w:rsidRPr="0043728C">
        <w:t xml:space="preserve"> vzpostavlj</w:t>
      </w:r>
      <w:r>
        <w:t>eni</w:t>
      </w:r>
      <w:r w:rsidRPr="0043728C">
        <w:t xml:space="preserve"> sistemsk</w:t>
      </w:r>
      <w:r>
        <w:t>i</w:t>
      </w:r>
      <w:r w:rsidRPr="0043728C">
        <w:t xml:space="preserve"> pogoj</w:t>
      </w:r>
      <w:r>
        <w:t>i</w:t>
      </w:r>
      <w:r w:rsidRPr="0043728C">
        <w:t xml:space="preserve"> za dvig usposobljenosti v različnih skupinah deležnikov (</w:t>
      </w:r>
      <w:r w:rsidR="00307441">
        <w:t xml:space="preserve">osnovne in </w:t>
      </w:r>
      <w:r w:rsidRPr="0043728C">
        <w:t>srednje šole, visokošolske institucije, podjetja, javna uprava), za oblikovanje in izvajanje ustreznih rešitev</w:t>
      </w:r>
      <w:r w:rsidR="003E6901">
        <w:t>,</w:t>
      </w:r>
      <w:r w:rsidRPr="0043728C">
        <w:t xml:space="preserve"> potrebnih za prehod v </w:t>
      </w:r>
      <w:proofErr w:type="spellStart"/>
      <w:r w:rsidRPr="0043728C">
        <w:t>nizkoogljično</w:t>
      </w:r>
      <w:proofErr w:type="spellEnd"/>
      <w:r w:rsidRPr="0043728C">
        <w:t xml:space="preserve"> krožno gospodarstvo. </w:t>
      </w:r>
      <w:r w:rsidR="004F1A17">
        <w:t>Tudi v tem kontekstu je dvig kompetenc in</w:t>
      </w:r>
      <w:r w:rsidR="004F1A17" w:rsidRPr="004F1A17">
        <w:t xml:space="preserve"> </w:t>
      </w:r>
      <w:r w:rsidR="004F1A17">
        <w:t>potreba</w:t>
      </w:r>
      <w:r w:rsidR="004F1A17" w:rsidRPr="004F1A17">
        <w:t xml:space="preserve"> po prekvalifikacij</w:t>
      </w:r>
      <w:r w:rsidR="004F1A17">
        <w:t>i</w:t>
      </w:r>
      <w:r w:rsidR="004F1A17" w:rsidRPr="004F1A17">
        <w:t xml:space="preserve"> in</w:t>
      </w:r>
      <w:r w:rsidR="004F1A17">
        <w:t xml:space="preserve"> izkoriščanju priložnosti</w:t>
      </w:r>
      <w:r w:rsidR="004F1A17" w:rsidRPr="004F1A17">
        <w:t xml:space="preserve"> za ustvarjanje novih, zelenih delovnih mest</w:t>
      </w:r>
      <w:r w:rsidR="004F1A17">
        <w:t xml:space="preserve"> ključnega pomena</w:t>
      </w:r>
      <w:r w:rsidR="004F1A17" w:rsidRPr="004F1A17">
        <w:t>.</w:t>
      </w:r>
      <w:r w:rsidR="00307441" w:rsidRPr="00307441">
        <w:t xml:space="preserve"> </w:t>
      </w:r>
      <w:r w:rsidR="00307441" w:rsidRPr="0043728C">
        <w:t>V okviru projekta je predvidena tudi podpora razogljičenju v ključnih verigah vrednost</w:t>
      </w:r>
      <w:r w:rsidR="00307441">
        <w:t xml:space="preserve">i: </w:t>
      </w:r>
      <w:r w:rsidR="00307441" w:rsidRPr="00307441">
        <w:rPr>
          <w:b/>
        </w:rPr>
        <w:t>predelovalni industriji, gozdno-lesni verigi, prehranski verigi, grajenem okolju in mobilnosti</w:t>
      </w:r>
      <w:r w:rsidR="00307441">
        <w:t>.</w:t>
      </w:r>
      <w:r w:rsidR="004A3022">
        <w:t xml:space="preserve"> Ne glede na to, da projekt naslavlja navedene verige vrednosti, </w:t>
      </w:r>
      <w:r w:rsidR="00F308B7">
        <w:t xml:space="preserve">v nadaljevanju </w:t>
      </w:r>
      <w:r w:rsidR="004A3022">
        <w:t>osvetljujemo nekaj ključnih področij industrije.</w:t>
      </w:r>
    </w:p>
    <w:p w14:paraId="48514A79" w14:textId="77777777" w:rsidR="00F001CE" w:rsidRPr="00256291" w:rsidRDefault="00256291" w:rsidP="00642B96">
      <w:pPr>
        <w:jc w:val="both"/>
      </w:pPr>
      <w:r>
        <w:t>Z</w:t>
      </w:r>
      <w:r w:rsidR="00F001CE" w:rsidRPr="00256291">
        <w:t xml:space="preserve">a prehod v </w:t>
      </w:r>
      <w:proofErr w:type="spellStart"/>
      <w:r w:rsidR="00F001CE" w:rsidRPr="00256291">
        <w:t>nizkoogljično</w:t>
      </w:r>
      <w:proofErr w:type="spellEnd"/>
      <w:r w:rsidR="00F001CE" w:rsidRPr="00256291">
        <w:t xml:space="preserve"> družbo </w:t>
      </w:r>
      <w:r w:rsidR="00BF03D4" w:rsidRPr="00256291">
        <w:t xml:space="preserve">in krožno gospodarstvo </w:t>
      </w:r>
      <w:r>
        <w:t>mora država spodbuditi investicije</w:t>
      </w:r>
      <w:r w:rsidR="00F001CE" w:rsidRPr="00256291">
        <w:t xml:space="preserve"> v </w:t>
      </w:r>
      <w:r>
        <w:t xml:space="preserve">potrebna osnovna </w:t>
      </w:r>
      <w:r w:rsidR="00F001CE" w:rsidRPr="00256291">
        <w:t>sredstv</w:t>
      </w:r>
      <w:r>
        <w:t>a</w:t>
      </w:r>
      <w:r w:rsidR="00F001CE" w:rsidRPr="00256291">
        <w:t xml:space="preserve">, </w:t>
      </w:r>
      <w:r>
        <w:t xml:space="preserve">hkrati pa mora vzpostavljati </w:t>
      </w:r>
      <w:r w:rsidR="00F001CE" w:rsidRPr="00256291">
        <w:t>ustrezn</w:t>
      </w:r>
      <w:r>
        <w:t>o zakonodajo</w:t>
      </w:r>
      <w:r w:rsidR="00F001CE" w:rsidRPr="00256291">
        <w:t xml:space="preserve"> in ostal</w:t>
      </w:r>
      <w:r>
        <w:t>e potrebne</w:t>
      </w:r>
      <w:r w:rsidR="00F001CE" w:rsidRPr="00256291">
        <w:t xml:space="preserve"> pogoje.</w:t>
      </w:r>
    </w:p>
    <w:p w14:paraId="71A2D819" w14:textId="77777777" w:rsidR="005063AF" w:rsidRDefault="005063AF" w:rsidP="005063AF">
      <w:pPr>
        <w:autoSpaceDE w:val="0"/>
        <w:autoSpaceDN w:val="0"/>
        <w:adjustRightInd w:val="0"/>
        <w:spacing w:after="0"/>
        <w:jc w:val="both"/>
      </w:pPr>
    </w:p>
    <w:p w14:paraId="0F49369D" w14:textId="77777777" w:rsidR="00940143" w:rsidRPr="0059557B" w:rsidRDefault="00940143" w:rsidP="002C7476">
      <w:pPr>
        <w:pStyle w:val="Naslov2"/>
        <w:numPr>
          <w:ilvl w:val="1"/>
          <w:numId w:val="6"/>
        </w:numPr>
        <w:rPr>
          <w:rFonts w:eastAsia="Times New Roman"/>
          <w:lang w:eastAsia="sl-SI"/>
        </w:rPr>
      </w:pPr>
      <w:bookmarkStart w:id="19" w:name="_Toc51140505"/>
      <w:r w:rsidRPr="0059557B">
        <w:rPr>
          <w:rFonts w:eastAsia="Times New Roman"/>
          <w:caps w:val="0"/>
          <w:lang w:eastAsia="sl-SI"/>
        </w:rPr>
        <w:t>Energetsko intenzivna industrija</w:t>
      </w:r>
      <w:bookmarkEnd w:id="19"/>
    </w:p>
    <w:p w14:paraId="45F0502C" w14:textId="77777777" w:rsidR="00FB2DB8" w:rsidRDefault="00FB2DB8" w:rsidP="00FB2DB8">
      <w:pPr>
        <w:jc w:val="both"/>
      </w:pPr>
      <w:r>
        <w:t>Pomemben del slovenske industrije predstavlja energetsko intenzivna industrija (kovinska, nekovinska, kemična in papirna). Energetsko intenzivne dejavnosti letno porabijo slabo šestino vse končne porabljene energije v Sloveniji. Te dejavnosti zaposlujejo okoli 27.500 oseb in ustvarijo 2,5 % BDP. Pomembne so tudi z izvoznega vidika, saj pretežni del svojih izdelkov izvozijo. Veliko večino energije v industriji porabi sorazmerno malo število podjetij. V letu 2016 je zgolj 20 podjetij porabilo polovico vse energije v industriji. Dejstvo je, da je industrija v letih 2005-2016 znižala neposredne emisije toplogrednih plinov za več kot 35 %, procesne emisije pa za več kot 20 %.</w:t>
      </w:r>
    </w:p>
    <w:p w14:paraId="5634CAAE" w14:textId="2F0ED271" w:rsidR="00FB2DB8" w:rsidRDefault="00FB2DB8" w:rsidP="00FB2DB8">
      <w:pPr>
        <w:jc w:val="both"/>
      </w:pPr>
      <w:r>
        <w:t xml:space="preserve">Energetsko intenzivna industrija v Sloveniji je v primerjavi z napravami v EU energetsko zelo učinkovita in večinoma uporablja najboljše tehnologije, ki so na voljo (BAT). S tega vidika je za večji preskok v </w:t>
      </w:r>
      <w:proofErr w:type="spellStart"/>
      <w:r>
        <w:t>nizkoogljično</w:t>
      </w:r>
      <w:proofErr w:type="spellEnd"/>
      <w:r>
        <w:t xml:space="preserve"> krožno gospodarstvo zelo odvisen od razvoja novih prebojnih tehnologij, ki jih na trgu še ni ali so šele na začetku razvoja na področju elektrifikacije toplote in proizvodnih postopkov. Določene že razvite tehnologije, od proizvodnje in uporabe vodika do zajema in uporabe ter zajema in skladiščenja ogljika, pa še čakajo na cenovno sprejemljivo, ustrezno integracijo v proizvodne procese energetsko intenzivne industrije.</w:t>
      </w:r>
    </w:p>
    <w:p w14:paraId="201A7EB2" w14:textId="77777777" w:rsidR="00FB2DB8" w:rsidRDefault="00FB2DB8" w:rsidP="00FB2DB8">
      <w:pPr>
        <w:jc w:val="both"/>
      </w:pPr>
      <w:r>
        <w:t>Potrebno se je izogniti zapiranju najučinkovitejših podjetij, saj bi se s tem emisije na globalni ravni povečale, ker bi uvažali izdelke iz manj učinkovitih naprav iz drugih delov sveta (</w:t>
      </w:r>
      <w:proofErr w:type="spellStart"/>
      <w:r>
        <w:t>carbon</w:t>
      </w:r>
      <w:proofErr w:type="spellEnd"/>
      <w:r>
        <w:t xml:space="preserve"> </w:t>
      </w:r>
      <w:proofErr w:type="spellStart"/>
      <w:r>
        <w:t>leakage</w:t>
      </w:r>
      <w:proofErr w:type="spellEnd"/>
      <w:r>
        <w:t xml:space="preserve"> – odliv ogljika). Industrijo je potrebno še bolj spodbuditi tako k nadaljnjemu zmanjševanju </w:t>
      </w:r>
      <w:r>
        <w:lastRenderedPageBreak/>
        <w:t xml:space="preserve">energetske intenzivnosti in upravljanju z energijo kot tudi zmanjševanju procesnih emisij z optimizacijo, digitalizacijo in uporabo umetne inteligence. Ta industrija  potrebuje zanesljivo dobavo čiste energije in oskrbo s surovinami, kar pogojujeta ustrezna infrastruktura tako za oskrbo z energijo in za ravnanje z odpadki. Po oceni Evropske komisije bo ne glede na že izvedene in pričakovane ukrepe v zmanjšanje porabe elektrike v EII, poraba elektrike v energetsko intenzivni industriji v EU narasla s 2,98 na 4,43 </w:t>
      </w:r>
      <w:proofErr w:type="spellStart"/>
      <w:r>
        <w:t>TWh</w:t>
      </w:r>
      <w:proofErr w:type="spellEnd"/>
      <w:r>
        <w:t>.</w:t>
      </w:r>
    </w:p>
    <w:p w14:paraId="40E9DE61" w14:textId="1927C596" w:rsidR="00FA6A15" w:rsidRDefault="00FB2DB8" w:rsidP="00FB2DB8">
      <w:pPr>
        <w:jc w:val="both"/>
      </w:pPr>
      <w:r>
        <w:t>Pomen energetsko intenzivne industrije prepoznava tudi Evropski zeleni dogovor, kjer je zapisano, da je energetsko intenzivna industrija nepogrešljivi del gospodarstva, saj zagotavlja surovine za druge vrednostne verige, ki so pomembne za gospodarstvo EU. Pomemben vidik v tem oziru je tudi dostop do surovin (predvsem kritičnih surovin, ki jih bo treba bolje izločevati iz obstoječih odpadnih tokov).</w:t>
      </w:r>
      <w:r w:rsidR="00B71EE4">
        <w:t xml:space="preserve">Za tehnološki preboj in posodobitve energetsko intenzivne industrije je treba izkoristiti vse možnosti, ki so na voljo na EU ravni (npr. Inovacijski sklad, Obzorje), ter na domači ravni preko mehanizma za okrevanje in odpornost ter za pravični prehod. </w:t>
      </w:r>
      <w:r w:rsidR="00FA6A15">
        <w:t xml:space="preserve">Preko ukrepov bomo </w:t>
      </w:r>
      <w:r w:rsidR="00FA6A15" w:rsidRPr="00FA6A15">
        <w:t>spodbuja</w:t>
      </w:r>
      <w:r w:rsidR="00FA6A15">
        <w:t>li</w:t>
      </w:r>
      <w:r w:rsidR="00FA6A15" w:rsidRPr="00FA6A15">
        <w:t xml:space="preserve"> energetsk</w:t>
      </w:r>
      <w:r w:rsidR="00FA6A15">
        <w:t>o</w:t>
      </w:r>
      <w:r w:rsidR="00FA6A15" w:rsidRPr="00FA6A15">
        <w:t xml:space="preserve"> učinkovitost in zamenjav</w:t>
      </w:r>
      <w:r w:rsidR="00FA6A15">
        <w:t xml:space="preserve">o </w:t>
      </w:r>
      <w:r w:rsidR="00FA6A15" w:rsidRPr="00FA6A15">
        <w:t xml:space="preserve">energentov, povečanje snovne učinkovitosti in spodbujanje uvedbe krožnih rešitev v industriji osnovnih materialov (uporaba sekundarnih surovin, nadomeščanje </w:t>
      </w:r>
      <w:proofErr w:type="spellStart"/>
      <w:r w:rsidR="00FA6A15" w:rsidRPr="00FA6A15">
        <w:t>ogljično</w:t>
      </w:r>
      <w:proofErr w:type="spellEnd"/>
      <w:r w:rsidR="00686A2A">
        <w:t xml:space="preserve"> oziroma </w:t>
      </w:r>
      <w:r w:rsidR="00FA6A15" w:rsidRPr="00FA6A15">
        <w:t>energetsko intenzivnih surovin s snovmi z nižjim odtisom).</w:t>
      </w:r>
      <w:r w:rsidR="00FA6A15">
        <w:t xml:space="preserve"> Prav tako bomo okrepili mednarodno sodelovanje za razvoj prebojnih tehnologij in</w:t>
      </w:r>
      <w:r w:rsidR="00B71EE4">
        <w:t xml:space="preserve"> </w:t>
      </w:r>
      <w:r w:rsidR="00FA6A15">
        <w:t>uvajali</w:t>
      </w:r>
      <w:r w:rsidR="00CB3CB2">
        <w:t xml:space="preserve"> možnosti optimizacije proizvodnje z avtomatizacijo, digitalizacijo in umetno inteligenco. </w:t>
      </w:r>
    </w:p>
    <w:p w14:paraId="6705142A" w14:textId="3B6460EF" w:rsidR="00A02E20" w:rsidRDefault="00CB3CB2" w:rsidP="00CC4ED9">
      <w:pPr>
        <w:jc w:val="both"/>
      </w:pPr>
      <w:r w:rsidRPr="00D2456E">
        <w:t xml:space="preserve">Obstoječa proizvodnja se </w:t>
      </w:r>
      <w:r>
        <w:t xml:space="preserve">je </w:t>
      </w:r>
      <w:r w:rsidR="00980911">
        <w:t xml:space="preserve">že </w:t>
      </w:r>
      <w:r>
        <w:t xml:space="preserve">občutno </w:t>
      </w:r>
      <w:r w:rsidRPr="00D2456E">
        <w:t>racionalizira</w:t>
      </w:r>
      <w:r>
        <w:t>la</w:t>
      </w:r>
      <w:r w:rsidRPr="00D2456E">
        <w:t xml:space="preserve"> predvsem z vidika zmanjšanja porabe energije na enoto in povečanja </w:t>
      </w:r>
      <w:r>
        <w:t>snovne produktivnosti</w:t>
      </w:r>
      <w:r w:rsidR="00FA6A15">
        <w:t>. V</w:t>
      </w:r>
      <w:r>
        <w:t xml:space="preserve"> skladu </w:t>
      </w:r>
      <w:r w:rsidR="003E6901">
        <w:t>s</w:t>
      </w:r>
      <w:r>
        <w:t xml:space="preserve"> širšimi evropskimi napovedmi se v prihodnjih letih pričakuje preboj novih </w:t>
      </w:r>
      <w:proofErr w:type="spellStart"/>
      <w:r>
        <w:t>nizkoogljičnih</w:t>
      </w:r>
      <w:proofErr w:type="spellEnd"/>
      <w:r>
        <w:t xml:space="preserve"> tehnologij, ki bodo temeljito preoblikovale proizvodnjo v energetsko intenzivni </w:t>
      </w:r>
      <w:r w:rsidR="00CC4ED9">
        <w:t xml:space="preserve">industriji. </w:t>
      </w:r>
      <w:r w:rsidR="00980911">
        <w:t>Zato</w:t>
      </w:r>
      <w:r w:rsidR="00FA6A15">
        <w:t xml:space="preserve"> bo </w:t>
      </w:r>
      <w:r w:rsidR="00980911">
        <w:t>treba pospeševati</w:t>
      </w:r>
      <w:r w:rsidR="00FA6A15">
        <w:t xml:space="preserve"> tako razvojn</w:t>
      </w:r>
      <w:r w:rsidR="00980911">
        <w:t>o</w:t>
      </w:r>
      <w:r w:rsidR="00974A77">
        <w:t>-</w:t>
      </w:r>
      <w:r w:rsidR="00980911">
        <w:t>inovacijske</w:t>
      </w:r>
      <w:r w:rsidR="00FA6A15">
        <w:t xml:space="preserve"> aktivnosti</w:t>
      </w:r>
      <w:r w:rsidR="00E30392">
        <w:t xml:space="preserve"> kot</w:t>
      </w:r>
      <w:r w:rsidR="00FA6A15">
        <w:t xml:space="preserve"> demonstracijske aktivnosti in investicijske spodbude</w:t>
      </w:r>
      <w:r w:rsidR="00686A2A">
        <w:t xml:space="preserve"> za ta namen</w:t>
      </w:r>
      <w:r w:rsidR="00FA6A15">
        <w:t>.</w:t>
      </w:r>
    </w:p>
    <w:p w14:paraId="48E382CC" w14:textId="77777777" w:rsidR="005178DA" w:rsidRPr="0059557B" w:rsidRDefault="005178DA" w:rsidP="002C7476">
      <w:pPr>
        <w:pStyle w:val="Naslov2"/>
        <w:numPr>
          <w:ilvl w:val="1"/>
          <w:numId w:val="6"/>
        </w:numPr>
      </w:pPr>
      <w:bookmarkStart w:id="20" w:name="_Toc51140506"/>
      <w:r w:rsidRPr="0059557B">
        <w:t>T</w:t>
      </w:r>
      <w:r w:rsidRPr="0059557B">
        <w:rPr>
          <w:caps w:val="0"/>
        </w:rPr>
        <w:t>rajnostna mobilnost</w:t>
      </w:r>
      <w:bookmarkEnd w:id="20"/>
    </w:p>
    <w:p w14:paraId="5B1DA965" w14:textId="1A8E6021" w:rsidR="00CC4ED9" w:rsidRDefault="00CC4ED9" w:rsidP="00CC4ED9">
      <w:pPr>
        <w:jc w:val="both"/>
      </w:pPr>
      <w:r w:rsidRPr="00C17F05">
        <w:t xml:space="preserve">Mobilnost bo </w:t>
      </w:r>
      <w:r>
        <w:t>tudi v prihodnosti</w:t>
      </w:r>
      <w:r w:rsidRPr="00C17F05">
        <w:t xml:space="preserve"> temelj družbe in ekonomije</w:t>
      </w:r>
      <w:r w:rsidR="00E30392">
        <w:t>,</w:t>
      </w:r>
      <w:r>
        <w:t xml:space="preserve"> hkrati pa lahko, ob nadaljevanju obstoječega trenda</w:t>
      </w:r>
      <w:r w:rsidR="00E30392">
        <w:t>,</w:t>
      </w:r>
      <w:r>
        <w:t xml:space="preserve"> prav emisije toplogrednih plinov iz prometa ogrozijo doseganje podnebnih ciljev. V EU emisije iz prometa predstavljajo četrtino emisij, medtem ko v Sloveniji v ne-ETS sektorju promet predstavlja več kot 50 % emisij toplogrednih plinov.</w:t>
      </w:r>
      <w:r w:rsidRPr="00C17F05">
        <w:t xml:space="preserve"> Zeleno in digitalno bosta ključni področji razvoja mobilnosti v prihodnjem desetletju</w:t>
      </w:r>
      <w:r>
        <w:t>, če bomo želeli obvlad</w:t>
      </w:r>
      <w:r w:rsidR="0058525A">
        <w:t>a</w:t>
      </w:r>
      <w:r>
        <w:t xml:space="preserve">ti emisije iz sektorja prometa.  </w:t>
      </w:r>
    </w:p>
    <w:p w14:paraId="1BF86701" w14:textId="5C862EA9" w:rsidR="003B3A3E" w:rsidRDefault="00C17F05" w:rsidP="003B3A3E">
      <w:pPr>
        <w:jc w:val="both"/>
      </w:pPr>
      <w:r>
        <w:t>Na področju infrastrukture se poudarja</w:t>
      </w:r>
      <w:r w:rsidR="00E30392">
        <w:t>ta</w:t>
      </w:r>
      <w:r>
        <w:t xml:space="preserve"> </w:t>
      </w:r>
      <w:r w:rsidRPr="00C17F05">
        <w:t>čist</w:t>
      </w:r>
      <w:r>
        <w:t>i</w:t>
      </w:r>
      <w:r w:rsidRPr="00C17F05">
        <w:t xml:space="preserve"> promet in logistik</w:t>
      </w:r>
      <w:r>
        <w:t>a</w:t>
      </w:r>
      <w:r w:rsidRPr="00C17F05">
        <w:t xml:space="preserve">, vključno z namestitvijo polnilnih postaj za električna vozila, spodbudami za železniški promet </w:t>
      </w:r>
      <w:r>
        <w:t>ter</w:t>
      </w:r>
      <w:r w:rsidRPr="00C17F05">
        <w:t xml:space="preserve"> čisto mobilnost v mestih in regijah.</w:t>
      </w:r>
      <w:r>
        <w:t xml:space="preserve"> </w:t>
      </w:r>
      <w:r w:rsidR="00CC4ED9">
        <w:t xml:space="preserve">Treba je torej spodbujati </w:t>
      </w:r>
      <w:r w:rsidR="00CC4ED9" w:rsidRPr="005178DA">
        <w:t>trajnostne oblike mobilnosti</w:t>
      </w:r>
      <w:r w:rsidR="00CC4ED9">
        <w:t xml:space="preserve"> in temu prilagoditi tudi izgradnjo prometne infrastrukture, ki bo preferenčno spodbujala odmik od cestnega prevoza bodisi potnikov bodisi tovora. </w:t>
      </w:r>
      <w:r w:rsidR="006F2E05">
        <w:t>Področje se tesno povezuje s t.</w:t>
      </w:r>
      <w:r w:rsidR="00E30392">
        <w:t xml:space="preserve"> </w:t>
      </w:r>
      <w:r w:rsidR="006F2E05">
        <w:t xml:space="preserve">i. </w:t>
      </w:r>
      <w:r w:rsidR="00E30392">
        <w:t>p</w:t>
      </w:r>
      <w:r w:rsidR="006F2E05">
        <w:t>ametnimi mesti in skupnostmi, kar je podrobneje razdelano v Strategiji pametne specializacije.</w:t>
      </w:r>
    </w:p>
    <w:p w14:paraId="239446A4" w14:textId="77777777" w:rsidR="00CC4ED9" w:rsidRPr="00C17F05" w:rsidRDefault="00C17F05" w:rsidP="00CC4ED9">
      <w:pPr>
        <w:jc w:val="both"/>
      </w:pPr>
      <w:r w:rsidRPr="00C17F05">
        <w:t>Na področju industrije pa je treba poudariti</w:t>
      </w:r>
      <w:r>
        <w:t>, da</w:t>
      </w:r>
      <w:r w:rsidRPr="00C17F05">
        <w:t xml:space="preserve"> </w:t>
      </w:r>
      <w:r>
        <w:t>s</w:t>
      </w:r>
      <w:r w:rsidRPr="00C17F05">
        <w:t>lovenska avtomobilska industrija predstavlja v celoti okvirno 10</w:t>
      </w:r>
      <w:r w:rsidR="003E6901">
        <w:t xml:space="preserve"> </w:t>
      </w:r>
      <w:r w:rsidRPr="00C17F05">
        <w:t xml:space="preserve">% slovenskega bruto dodanega proizvoda in okvirno 20 % slovenskega izvoza. </w:t>
      </w:r>
      <w:r>
        <w:t>Na tem področju posluje okoli</w:t>
      </w:r>
      <w:r w:rsidRPr="00C17F05">
        <w:t xml:space="preserve"> 285</w:t>
      </w:r>
      <w:r>
        <w:t xml:space="preserve"> podjetij, ki zaposlujejo </w:t>
      </w:r>
      <w:r w:rsidRPr="00C17F05">
        <w:t>16.000</w:t>
      </w:r>
      <w:r>
        <w:t xml:space="preserve"> ljudi.</w:t>
      </w:r>
      <w:r w:rsidRPr="00C17F05">
        <w:t xml:space="preserve"> Slovenski izvozniki, dobavitelji avtomobilski industriji, dosegajo vse mednarodne standarde in so kompetentni dobavitelji na globalnem trgu s ključnimi kupci v Nemčiji, kamor slovenska avtomobilska industrija izvozi 40</w:t>
      </w:r>
      <w:r w:rsidR="003E6901">
        <w:t xml:space="preserve"> </w:t>
      </w:r>
      <w:r w:rsidRPr="00C17F05">
        <w:t xml:space="preserve">% svoje proizvodnje, sledijo Francija, Italija, Avstrija, Velika Britanija in Združene države Amerike. </w:t>
      </w:r>
    </w:p>
    <w:p w14:paraId="0A66BAAD" w14:textId="709AD2BE" w:rsidR="00CC4ED9" w:rsidRDefault="00CC4ED9" w:rsidP="00CC4ED9">
      <w:pPr>
        <w:jc w:val="both"/>
      </w:pPr>
      <w:bookmarkStart w:id="21" w:name="_Toc43198941"/>
      <w:bookmarkStart w:id="22" w:name="_Hlk47354631"/>
      <w:r>
        <w:t>D</w:t>
      </w:r>
      <w:r w:rsidRPr="00C17F05">
        <w:t>ejstvo</w:t>
      </w:r>
      <w:r>
        <w:t xml:space="preserve"> je, da je pandemija COVID-19 močno prizadela avtomobilsko industrijo</w:t>
      </w:r>
      <w:r w:rsidR="0041659B">
        <w:t>.</w:t>
      </w:r>
      <w:r w:rsidRPr="00C17F05">
        <w:t xml:space="preserve"> Slovenija ima močne razvojne dobavitelje z ogromno akumuliranega znanja in razvojnimi potenciali, a so razmere težke, tudi zaradi prekinitve dobavnih verig. Tudi za avtomobilsko industrijo velja, da se bo morala še naprej posodabljati v smeri zelenega in digitalnega prehoda. Predvsem pa bo morala slediti tržnim trendom, ki gredo v smeri elektrifikacije vozil</w:t>
      </w:r>
      <w:r w:rsidR="0041659B">
        <w:t xml:space="preserve"> in spremembe poslovnih modelov (npr. »car-</w:t>
      </w:r>
      <w:proofErr w:type="spellStart"/>
      <w:r w:rsidR="0041659B">
        <w:lastRenderedPageBreak/>
        <w:t>sharing</w:t>
      </w:r>
      <w:proofErr w:type="spellEnd"/>
      <w:r w:rsidR="0041659B">
        <w:t>«)</w:t>
      </w:r>
      <w:r w:rsidRPr="00C17F05">
        <w:t xml:space="preserve">. Glede na akumulirano znanje in potenciale pa lahko priložnosti in razvojne projekte poišče tudi izven panoge. </w:t>
      </w:r>
    </w:p>
    <w:p w14:paraId="7E93AA7F" w14:textId="77777777" w:rsidR="00FB2DB8" w:rsidRPr="00C17F05" w:rsidRDefault="00FB2DB8" w:rsidP="00CC4ED9">
      <w:pPr>
        <w:jc w:val="both"/>
      </w:pPr>
    </w:p>
    <w:p w14:paraId="2214420F" w14:textId="77777777" w:rsidR="00985ACB" w:rsidRPr="0059557B" w:rsidRDefault="00985ACB" w:rsidP="002C7476">
      <w:pPr>
        <w:pStyle w:val="Naslov2"/>
        <w:numPr>
          <w:ilvl w:val="1"/>
          <w:numId w:val="6"/>
        </w:numPr>
        <w:rPr>
          <w:rFonts w:eastAsia="Times New Roman"/>
          <w:lang w:eastAsia="sl-SI"/>
        </w:rPr>
      </w:pPr>
      <w:bookmarkStart w:id="23" w:name="_Toc51140507"/>
      <w:r>
        <w:rPr>
          <w:rFonts w:eastAsia="Times New Roman"/>
          <w:caps w:val="0"/>
          <w:lang w:eastAsia="sl-SI"/>
        </w:rPr>
        <w:t>I</w:t>
      </w:r>
      <w:r w:rsidRPr="0059557B">
        <w:rPr>
          <w:rFonts w:eastAsia="Times New Roman"/>
          <w:caps w:val="0"/>
          <w:lang w:eastAsia="sl-SI"/>
        </w:rPr>
        <w:t>ndustrija</w:t>
      </w:r>
      <w:r w:rsidR="00BA2E5C">
        <w:rPr>
          <w:rFonts w:eastAsia="Times New Roman"/>
          <w:caps w:val="0"/>
          <w:lang w:eastAsia="sl-SI"/>
        </w:rPr>
        <w:t>,</w:t>
      </w:r>
      <w:r>
        <w:rPr>
          <w:rFonts w:eastAsia="Times New Roman"/>
          <w:caps w:val="0"/>
          <w:lang w:eastAsia="sl-SI"/>
        </w:rPr>
        <w:t xml:space="preserve"> temelječa na lesu in ostalih naravnih obnovljivih </w:t>
      </w:r>
      <w:bookmarkStart w:id="24" w:name="_Hlk47354616"/>
      <w:r>
        <w:rPr>
          <w:rFonts w:eastAsia="Times New Roman"/>
          <w:caps w:val="0"/>
          <w:lang w:eastAsia="sl-SI"/>
        </w:rPr>
        <w:t>materialih</w:t>
      </w:r>
      <w:bookmarkEnd w:id="21"/>
      <w:bookmarkEnd w:id="23"/>
      <w:r w:rsidR="00F20F3F">
        <w:rPr>
          <w:rFonts w:eastAsia="Times New Roman"/>
          <w:caps w:val="0"/>
          <w:lang w:eastAsia="sl-SI"/>
        </w:rPr>
        <w:t xml:space="preserve"> </w:t>
      </w:r>
    </w:p>
    <w:bookmarkEnd w:id="22"/>
    <w:p w14:paraId="7E3710AA" w14:textId="1EB7E154" w:rsidR="00985ACB" w:rsidRDefault="00985ACB" w:rsidP="00985ACB">
      <w:pPr>
        <w:jc w:val="both"/>
      </w:pPr>
      <w:r w:rsidRPr="00EE4E57">
        <w:t xml:space="preserve">Slovenija bo na svoji poti do osnovnega cilja iz Evropskega zelenega dogovora (do 2050 prehod v čisto </w:t>
      </w:r>
      <w:r w:rsidRPr="00FD4C45">
        <w:t>družb</w:t>
      </w:r>
      <w:r w:rsidR="002F0B8D">
        <w:t>o</w:t>
      </w:r>
      <w:r w:rsidRPr="00EE4E57">
        <w:t xml:space="preserve"> brez neto emisij toplogrednih plinov) izkoristila razvojni potencial, ki ga omogočajo domači naravni obnovljivi materiali</w:t>
      </w:r>
      <w:r>
        <w:t xml:space="preserve">, ki </w:t>
      </w:r>
      <w:r w:rsidR="00C04B57">
        <w:t xml:space="preserve">zagotavljajo nemoteno preskrbo s surovino, kratke dobavne poti in imajo pozitiven vpliv na blaženje </w:t>
      </w:r>
      <w:r w:rsidR="007910CD">
        <w:t>podnebnih</w:t>
      </w:r>
      <w:r w:rsidR="00C04B57">
        <w:t xml:space="preserve"> </w:t>
      </w:r>
      <w:r w:rsidR="004177BC">
        <w:t>sprememb</w:t>
      </w:r>
      <w:r w:rsidRPr="00FD4C45">
        <w:t>.</w:t>
      </w:r>
      <w:r w:rsidRPr="00EE4E57">
        <w:t xml:space="preserve"> Z večanjem zavedanja o pomenu ohranjanja okolja se iščejo alternative fosilnim virom, katerih uporaba ima velike dolgoročne negativne posledice na naš življenjski prostor. Eden izmed načinov je zagotovo v večji uporabi izdelkov, narejenih iz naravnih obnovljivih materialov.</w:t>
      </w:r>
      <w:r w:rsidR="00C04B57">
        <w:t xml:space="preserve"> </w:t>
      </w:r>
    </w:p>
    <w:p w14:paraId="21873415" w14:textId="122D5B55" w:rsidR="00CB61CB" w:rsidRDefault="00CB61CB" w:rsidP="00DE50FA">
      <w:pPr>
        <w:jc w:val="both"/>
      </w:pPr>
      <w:r>
        <w:t>Les je ključna strateška surovina v Sloveniji, ki je naravni in obnovljivi vir.</w:t>
      </w:r>
      <w:r w:rsidRPr="00CB61CB">
        <w:t xml:space="preserve"> V Sloveniji je letni prirast cca 9 mio m³ lesa, medtem ko je letni posek cca 6 mio m³, od česar se ga doma predela le 1,9 mio m³</w:t>
      </w:r>
      <w:r w:rsidR="0060739C">
        <w:t xml:space="preserve"> (podatek za leto 2019)</w:t>
      </w:r>
      <w:r w:rsidRPr="00CB61CB">
        <w:t>, v tujino se ga izvozi cca 2 mio m³ (nato pa uvaža polizdelke oz</w:t>
      </w:r>
      <w:r w:rsidR="00FC75F4">
        <w:t>iroma</w:t>
      </w:r>
      <w:r w:rsidR="00FC75F4" w:rsidRPr="00CB61CB">
        <w:t xml:space="preserve"> </w:t>
      </w:r>
      <w:r w:rsidRPr="00CB61CB">
        <w:t>izdelke iz lesa), ostalo pa se porabi za energetske namene. Les je z vidika CO</w:t>
      </w:r>
      <w:r w:rsidR="0063267A" w:rsidRPr="0058525A">
        <w:rPr>
          <w:vertAlign w:val="subscript"/>
        </w:rPr>
        <w:t>2</w:t>
      </w:r>
      <w:r w:rsidRPr="00CB61CB">
        <w:t>, ki se ga ustvari iz 1m</w:t>
      </w:r>
      <w:r w:rsidR="0063267A" w:rsidRPr="0058525A">
        <w:rPr>
          <w:vertAlign w:val="superscript"/>
        </w:rPr>
        <w:t>3</w:t>
      </w:r>
      <w:r w:rsidRPr="00CB61CB">
        <w:t xml:space="preserve"> nekega materiala, v primerjavi z drugimi surovinami v bistveni prednosti. Medtem ko se pri pridelavi ostalih materialov spušča CO</w:t>
      </w:r>
      <w:r w:rsidR="0063267A" w:rsidRPr="0058525A">
        <w:rPr>
          <w:vertAlign w:val="subscript"/>
        </w:rPr>
        <w:t>2</w:t>
      </w:r>
      <w:r w:rsidRPr="00CB61CB">
        <w:t xml:space="preserve"> v okolje (količina je odvisna od vrste materiala), se pri prirastu lesa ta skladišči in predstavlja do njegovega uničenja (kurjenje – gnitje) negativno vrednost ustvarjenega CO</w:t>
      </w:r>
      <w:r w:rsidR="0063267A" w:rsidRPr="0058525A">
        <w:rPr>
          <w:vertAlign w:val="subscript"/>
        </w:rPr>
        <w:t>2</w:t>
      </w:r>
      <w:r w:rsidRPr="00CB61CB">
        <w:t xml:space="preserve"> za okolje.</w:t>
      </w:r>
      <w:r w:rsidR="00DE50FA">
        <w:t xml:space="preserve"> Študija »</w:t>
      </w:r>
      <w:proofErr w:type="spellStart"/>
      <w:r w:rsidR="00DE50FA">
        <w:t>Climate</w:t>
      </w:r>
      <w:proofErr w:type="spellEnd"/>
      <w:r w:rsidR="00DE50FA">
        <w:t xml:space="preserve"> </w:t>
      </w:r>
      <w:proofErr w:type="spellStart"/>
      <w:r w:rsidR="00DE50FA">
        <w:t>effect</w:t>
      </w:r>
      <w:proofErr w:type="spellEnd"/>
      <w:r w:rsidR="00DE50FA">
        <w:t xml:space="preserve"> </w:t>
      </w:r>
      <w:proofErr w:type="spellStart"/>
      <w:r w:rsidR="00DE50FA">
        <w:t>of</w:t>
      </w:r>
      <w:proofErr w:type="spellEnd"/>
      <w:r w:rsidR="00DE50FA">
        <w:t xml:space="preserve"> </w:t>
      </w:r>
      <w:proofErr w:type="spellStart"/>
      <w:r w:rsidR="00DE50FA">
        <w:t>the</w:t>
      </w:r>
      <w:proofErr w:type="spellEnd"/>
      <w:r w:rsidR="00DE50FA">
        <w:t xml:space="preserve"> </w:t>
      </w:r>
      <w:proofErr w:type="spellStart"/>
      <w:r w:rsidR="00DE50FA">
        <w:t>forest</w:t>
      </w:r>
      <w:proofErr w:type="spellEnd"/>
      <w:r w:rsidR="00DE50FA">
        <w:t>-</w:t>
      </w:r>
      <w:proofErr w:type="spellStart"/>
      <w:r w:rsidR="00DE50FA">
        <w:t>base</w:t>
      </w:r>
      <w:r w:rsidR="0060739C">
        <w:t>d</w:t>
      </w:r>
      <w:proofErr w:type="spellEnd"/>
      <w:r w:rsidR="0060739C">
        <w:t xml:space="preserve"> </w:t>
      </w:r>
      <w:proofErr w:type="spellStart"/>
      <w:r w:rsidR="0060739C">
        <w:t>sector</w:t>
      </w:r>
      <w:proofErr w:type="spellEnd"/>
      <w:r w:rsidR="0060739C">
        <w:t xml:space="preserve"> in </w:t>
      </w:r>
      <w:proofErr w:type="spellStart"/>
      <w:r w:rsidR="0060739C">
        <w:t>the</w:t>
      </w:r>
      <w:proofErr w:type="spellEnd"/>
      <w:r w:rsidR="0060739C">
        <w:t xml:space="preserve"> </w:t>
      </w:r>
      <w:proofErr w:type="spellStart"/>
      <w:r w:rsidR="0060739C">
        <w:t>European</w:t>
      </w:r>
      <w:proofErr w:type="spellEnd"/>
      <w:r w:rsidR="0060739C">
        <w:t xml:space="preserve"> Union« iz leta 2020</w:t>
      </w:r>
      <w:r w:rsidR="00DE50FA">
        <w:t xml:space="preserve"> ugotavlja, da evropski gozdovi in sektorji, ki temeljijo na lesu, </w:t>
      </w:r>
      <w:r w:rsidR="0060739C">
        <w:t xml:space="preserve">skupno znižujejo bilanco </w:t>
      </w:r>
      <w:r w:rsidR="00DE50FA">
        <w:t>v EU ustvarjen</w:t>
      </w:r>
      <w:r w:rsidR="0060739C">
        <w:t>ega</w:t>
      </w:r>
      <w:r w:rsidR="00DE50FA">
        <w:t xml:space="preserve"> CO</w:t>
      </w:r>
      <w:r w:rsidR="0063267A" w:rsidRPr="0058525A">
        <w:rPr>
          <w:vertAlign w:val="subscript"/>
        </w:rPr>
        <w:t>2</w:t>
      </w:r>
      <w:r w:rsidR="00DE50FA">
        <w:t xml:space="preserve"> za kar 20</w:t>
      </w:r>
      <w:r w:rsidR="006E23F9">
        <w:t xml:space="preserve"> </w:t>
      </w:r>
      <w:r w:rsidR="00DE50FA">
        <w:t>%.</w:t>
      </w:r>
    </w:p>
    <w:p w14:paraId="5AE5D9E0" w14:textId="77777777" w:rsidR="003B266B" w:rsidRDefault="003B266B" w:rsidP="006442AB">
      <w:pPr>
        <w:jc w:val="both"/>
      </w:pPr>
      <w:r w:rsidRPr="006442AB">
        <w:t>Les je material z vsaj dvema ali tremi uporabnostnimi cikli</w:t>
      </w:r>
      <w:r>
        <w:t xml:space="preserve"> – kaskadna raba lesa</w:t>
      </w:r>
      <w:r w:rsidRPr="006442AB">
        <w:t xml:space="preserve">: najprej ga uporabimo kot produkt (žagan les, gradbene komponente, pohištvo), drugič kot material v </w:t>
      </w:r>
      <w:proofErr w:type="spellStart"/>
      <w:r w:rsidRPr="006442AB">
        <w:t>reciklirnem</w:t>
      </w:r>
      <w:proofErr w:type="spellEnd"/>
      <w:r w:rsidRPr="006442AB">
        <w:t xml:space="preserve"> procesu (plošče ali papir) in slednjič za pridobivanje energije</w:t>
      </w:r>
      <w:r>
        <w:t>, kar prikazuje tudi spodnja slika</w:t>
      </w:r>
      <w:r w:rsidRPr="006442AB">
        <w:t>.</w:t>
      </w:r>
      <w:r>
        <w:t xml:space="preserve"> </w:t>
      </w:r>
    </w:p>
    <w:p w14:paraId="3EE454D2" w14:textId="77777777" w:rsidR="003B266B" w:rsidRDefault="003B266B" w:rsidP="006442AB">
      <w:pPr>
        <w:jc w:val="both"/>
      </w:pPr>
      <w:r>
        <w:t>Slika</w:t>
      </w:r>
      <w:r w:rsidR="00686A2A">
        <w:t xml:space="preserve"> 4</w:t>
      </w:r>
      <w:r>
        <w:t xml:space="preserve">: Prikaz kaskadne rabe lesa </w:t>
      </w:r>
    </w:p>
    <w:p w14:paraId="5896CC16" w14:textId="77777777" w:rsidR="00686A2A" w:rsidRDefault="00686A2A" w:rsidP="006442AB">
      <w:pPr>
        <w:jc w:val="both"/>
      </w:pPr>
      <w:r>
        <w:rPr>
          <w:noProof/>
          <w:lang w:eastAsia="sl-SI"/>
        </w:rPr>
        <w:lastRenderedPageBreak/>
        <w:drawing>
          <wp:inline distT="0" distB="0" distL="0" distR="0" wp14:anchorId="76E8169E" wp14:editId="40B8A981">
            <wp:extent cx="5760720" cy="4000500"/>
            <wp:effectExtent l="0" t="0" r="0" b="0"/>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4000500"/>
                    </a:xfrm>
                    <a:prstGeom prst="rect">
                      <a:avLst/>
                    </a:prstGeom>
                    <a:noFill/>
                    <a:ln>
                      <a:noFill/>
                    </a:ln>
                  </pic:spPr>
                </pic:pic>
              </a:graphicData>
            </a:graphic>
          </wp:inline>
        </w:drawing>
      </w:r>
    </w:p>
    <w:p w14:paraId="2C2052FE" w14:textId="77777777" w:rsidR="005C30DF" w:rsidRPr="00D819F1" w:rsidRDefault="005C30DF" w:rsidP="005C30DF">
      <w:pPr>
        <w:spacing w:before="0" w:after="0" w:line="240" w:lineRule="auto"/>
        <w:rPr>
          <w:rFonts w:ascii="Trebuchet MS" w:hAnsi="Trebuchet MS"/>
          <w:sz w:val="18"/>
          <w:szCs w:val="18"/>
        </w:rPr>
      </w:pPr>
      <w:r w:rsidRPr="00D819F1">
        <w:rPr>
          <w:rFonts w:ascii="Trebuchet MS" w:hAnsi="Trebuchet MS"/>
          <w:sz w:val="18"/>
          <w:szCs w:val="18"/>
        </w:rPr>
        <w:t xml:space="preserve">Vir: </w:t>
      </w:r>
      <w:r w:rsidR="007910CD" w:rsidRPr="00D819F1">
        <w:rPr>
          <w:rFonts w:ascii="Trebuchet MS" w:hAnsi="Trebuchet MS"/>
          <w:sz w:val="18"/>
          <w:szCs w:val="18"/>
        </w:rPr>
        <w:t xml:space="preserve">EPF – </w:t>
      </w:r>
      <w:proofErr w:type="spellStart"/>
      <w:r w:rsidR="007910CD" w:rsidRPr="00D819F1">
        <w:rPr>
          <w:rFonts w:ascii="Trebuchet MS" w:hAnsi="Trebuchet MS"/>
          <w:sz w:val="18"/>
          <w:szCs w:val="18"/>
        </w:rPr>
        <w:t>European</w:t>
      </w:r>
      <w:proofErr w:type="spellEnd"/>
      <w:r w:rsidR="007910CD" w:rsidRPr="00D819F1">
        <w:rPr>
          <w:rFonts w:ascii="Trebuchet MS" w:hAnsi="Trebuchet MS"/>
          <w:sz w:val="18"/>
          <w:szCs w:val="18"/>
        </w:rPr>
        <w:t xml:space="preserve"> panel </w:t>
      </w:r>
      <w:proofErr w:type="spellStart"/>
      <w:r w:rsidR="007910CD" w:rsidRPr="00D819F1">
        <w:rPr>
          <w:rFonts w:ascii="Trebuchet MS" w:hAnsi="Trebuchet MS"/>
          <w:sz w:val="18"/>
          <w:szCs w:val="18"/>
        </w:rPr>
        <w:t>federation</w:t>
      </w:r>
      <w:proofErr w:type="spellEnd"/>
      <w:r w:rsidR="007910CD" w:rsidRPr="00D819F1">
        <w:rPr>
          <w:rFonts w:ascii="Trebuchet MS" w:hAnsi="Trebuchet MS"/>
          <w:sz w:val="18"/>
          <w:szCs w:val="18"/>
        </w:rPr>
        <w:t xml:space="preserve">; </w:t>
      </w:r>
      <w:r w:rsidRPr="00D819F1">
        <w:rPr>
          <w:rFonts w:ascii="Trebuchet MS" w:hAnsi="Trebuchet MS"/>
          <w:sz w:val="18"/>
          <w:szCs w:val="18"/>
        </w:rPr>
        <w:t>SGLP – Obvladajmo podnebne spremembe – uporabimo les, 2010</w:t>
      </w:r>
    </w:p>
    <w:p w14:paraId="6F1C9C6F" w14:textId="77777777" w:rsidR="007910CD" w:rsidRPr="009B538E" w:rsidRDefault="007910CD" w:rsidP="005C30DF">
      <w:pPr>
        <w:spacing w:before="0" w:after="0" w:line="240" w:lineRule="auto"/>
        <w:rPr>
          <w:rFonts w:ascii="Trebuchet MS" w:hAnsi="Trebuchet MS"/>
        </w:rPr>
      </w:pPr>
    </w:p>
    <w:p w14:paraId="37AA3713" w14:textId="77777777" w:rsidR="00852572" w:rsidRDefault="00985ACB" w:rsidP="00985ACB">
      <w:pPr>
        <w:jc w:val="both"/>
      </w:pPr>
      <w:r>
        <w:t>V segmentu rabe naravnih obnovljivih materialov, ki skladiščijo ogljik,</w:t>
      </w:r>
      <w:r w:rsidRPr="00EE4E57">
        <w:t xml:space="preserve"> se pojavljajo velike možnosti predvsem na področju predelave lesa, ki ga ima Slovenija v zadostnih količinah (60</w:t>
      </w:r>
      <w:r w:rsidR="00BA2E5C">
        <w:t xml:space="preserve"> </w:t>
      </w:r>
      <w:r w:rsidRPr="00FD4C45">
        <w:t>%</w:t>
      </w:r>
      <w:r w:rsidRPr="00EE4E57">
        <w:t xml:space="preserve"> ozemlja je </w:t>
      </w:r>
      <w:r w:rsidRPr="00FD4C45">
        <w:t>poraščen</w:t>
      </w:r>
      <w:r w:rsidR="00BA2E5C">
        <w:t>ega</w:t>
      </w:r>
      <w:r w:rsidRPr="00EE4E57">
        <w:t xml:space="preserve"> z gozdovi), kar predstavlja, ob trajnostnem upravljanju z gozdovi, zadosten potencial za dolgoročen razvoj</w:t>
      </w:r>
      <w:r w:rsidR="00BA2E5C">
        <w:t>,</w:t>
      </w:r>
      <w:r w:rsidRPr="00EE4E57">
        <w:t xml:space="preserve"> temelječ na domači surovini. </w:t>
      </w:r>
      <w:r w:rsidR="00852572" w:rsidRPr="00852572">
        <w:t xml:space="preserve">Podnebne spremembe že danes vplivajo na drevesno sestavo. </w:t>
      </w:r>
      <w:r w:rsidR="00552761">
        <w:t xml:space="preserve">Smiselno je razmisliti </w:t>
      </w:r>
      <w:r w:rsidR="0060739C">
        <w:t xml:space="preserve">tudi </w:t>
      </w:r>
      <w:r w:rsidR="00552761" w:rsidRPr="00552761">
        <w:t xml:space="preserve">o </w:t>
      </w:r>
      <w:r w:rsidR="004177BC" w:rsidRPr="00552761">
        <w:t>alternativnih</w:t>
      </w:r>
      <w:r w:rsidR="00552761" w:rsidRPr="00552761">
        <w:t xml:space="preserve"> surovinah (</w:t>
      </w:r>
      <w:r w:rsidR="0060739C">
        <w:t xml:space="preserve">tujerodne rastline, </w:t>
      </w:r>
      <w:proofErr w:type="spellStart"/>
      <w:r w:rsidR="0060739C">
        <w:t>bioodpadki</w:t>
      </w:r>
      <w:proofErr w:type="spellEnd"/>
      <w:r w:rsidR="0060739C">
        <w:t xml:space="preserve"> iz kmetijstva, gozdarstva in komunale</w:t>
      </w:r>
      <w:r w:rsidR="00552761" w:rsidRPr="00552761">
        <w:t>)</w:t>
      </w:r>
      <w:r w:rsidR="00552761">
        <w:t>.</w:t>
      </w:r>
    </w:p>
    <w:p w14:paraId="180FAB59" w14:textId="496DF3E2" w:rsidR="00833A22" w:rsidRDefault="00516287" w:rsidP="00985ACB">
      <w:pPr>
        <w:jc w:val="both"/>
      </w:pPr>
      <w:r>
        <w:t>P</w:t>
      </w:r>
      <w:r w:rsidR="00833A22" w:rsidRPr="00703FFC">
        <w:t>odročje gradnje in opremljanja pametnih lesenih stavb</w:t>
      </w:r>
      <w:r>
        <w:t xml:space="preserve"> je</w:t>
      </w:r>
      <w:r w:rsidR="00833A22" w:rsidRPr="00703FFC">
        <w:t xml:space="preserve"> izjemna tržna priložnost, ki se bo z leti samo še večala. </w:t>
      </w:r>
      <w:r w:rsidR="001A0104">
        <w:t>Č</w:t>
      </w:r>
      <w:r w:rsidR="001A0104" w:rsidRPr="001A0104">
        <w:t xml:space="preserve">e bi v </w:t>
      </w:r>
      <w:r w:rsidR="001A0104">
        <w:t>EU</w:t>
      </w:r>
      <w:r w:rsidR="001A0104" w:rsidRPr="001A0104">
        <w:t xml:space="preserve"> povečali delež novo zgrajenih hiš iz lesa </w:t>
      </w:r>
      <w:r w:rsidR="00367CB3" w:rsidRPr="001A0104">
        <w:t xml:space="preserve">za </w:t>
      </w:r>
      <w:r w:rsidR="001A0104" w:rsidRPr="001A0104">
        <w:t>samo 10</w:t>
      </w:r>
      <w:r w:rsidR="006E23F9">
        <w:t xml:space="preserve"> </w:t>
      </w:r>
      <w:r w:rsidR="001A0104" w:rsidRPr="001A0104">
        <w:t>%, bi to na letni ravni prispevalo k 25</w:t>
      </w:r>
      <w:r w:rsidR="00707E8D">
        <w:t>-odstotnemu</w:t>
      </w:r>
      <w:r w:rsidR="001A0104" w:rsidRPr="001A0104">
        <w:t xml:space="preserve"> znižanju količine CO</w:t>
      </w:r>
      <w:r w:rsidR="0063267A" w:rsidRPr="0058525A">
        <w:rPr>
          <w:vertAlign w:val="subscript"/>
        </w:rPr>
        <w:t>2</w:t>
      </w:r>
      <w:r w:rsidR="001A0104">
        <w:t xml:space="preserve">. </w:t>
      </w:r>
      <w:r w:rsidR="001A0104" w:rsidRPr="001A0104">
        <w:t xml:space="preserve">V tem kontekstu je pomembna preusmeritev na leseno gradnjo v okviru javnega naročanja. </w:t>
      </w:r>
      <w:r w:rsidR="00833A22" w:rsidRPr="00703FFC">
        <w:t xml:space="preserve">Naša vizija se pridružuje viziji </w:t>
      </w:r>
      <w:r w:rsidR="00833A22">
        <w:t>združenj</w:t>
      </w:r>
      <w:r w:rsidR="00833A22" w:rsidRPr="00703FFC">
        <w:t xml:space="preserve"> gozdno</w:t>
      </w:r>
      <w:r w:rsidR="00707E8D">
        <w:t>-</w:t>
      </w:r>
      <w:r w:rsidR="00833A22" w:rsidRPr="00703FFC">
        <w:t>lesnega sektorja EU</w:t>
      </w:r>
      <w:r w:rsidR="00707E8D">
        <w:t>,</w:t>
      </w:r>
      <w:r w:rsidR="00833A22" w:rsidRPr="00703FFC">
        <w:t xml:space="preserve"> zapisani v </w:t>
      </w:r>
      <w:proofErr w:type="spellStart"/>
      <w:r w:rsidR="00833A22" w:rsidRPr="00703FFC">
        <w:t>Forest</w:t>
      </w:r>
      <w:proofErr w:type="spellEnd"/>
      <w:r w:rsidR="00833A22" w:rsidRPr="00703FFC">
        <w:t>-</w:t>
      </w:r>
      <w:proofErr w:type="spellStart"/>
      <w:r w:rsidR="00833A22" w:rsidRPr="00703FFC">
        <w:t>based</w:t>
      </w:r>
      <w:proofErr w:type="spellEnd"/>
      <w:r w:rsidR="00833A22" w:rsidRPr="00703FFC">
        <w:t xml:space="preserve"> </w:t>
      </w:r>
      <w:proofErr w:type="spellStart"/>
      <w:r w:rsidR="00833A22" w:rsidRPr="00703FFC">
        <w:t>Industries</w:t>
      </w:r>
      <w:proofErr w:type="spellEnd"/>
      <w:r w:rsidR="00833A22" w:rsidRPr="00703FFC">
        <w:t xml:space="preserve"> 2050 (CEI </w:t>
      </w:r>
      <w:proofErr w:type="spellStart"/>
      <w:r w:rsidR="00833A22" w:rsidRPr="00703FFC">
        <w:t>Bois</w:t>
      </w:r>
      <w:proofErr w:type="spellEnd"/>
      <w:r w:rsidR="00833A22" w:rsidRPr="00703FFC">
        <w:t xml:space="preserve">, 2019. </w:t>
      </w:r>
      <w:proofErr w:type="spellStart"/>
      <w:r w:rsidR="00833A22" w:rsidRPr="00703FFC">
        <w:t>Forest</w:t>
      </w:r>
      <w:proofErr w:type="spellEnd"/>
      <w:r w:rsidR="00833A22" w:rsidRPr="00703FFC">
        <w:t>-</w:t>
      </w:r>
      <w:proofErr w:type="spellStart"/>
      <w:r w:rsidR="00833A22" w:rsidRPr="00703FFC">
        <w:t>based</w:t>
      </w:r>
      <w:proofErr w:type="spellEnd"/>
      <w:r w:rsidR="00833A22" w:rsidRPr="00703FFC">
        <w:t xml:space="preserve"> </w:t>
      </w:r>
      <w:proofErr w:type="spellStart"/>
      <w:r w:rsidR="00833A22" w:rsidRPr="00703FFC">
        <w:t>Industries</w:t>
      </w:r>
      <w:proofErr w:type="spellEnd"/>
      <w:r w:rsidR="00833A22" w:rsidRPr="00703FFC">
        <w:t xml:space="preserve"> 2050), ki predvideva</w:t>
      </w:r>
      <w:r w:rsidR="00707E8D">
        <w:t>,</w:t>
      </w:r>
      <w:r w:rsidR="00833A22" w:rsidRPr="00703FFC">
        <w:t xml:space="preserve"> da bo delež konstrukcijskega lesa </w:t>
      </w:r>
      <w:r w:rsidR="00707E8D">
        <w:t>s</w:t>
      </w:r>
      <w:r w:rsidR="00707E8D" w:rsidRPr="00703FFC">
        <w:t xml:space="preserve"> </w:t>
      </w:r>
      <w:r w:rsidR="00833A22" w:rsidRPr="00703FFC">
        <w:t>sedanjih 10 % zrasel na 30 %, kar pomeni trikrat več gradnje z lesom</w:t>
      </w:r>
      <w:r w:rsidR="00707E8D">
        <w:t>,</w:t>
      </w:r>
      <w:r w:rsidR="00833A22" w:rsidRPr="00703FFC">
        <w:t xml:space="preserve"> kot jo imamo sedaj.</w:t>
      </w:r>
      <w:r w:rsidR="00833A22">
        <w:t xml:space="preserve"> </w:t>
      </w:r>
      <w:r w:rsidR="00833A22" w:rsidRPr="00703FFC">
        <w:t>Količina lesa v gozdovih pa tako v EU kot v Sloveniji to brez težav omogoč</w:t>
      </w:r>
      <w:r w:rsidR="00707E8D">
        <w:t>a</w:t>
      </w:r>
      <w:r w:rsidR="00833A22">
        <w:t>.</w:t>
      </w:r>
      <w:r w:rsidR="00833A22" w:rsidRPr="00703FFC">
        <w:t xml:space="preserve"> </w:t>
      </w:r>
    </w:p>
    <w:p w14:paraId="2C2D27D6" w14:textId="4115B7DF" w:rsidR="006442AB" w:rsidRPr="00FD4C45" w:rsidRDefault="00833A22" w:rsidP="00985ACB">
      <w:pPr>
        <w:jc w:val="both"/>
      </w:pPr>
      <w:r>
        <w:t>Vizija lesnopredelovalne industrije je</w:t>
      </w:r>
      <w:r w:rsidRPr="00703FFC">
        <w:t xml:space="preserve"> zvišati nivo </w:t>
      </w:r>
      <w:r>
        <w:t xml:space="preserve">lesene </w:t>
      </w:r>
      <w:r w:rsidRPr="00703FFC">
        <w:t xml:space="preserve">gradnje z razvojnimi dejavnostmi in z izgradnjo demonstracijskih (pilotnih) stavb, v okviru katerih se bodo oblikovali novi poslovni modeli, ki bodo omogočali konkurenčen nastop konzorcijev pri investitorjih doma in na tujih trgih. S tem si bo tudi slovenska lesnopredelovalna industrija zagotovila tržišče za prodajo velikih količin lesa z visoko dodano vrednostjo. </w:t>
      </w:r>
      <w:r w:rsidR="006442AB" w:rsidRPr="006442AB">
        <w:t xml:space="preserve">Poleg materialne rabe lesa se lahko les uporablja tudi v </w:t>
      </w:r>
      <w:proofErr w:type="spellStart"/>
      <w:r w:rsidR="006442AB" w:rsidRPr="006442AB">
        <w:t>biorafinerijah</w:t>
      </w:r>
      <w:proofErr w:type="spellEnd"/>
      <w:r w:rsidR="0026606F">
        <w:t xml:space="preserve">, katerih produkti nadomeščajo </w:t>
      </w:r>
      <w:r w:rsidR="006442AB" w:rsidRPr="006442AB">
        <w:t>sintetičn</w:t>
      </w:r>
      <w:r w:rsidR="0026606F">
        <w:t>e</w:t>
      </w:r>
      <w:r w:rsidR="006442AB" w:rsidRPr="006442AB">
        <w:t>, umetn</w:t>
      </w:r>
      <w:r w:rsidR="0026606F">
        <w:t>e</w:t>
      </w:r>
      <w:r w:rsidR="006442AB" w:rsidRPr="006442AB">
        <w:t xml:space="preserve"> kemikalij</w:t>
      </w:r>
      <w:r w:rsidR="0026606F">
        <w:t>e.</w:t>
      </w:r>
      <w:r w:rsidR="006442AB" w:rsidRPr="006442AB">
        <w:t xml:space="preserve"> </w:t>
      </w:r>
      <w:r w:rsidR="00C03633">
        <w:t>Veliko m</w:t>
      </w:r>
      <w:r w:rsidR="0058525A">
        <w:t>anj</w:t>
      </w:r>
      <w:r w:rsidR="00C03633">
        <w:t>vrednega lesa se v Sloveniji predela tudi v papirnicah</w:t>
      </w:r>
      <w:r w:rsidR="0060739C">
        <w:t>,</w:t>
      </w:r>
      <w:r w:rsidR="0060739C" w:rsidRPr="0060739C">
        <w:t xml:space="preserve"> </w:t>
      </w:r>
      <w:r w:rsidR="0060739C">
        <w:t xml:space="preserve">ki trenutno več kot 60 % potrebnega lesa še vedno uvažajo.  </w:t>
      </w:r>
    </w:p>
    <w:p w14:paraId="5B5E008D" w14:textId="771D1842" w:rsidR="00684D5A" w:rsidRDefault="001A0104" w:rsidP="00985ACB">
      <w:pPr>
        <w:jc w:val="both"/>
      </w:pPr>
      <w:r>
        <w:lastRenderedPageBreak/>
        <w:t>S ciljem večanja predelave lesa doma bo nujna r</w:t>
      </w:r>
      <w:r w:rsidR="00C36897">
        <w:t xml:space="preserve">ealizacija </w:t>
      </w:r>
      <w:r w:rsidR="00A84303">
        <w:t xml:space="preserve">investicij </w:t>
      </w:r>
      <w:r w:rsidR="00707E8D">
        <w:t xml:space="preserve">tako </w:t>
      </w:r>
      <w:r w:rsidR="00A84303">
        <w:t xml:space="preserve">v primarno predelavo lesa </w:t>
      </w:r>
      <w:r w:rsidR="00707E8D">
        <w:t xml:space="preserve">kot </w:t>
      </w:r>
      <w:r w:rsidR="00A84303">
        <w:t xml:space="preserve">v vse ostale </w:t>
      </w:r>
      <w:r w:rsidR="00255CCA">
        <w:t>stopnje predelave lesa</w:t>
      </w:r>
      <w:r w:rsidR="006376F2">
        <w:t>,</w:t>
      </w:r>
      <w:r w:rsidR="00157B59">
        <w:t xml:space="preserve"> </w:t>
      </w:r>
      <w:r>
        <w:t>kar je neposredno povezano s krepitvijo</w:t>
      </w:r>
      <w:r w:rsidR="00242BEE">
        <w:t xml:space="preserve"> </w:t>
      </w:r>
      <w:r w:rsidR="00707E8D">
        <w:t>t. i.</w:t>
      </w:r>
      <w:r w:rsidR="008F1845">
        <w:t xml:space="preserve"> mehk</w:t>
      </w:r>
      <w:r w:rsidR="000941DF">
        <w:t>ega</w:t>
      </w:r>
      <w:r w:rsidR="008F1845">
        <w:t xml:space="preserve"> kapital</w:t>
      </w:r>
      <w:r w:rsidR="000941DF">
        <w:t>a</w:t>
      </w:r>
      <w:r w:rsidR="008F1845">
        <w:t xml:space="preserve"> – to so raziskave, razvoj, inovacije, človeški viri itd.  </w:t>
      </w:r>
    </w:p>
    <w:p w14:paraId="404809D3" w14:textId="690BA7ED" w:rsidR="00552761" w:rsidRDefault="00664D0F" w:rsidP="00985ACB">
      <w:pPr>
        <w:jc w:val="both"/>
      </w:pPr>
      <w:r>
        <w:t>Poleg lesene gradnje, v katero spada tudi leseno stavbno pohištvo, je v</w:t>
      </w:r>
      <w:r w:rsidR="00552761">
        <w:t xml:space="preserve"> Sloveniji še vedno zelo prisotna</w:t>
      </w:r>
      <w:r>
        <w:t xml:space="preserve"> </w:t>
      </w:r>
      <w:r w:rsidR="00552761">
        <w:t>pohištvena industrija</w:t>
      </w:r>
      <w:r>
        <w:t>. Ključ</w:t>
      </w:r>
      <w:r w:rsidR="00707E8D">
        <w:t>ni</w:t>
      </w:r>
      <w:r>
        <w:t xml:space="preserve"> poudarek je na novih tehnologijah in </w:t>
      </w:r>
      <w:r w:rsidR="00552761" w:rsidRPr="00552761">
        <w:t>poslovnih model</w:t>
      </w:r>
      <w:r w:rsidR="00CB61CB">
        <w:t>ih</w:t>
      </w:r>
      <w:r w:rsidR="00552761" w:rsidRPr="00552761">
        <w:t xml:space="preserve"> v proizvodnih in </w:t>
      </w:r>
      <w:r w:rsidR="00CB61CB">
        <w:t>razvojnih</w:t>
      </w:r>
      <w:r w:rsidR="00CB61CB" w:rsidRPr="00552761">
        <w:t xml:space="preserve"> </w:t>
      </w:r>
      <w:r w:rsidR="00552761" w:rsidRPr="00552761">
        <w:t>procesih</w:t>
      </w:r>
      <w:r w:rsidR="00CB61CB">
        <w:t>, pri čemer je potrebno upoštevati načela krožnega in digitalnega razvoja (»</w:t>
      </w:r>
      <w:proofErr w:type="spellStart"/>
      <w:r w:rsidR="00CB61CB">
        <w:t>creative</w:t>
      </w:r>
      <w:proofErr w:type="spellEnd"/>
      <w:r w:rsidR="00CB61CB">
        <w:t xml:space="preserve"> </w:t>
      </w:r>
      <w:proofErr w:type="spellStart"/>
      <w:r w:rsidR="00CB61CB">
        <w:t>and</w:t>
      </w:r>
      <w:proofErr w:type="spellEnd"/>
      <w:r w:rsidR="00CB61CB">
        <w:t xml:space="preserve"> </w:t>
      </w:r>
      <w:proofErr w:type="spellStart"/>
      <w:r w:rsidR="00CB61CB">
        <w:t>digital</w:t>
      </w:r>
      <w:proofErr w:type="spellEnd"/>
      <w:r w:rsidR="00CB61CB">
        <w:t xml:space="preserve"> </w:t>
      </w:r>
      <w:proofErr w:type="spellStart"/>
      <w:r w:rsidR="00CB61CB">
        <w:t>by</w:t>
      </w:r>
      <w:proofErr w:type="spellEnd"/>
      <w:r w:rsidR="00CB61CB">
        <w:t xml:space="preserve"> design«)</w:t>
      </w:r>
      <w:r w:rsidR="00552761" w:rsidRPr="00552761">
        <w:t xml:space="preserve">. </w:t>
      </w:r>
    </w:p>
    <w:p w14:paraId="26ADAD02" w14:textId="77777777" w:rsidR="00686A2A" w:rsidRDefault="00686A2A" w:rsidP="00686A2A">
      <w:pPr>
        <w:jc w:val="both"/>
      </w:pPr>
      <w:r>
        <w:t xml:space="preserve">Pri tem je treba izpostaviti, da je v Sloveniji več kot 400.000 lastnikov gozdov. Treba je poskrbeti za njihovo mobilizacijo in povezovanje za izboljšanje gospodarjenja z gozdom in povečanjem rabe lesa v Sloveniji. </w:t>
      </w:r>
    </w:p>
    <w:p w14:paraId="6FD2F8E5" w14:textId="6D47B4D8" w:rsidR="00661C10" w:rsidRPr="00661C10" w:rsidRDefault="00661C10" w:rsidP="00D819F1">
      <w:pPr>
        <w:spacing w:before="0" w:after="0"/>
        <w:jc w:val="both"/>
      </w:pPr>
      <w:r w:rsidRPr="00661C10">
        <w:t>Osnovni cilji</w:t>
      </w:r>
      <w:r w:rsidR="00516287">
        <w:t xml:space="preserve"> do leta 2030</w:t>
      </w:r>
      <w:r w:rsidR="00875E2F">
        <w:t>,</w:t>
      </w:r>
      <w:r w:rsidRPr="00661C10">
        <w:t xml:space="preserve"> vezani na izkoriščanje lesa</w:t>
      </w:r>
      <w:r w:rsidR="00875E2F">
        <w:t>,</w:t>
      </w:r>
      <w:r w:rsidRPr="00661C10">
        <w:t xml:space="preserve"> so</w:t>
      </w:r>
      <w:r w:rsidR="00516287">
        <w:t xml:space="preserve"> </w:t>
      </w:r>
      <w:r w:rsidRPr="00661C10">
        <w:t xml:space="preserve">povečanje domače predelave hlodovine </w:t>
      </w:r>
      <w:r w:rsidR="00E3682C" w:rsidRPr="003F63BA">
        <w:t>na 3 mio m</w:t>
      </w:r>
      <w:r w:rsidR="0063267A" w:rsidRPr="0058525A">
        <w:rPr>
          <w:vertAlign w:val="superscript"/>
        </w:rPr>
        <w:t>3</w:t>
      </w:r>
      <w:r w:rsidR="00E3682C" w:rsidRPr="003F63BA">
        <w:t xml:space="preserve"> letno</w:t>
      </w:r>
      <w:r w:rsidR="00516287">
        <w:t>, doseči 30</w:t>
      </w:r>
      <w:r w:rsidR="00C1119E">
        <w:t>-odstotni</w:t>
      </w:r>
      <w:r w:rsidR="00516287">
        <w:t xml:space="preserve"> delež lesa v vseh novih javnih stavbah</w:t>
      </w:r>
      <w:r w:rsidRPr="00661C10">
        <w:t>,</w:t>
      </w:r>
      <w:r w:rsidR="00516287">
        <w:t xml:space="preserve"> razvoj</w:t>
      </w:r>
      <w:r w:rsidR="00852572">
        <w:t xml:space="preserve"> nov</w:t>
      </w:r>
      <w:r w:rsidR="00516287">
        <w:t>ih načinov upo</w:t>
      </w:r>
      <w:r w:rsidR="00852572">
        <w:t>rabe lesa</w:t>
      </w:r>
      <w:r w:rsidR="00516287">
        <w:t xml:space="preserve">, </w:t>
      </w:r>
      <w:r w:rsidRPr="00661C10">
        <w:t>povečanje števila zaposlenih v panog</w:t>
      </w:r>
      <w:r w:rsidR="00516287">
        <w:t>ah, povezanih z lesom</w:t>
      </w:r>
      <w:r w:rsidR="0012150C">
        <w:t xml:space="preserve"> (pri čemer se upošteva povečanje zaposlenih v storitvah, ki so povezane s temi panogami, česar ni upoštevanega v splošni analizi,</w:t>
      </w:r>
      <w:r w:rsidR="0012150C" w:rsidRPr="0012150C">
        <w:t xml:space="preserve"> </w:t>
      </w:r>
      <w:r w:rsidR="0012150C">
        <w:t>npr. popravila, montaža</w:t>
      </w:r>
      <w:r w:rsidR="00C1119E">
        <w:t>,</w:t>
      </w:r>
      <w:r w:rsidR="0012150C">
        <w:t>…)</w:t>
      </w:r>
      <w:r w:rsidR="00516287">
        <w:t xml:space="preserve">, in </w:t>
      </w:r>
      <w:r w:rsidRPr="00661C10">
        <w:t>povečanje</w:t>
      </w:r>
      <w:r w:rsidR="00516287">
        <w:t xml:space="preserve"> njihove</w:t>
      </w:r>
      <w:r w:rsidRPr="00661C10">
        <w:t xml:space="preserve"> prodajne realizacije.</w:t>
      </w:r>
    </w:p>
    <w:p w14:paraId="0BA35ADC" w14:textId="77777777" w:rsidR="00DA0BF9" w:rsidRPr="00661C10" w:rsidRDefault="00DA0BF9" w:rsidP="00661C10">
      <w:pPr>
        <w:spacing w:before="0" w:after="0"/>
        <w:jc w:val="both"/>
      </w:pPr>
    </w:p>
    <w:bookmarkEnd w:id="24"/>
    <w:p w14:paraId="14E17288" w14:textId="77777777" w:rsidR="003C33FD" w:rsidRDefault="003C33FD" w:rsidP="003C33FD">
      <w:r>
        <w:br w:type="page"/>
      </w:r>
    </w:p>
    <w:p w14:paraId="27F37F42" w14:textId="77777777" w:rsidR="00B363FC" w:rsidRPr="009B538E" w:rsidRDefault="00585501" w:rsidP="002C7476">
      <w:pPr>
        <w:pStyle w:val="Naslov1"/>
        <w:numPr>
          <w:ilvl w:val="0"/>
          <w:numId w:val="5"/>
        </w:numPr>
        <w:rPr>
          <w:caps w:val="0"/>
          <w:sz w:val="20"/>
        </w:rPr>
      </w:pPr>
      <w:bookmarkStart w:id="25" w:name="_Toc51140508"/>
      <w:r>
        <w:rPr>
          <w:caps w:val="0"/>
          <w:sz w:val="20"/>
        </w:rPr>
        <w:lastRenderedPageBreak/>
        <w:t>USTVARJALNI</w:t>
      </w:r>
      <w:r w:rsidR="009E31F8" w:rsidRPr="009B538E">
        <w:rPr>
          <w:caps w:val="0"/>
          <w:sz w:val="20"/>
        </w:rPr>
        <w:t xml:space="preserve"> </w:t>
      </w:r>
      <w:r>
        <w:rPr>
          <w:caps w:val="0"/>
          <w:sz w:val="20"/>
        </w:rPr>
        <w:t>RAZVOJ</w:t>
      </w:r>
      <w:bookmarkEnd w:id="25"/>
    </w:p>
    <w:p w14:paraId="4365D520" w14:textId="7ED6E96F" w:rsidR="00D96331" w:rsidRDefault="007842C7" w:rsidP="00D96331">
      <w:pPr>
        <w:jc w:val="both"/>
      </w:pPr>
      <w:r>
        <w:t xml:space="preserve">Eden izmed stebrov sodobne družbe so raziskave, razvoj in inovacije (RRI). Vse troje v veliki meri temelji na povezovanju znanj, industrij in organizacij, ki v medsebojnem sodelovanju razvijajo ustvarjalne inovacije. Te vedno pogosteje izhajajo iz problema posameznika, družbe in/ali okolja in tudi ponujajo rešitev za specifičen problem. </w:t>
      </w:r>
      <w:r w:rsidR="00FE7A91">
        <w:t>Drugače kot v</w:t>
      </w:r>
      <w:r>
        <w:t xml:space="preserve"> preteklosti danes v uspešen in odprt RRI cikel pogosto vstopajo različne organizacije, vse od podjetij različnih velikosti in panog, institucij znanja, nevladnih organizacij (NVO) </w:t>
      </w:r>
      <w:r w:rsidR="00382DA8">
        <w:t xml:space="preserve">do </w:t>
      </w:r>
      <w:r>
        <w:t xml:space="preserve">kreativnih industrij (KI), </w:t>
      </w:r>
      <w:r w:rsidR="00382DA8">
        <w:t xml:space="preserve">ki </w:t>
      </w:r>
      <w:r>
        <w:t>so</w:t>
      </w:r>
      <w:r w:rsidR="00D96331">
        <w:t xml:space="preserve"> vir spodbud za razvoj gospodarstva ter tudi celotne družbe. </w:t>
      </w:r>
      <w:r w:rsidR="00D96331" w:rsidRPr="00D96331">
        <w:t xml:space="preserve">Sodelovanje podjetij </w:t>
      </w:r>
      <w:r w:rsidR="00C22896">
        <w:t>z</w:t>
      </w:r>
      <w:r>
        <w:t xml:space="preserve"> institucijami znanja, NVO </w:t>
      </w:r>
      <w:r w:rsidR="00C22896">
        <w:t>in</w:t>
      </w:r>
      <w:r>
        <w:t xml:space="preserve"> </w:t>
      </w:r>
      <w:r w:rsidR="00D96331" w:rsidRPr="00D96331">
        <w:t xml:space="preserve">s </w:t>
      </w:r>
      <w:r w:rsidR="00D57264">
        <w:t>K</w:t>
      </w:r>
      <w:r w:rsidR="00D96331" w:rsidRPr="00D96331">
        <w:t xml:space="preserve">I </w:t>
      </w:r>
      <w:r w:rsidR="00C22896">
        <w:t>povečuje tako</w:t>
      </w:r>
      <w:r w:rsidR="00C22896" w:rsidRPr="00D96331">
        <w:t xml:space="preserve"> </w:t>
      </w:r>
      <w:r w:rsidR="00C22896">
        <w:t xml:space="preserve">ustvarjalnost posameznikov kot </w:t>
      </w:r>
      <w:r w:rsidR="00D96331" w:rsidRPr="00D96331">
        <w:t xml:space="preserve">inovativnost v podjetjih, omogoča njihov izboljšan nastop na </w:t>
      </w:r>
      <w:r w:rsidR="00C22896">
        <w:t xml:space="preserve">domačih in tujih </w:t>
      </w:r>
      <w:r w:rsidR="00D96331" w:rsidRPr="00D96331">
        <w:t>trg</w:t>
      </w:r>
      <w:r w:rsidR="00C22896">
        <w:t>ih</w:t>
      </w:r>
      <w:r w:rsidR="00D96331" w:rsidRPr="00D96331">
        <w:t xml:space="preserve">, s tem pa povečanje prihodkov ter povečanje dodane vrednosti. </w:t>
      </w:r>
    </w:p>
    <w:p w14:paraId="34AE17C6" w14:textId="77777777" w:rsidR="00D96331" w:rsidRDefault="00D57264" w:rsidP="00D96331">
      <w:pPr>
        <w:jc w:val="both"/>
      </w:pPr>
      <w:r>
        <w:t xml:space="preserve">Tako ustvarjalnost kot inovativnost </w:t>
      </w:r>
      <w:r w:rsidR="00C22896">
        <w:t xml:space="preserve">sta eni izmed ključnih lastnosti in veščin, ki </w:t>
      </w:r>
      <w:r>
        <w:t>izboljšujeta</w:t>
      </w:r>
      <w:r w:rsidR="00621498">
        <w:t xml:space="preserve"> ekonomsk</w:t>
      </w:r>
      <w:r>
        <w:t>e</w:t>
      </w:r>
      <w:r w:rsidR="00621498">
        <w:t xml:space="preserve"> in socialn</w:t>
      </w:r>
      <w:r>
        <w:t>e</w:t>
      </w:r>
      <w:r w:rsidR="00621498">
        <w:t xml:space="preserve"> kazalce v državi</w:t>
      </w:r>
      <w:r w:rsidR="00C22896">
        <w:t>,</w:t>
      </w:r>
      <w:r w:rsidR="00216A02">
        <w:t xml:space="preserve"> </w:t>
      </w:r>
      <w:r w:rsidR="00C22896">
        <w:t>p</w:t>
      </w:r>
      <w:r w:rsidR="00D96331" w:rsidRPr="00D96331">
        <w:t>ovezovanje</w:t>
      </w:r>
      <w:r w:rsidR="00C22896">
        <w:t xml:space="preserve"> in sodelovanje pa</w:t>
      </w:r>
      <w:r w:rsidR="00D96331" w:rsidRPr="00D96331">
        <w:t xml:space="preserve"> predstavlja</w:t>
      </w:r>
      <w:r w:rsidR="00FE7A91">
        <w:t>ta</w:t>
      </w:r>
      <w:r w:rsidR="00D96331" w:rsidRPr="00D96331">
        <w:t xml:space="preserve"> velik potencial za iskanje rešitev za velike družbene izzive sedanjosti: staranje prebivalce</w:t>
      </w:r>
      <w:r>
        <w:t>v</w:t>
      </w:r>
      <w:r w:rsidR="00216A02">
        <w:t>,</w:t>
      </w:r>
      <w:r w:rsidR="00D96331" w:rsidRPr="00D96331">
        <w:t xml:space="preserve"> okolje, zdravje, hrana in varnost.</w:t>
      </w:r>
      <w:r w:rsidR="00D96331">
        <w:t xml:space="preserve"> </w:t>
      </w:r>
    </w:p>
    <w:p w14:paraId="15D2D708" w14:textId="77777777" w:rsidR="00621498" w:rsidRDefault="00D96331" w:rsidP="00D96331">
      <w:pPr>
        <w:jc w:val="both"/>
      </w:pPr>
      <w:r>
        <w:t xml:space="preserve">Mednarodne analize kažejo, da imajo podjetja, ki se v svojih poslovnih procesih povezujejo s KI, večji dobiček in hitrejšo rast. </w:t>
      </w:r>
      <w:r w:rsidR="00621498">
        <w:t>Podjetjem, ki investirajo v dizajn (v primerjavi s podjetji, ki NE investirajo v dizajn):</w:t>
      </w:r>
    </w:p>
    <w:p w14:paraId="5490080D" w14:textId="77777777" w:rsidR="00621498" w:rsidRDefault="00621498" w:rsidP="002C7476">
      <w:pPr>
        <w:pStyle w:val="Odstavekseznama"/>
        <w:numPr>
          <w:ilvl w:val="0"/>
          <w:numId w:val="4"/>
        </w:numPr>
      </w:pPr>
      <w:r>
        <w:t>se prihodek veča 22</w:t>
      </w:r>
      <w:r w:rsidR="00FF3E30">
        <w:t xml:space="preserve"> </w:t>
      </w:r>
      <w:r>
        <w:t>% hitreje</w:t>
      </w:r>
      <w:r w:rsidRPr="00FD4C45">
        <w:t xml:space="preserve"> </w:t>
      </w:r>
      <w:r w:rsidR="00FF3E30">
        <w:t>(</w:t>
      </w:r>
      <w:proofErr w:type="spellStart"/>
      <w:r>
        <w:t>Danish</w:t>
      </w:r>
      <w:proofErr w:type="spellEnd"/>
      <w:r>
        <w:t xml:space="preserve"> </w:t>
      </w:r>
      <w:proofErr w:type="spellStart"/>
      <w:r>
        <w:t>Design</w:t>
      </w:r>
      <w:proofErr w:type="spellEnd"/>
      <w:r>
        <w:t xml:space="preserve"> Centre (</w:t>
      </w:r>
      <w:proofErr w:type="spellStart"/>
      <w:r>
        <w:t>The</w:t>
      </w:r>
      <w:proofErr w:type="spellEnd"/>
      <w:r>
        <w:t xml:space="preserve"> </w:t>
      </w:r>
      <w:proofErr w:type="spellStart"/>
      <w:r>
        <w:t>Economic</w:t>
      </w:r>
      <w:proofErr w:type="spellEnd"/>
      <w:r>
        <w:t xml:space="preserve"> </w:t>
      </w:r>
      <w:proofErr w:type="spellStart"/>
      <w:r>
        <w:t>Effects</w:t>
      </w:r>
      <w:proofErr w:type="spellEnd"/>
      <w:r>
        <w:t xml:space="preserve"> </w:t>
      </w:r>
      <w:proofErr w:type="spellStart"/>
      <w:r>
        <w:t>of</w:t>
      </w:r>
      <w:proofErr w:type="spellEnd"/>
      <w:r>
        <w:t xml:space="preserve"> </w:t>
      </w:r>
      <w:proofErr w:type="spellStart"/>
      <w:r>
        <w:t>Design</w:t>
      </w:r>
      <w:proofErr w:type="spellEnd"/>
      <w:r>
        <w:t>, 2003</w:t>
      </w:r>
      <w:r w:rsidR="006F20A3">
        <w:t>)</w:t>
      </w:r>
      <w:r w:rsidR="00B63203">
        <w:t>)</w:t>
      </w:r>
      <w:r w:rsidR="00FF3E30">
        <w:t xml:space="preserve">, </w:t>
      </w:r>
    </w:p>
    <w:p w14:paraId="3491B2C4" w14:textId="77777777" w:rsidR="00621498" w:rsidRDefault="00621498" w:rsidP="002C7476">
      <w:pPr>
        <w:pStyle w:val="Odstavekseznama"/>
        <w:numPr>
          <w:ilvl w:val="0"/>
          <w:numId w:val="4"/>
        </w:numPr>
      </w:pPr>
      <w:r>
        <w:t>so za več kot 50</w:t>
      </w:r>
      <w:r w:rsidR="00FF3E30">
        <w:t xml:space="preserve"> </w:t>
      </w:r>
      <w:r>
        <w:t xml:space="preserve">% bolj produktivna </w:t>
      </w:r>
      <w:r w:rsidR="00FF3E30">
        <w:t>(</w:t>
      </w:r>
      <w:proofErr w:type="spellStart"/>
      <w:r>
        <w:t>Swedish</w:t>
      </w:r>
      <w:proofErr w:type="spellEnd"/>
      <w:r>
        <w:t xml:space="preserve"> </w:t>
      </w:r>
      <w:proofErr w:type="spellStart"/>
      <w:r>
        <w:t>Industrial</w:t>
      </w:r>
      <w:proofErr w:type="spellEnd"/>
      <w:r>
        <w:t xml:space="preserve"> </w:t>
      </w:r>
      <w:proofErr w:type="spellStart"/>
      <w:r>
        <w:t>Design</w:t>
      </w:r>
      <w:proofErr w:type="spellEnd"/>
      <w:r>
        <w:t xml:space="preserve"> </w:t>
      </w:r>
      <w:proofErr w:type="spellStart"/>
      <w:r>
        <w:t>Foundation</w:t>
      </w:r>
      <w:proofErr w:type="spellEnd"/>
      <w:r>
        <w:t>, 2008</w:t>
      </w:r>
      <w:r w:rsidR="00FF3E30">
        <w:t xml:space="preserve">) </w:t>
      </w:r>
      <w:r w:rsidR="00FF3E30" w:rsidRPr="00FD4C45">
        <w:t>ter</w:t>
      </w:r>
    </w:p>
    <w:p w14:paraId="5483CD16" w14:textId="77777777" w:rsidR="00621498" w:rsidRDefault="00621498" w:rsidP="002C7476">
      <w:pPr>
        <w:pStyle w:val="Odstavekseznama"/>
        <w:numPr>
          <w:ilvl w:val="0"/>
          <w:numId w:val="4"/>
        </w:numPr>
      </w:pPr>
      <w:r>
        <w:t>dosegajo za 200</w:t>
      </w:r>
      <w:r w:rsidR="00FF3E30">
        <w:t xml:space="preserve"> </w:t>
      </w:r>
      <w:r>
        <w:t>% višje cene delnic</w:t>
      </w:r>
      <w:r w:rsidRPr="00FD4C45">
        <w:t xml:space="preserve"> </w:t>
      </w:r>
      <w:r w:rsidR="00FF3E30">
        <w:t>(</w:t>
      </w:r>
      <w:proofErr w:type="spellStart"/>
      <w:r>
        <w:t>British</w:t>
      </w:r>
      <w:proofErr w:type="spellEnd"/>
      <w:r>
        <w:t xml:space="preserve"> </w:t>
      </w:r>
      <w:proofErr w:type="spellStart"/>
      <w:r>
        <w:t>Design</w:t>
      </w:r>
      <w:proofErr w:type="spellEnd"/>
      <w:r>
        <w:t xml:space="preserve"> </w:t>
      </w:r>
      <w:proofErr w:type="spellStart"/>
      <w:r>
        <w:t>Council</w:t>
      </w:r>
      <w:proofErr w:type="spellEnd"/>
      <w:r>
        <w:t>, 2007</w:t>
      </w:r>
      <w:r w:rsidR="00FF3E30">
        <w:t>).</w:t>
      </w:r>
    </w:p>
    <w:p w14:paraId="5F5FB48F" w14:textId="163D9175" w:rsidR="00621498" w:rsidRDefault="00C22896" w:rsidP="00621498">
      <w:pPr>
        <w:jc w:val="both"/>
      </w:pPr>
      <w:proofErr w:type="spellStart"/>
      <w:r>
        <w:t>Innobarometer</w:t>
      </w:r>
      <w:proofErr w:type="spellEnd"/>
      <w:r>
        <w:t xml:space="preserve">, </w:t>
      </w:r>
      <w:r w:rsidR="00B63203">
        <w:t>r</w:t>
      </w:r>
      <w:r w:rsidR="00621498" w:rsidRPr="00FD4C45">
        <w:t>aziskava</w:t>
      </w:r>
      <w:r w:rsidR="006F20A3">
        <w:t xml:space="preserve"> </w:t>
      </w:r>
      <w:r w:rsidR="00621498">
        <w:t>Evropske komisije iz leta 2016 na temo inovacijskih procesov v MSP kaže, da je v slovenskem gospodarstvu na področju vključevanja</w:t>
      </w:r>
      <w:r w:rsidR="00B63203">
        <w:t>,</w:t>
      </w:r>
      <w:r w:rsidR="00621498">
        <w:t xml:space="preserve"> </w:t>
      </w:r>
      <w:r>
        <w:t>oblikovanja in ustvarjalnosti</w:t>
      </w:r>
      <w:r w:rsidR="00621498">
        <w:t xml:space="preserve"> v inovacijske procese podjetij še veliko neizkoriščenega potenciala. Raziskava je na vzorcu 501 slovenskega podjetja pokazala, da je delež slovenskih podjetij, za katera je oblikovanje po njihovem lastnem mnenju osrednjega pomena za njihovo poslovno strategijo, le 5 % (DK, AT: 21%, VB: 17 %). Delež podjetij, ki po lastnih trditvah sploh ne uporabljajo oblikovanja, je v Sloveniji 43 %, povprečje v EU 27 je 37%.</w:t>
      </w:r>
    </w:p>
    <w:p w14:paraId="759EBD8B" w14:textId="77777777" w:rsidR="006A73A1" w:rsidRPr="006A73A1" w:rsidRDefault="006A73A1" w:rsidP="002C7476">
      <w:pPr>
        <w:numPr>
          <w:ilvl w:val="1"/>
          <w:numId w:val="7"/>
        </w:num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spacing w:after="0"/>
        <w:outlineLvl w:val="1"/>
        <w:rPr>
          <w:spacing w:val="15"/>
        </w:rPr>
      </w:pPr>
      <w:bookmarkStart w:id="26" w:name="_Toc47013585"/>
      <w:bookmarkStart w:id="27" w:name="_Toc51140509"/>
      <w:r w:rsidRPr="006A73A1">
        <w:rPr>
          <w:spacing w:val="15"/>
        </w:rPr>
        <w:t>Skrb za ustvarjalno, podjetno in inovativno podporno okolje</w:t>
      </w:r>
      <w:bookmarkEnd w:id="26"/>
      <w:bookmarkEnd w:id="27"/>
    </w:p>
    <w:p w14:paraId="65DA7767" w14:textId="77777777" w:rsidR="009F7D53" w:rsidRDefault="00B74B11" w:rsidP="00BC5FE6">
      <w:pPr>
        <w:jc w:val="both"/>
      </w:pPr>
      <w:r>
        <w:t>Inovacijski ekosistem v Sloveniji je zelo pester</w:t>
      </w:r>
      <w:r w:rsidR="00B52315">
        <w:t xml:space="preserve"> in živahen,</w:t>
      </w:r>
      <w:r>
        <w:t xml:space="preserve"> a </w:t>
      </w:r>
      <w:r w:rsidR="00B52315">
        <w:t>na drugi strani</w:t>
      </w:r>
      <w:r>
        <w:t xml:space="preserve"> razpršen, slabo pregleden in neusmerjen. V tem okolju delujejo različni subjekti, katerih aktivnosti se mnogokrat podvajajo in ne ustvarjajo </w:t>
      </w:r>
      <w:r w:rsidR="00B52315">
        <w:t xml:space="preserve">želene in pričakovane </w:t>
      </w:r>
      <w:r>
        <w:t xml:space="preserve">vrednosti. Zaradi tega </w:t>
      </w:r>
      <w:r w:rsidR="009F7D53">
        <w:t xml:space="preserve">Slovenija nujno potrebuje </w:t>
      </w:r>
      <w:proofErr w:type="spellStart"/>
      <w:r w:rsidR="001A1B94">
        <w:t>platformno</w:t>
      </w:r>
      <w:proofErr w:type="spellEnd"/>
      <w:r w:rsidR="001A1B94">
        <w:t xml:space="preserve"> okolje, ki bo ustvarjalo zdrav, spodbuden in povezovalen inovacijski ekosistem, ki bo temeljil na ustvarjalnosti, podjetnosti in povezovanju. Znotraj takšnega inovacijskega ekosistema je potrebno vzpostaviti skupine, ki bodo izvajale inovacijske programe na področjih (I) gospodarstva, (II) akademske in znanstveno</w:t>
      </w:r>
      <w:r w:rsidR="00A96CE6">
        <w:t>-</w:t>
      </w:r>
      <w:r w:rsidR="001A1B94">
        <w:t xml:space="preserve">raziskovalne sfere, (III) javnega sektorja in (IV) širše družbe. Skupine morajo izvajati strukturirane programe, ki bodo za vsak segment inovacijskega ekosistema temeljili na ključnih področjih in zasledovali specifične cilje ter delovale </w:t>
      </w:r>
      <w:proofErr w:type="spellStart"/>
      <w:r w:rsidR="001A1B94">
        <w:t>platformno</w:t>
      </w:r>
      <w:proofErr w:type="spellEnd"/>
      <w:r w:rsidR="00B52315">
        <w:t>, povezovalno in komplementarno</w:t>
      </w:r>
      <w:r w:rsidR="001A1B94">
        <w:t xml:space="preserve">. S takšnim pristopom bo mogoče </w:t>
      </w:r>
      <w:r w:rsidR="00C47DAE">
        <w:t xml:space="preserve">strukturirano in učinkovito </w:t>
      </w:r>
      <w:r w:rsidR="001A1B94">
        <w:t xml:space="preserve">nasloviti glavne izzive </w:t>
      </w:r>
      <w:r w:rsidR="00C47DAE">
        <w:t>sodobne družbe in države</w:t>
      </w:r>
      <w:r w:rsidR="001A1B94">
        <w:t xml:space="preserve">. </w:t>
      </w:r>
    </w:p>
    <w:p w14:paraId="092398A4" w14:textId="77777777" w:rsidR="00CE09BA" w:rsidRDefault="00CE09BA" w:rsidP="00BC5FE6">
      <w:pPr>
        <w:jc w:val="both"/>
      </w:pPr>
      <w:proofErr w:type="spellStart"/>
      <w:r>
        <w:t>Platformno</w:t>
      </w:r>
      <w:proofErr w:type="spellEnd"/>
      <w:r>
        <w:t xml:space="preserve"> organiziran inovacijski ekosistem potrebuje neodvisnega, korektnega in povezovalnega koordinatorja, ki bo vodil</w:t>
      </w:r>
      <w:r w:rsidR="00A96CE6">
        <w:t xml:space="preserve"> krovni program</w:t>
      </w:r>
      <w:r>
        <w:t xml:space="preserve"> in povezoval </w:t>
      </w:r>
      <w:r w:rsidR="00125D10">
        <w:t>glavn</w:t>
      </w:r>
      <w:r w:rsidR="00B0558D">
        <w:t>e</w:t>
      </w:r>
      <w:r>
        <w:t xml:space="preserve"> subjekt</w:t>
      </w:r>
      <w:r w:rsidR="00B0558D">
        <w:t xml:space="preserve">e ter </w:t>
      </w:r>
      <w:r>
        <w:t xml:space="preserve">konzorcije, </w:t>
      </w:r>
      <w:r w:rsidR="00C47DAE">
        <w:t>ti pa</w:t>
      </w:r>
      <w:r>
        <w:t xml:space="preserve"> bodo izvajali </w:t>
      </w:r>
      <w:r w:rsidR="00A96CE6">
        <w:t xml:space="preserve">specifične </w:t>
      </w:r>
      <w:r>
        <w:t>programe za dvig inovativnosti</w:t>
      </w:r>
      <w:r w:rsidR="00A96CE6">
        <w:t xml:space="preserve"> vsak na svojem področju.</w:t>
      </w:r>
    </w:p>
    <w:p w14:paraId="35A38679" w14:textId="77777777" w:rsidR="00A96CE6" w:rsidRDefault="00A96CE6" w:rsidP="00BC5FE6">
      <w:pPr>
        <w:jc w:val="both"/>
      </w:pPr>
      <w:r>
        <w:t>Tako programi kot izvajalci se morajo medsebojno dopolnjevati, povezovati, informirati in izobraževati.</w:t>
      </w:r>
    </w:p>
    <w:p w14:paraId="5D6AA0F4" w14:textId="77777777" w:rsidR="00DF46A7" w:rsidRDefault="00B0558D" w:rsidP="00BC5FE6">
      <w:pPr>
        <w:jc w:val="both"/>
      </w:pPr>
      <w:r>
        <w:lastRenderedPageBreak/>
        <w:t>Skrbe</w:t>
      </w:r>
      <w:r w:rsidR="00C47DAE">
        <w:t>ti morajo</w:t>
      </w:r>
      <w:r w:rsidR="00216A02">
        <w:t xml:space="preserve"> </w:t>
      </w:r>
      <w:r w:rsidR="00DF46A7">
        <w:t xml:space="preserve">za </w:t>
      </w:r>
      <w:r w:rsidR="000F59C5" w:rsidRPr="000F59C5">
        <w:t xml:space="preserve">ustvarjalno, podjetno in inovativno </w:t>
      </w:r>
      <w:r w:rsidR="00DF46A7">
        <w:t xml:space="preserve">okolje, da bo </w:t>
      </w:r>
      <w:r w:rsidR="00DF46A7" w:rsidRPr="00DF46A7">
        <w:t>Slovenija privlačen kraj za razcvet talentov in hitro rastočih podjetij, ki bodo ustvarjala visok</w:t>
      </w:r>
      <w:r w:rsidR="00DF46A7">
        <w:t>o</w:t>
      </w:r>
      <w:r w:rsidR="00DF46A7" w:rsidRPr="00DF46A7">
        <w:t xml:space="preserve"> dodan</w:t>
      </w:r>
      <w:r w:rsidR="00DF46A7">
        <w:t>o</w:t>
      </w:r>
      <w:r w:rsidR="003B4FE8">
        <w:t xml:space="preserve"> vrednost, </w:t>
      </w:r>
      <w:r w:rsidR="00DF46A7" w:rsidRPr="00DF46A7">
        <w:t>nova delovna mesta</w:t>
      </w:r>
      <w:r w:rsidR="003B4FE8">
        <w:t xml:space="preserve"> in hkrati posodabljala gospodarstvo v smeri krožnega in digitalnega prehoda</w:t>
      </w:r>
      <w:r w:rsidR="00DF46A7" w:rsidRPr="00DF46A7">
        <w:t>.</w:t>
      </w:r>
      <w:r w:rsidR="003B4FE8">
        <w:t xml:space="preserve"> </w:t>
      </w:r>
    </w:p>
    <w:p w14:paraId="5EAD980A" w14:textId="77777777" w:rsidR="007C4F95" w:rsidRDefault="00864C04" w:rsidP="007C4F95">
      <w:pPr>
        <w:jc w:val="both"/>
      </w:pPr>
      <w:r>
        <w:t>Inovacijski ekosistem mora predstavljati</w:t>
      </w:r>
      <w:r w:rsidR="007C4F95">
        <w:t xml:space="preserve"> podporno </w:t>
      </w:r>
      <w:r>
        <w:t xml:space="preserve">in vključujoče </w:t>
      </w:r>
      <w:r w:rsidR="007C4F95">
        <w:t>okolje</w:t>
      </w:r>
      <w:r>
        <w:t xml:space="preserve">, ki sloni na </w:t>
      </w:r>
      <w:r w:rsidR="007C4F95">
        <w:t>sodelovanj</w:t>
      </w:r>
      <w:r>
        <w:t>u</w:t>
      </w:r>
      <w:r w:rsidR="007C4F95">
        <w:t xml:space="preserve"> podjetij z dobavitelji, kupci, konkurenco, univerzami, znanstveno-raziskovalnimi organizacijami</w:t>
      </w:r>
      <w:r>
        <w:t>, inštituti, KI, NVO</w:t>
      </w:r>
      <w:r w:rsidR="007C4F95">
        <w:t xml:space="preserve"> in drugimi </w:t>
      </w:r>
      <w:r>
        <w:t>javnimi in zasebnimi organizacijami</w:t>
      </w:r>
      <w:r w:rsidR="007C4F95">
        <w:t xml:space="preserve">. Ta mreža pomaga podjetjem premostiti ovire, ki se nanašajo na vire financiranja, človeški kapital, socialni kapital in druge vire, povezane s specifiko določenega podjetja ali trga. </w:t>
      </w:r>
    </w:p>
    <w:p w14:paraId="44AEAAF3" w14:textId="77777777" w:rsidR="007C4F95" w:rsidRDefault="007C4F95" w:rsidP="007C4F95">
      <w:pPr>
        <w:jc w:val="both"/>
      </w:pPr>
      <w:r>
        <w:t>Kakovost podpornega okolja je bistvenega pomena za prelivanje znanja, ki generira razvoj. Zato je potrebno graditi na podjetniško-inovacijski infrastrukturi, ki bo omogočala, spodbujala ter razširjala sistem odprtih inovacij</w:t>
      </w:r>
      <w:r w:rsidR="00864C04">
        <w:t xml:space="preserve"> v podjetja in organizacije vseh oblik</w:t>
      </w:r>
      <w:r w:rsidR="00216A02">
        <w:t>,</w:t>
      </w:r>
      <w:r>
        <w:t xml:space="preserve"> </w:t>
      </w:r>
      <w:r w:rsidR="00216A02">
        <w:t xml:space="preserve">da </w:t>
      </w:r>
      <w:r>
        <w:t xml:space="preserve">medsebojno sodelujejo, se povezujejo, izmenjujejo znanje, izkušnje ter izume, licencirajo tuje rešitve ter vseskozi spodbujajo ustanavljanje novih podjetij.  </w:t>
      </w:r>
    </w:p>
    <w:p w14:paraId="7BE0F4A8" w14:textId="4A742AE0" w:rsidR="001A0C1C" w:rsidRDefault="001A0C1C" w:rsidP="007C4F95">
      <w:pPr>
        <w:jc w:val="both"/>
      </w:pPr>
      <w:r>
        <w:t xml:space="preserve">Kljub različnim kazalnikom in analizam inovativnosti (npr. </w:t>
      </w:r>
      <w:proofErr w:type="spellStart"/>
      <w:r>
        <w:t>European</w:t>
      </w:r>
      <w:proofErr w:type="spellEnd"/>
      <w:r>
        <w:t xml:space="preserve"> </w:t>
      </w:r>
      <w:proofErr w:type="spellStart"/>
      <w:r>
        <w:t>Innovation</w:t>
      </w:r>
      <w:proofErr w:type="spellEnd"/>
      <w:r>
        <w:t xml:space="preserve"> </w:t>
      </w:r>
      <w:proofErr w:type="spellStart"/>
      <w:r>
        <w:t>Scoreboard</w:t>
      </w:r>
      <w:proofErr w:type="spellEnd"/>
      <w:r>
        <w:t xml:space="preserve">, </w:t>
      </w:r>
      <w:proofErr w:type="spellStart"/>
      <w:r>
        <w:t>Global</w:t>
      </w:r>
      <w:proofErr w:type="spellEnd"/>
      <w:r>
        <w:t xml:space="preserve"> </w:t>
      </w:r>
      <w:proofErr w:type="spellStart"/>
      <w:r>
        <w:t>Innovation</w:t>
      </w:r>
      <w:proofErr w:type="spellEnd"/>
      <w:r>
        <w:t xml:space="preserve"> </w:t>
      </w:r>
      <w:proofErr w:type="spellStart"/>
      <w:r>
        <w:t>Index</w:t>
      </w:r>
      <w:proofErr w:type="spellEnd"/>
      <w:r>
        <w:t>…) pa te analize n</w:t>
      </w:r>
      <w:r w:rsidR="00B63203">
        <w:t>e</w:t>
      </w:r>
      <w:r>
        <w:t xml:space="preserve"> izkazujejo realnega stanja inovativnosti v slovenskem gospodarstvu, saj zaobjemajo širok nabor kazalcev, ki v veliki meri niso vezani na gospodarstvo. Za dejanski in realen vpogled v stanje inovativnosti v slovenskem gospodarstv</w:t>
      </w:r>
      <w:r w:rsidR="00FE7A91">
        <w:t>u</w:t>
      </w:r>
      <w:r>
        <w:t xml:space="preserve"> je potrebno razviti in letno izvajati analizo inovativnosti med slovenskimi podjetji vseh velikosti, ki bo dala vpogled v posamezne dele inovativnosti in stopnje inovacijske kulture ter s tem omogočala nasloviti bistvene pomanjkljivosti</w:t>
      </w:r>
      <w:r w:rsidR="00B63203">
        <w:t>,</w:t>
      </w:r>
      <w:r>
        <w:t xml:space="preserve"> na katere bo </w:t>
      </w:r>
      <w:r w:rsidR="00B63203">
        <w:t xml:space="preserve">država </w:t>
      </w:r>
      <w:r>
        <w:t>pozorna</w:t>
      </w:r>
      <w:r w:rsidR="009E47FF">
        <w:t xml:space="preserve">, podjetja pa tudi </w:t>
      </w:r>
      <w:r>
        <w:t>podprla z različnimi finančnimi in nefinančnimi ukrepi.</w:t>
      </w:r>
    </w:p>
    <w:p w14:paraId="0016BCB5" w14:textId="7AAB1B5F" w:rsidR="00212452" w:rsidRPr="00212452" w:rsidRDefault="00212452" w:rsidP="00212452">
      <w:pPr>
        <w:jc w:val="both"/>
        <w:rPr>
          <w:b/>
        </w:rPr>
      </w:pPr>
      <w:r>
        <w:t>Oblikovali, vzpostavili in krepili bomo celostno in povezano</w:t>
      </w:r>
      <w:r w:rsidRPr="00212452">
        <w:rPr>
          <w:b/>
        </w:rPr>
        <w:t xml:space="preserve"> </w:t>
      </w:r>
      <w:r>
        <w:rPr>
          <w:b/>
        </w:rPr>
        <w:t>p</w:t>
      </w:r>
      <w:r w:rsidRPr="00212452">
        <w:rPr>
          <w:b/>
        </w:rPr>
        <w:t>odporno okolje za inovativnost</w:t>
      </w:r>
      <w:r w:rsidR="000B170B">
        <w:rPr>
          <w:b/>
        </w:rPr>
        <w:t xml:space="preserve">, ki bo </w:t>
      </w:r>
      <w:proofErr w:type="spellStart"/>
      <w:r w:rsidR="00174C92">
        <w:rPr>
          <w:bCs/>
        </w:rPr>
        <w:t>platformno</w:t>
      </w:r>
      <w:proofErr w:type="spellEnd"/>
      <w:r w:rsidR="00174C92">
        <w:rPr>
          <w:bCs/>
        </w:rPr>
        <w:t xml:space="preserve"> </w:t>
      </w:r>
      <w:r w:rsidRPr="00212452">
        <w:rPr>
          <w:bCs/>
        </w:rPr>
        <w:t>zgrajeno iz subjektov/konzorcijev, ki bodo izvajali programe inovativnosti na ključnih področjih inovacijskega ekosistema</w:t>
      </w:r>
      <w:r w:rsidR="006E482B">
        <w:rPr>
          <w:bCs/>
        </w:rPr>
        <w:t xml:space="preserve">: </w:t>
      </w:r>
      <w:r w:rsidR="0072145D">
        <w:rPr>
          <w:bCs/>
        </w:rPr>
        <w:t xml:space="preserve">(I) </w:t>
      </w:r>
      <w:r w:rsidRPr="00212452">
        <w:rPr>
          <w:bCs/>
        </w:rPr>
        <w:t>gospodarstvo</w:t>
      </w:r>
      <w:r w:rsidR="00B0514E">
        <w:rPr>
          <w:bCs/>
        </w:rPr>
        <w:t xml:space="preserve"> in njihove reprezentativne zbornice/združenja</w:t>
      </w:r>
      <w:r w:rsidRPr="00212452">
        <w:rPr>
          <w:bCs/>
        </w:rPr>
        <w:t xml:space="preserve">, </w:t>
      </w:r>
      <w:r w:rsidR="0072145D">
        <w:rPr>
          <w:bCs/>
        </w:rPr>
        <w:t xml:space="preserve">(II) </w:t>
      </w:r>
      <w:r w:rsidRPr="00212452">
        <w:rPr>
          <w:bCs/>
        </w:rPr>
        <w:t>akademska in znanstveno-raziskovalna sfera,</w:t>
      </w:r>
      <w:r w:rsidR="0072145D">
        <w:rPr>
          <w:bCs/>
        </w:rPr>
        <w:t xml:space="preserve"> (III)</w:t>
      </w:r>
      <w:r w:rsidRPr="00212452">
        <w:rPr>
          <w:bCs/>
        </w:rPr>
        <w:t xml:space="preserve"> javni sektor in </w:t>
      </w:r>
      <w:r w:rsidR="0072145D">
        <w:rPr>
          <w:bCs/>
        </w:rPr>
        <w:t xml:space="preserve">(IV) </w:t>
      </w:r>
      <w:r w:rsidRPr="00212452">
        <w:rPr>
          <w:bCs/>
        </w:rPr>
        <w:t>širša družba</w:t>
      </w:r>
      <w:r w:rsidR="0072145D">
        <w:rPr>
          <w:bCs/>
        </w:rPr>
        <w:t>.</w:t>
      </w:r>
      <w:r w:rsidR="00174C92" w:rsidRPr="00174C92">
        <w:t xml:space="preserve"> </w:t>
      </w:r>
      <w:r w:rsidR="00174C92">
        <w:rPr>
          <w:bCs/>
        </w:rPr>
        <w:t>Pri tem je ključna vloga</w:t>
      </w:r>
      <w:r w:rsidR="00DF7C18">
        <w:rPr>
          <w:bCs/>
        </w:rPr>
        <w:t xml:space="preserve"> tako</w:t>
      </w:r>
      <w:r w:rsidR="00174C92">
        <w:rPr>
          <w:bCs/>
        </w:rPr>
        <w:t xml:space="preserve"> </w:t>
      </w:r>
      <w:r w:rsidR="00D859BF">
        <w:rPr>
          <w:bCs/>
        </w:rPr>
        <w:t>Javne a</w:t>
      </w:r>
      <w:r w:rsidR="00174C92">
        <w:rPr>
          <w:bCs/>
        </w:rPr>
        <w:t xml:space="preserve">gencije </w:t>
      </w:r>
      <w:r w:rsidR="00174C92" w:rsidRPr="00174C92">
        <w:rPr>
          <w:bCs/>
        </w:rPr>
        <w:t>SPIRIT</w:t>
      </w:r>
      <w:r w:rsidR="00174C92">
        <w:rPr>
          <w:bCs/>
        </w:rPr>
        <w:t xml:space="preserve"> Slovenija</w:t>
      </w:r>
      <w:r w:rsidR="00174C92" w:rsidRPr="00174C92">
        <w:rPr>
          <w:bCs/>
        </w:rPr>
        <w:t xml:space="preserve"> </w:t>
      </w:r>
      <w:r w:rsidR="00174C92">
        <w:rPr>
          <w:bCs/>
        </w:rPr>
        <w:t>kot</w:t>
      </w:r>
      <w:r w:rsidR="00174C92" w:rsidRPr="00174C92">
        <w:rPr>
          <w:bCs/>
        </w:rPr>
        <w:t xml:space="preserve"> deležnikov podpornega okolja na nacionalni ravni.</w:t>
      </w:r>
    </w:p>
    <w:p w14:paraId="03521FFC" w14:textId="77777777" w:rsidR="00C72375" w:rsidRDefault="00212452" w:rsidP="00C72375">
      <w:pPr>
        <w:jc w:val="both"/>
      </w:pPr>
      <w:r>
        <w:t>V tem okviru bomo krepili</w:t>
      </w:r>
      <w:r w:rsidR="00C72375">
        <w:t>:</w:t>
      </w:r>
    </w:p>
    <w:p w14:paraId="00A1AAD1" w14:textId="75AEA43D" w:rsidR="00C72375" w:rsidRDefault="00C72375" w:rsidP="002C7476">
      <w:pPr>
        <w:pStyle w:val="Odstavekseznama"/>
        <w:numPr>
          <w:ilvl w:val="0"/>
          <w:numId w:val="21"/>
        </w:numPr>
        <w:jc w:val="both"/>
      </w:pPr>
      <w:r w:rsidRPr="00483981">
        <w:rPr>
          <w:b/>
        </w:rPr>
        <w:t>Mrežo slovenskih poslovnih točk (t.</w:t>
      </w:r>
      <w:r w:rsidR="00D859BF">
        <w:rPr>
          <w:b/>
        </w:rPr>
        <w:t xml:space="preserve"> </w:t>
      </w:r>
      <w:r w:rsidRPr="00483981">
        <w:rPr>
          <w:b/>
        </w:rPr>
        <w:t>i. SPOT</w:t>
      </w:r>
      <w:r w:rsidRPr="00FD4C45">
        <w:rPr>
          <w:b/>
        </w:rPr>
        <w:t>)</w:t>
      </w:r>
      <w:r w:rsidR="00FF3E30">
        <w:rPr>
          <w:b/>
        </w:rPr>
        <w:t>,</w:t>
      </w:r>
      <w:r w:rsidR="00483981" w:rsidRPr="00FD4C45">
        <w:t xml:space="preserve"> kater</w:t>
      </w:r>
      <w:r w:rsidR="00FF3E30">
        <w:t>ih</w:t>
      </w:r>
      <w:r w:rsidR="00483981">
        <w:t xml:space="preserve"> namen je nudenje </w:t>
      </w:r>
      <w:r w:rsidR="00483981" w:rsidRPr="00483981">
        <w:t>brezplačnih podpornih storitev za podjetnik</w:t>
      </w:r>
      <w:r w:rsidR="00483981">
        <w:t>e</w:t>
      </w:r>
      <w:r w:rsidR="00483981" w:rsidRPr="00483981">
        <w:t xml:space="preserve"> in potencialn</w:t>
      </w:r>
      <w:r w:rsidR="00483981">
        <w:t>e</w:t>
      </w:r>
      <w:r w:rsidR="00483981" w:rsidRPr="00483981">
        <w:t xml:space="preserve"> podjetnik</w:t>
      </w:r>
      <w:r w:rsidR="00483981">
        <w:t xml:space="preserve">e, med drugim nudenje </w:t>
      </w:r>
      <w:r w:rsidR="00483981" w:rsidRPr="00483981">
        <w:t>storit</w:t>
      </w:r>
      <w:r w:rsidR="00483981">
        <w:t>e</w:t>
      </w:r>
      <w:r w:rsidR="00483981" w:rsidRPr="00483981">
        <w:t>v podjetniškega svetovanja, informiranja in podjetniškega usposabljanja ter obogaten nabor storitev s področja internacionalizacije in tujih investicij.</w:t>
      </w:r>
      <w:r w:rsidR="00B0558D">
        <w:t xml:space="preserve"> SPOT bo prispeval k vsem t</w:t>
      </w:r>
      <w:r w:rsidR="000A5299">
        <w:t>re</w:t>
      </w:r>
      <w:r w:rsidR="00B0558D">
        <w:t xml:space="preserve">m </w:t>
      </w:r>
      <w:r w:rsidR="009E47FF">
        <w:t>področjem</w:t>
      </w:r>
      <w:r w:rsidR="00B0558D">
        <w:t xml:space="preserve"> industrijske strategije (zeleni, ustvarjalni in </w:t>
      </w:r>
      <w:r w:rsidR="009E47FF">
        <w:t>pametni</w:t>
      </w:r>
      <w:r w:rsidR="00B0558D">
        <w:t xml:space="preserve"> razvoj).</w:t>
      </w:r>
    </w:p>
    <w:p w14:paraId="5522D1C2" w14:textId="77777777" w:rsidR="00C72375" w:rsidRDefault="00C72375" w:rsidP="00C72375">
      <w:pPr>
        <w:pStyle w:val="Odstavekseznama"/>
        <w:jc w:val="both"/>
      </w:pPr>
    </w:p>
    <w:p w14:paraId="33D5F236" w14:textId="72BE46CE" w:rsidR="00C72375" w:rsidRDefault="00C72375" w:rsidP="002C7476">
      <w:pPr>
        <w:pStyle w:val="Odstavekseznama"/>
        <w:numPr>
          <w:ilvl w:val="0"/>
          <w:numId w:val="21"/>
        </w:numPr>
        <w:jc w:val="both"/>
      </w:pPr>
      <w:r w:rsidRPr="00483981">
        <w:rPr>
          <w:b/>
        </w:rPr>
        <w:t>Subjekte inovativnega okolja (t.</w:t>
      </w:r>
      <w:r w:rsidR="00D859BF">
        <w:rPr>
          <w:b/>
        </w:rPr>
        <w:t xml:space="preserve"> </w:t>
      </w:r>
      <w:r w:rsidRPr="00483981">
        <w:rPr>
          <w:b/>
        </w:rPr>
        <w:t>i. SIO</w:t>
      </w:r>
      <w:r w:rsidRPr="00FD4C45">
        <w:t xml:space="preserve">) </w:t>
      </w:r>
      <w:r>
        <w:t xml:space="preserve">za učinkovite </w:t>
      </w:r>
      <w:r w:rsidRPr="00470BA3">
        <w:t>storitve za podjetništvo</w:t>
      </w:r>
      <w:r>
        <w:t xml:space="preserve"> in inovacije ter oblikovanje uravnotežene programske podpore za zagon, rast in razvoj podjetij. S tem bomo prispevali k:</w:t>
      </w:r>
    </w:p>
    <w:p w14:paraId="31B9E2A7" w14:textId="77777777" w:rsidR="00C72375" w:rsidRDefault="00C72375" w:rsidP="002C7476">
      <w:pPr>
        <w:pStyle w:val="Odstavekseznama"/>
        <w:numPr>
          <w:ilvl w:val="0"/>
          <w:numId w:val="20"/>
        </w:numPr>
        <w:jc w:val="both"/>
      </w:pPr>
      <w:r>
        <w:t>povečevanju števila novoustanovljenih podjetij, predvsem tistih, ki dosegajo višjo dodano vrednost v primerjavi s slovenskim povprečjem</w:t>
      </w:r>
      <w:r w:rsidR="00FF3E30">
        <w:t>,</w:t>
      </w:r>
    </w:p>
    <w:p w14:paraId="4338DCC3" w14:textId="77777777" w:rsidR="00C72375" w:rsidRDefault="00C72375" w:rsidP="002C7476">
      <w:pPr>
        <w:pStyle w:val="Odstavekseznama"/>
        <w:numPr>
          <w:ilvl w:val="0"/>
          <w:numId w:val="20"/>
        </w:numPr>
        <w:jc w:val="both"/>
      </w:pPr>
      <w:r>
        <w:t>povečevanju stopnje preživetja novoustanovljenih podjetij</w:t>
      </w:r>
      <w:r w:rsidR="00FF3E30">
        <w:t>,</w:t>
      </w:r>
    </w:p>
    <w:p w14:paraId="7779F23D" w14:textId="77777777" w:rsidR="00C72375" w:rsidRDefault="00C72375" w:rsidP="002C7476">
      <w:pPr>
        <w:pStyle w:val="Odstavekseznama"/>
        <w:numPr>
          <w:ilvl w:val="0"/>
          <w:numId w:val="20"/>
        </w:numPr>
        <w:jc w:val="both"/>
      </w:pPr>
      <w:r>
        <w:t>premagovanju ovir hitro rastočih podjetij.</w:t>
      </w:r>
    </w:p>
    <w:p w14:paraId="1C4F005A" w14:textId="77777777" w:rsidR="006F20A3" w:rsidRDefault="006F20A3" w:rsidP="006F20A3">
      <w:pPr>
        <w:pStyle w:val="Odstavekseznama"/>
        <w:ind w:left="1068"/>
        <w:jc w:val="both"/>
      </w:pPr>
    </w:p>
    <w:p w14:paraId="1DCD4FA5" w14:textId="77777777" w:rsidR="00D57E22" w:rsidRPr="006F20A3" w:rsidRDefault="00D57E22" w:rsidP="002C7476">
      <w:pPr>
        <w:pStyle w:val="Odstavekseznama"/>
        <w:numPr>
          <w:ilvl w:val="0"/>
          <w:numId w:val="21"/>
        </w:numPr>
        <w:jc w:val="both"/>
        <w:rPr>
          <w:b/>
        </w:rPr>
      </w:pPr>
      <w:r>
        <w:rPr>
          <w:b/>
        </w:rPr>
        <w:t>Podporno okolje na področju ustvarjalnosti</w:t>
      </w:r>
      <w:r w:rsidR="000B170B" w:rsidRPr="00216A02">
        <w:rPr>
          <w:bCs/>
        </w:rPr>
        <w:t>, ki</w:t>
      </w:r>
      <w:r w:rsidR="00216A02">
        <w:rPr>
          <w:bCs/>
        </w:rPr>
        <w:t xml:space="preserve"> bo</w:t>
      </w:r>
      <w:r w:rsidR="000B170B" w:rsidRPr="00216A02">
        <w:rPr>
          <w:bCs/>
        </w:rPr>
        <w:t xml:space="preserve"> osnovano na </w:t>
      </w:r>
      <w:r w:rsidRPr="00D57E22">
        <w:rPr>
          <w:bCs/>
        </w:rPr>
        <w:t>podpor</w:t>
      </w:r>
      <w:r w:rsidR="000B170B">
        <w:rPr>
          <w:bCs/>
        </w:rPr>
        <w:t>i</w:t>
      </w:r>
      <w:r w:rsidRPr="00D57E22">
        <w:rPr>
          <w:bCs/>
        </w:rPr>
        <w:t xml:space="preserve"> ustvarjalnosti v smislu razvoja kulturno</w:t>
      </w:r>
      <w:r w:rsidR="00FF3E30">
        <w:rPr>
          <w:bCs/>
        </w:rPr>
        <w:t>-</w:t>
      </w:r>
      <w:r w:rsidRPr="00D57E22">
        <w:rPr>
          <w:bCs/>
        </w:rPr>
        <w:t>kreativnih sektorjev (KKS) ter povezovanja KKS s preostalim gospodarstvom</w:t>
      </w:r>
      <w:r w:rsidR="00216A02">
        <w:rPr>
          <w:bCs/>
        </w:rPr>
        <w:t xml:space="preserve">. </w:t>
      </w:r>
      <w:r w:rsidR="000B170B">
        <w:rPr>
          <w:bCs/>
        </w:rPr>
        <w:t>Trenutno je slednje p</w:t>
      </w:r>
      <w:r w:rsidRPr="00D57E22">
        <w:rPr>
          <w:bCs/>
        </w:rPr>
        <w:t>odprto v okviru Centra za kreativnost</w:t>
      </w:r>
      <w:r w:rsidR="009F2BF1">
        <w:rPr>
          <w:bCs/>
        </w:rPr>
        <w:t xml:space="preserve">, </w:t>
      </w:r>
      <w:r w:rsidRPr="00D57E22">
        <w:rPr>
          <w:bCs/>
        </w:rPr>
        <w:t>Mreže centrov raziskovalnih umetnosti in kulture.</w:t>
      </w:r>
    </w:p>
    <w:p w14:paraId="68752356" w14:textId="77777777" w:rsidR="006F20A3" w:rsidRPr="00995525" w:rsidRDefault="006F20A3" w:rsidP="006F20A3">
      <w:pPr>
        <w:pStyle w:val="Odstavekseznama"/>
        <w:jc w:val="both"/>
        <w:rPr>
          <w:b/>
        </w:rPr>
      </w:pPr>
    </w:p>
    <w:p w14:paraId="70D9957F" w14:textId="77777777" w:rsidR="00A96CE6" w:rsidRDefault="00A96CE6" w:rsidP="002C7476">
      <w:pPr>
        <w:pStyle w:val="Odstavekseznama"/>
        <w:numPr>
          <w:ilvl w:val="0"/>
          <w:numId w:val="21"/>
        </w:numPr>
        <w:jc w:val="both"/>
        <w:rPr>
          <w:bCs/>
        </w:rPr>
      </w:pPr>
      <w:r>
        <w:rPr>
          <w:b/>
        </w:rPr>
        <w:lastRenderedPageBreak/>
        <w:t>Podporno okolje za zagonska in scale-up podjetja (t.</w:t>
      </w:r>
      <w:r w:rsidR="00450D5F">
        <w:rPr>
          <w:b/>
        </w:rPr>
        <w:t xml:space="preserve"> </w:t>
      </w:r>
      <w:r>
        <w:rPr>
          <w:b/>
        </w:rPr>
        <w:t xml:space="preserve">i. </w:t>
      </w:r>
      <w:proofErr w:type="spellStart"/>
      <w:r w:rsidRPr="00A96CE6">
        <w:rPr>
          <w:b/>
        </w:rPr>
        <w:t>Startup</w:t>
      </w:r>
      <w:proofErr w:type="spellEnd"/>
      <w:r w:rsidRPr="00A96CE6">
        <w:rPr>
          <w:b/>
        </w:rPr>
        <w:t xml:space="preserve"> Plus Program</w:t>
      </w:r>
      <w:r>
        <w:rPr>
          <w:b/>
        </w:rPr>
        <w:t xml:space="preserve">): </w:t>
      </w:r>
      <w:r w:rsidRPr="006F20A3">
        <w:rPr>
          <w:bCs/>
        </w:rPr>
        <w:t xml:space="preserve">Program na enem mestu združuje vso ključno podporo, ki jo potrebujejo inovativna </w:t>
      </w:r>
      <w:proofErr w:type="spellStart"/>
      <w:r w:rsidRPr="006F20A3">
        <w:rPr>
          <w:bCs/>
        </w:rPr>
        <w:t>startup</w:t>
      </w:r>
      <w:proofErr w:type="spellEnd"/>
      <w:r w:rsidRPr="006F20A3">
        <w:rPr>
          <w:bCs/>
        </w:rPr>
        <w:t xml:space="preserve"> podjetja za hitro globalno rast. Ta poleg finančnih spodbud sklada (subvencije, konvertibilna posojila, lastniško investiranje) zajema intenziven mentorski program ter usposabljanje v več različnih kakovostnih in specializiranih vsebinskih programih.</w:t>
      </w:r>
    </w:p>
    <w:p w14:paraId="6649219F" w14:textId="77777777" w:rsidR="006F20A3" w:rsidRPr="006F20A3" w:rsidRDefault="006F20A3" w:rsidP="006F20A3">
      <w:pPr>
        <w:pStyle w:val="Odstavekseznama"/>
        <w:rPr>
          <w:bCs/>
        </w:rPr>
      </w:pPr>
    </w:p>
    <w:p w14:paraId="1E9BAD9A" w14:textId="77777777" w:rsidR="006F20A3" w:rsidRDefault="00390A17" w:rsidP="00216A02">
      <w:pPr>
        <w:pStyle w:val="Odstavekseznama"/>
        <w:numPr>
          <w:ilvl w:val="0"/>
          <w:numId w:val="21"/>
        </w:numPr>
        <w:jc w:val="both"/>
      </w:pPr>
      <w:r w:rsidRPr="00216A02">
        <w:rPr>
          <w:b/>
        </w:rPr>
        <w:t>Inovacijska</w:t>
      </w:r>
      <w:r w:rsidRPr="0072145D">
        <w:rPr>
          <w:b/>
          <w:bCs/>
        </w:rPr>
        <w:t xml:space="preserve"> stičišča (t.</w:t>
      </w:r>
      <w:r w:rsidR="00450D5F">
        <w:rPr>
          <w:b/>
          <w:bCs/>
        </w:rPr>
        <w:t xml:space="preserve"> </w:t>
      </w:r>
      <w:r w:rsidRPr="0072145D">
        <w:rPr>
          <w:b/>
          <w:bCs/>
        </w:rPr>
        <w:t>i. »</w:t>
      </w:r>
      <w:proofErr w:type="spellStart"/>
      <w:r w:rsidRPr="0072145D">
        <w:rPr>
          <w:b/>
          <w:bCs/>
        </w:rPr>
        <w:t>innovation</w:t>
      </w:r>
      <w:proofErr w:type="spellEnd"/>
      <w:r w:rsidRPr="0072145D">
        <w:rPr>
          <w:b/>
          <w:bCs/>
        </w:rPr>
        <w:t xml:space="preserve"> </w:t>
      </w:r>
      <w:proofErr w:type="spellStart"/>
      <w:r w:rsidRPr="0072145D">
        <w:rPr>
          <w:b/>
          <w:bCs/>
        </w:rPr>
        <w:t>hubs</w:t>
      </w:r>
      <w:proofErr w:type="spellEnd"/>
      <w:r w:rsidRPr="0072145D">
        <w:rPr>
          <w:b/>
          <w:bCs/>
        </w:rPr>
        <w:t xml:space="preserve">«): </w:t>
      </w:r>
      <w:r>
        <w:t>krepili</w:t>
      </w:r>
      <w:r w:rsidR="00216A02">
        <w:t xml:space="preserve"> bomo</w:t>
      </w:r>
      <w:r w:rsidR="00450D5F">
        <w:t xml:space="preserve"> tako</w:t>
      </w:r>
      <w:r w:rsidRPr="00390A17">
        <w:t xml:space="preserve"> </w:t>
      </w:r>
      <w:r w:rsidR="00682A26" w:rsidRPr="00390A17">
        <w:t>digitaln</w:t>
      </w:r>
      <w:r>
        <w:t>a</w:t>
      </w:r>
      <w:r w:rsidRPr="00390A17">
        <w:t xml:space="preserve"> kot</w:t>
      </w:r>
      <w:r>
        <w:t xml:space="preserve"> tudi</w:t>
      </w:r>
      <w:r w:rsidRPr="00390A17">
        <w:t xml:space="preserve"> ostal</w:t>
      </w:r>
      <w:r>
        <w:t>a</w:t>
      </w:r>
      <w:r w:rsidR="00682A26" w:rsidRPr="00390A17">
        <w:t xml:space="preserve"> inovacijsk</w:t>
      </w:r>
      <w:r>
        <w:t>a</w:t>
      </w:r>
      <w:r w:rsidR="00682A26" w:rsidRPr="00390A17">
        <w:t xml:space="preserve"> stičišč</w:t>
      </w:r>
      <w:r>
        <w:t>a</w:t>
      </w:r>
      <w:r w:rsidR="0072145D">
        <w:t xml:space="preserve">, ki so namenjena inovacijskemu sodelovanju in povezovanju javnega in zasebnega sektorja ter so </w:t>
      </w:r>
      <w:r w:rsidR="0072145D" w:rsidRPr="0072145D">
        <w:t>platforma za sodelovanje različnih igralcev in skupin, ki hočejo doseči boljše rezultate inovacij</w:t>
      </w:r>
      <w:r w:rsidR="0072145D">
        <w:t>, bistven poudar</w:t>
      </w:r>
      <w:r w:rsidR="00216A02">
        <w:t>e</w:t>
      </w:r>
      <w:r w:rsidR="0072145D">
        <w:t>k pa je na konkretni vsebini.</w:t>
      </w:r>
    </w:p>
    <w:p w14:paraId="555FA271" w14:textId="77777777" w:rsidR="00216A02" w:rsidRPr="0072145D" w:rsidRDefault="00216A02" w:rsidP="00EF2070">
      <w:pPr>
        <w:pStyle w:val="Odstavekseznama"/>
        <w:rPr>
          <w:b/>
        </w:rPr>
      </w:pPr>
    </w:p>
    <w:p w14:paraId="50E7BD6A" w14:textId="77777777" w:rsidR="00D57E22" w:rsidRDefault="00D57E22" w:rsidP="002C7476">
      <w:pPr>
        <w:pStyle w:val="Odstavekseznama"/>
        <w:numPr>
          <w:ilvl w:val="0"/>
          <w:numId w:val="21"/>
        </w:numPr>
        <w:jc w:val="both"/>
        <w:rPr>
          <w:bCs/>
        </w:rPr>
      </w:pPr>
      <w:r w:rsidRPr="001B77D8">
        <w:rPr>
          <w:b/>
        </w:rPr>
        <w:t xml:space="preserve">Pisarne za prenos </w:t>
      </w:r>
      <w:r w:rsidR="001B77D8" w:rsidRPr="001B77D8">
        <w:rPr>
          <w:b/>
        </w:rPr>
        <w:t>znanja</w:t>
      </w:r>
      <w:r w:rsidR="006F20A3" w:rsidRPr="001B77D8">
        <w:rPr>
          <w:b/>
        </w:rPr>
        <w:t>:</w:t>
      </w:r>
      <w:r w:rsidR="001B77D8" w:rsidRPr="001B77D8">
        <w:t xml:space="preserve"> </w:t>
      </w:r>
      <w:r w:rsidR="001B77D8" w:rsidRPr="001B77D8">
        <w:rPr>
          <w:bCs/>
        </w:rPr>
        <w:t xml:space="preserve">njihov namen je povezovanje javnih raziskovalnih organizacij in gospodarstva. Njihova dejavnost vključuje pripravo, posredovanje in prilagajanje tehnološko in tržno ustrezne ponudbe raziskovalcev </w:t>
      </w:r>
      <w:r w:rsidR="00450D5F">
        <w:rPr>
          <w:bCs/>
        </w:rPr>
        <w:t>i</w:t>
      </w:r>
      <w:r w:rsidR="001B77D8" w:rsidRPr="001B77D8">
        <w:rPr>
          <w:bCs/>
        </w:rPr>
        <w:t>z JRO podjetjem na podlagi identifikacije tehnoloških, raziskovalnih in razvojnih potreb gospodarstva. Pisarne usmerjajo raziskovalce k zadovoljevanju potreb gospodarstva, dvigajo zavest v podjetjih o dostopnosti raziskovalnih kapacitet in usmerjajo podjetja k uporabi storitev, ki</w:t>
      </w:r>
      <w:r w:rsidR="001B77D8">
        <w:rPr>
          <w:bCs/>
        </w:rPr>
        <w:t xml:space="preserve"> </w:t>
      </w:r>
      <w:r w:rsidR="00450D5F">
        <w:rPr>
          <w:bCs/>
        </w:rPr>
        <w:t xml:space="preserve">jih </w:t>
      </w:r>
      <w:r w:rsidR="001B77D8">
        <w:rPr>
          <w:bCs/>
        </w:rPr>
        <w:t>raziskovalne organizacije</w:t>
      </w:r>
      <w:r w:rsidR="001B77D8" w:rsidRPr="001B77D8">
        <w:rPr>
          <w:bCs/>
        </w:rPr>
        <w:t xml:space="preserve"> lahko ponudijo.</w:t>
      </w:r>
    </w:p>
    <w:p w14:paraId="655A68B7" w14:textId="6537182A" w:rsidR="009F2BF1" w:rsidRPr="0072145D" w:rsidRDefault="00396000" w:rsidP="009E47FF">
      <w:pPr>
        <w:jc w:val="both"/>
        <w:rPr>
          <w:bCs/>
        </w:rPr>
      </w:pPr>
      <w:r>
        <w:t xml:space="preserve">V okviru podpornega okolja so pomembna tudi </w:t>
      </w:r>
      <w:r w:rsidR="00CE62B8">
        <w:t>s</w:t>
      </w:r>
      <w:r w:rsidR="009F2BF1">
        <w:t>tratešk</w:t>
      </w:r>
      <w:r w:rsidR="00450D5F">
        <w:t>a</w:t>
      </w:r>
      <w:r w:rsidR="009F2BF1">
        <w:t xml:space="preserve"> razvojno-inovacijska partnerstva</w:t>
      </w:r>
      <w:r>
        <w:t xml:space="preserve"> – t.</w:t>
      </w:r>
      <w:r w:rsidR="00450D5F">
        <w:t xml:space="preserve"> </w:t>
      </w:r>
      <w:r>
        <w:t>i.</w:t>
      </w:r>
      <w:r w:rsidR="009E47FF">
        <w:t xml:space="preserve"> </w:t>
      </w:r>
      <w:r>
        <w:t>SRIP-i, ki pa so izpostavljeni v okviru naslednjega poglavja.</w:t>
      </w:r>
    </w:p>
    <w:p w14:paraId="5870332F" w14:textId="77777777" w:rsidR="00C72375" w:rsidRDefault="00AA2E78" w:rsidP="002C7476">
      <w:pPr>
        <w:pStyle w:val="Naslov2"/>
        <w:numPr>
          <w:ilvl w:val="1"/>
          <w:numId w:val="7"/>
        </w:numPr>
        <w:rPr>
          <w:caps w:val="0"/>
        </w:rPr>
      </w:pPr>
      <w:bookmarkStart w:id="28" w:name="_Toc51140510"/>
      <w:r>
        <w:rPr>
          <w:caps w:val="0"/>
        </w:rPr>
        <w:t>Promocija ustvarjalnosti, podjetnosti in inovativnosti</w:t>
      </w:r>
      <w:bookmarkEnd w:id="28"/>
    </w:p>
    <w:p w14:paraId="636871D5" w14:textId="77777777" w:rsidR="00160C29" w:rsidRDefault="00160C29" w:rsidP="00160C29">
      <w:pPr>
        <w:jc w:val="both"/>
      </w:pPr>
      <w:r w:rsidRPr="00160C29">
        <w:t xml:space="preserve">Za ustvarjanje pozitivne inovacijske mikroklime mora Slovenija nadaljevati s premiki na področju krepitve </w:t>
      </w:r>
      <w:r w:rsidRPr="00160C29">
        <w:rPr>
          <w:b/>
        </w:rPr>
        <w:t>kulture ustvarjalnosti, podjetništva in inovativnosti</w:t>
      </w:r>
      <w:r w:rsidRPr="00160C29">
        <w:t>. Program spodbujanja mladih k razvoju ustvarjalnosti, podjetnosti in inovativnosti (v nadaljevanju UPI)</w:t>
      </w:r>
      <w:r>
        <w:t xml:space="preserve"> je prinesel določene rezultate. S tem programom </w:t>
      </w:r>
      <w:r w:rsidR="00B042A4">
        <w:t>se želi</w:t>
      </w:r>
      <w:r>
        <w:t xml:space="preserve"> pri</w:t>
      </w:r>
      <w:r w:rsidRPr="000300B8">
        <w:t xml:space="preserve"> mladi</w:t>
      </w:r>
      <w:r>
        <w:t>h</w:t>
      </w:r>
      <w:r w:rsidRPr="000300B8">
        <w:t xml:space="preserve"> razvija</w:t>
      </w:r>
      <w:r>
        <w:t xml:space="preserve">ti </w:t>
      </w:r>
      <w:r w:rsidRPr="000300B8">
        <w:t>osebnostne lastnosti, ki so pomembne za podjetništvo – od ustvarjalnosti, samoiniciativnosti, sprejemanja tveganj in odgovornosti do samozavesti in javnega nastopanja.</w:t>
      </w:r>
      <w:r>
        <w:t xml:space="preserve"> </w:t>
      </w:r>
      <w:r w:rsidR="00DA1041">
        <w:t>Prizadevali si bomo, da se k</w:t>
      </w:r>
      <w:r w:rsidRPr="00062031">
        <w:t>ulturo ustvarjalnega, podjetnega in inovativnega načina razmišljanja</w:t>
      </w:r>
      <w:r>
        <w:t xml:space="preserve"> </w:t>
      </w:r>
      <w:r w:rsidRPr="00062031">
        <w:t>vpelj</w:t>
      </w:r>
      <w:r w:rsidR="00DA1041">
        <w:t>e</w:t>
      </w:r>
      <w:r w:rsidRPr="00062031">
        <w:t xml:space="preserve"> v vse dele izobraževalnega sistema (</w:t>
      </w:r>
      <w:proofErr w:type="spellStart"/>
      <w:r w:rsidRPr="00062031">
        <w:t>kroskurikularno</w:t>
      </w:r>
      <w:proofErr w:type="spellEnd"/>
      <w:r w:rsidRPr="00062031">
        <w:t>) od vrtcev do fakultet ter tudi v podjetja</w:t>
      </w:r>
      <w:r w:rsidR="00EF1112">
        <w:t xml:space="preserve"> za vzgojo ustreznih kadrov</w:t>
      </w:r>
      <w:r w:rsidRPr="00062031">
        <w:t xml:space="preserve">. </w:t>
      </w:r>
    </w:p>
    <w:p w14:paraId="38E3D777" w14:textId="14E2D6CB" w:rsidR="003A560A" w:rsidRDefault="00AA2E78" w:rsidP="00AA2E78">
      <w:pPr>
        <w:jc w:val="both"/>
      </w:pPr>
      <w:r>
        <w:t xml:space="preserve">Skrbeti je treba za </w:t>
      </w:r>
      <w:r w:rsidRPr="00AA2E78">
        <w:rPr>
          <w:b/>
        </w:rPr>
        <w:t>promocijo podjetništva</w:t>
      </w:r>
      <w:r>
        <w:t xml:space="preserve"> in </w:t>
      </w:r>
      <w:r w:rsidRPr="00AA2E78">
        <w:rPr>
          <w:b/>
        </w:rPr>
        <w:t>izvajanje ukrepov za spodbujanje podjetništva med posebnimi ciljnimi skupinami</w:t>
      </w:r>
      <w:r w:rsidRPr="00470BA3">
        <w:t xml:space="preserve"> (</w:t>
      </w:r>
      <w:r>
        <w:t xml:space="preserve">npr. </w:t>
      </w:r>
      <w:r w:rsidRPr="00470BA3">
        <w:t xml:space="preserve">mladi, ženske, </w:t>
      </w:r>
      <w:r w:rsidR="00E902B3">
        <w:t>družinsko podjetništvo</w:t>
      </w:r>
      <w:r>
        <w:t xml:space="preserve">). </w:t>
      </w:r>
      <w:r w:rsidR="007040E1">
        <w:t xml:space="preserve">Ključna je tudi promocija in internacionalizacija industrije skozi koherentno delovanje podpornih mrež ter organizacijo konferenc, posvetov, seminarjev </w:t>
      </w:r>
      <w:r w:rsidR="006357E9">
        <w:t xml:space="preserve">in </w:t>
      </w:r>
      <w:r w:rsidR="007040E1">
        <w:t>delavnic v Sloveniji in v mednarodnem okolju.</w:t>
      </w:r>
    </w:p>
    <w:p w14:paraId="17CDB6F7" w14:textId="77777777" w:rsidR="0040378F" w:rsidRPr="006919C4" w:rsidRDefault="00E50C26" w:rsidP="00AA2E78">
      <w:pPr>
        <w:jc w:val="both"/>
      </w:pPr>
      <w:r w:rsidRPr="006919C4">
        <w:t xml:space="preserve">V Sloveniji že več kot dvajset let uspešno poteka </w:t>
      </w:r>
      <w:r w:rsidRPr="006919C4">
        <w:rPr>
          <w:b/>
          <w:bCs/>
        </w:rPr>
        <w:t>nagrajevanje in promocija najboljših slovenskih inovacij</w:t>
      </w:r>
      <w:r w:rsidRPr="006919C4">
        <w:t>, ki temelji na regijskem izboru najboljših inovacij in se zaključi z izborom najboljših nacionalnih inovacij. Priznanja za inovativnost ne pomenijo zgolj potrditve za nagrajence in njihovo promocijo doma in po svetu</w:t>
      </w:r>
      <w:r w:rsidR="006357E9">
        <w:t>,</w:t>
      </w:r>
      <w:r w:rsidRPr="006919C4">
        <w:t xml:space="preserve"> ampak jih tudi povezujejo med sabo, zato je smiselno projekt nadaljevati, pospeševati in ga nadgraditi z dodatnimi vsebinskimi aktivnostmi. </w:t>
      </w:r>
    </w:p>
    <w:p w14:paraId="49F0E730" w14:textId="77777777" w:rsidR="00C72375" w:rsidRPr="00E00B6A" w:rsidRDefault="00814645" w:rsidP="002C7476">
      <w:pPr>
        <w:pStyle w:val="Naslov2"/>
        <w:numPr>
          <w:ilvl w:val="1"/>
          <w:numId w:val="7"/>
        </w:numPr>
        <w:rPr>
          <w:bCs/>
          <w:caps w:val="0"/>
        </w:rPr>
      </w:pPr>
      <w:bookmarkStart w:id="29" w:name="_Toc51140511"/>
      <w:r w:rsidRPr="00E00B6A">
        <w:rPr>
          <w:bCs/>
          <w:caps w:val="0"/>
        </w:rPr>
        <w:t xml:space="preserve">Podpora zagonu, </w:t>
      </w:r>
      <w:r w:rsidR="00682A26" w:rsidRPr="00814645">
        <w:rPr>
          <w:caps w:val="0"/>
        </w:rPr>
        <w:t>rasti in razvoju podjetij</w:t>
      </w:r>
      <w:bookmarkEnd w:id="29"/>
    </w:p>
    <w:p w14:paraId="39E204E3" w14:textId="06700DB1" w:rsidR="00814645" w:rsidRDefault="00814645" w:rsidP="00814645">
      <w:pPr>
        <w:jc w:val="both"/>
      </w:pPr>
      <w:r>
        <w:t>V tem okviru je potrebno s</w:t>
      </w:r>
      <w:r w:rsidRPr="00DF46A7">
        <w:t xml:space="preserve">podbujanje ustanovitve in zagona nastajajočih </w:t>
      </w:r>
      <w:r>
        <w:t xml:space="preserve">inovativnih </w:t>
      </w:r>
      <w:r w:rsidRPr="00DF46A7">
        <w:t>podjetij,</w:t>
      </w:r>
      <w:r w:rsidR="0077282F">
        <w:t xml:space="preserve"> podjetij v fazi hitre rasti (scale-up),</w:t>
      </w:r>
      <w:r w:rsidRPr="00DF46A7">
        <w:t xml:space="preserve"> razvoj</w:t>
      </w:r>
      <w:r w:rsidR="0077282F">
        <w:t xml:space="preserve"> ostalih</w:t>
      </w:r>
      <w:r w:rsidRPr="00DF46A7">
        <w:t xml:space="preserve"> podjetij in uspešen prenos idej podjetnih posameznikov in skupin v tržno uspešne podjeme, ki imajo pozitiv</w:t>
      </w:r>
      <w:r w:rsidR="006357E9">
        <w:t>e</w:t>
      </w:r>
      <w:r w:rsidRPr="00DF46A7">
        <w:t>n gospodarski in družbeni pome</w:t>
      </w:r>
      <w:r>
        <w:t>n.</w:t>
      </w:r>
      <w:r w:rsidR="001C639C">
        <w:t xml:space="preserve"> Spodbude bodo usmerjene v </w:t>
      </w:r>
      <w:proofErr w:type="spellStart"/>
      <w:r w:rsidR="001C639C">
        <w:t>nišne</w:t>
      </w:r>
      <w:proofErr w:type="spellEnd"/>
      <w:r w:rsidR="001C639C">
        <w:t xml:space="preserve"> trge in bodo podpirale zeleni in digitalni prehod.</w:t>
      </w:r>
    </w:p>
    <w:p w14:paraId="2EE25A3F" w14:textId="77777777" w:rsidR="00E84532" w:rsidRPr="00C72375" w:rsidRDefault="00E84532" w:rsidP="001C639C">
      <w:pPr>
        <w:jc w:val="both"/>
      </w:pPr>
      <w:r>
        <w:t>Prav tako je ključnega pomena, da imajo podjetja, zlasti MSP</w:t>
      </w:r>
      <w:r w:rsidR="00382408">
        <w:t>,</w:t>
      </w:r>
      <w:r>
        <w:t xml:space="preserve"> dostop do ugodnih </w:t>
      </w:r>
      <w:r w:rsidR="006975F0" w:rsidRPr="00062031">
        <w:rPr>
          <w:rFonts w:cs="Calibri"/>
        </w:rPr>
        <w:t>virov financiranja</w:t>
      </w:r>
      <w:r>
        <w:rPr>
          <w:rFonts w:cs="Calibri"/>
        </w:rPr>
        <w:t>, saj je to</w:t>
      </w:r>
      <w:r w:rsidR="006975F0" w:rsidRPr="00062031">
        <w:rPr>
          <w:rFonts w:cs="Calibri"/>
        </w:rPr>
        <w:t xml:space="preserve"> ena najtežje premostljivih ovir za vsa podjetja.</w:t>
      </w:r>
      <w:r>
        <w:rPr>
          <w:rFonts w:cs="Calibri"/>
        </w:rPr>
        <w:t xml:space="preserve"> V tem oziru je potrebno krepiti dolžniške in lastniške vire financiranja. </w:t>
      </w:r>
      <w:r w:rsidR="00682A26">
        <w:rPr>
          <w:rFonts w:cs="Calibri"/>
        </w:rPr>
        <w:t xml:space="preserve">Prav </w:t>
      </w:r>
      <w:r>
        <w:rPr>
          <w:rFonts w:cs="Calibri"/>
        </w:rPr>
        <w:t xml:space="preserve">tako pa so z vidika rasti in razvoja podjetij pomembne spodbude </w:t>
      </w:r>
      <w:r w:rsidR="001C639C">
        <w:rPr>
          <w:rFonts w:cs="Calibri"/>
        </w:rPr>
        <w:lastRenderedPageBreak/>
        <w:t xml:space="preserve">tako </w:t>
      </w:r>
      <w:r>
        <w:rPr>
          <w:rFonts w:cs="Calibri"/>
        </w:rPr>
        <w:t>malih vrednosti (t.</w:t>
      </w:r>
      <w:r w:rsidR="006357E9">
        <w:rPr>
          <w:rFonts w:cs="Calibri"/>
        </w:rPr>
        <w:t xml:space="preserve"> </w:t>
      </w:r>
      <w:r>
        <w:rPr>
          <w:rFonts w:cs="Calibri"/>
        </w:rPr>
        <w:t xml:space="preserve">i. vavčerji), preko katerih imajo podjetja dostop do storitev s področja digitalizacije, </w:t>
      </w:r>
      <w:r w:rsidRPr="00FD4C45">
        <w:rPr>
          <w:rFonts w:cs="Calibri"/>
        </w:rPr>
        <w:t>intelektualne</w:t>
      </w:r>
      <w:r>
        <w:rPr>
          <w:rFonts w:cs="Calibri"/>
        </w:rPr>
        <w:t xml:space="preserve"> lastnine, certifikatov, usposabljanja, </w:t>
      </w:r>
      <w:r w:rsidR="001C639C">
        <w:rPr>
          <w:rFonts w:cs="Calibri"/>
        </w:rPr>
        <w:t>kot tudi velikih razvojno</w:t>
      </w:r>
      <w:r w:rsidR="006357E9">
        <w:rPr>
          <w:rFonts w:cs="Calibri"/>
        </w:rPr>
        <w:t>-</w:t>
      </w:r>
      <w:r w:rsidR="001C639C">
        <w:rPr>
          <w:rFonts w:cs="Calibri"/>
        </w:rPr>
        <w:t xml:space="preserve"> inovacijskih projektov, ki so strateškega pomena za državo.</w:t>
      </w:r>
    </w:p>
    <w:p w14:paraId="3CACFE4D" w14:textId="77777777" w:rsidR="00F55CCC" w:rsidRPr="0059557B" w:rsidRDefault="00E26DB8" w:rsidP="002C7476">
      <w:pPr>
        <w:pStyle w:val="Naslov2"/>
        <w:numPr>
          <w:ilvl w:val="1"/>
          <w:numId w:val="7"/>
        </w:numPr>
        <w:rPr>
          <w:bCs/>
        </w:rPr>
      </w:pPr>
      <w:bookmarkStart w:id="30" w:name="_Toc51140512"/>
      <w:r w:rsidRPr="0059557B">
        <w:rPr>
          <w:bCs/>
          <w:caps w:val="0"/>
        </w:rPr>
        <w:t xml:space="preserve">Krepitev </w:t>
      </w:r>
      <w:proofErr w:type="spellStart"/>
      <w:r w:rsidRPr="00C51DE5">
        <w:rPr>
          <w:caps w:val="0"/>
        </w:rPr>
        <w:t>netehnoloških</w:t>
      </w:r>
      <w:proofErr w:type="spellEnd"/>
      <w:r w:rsidRPr="0059557B">
        <w:rPr>
          <w:bCs/>
          <w:caps w:val="0"/>
        </w:rPr>
        <w:t xml:space="preserve"> inovacij</w:t>
      </w:r>
      <w:bookmarkEnd w:id="30"/>
      <w:r w:rsidR="00F55CCC">
        <w:rPr>
          <w:bCs/>
          <w:caps w:val="0"/>
        </w:rPr>
        <w:t xml:space="preserve"> </w:t>
      </w:r>
    </w:p>
    <w:p w14:paraId="53A49A87" w14:textId="05D27CA8" w:rsidR="005F202D" w:rsidRDefault="009C51B9" w:rsidP="005063AF">
      <w:pPr>
        <w:jc w:val="both"/>
      </w:pPr>
      <w:r w:rsidRPr="005063AF">
        <w:t>Spoprijemanje podjetij, zlasti MSP, z izzivi zelenega in digitalnega prehoda gospodarstva terja širše razumevanje pojma inovacije, ki se ne more omejevati le na tehnologijo, ampak vključuje vse vrste inovacij</w:t>
      </w:r>
      <w:r w:rsidR="005258A8">
        <w:t>,</w:t>
      </w:r>
      <w:r w:rsidR="00C557F5">
        <w:t xml:space="preserve"> od najpogosteje prisotnih produktnih in procesnih do marketinških, organizacijskih in družbenih</w:t>
      </w:r>
      <w:r w:rsidRPr="005063AF">
        <w:t xml:space="preserve">. Obstoječa mala podjetja niso nujno inovativni </w:t>
      </w:r>
      <w:proofErr w:type="spellStart"/>
      <w:r w:rsidRPr="005063AF">
        <w:t>startup</w:t>
      </w:r>
      <w:proofErr w:type="spellEnd"/>
      <w:r w:rsidRPr="005063AF">
        <w:t xml:space="preserve">-i v klasičnem smislu. V takšnih podjetjih je treba </w:t>
      </w:r>
      <w:r w:rsidR="00382408">
        <w:t xml:space="preserve">z </w:t>
      </w:r>
      <w:r w:rsidRPr="005063AF">
        <w:t>ukrepi spodbujati tudi inovativne poslovno</w:t>
      </w:r>
      <w:r w:rsidR="00382408">
        <w:t>-</w:t>
      </w:r>
      <w:r w:rsidRPr="005063AF">
        <w:t xml:space="preserve">upravljavske rešitve ter ustvarjalnost v najširšem smislu.    </w:t>
      </w:r>
    </w:p>
    <w:p w14:paraId="6CC8FC9D" w14:textId="083CFA5D" w:rsidR="00CC20A4" w:rsidRDefault="005F202D" w:rsidP="00BC5FE6">
      <w:pPr>
        <w:jc w:val="both"/>
      </w:pPr>
      <w:proofErr w:type="spellStart"/>
      <w:r>
        <w:t>N</w:t>
      </w:r>
      <w:r w:rsidRPr="005F202D">
        <w:t>etehnološke</w:t>
      </w:r>
      <w:proofErr w:type="spellEnd"/>
      <w:r w:rsidRPr="005F202D">
        <w:t xml:space="preserve"> inovacije</w:t>
      </w:r>
      <w:r w:rsidR="00C557F5">
        <w:t>, ki temeljijo na inoviranju procesov, storitev in predvsem poslovnih modelov</w:t>
      </w:r>
      <w:r w:rsidR="00B0514E">
        <w:t>,</w:t>
      </w:r>
      <w:r>
        <w:t xml:space="preserve"> so pogosto tiste</w:t>
      </w:r>
      <w:r w:rsidRPr="005F202D">
        <w:t>, ki ustvarjajo razliko</w:t>
      </w:r>
      <w:r>
        <w:t xml:space="preserve"> med posameznimi proizvodi in ustvarjajo dodano vrednost. </w:t>
      </w:r>
      <w:r w:rsidR="00F55CCC">
        <w:t>Dejstvo je, da i</w:t>
      </w:r>
      <w:r w:rsidR="00CC20A4">
        <w:t>novacije</w:t>
      </w:r>
      <w:r w:rsidR="00F55CCC">
        <w:t xml:space="preserve"> mnogokrat</w:t>
      </w:r>
      <w:r w:rsidR="00CC20A4">
        <w:t xml:space="preserve"> ne izhajajo iz raziskav in razvoja</w:t>
      </w:r>
      <w:r w:rsidR="00382408">
        <w:t>,</w:t>
      </w:r>
      <w:r w:rsidR="00CC20A4">
        <w:t xml:space="preserve"> temveč temeljijo na </w:t>
      </w:r>
      <w:r w:rsidR="00B0514E">
        <w:t>problemu</w:t>
      </w:r>
      <w:r w:rsidR="00C557F5">
        <w:t xml:space="preserve"> uporabnika ter </w:t>
      </w:r>
      <w:r w:rsidR="00CC20A4">
        <w:t>uporabi obstoječih tehnologij, produktov</w:t>
      </w:r>
      <w:r w:rsidR="00F55CCC">
        <w:t>. Inovacija je lahko nov poslovni model, ki</w:t>
      </w:r>
      <w:r w:rsidR="00F6580B">
        <w:t xml:space="preserve"> na primer</w:t>
      </w:r>
      <w:r w:rsidR="00F55CCC">
        <w:t xml:space="preserve"> izhaja iz upoštevanja uporabniških izkušenj, </w:t>
      </w:r>
      <w:r w:rsidR="00F6580B">
        <w:t>uporabe digitalnih tehnologij (npr. platforma za souporabo) ali vključevanja storitev (poprodajne storitve, popravila, ipd.)</w:t>
      </w:r>
      <w:r w:rsidR="00F55CCC">
        <w:t xml:space="preserve">.  </w:t>
      </w:r>
    </w:p>
    <w:p w14:paraId="75900F7D" w14:textId="7DBD4E72" w:rsidR="005F202D" w:rsidRDefault="00D57E22" w:rsidP="007058D9">
      <w:pPr>
        <w:jc w:val="both"/>
        <w:rPr>
          <w:b/>
        </w:rPr>
      </w:pPr>
      <w:r w:rsidRPr="00D57E22">
        <w:rPr>
          <w:b/>
        </w:rPr>
        <w:t>Dizajn management</w:t>
      </w:r>
      <w:r>
        <w:t xml:space="preserve"> je </w:t>
      </w:r>
      <w:r w:rsidR="0032358A">
        <w:t>primer</w:t>
      </w:r>
      <w:r>
        <w:t xml:space="preserve"> instrument</w:t>
      </w:r>
      <w:r w:rsidR="0032358A">
        <w:t>a</w:t>
      </w:r>
      <w:r>
        <w:t xml:space="preserve"> krepitve ustvarjalnosti in izboljšanja konkurenčnosti v podjetjih, ki se je izkazal za izjemno uspešnega. V Sloveniji smo to podprli preko dveh kompetenčnih centrov za dizajn management (v obdobjih 2013-2015 ter 2017-2019). V 2,5 let</w:t>
      </w:r>
      <w:r w:rsidR="00BB5565">
        <w:t>a</w:t>
      </w:r>
      <w:r>
        <w:t xml:space="preserve"> trajajočem projektu KCDM 2.0 (2017-2019) je bilo v usposabljanja vključenih 37 podjetij in njihovih skupno 1.433 zaposlenih. Rezultati po koncu projekta so izjemno dobri. S pomočjo izboljšav poslovnih procesov in produktov se je rast dobička v podjetjih v projektu povečala v povprečju za 104 %, dodana vrednost na zaposlenega pa v povprečju za 12 %.</w:t>
      </w:r>
    </w:p>
    <w:p w14:paraId="32AF2360" w14:textId="77777777" w:rsidR="00D96331" w:rsidRDefault="00D96331" w:rsidP="00D96331"/>
    <w:p w14:paraId="03ECE22F" w14:textId="77777777" w:rsidR="00D96331" w:rsidRDefault="00B363FC" w:rsidP="00D96331">
      <w:r>
        <w:br w:type="page"/>
      </w:r>
    </w:p>
    <w:p w14:paraId="31ADE36A" w14:textId="77777777" w:rsidR="0071055E" w:rsidRPr="006C7ECF" w:rsidRDefault="0071055E" w:rsidP="0071055E">
      <w:pPr>
        <w:pStyle w:val="Naslov1"/>
        <w:numPr>
          <w:ilvl w:val="0"/>
          <w:numId w:val="5"/>
        </w:numPr>
        <w:rPr>
          <w:caps w:val="0"/>
        </w:rPr>
      </w:pPr>
      <w:bookmarkStart w:id="31" w:name="_Toc47013589"/>
      <w:bookmarkStart w:id="32" w:name="_Toc51140513"/>
      <w:r>
        <w:rPr>
          <w:caps w:val="0"/>
        </w:rPr>
        <w:lastRenderedPageBreak/>
        <w:t>P</w:t>
      </w:r>
      <w:r w:rsidR="00585501">
        <w:rPr>
          <w:caps w:val="0"/>
        </w:rPr>
        <w:t>AMETNI RAZVOJ</w:t>
      </w:r>
      <w:bookmarkEnd w:id="31"/>
      <w:bookmarkEnd w:id="32"/>
    </w:p>
    <w:p w14:paraId="76FA3824" w14:textId="4981C5EA" w:rsidR="007705D4" w:rsidRDefault="00B86B35" w:rsidP="0023068A">
      <w:pPr>
        <w:jc w:val="both"/>
      </w:pPr>
      <w:r>
        <w:t xml:space="preserve">Pametna </w:t>
      </w:r>
      <w:r w:rsidR="0023068A">
        <w:t xml:space="preserve">industrija, ki jo lahko imenujemo tudi </w:t>
      </w:r>
      <w:r w:rsidR="0023068A" w:rsidRPr="0023068A">
        <w:t>Industrij</w:t>
      </w:r>
      <w:r w:rsidR="0023068A">
        <w:t>a</w:t>
      </w:r>
      <w:r w:rsidR="0023068A" w:rsidRPr="0023068A">
        <w:t xml:space="preserve"> 4.0</w:t>
      </w:r>
      <w:r w:rsidR="0023068A">
        <w:t>,</w:t>
      </w:r>
      <w:r w:rsidR="0023068A" w:rsidRPr="0023068A">
        <w:t xml:space="preserve"> </w:t>
      </w:r>
      <w:r w:rsidR="0023068A">
        <w:t xml:space="preserve">je </w:t>
      </w:r>
      <w:r w:rsidR="000300B8">
        <w:t>postal</w:t>
      </w:r>
      <w:r w:rsidR="00BB5565">
        <w:t>a</w:t>
      </w:r>
      <w:r w:rsidR="000300B8">
        <w:t xml:space="preserve"> </w:t>
      </w:r>
      <w:r w:rsidR="0023068A">
        <w:t>trend</w:t>
      </w:r>
      <w:r w:rsidR="000300B8">
        <w:t xml:space="preserve">, ki je </w:t>
      </w:r>
      <w:r w:rsidR="0023068A" w:rsidRPr="0023068A">
        <w:t>strateš</w:t>
      </w:r>
      <w:r w:rsidR="0023068A" w:rsidRPr="0023068A">
        <w:rPr>
          <w:rFonts w:ascii="Arial" w:hAnsi="Arial" w:cs="Arial"/>
        </w:rPr>
        <w:t>k</w:t>
      </w:r>
      <w:r w:rsidR="0023068A">
        <w:t>a</w:t>
      </w:r>
      <w:r w:rsidR="0023068A" w:rsidRPr="0023068A">
        <w:t xml:space="preserve"> prioritet</w:t>
      </w:r>
      <w:r w:rsidR="0023068A">
        <w:t>a</w:t>
      </w:r>
      <w:r w:rsidR="000300B8">
        <w:t xml:space="preserve"> v</w:t>
      </w:r>
      <w:r w:rsidR="0023068A" w:rsidRPr="0023068A">
        <w:t xml:space="preserve"> </w:t>
      </w:r>
      <w:r w:rsidR="0023068A">
        <w:t xml:space="preserve">mnogih industrijskih </w:t>
      </w:r>
      <w:r w:rsidR="0023068A" w:rsidRPr="00FD4C45">
        <w:t>podjet</w:t>
      </w:r>
      <w:r w:rsidR="0032594A">
        <w:t>jih</w:t>
      </w:r>
      <w:r w:rsidR="0023068A" w:rsidRPr="00FD4C45">
        <w:t>.</w:t>
      </w:r>
      <w:r w:rsidR="0023068A" w:rsidRPr="0023068A">
        <w:t xml:space="preserve"> </w:t>
      </w:r>
      <w:r w:rsidR="0023068A">
        <w:t xml:space="preserve">Pri tem </w:t>
      </w:r>
      <w:r w:rsidR="0023068A" w:rsidRPr="0023068A">
        <w:t>podjetja združ</w:t>
      </w:r>
      <w:r w:rsidR="0023068A" w:rsidRPr="0023068A">
        <w:rPr>
          <w:rFonts w:ascii="Arial" w:hAnsi="Arial" w:cs="Arial"/>
        </w:rPr>
        <w:t>u</w:t>
      </w:r>
      <w:r w:rsidR="0023068A" w:rsidRPr="0023068A">
        <w:t xml:space="preserve">jejo napredno povezljivost, avtomatizacijo, tehnologije oblakov, </w:t>
      </w:r>
      <w:proofErr w:type="spellStart"/>
      <w:r w:rsidR="0023068A" w:rsidRPr="0023068A">
        <w:t>senzoriko</w:t>
      </w:r>
      <w:proofErr w:type="spellEnd"/>
      <w:r w:rsidR="0023068A" w:rsidRPr="0023068A">
        <w:t>, različ</w:t>
      </w:r>
      <w:r w:rsidR="0023068A" w:rsidRPr="0023068A">
        <w:rPr>
          <w:rFonts w:ascii="Arial" w:hAnsi="Arial" w:cs="Arial"/>
        </w:rPr>
        <w:t>n</w:t>
      </w:r>
      <w:r w:rsidR="0023068A" w:rsidRPr="0023068A">
        <w:t>e proizvodne procese, inteligentne algoritme</w:t>
      </w:r>
      <w:r w:rsidR="0023068A">
        <w:t>,</w:t>
      </w:r>
      <w:r w:rsidR="0023068A" w:rsidRPr="0023068A">
        <w:t xml:space="preserve"> </w:t>
      </w:r>
      <w:proofErr w:type="spellStart"/>
      <w:r w:rsidR="0023068A" w:rsidRPr="0023068A">
        <w:t>IoT</w:t>
      </w:r>
      <w:proofErr w:type="spellEnd"/>
      <w:r w:rsidR="0023068A" w:rsidRPr="0023068A">
        <w:t xml:space="preserve"> (internet stvari) </w:t>
      </w:r>
      <w:r w:rsidR="000300B8">
        <w:t>in umetno inteligenco</w:t>
      </w:r>
      <w:r w:rsidR="0023068A" w:rsidRPr="0023068A">
        <w:t xml:space="preserve">. </w:t>
      </w:r>
      <w:r w:rsidR="000300B8">
        <w:t xml:space="preserve">Bistvo je </w:t>
      </w:r>
      <w:r w:rsidR="000300B8" w:rsidRPr="00FD4C45">
        <w:t>popoln</w:t>
      </w:r>
      <w:r w:rsidR="000300B8">
        <w:t xml:space="preserve"> nadzor</w:t>
      </w:r>
      <w:r w:rsidR="0023068A" w:rsidRPr="0023068A">
        <w:t xml:space="preserve"> nad celotnim poslovnim procesom </w:t>
      </w:r>
      <w:r w:rsidR="0023068A" w:rsidRPr="00FD4C45">
        <w:t>prek</w:t>
      </w:r>
      <w:r w:rsidR="0032594A">
        <w:t>o</w:t>
      </w:r>
      <w:r w:rsidR="0023068A" w:rsidRPr="0023068A">
        <w:t xml:space="preserve"> digitalne platforme. </w:t>
      </w:r>
      <w:r w:rsidR="000300B8">
        <w:t>Pri tem gre lahko za</w:t>
      </w:r>
      <w:r w:rsidR="0023068A" w:rsidRPr="0023068A">
        <w:t xml:space="preserve"> proizvodnj</w:t>
      </w:r>
      <w:r w:rsidR="000300B8">
        <w:t>o</w:t>
      </w:r>
      <w:r w:rsidR="0023068A" w:rsidRPr="0023068A">
        <w:t xml:space="preserve">, </w:t>
      </w:r>
      <w:r w:rsidR="000300B8">
        <w:t>logistiko</w:t>
      </w:r>
      <w:r w:rsidR="0023068A" w:rsidRPr="0023068A">
        <w:t>, upravljanje z viri</w:t>
      </w:r>
      <w:r w:rsidR="000300B8">
        <w:t>, sledenje materialom</w:t>
      </w:r>
      <w:r w:rsidR="000300B8" w:rsidRPr="00FD4C45">
        <w:t xml:space="preserve"> in podobno</w:t>
      </w:r>
      <w:r w:rsidR="00AC58D7">
        <w:t>.</w:t>
      </w:r>
      <w:r w:rsidR="001F13CB" w:rsidRPr="001F13CB">
        <w:t xml:space="preserve"> </w:t>
      </w:r>
      <w:r w:rsidR="001F13CB">
        <w:t>Prav tako kot tehnologija pa so pomembni tudi poslovni procesi, ki se z uvedbo digitalizacije spremenijo. Enako velja za verige vrednosti.</w:t>
      </w:r>
    </w:p>
    <w:p w14:paraId="7848A6B9" w14:textId="16AD466D" w:rsidR="002D3665" w:rsidRDefault="002D3665" w:rsidP="0023068A">
      <w:pPr>
        <w:jc w:val="both"/>
      </w:pPr>
      <w:r>
        <w:t xml:space="preserve">Za </w:t>
      </w:r>
      <w:r w:rsidR="004F0406">
        <w:t>pametno industrijo</w:t>
      </w:r>
      <w:r w:rsidR="00673190">
        <w:t>,</w:t>
      </w:r>
      <w:r w:rsidR="004F0406">
        <w:t xml:space="preserve"> </w:t>
      </w:r>
      <w:r w:rsidR="00673190">
        <w:t xml:space="preserve">ki jo je potrebno čim hitreje prilagoditi enotnemu digitalnemu trgu EU, </w:t>
      </w:r>
      <w:r w:rsidR="004F0406">
        <w:t>je pomembna krepitev digitalizacije</w:t>
      </w:r>
      <w:r w:rsidR="00B86B35" w:rsidRPr="00B86B35">
        <w:t xml:space="preserve"> poslovanja, storitev, produktov in poslovnih modelov</w:t>
      </w:r>
      <w:r w:rsidR="004F0406">
        <w:t xml:space="preserve">, pospešeno vlaganje v raziskave, razvoj in inovacije, mreženje in povezovanje različnih akterjev, krepitev kompetenc ter nenazadnje </w:t>
      </w:r>
      <w:r w:rsidR="0071055E">
        <w:t>pospeševanje mednarodnega povezovanja podjetij</w:t>
      </w:r>
      <w:r w:rsidR="004F0406">
        <w:t>.</w:t>
      </w:r>
      <w:r w:rsidR="001F13CB" w:rsidRPr="001F13CB">
        <w:t xml:space="preserve"> </w:t>
      </w:r>
      <w:r w:rsidR="00AE047C" w:rsidRPr="00AE047C">
        <w:t>Ključno na teh področjih ostaja razumevanje trga, produkta in problema</w:t>
      </w:r>
      <w:r w:rsidR="00AE047C">
        <w:t xml:space="preserve"> uporabnika</w:t>
      </w:r>
      <w:r w:rsidR="00AE047C" w:rsidRPr="00AE047C">
        <w:t xml:space="preserve">, ki ga z naprednimi rešitvami rešujemo. Potrebno je namreč </w:t>
      </w:r>
      <w:r w:rsidR="00966EA9" w:rsidRPr="00AE047C">
        <w:t xml:space="preserve">reševati izzive družbe </w:t>
      </w:r>
      <w:r w:rsidR="00966EA9">
        <w:t>s</w:t>
      </w:r>
      <w:r w:rsidR="00966EA9" w:rsidRPr="00AE047C">
        <w:t xml:space="preserve"> </w:t>
      </w:r>
      <w:r w:rsidR="00AE047C" w:rsidRPr="00AE047C">
        <w:t>sodobnimi in nov</w:t>
      </w:r>
      <w:r w:rsidR="00966EA9">
        <w:t>i</w:t>
      </w:r>
      <w:r w:rsidR="00AE047C" w:rsidRPr="00AE047C">
        <w:t>mi tehnologijami in razviti produkte, ki bo</w:t>
      </w:r>
      <w:r w:rsidR="00966EA9">
        <w:t>d</w:t>
      </w:r>
      <w:r w:rsidR="00AE047C" w:rsidRPr="00AE047C">
        <w:t>o pomagali družbi in bodo posledično uspešni na trgu.</w:t>
      </w:r>
    </w:p>
    <w:p w14:paraId="16310BE8" w14:textId="069521DC" w:rsidR="00DE166B" w:rsidRDefault="00C67DE9" w:rsidP="0023068A">
      <w:pPr>
        <w:jc w:val="both"/>
      </w:pPr>
      <w:r>
        <w:t xml:space="preserve">Pospešena avtomatizacija s sabo prinaša tudi manjšo potrebo </w:t>
      </w:r>
      <w:r w:rsidR="007B292D">
        <w:t>po</w:t>
      </w:r>
      <w:r w:rsidR="00F20F3F">
        <w:t xml:space="preserve"> tradicionalnih delovnih mestih</w:t>
      </w:r>
      <w:r>
        <w:t>. S tega vidika je treba nasloviti tudi prekvalifikacijo delavcev</w:t>
      </w:r>
      <w:r w:rsidR="00DE166B">
        <w:t xml:space="preserve">, </w:t>
      </w:r>
      <w:r>
        <w:t>ustvarjanje kompetenc za poklice prihodnosti</w:t>
      </w:r>
      <w:r w:rsidR="00DE166B">
        <w:t>, morebitne prilagojene oblike dela in delovnika (skrajšan delovni čas, delo od doma, souporaba</w:t>
      </w:r>
      <w:r w:rsidR="007B292D">
        <w:t>,</w:t>
      </w:r>
      <w:r w:rsidR="00DE166B">
        <w:t>…)</w:t>
      </w:r>
      <w:r w:rsidR="00F20F3F">
        <w:t>,</w:t>
      </w:r>
      <w:r w:rsidR="00DE166B">
        <w:t xml:space="preserve"> ter spremembe, ki izhajajo iz krožnih poslovnih modelov (</w:t>
      </w:r>
      <w:r w:rsidR="00EF1112">
        <w:t xml:space="preserve">povečanje </w:t>
      </w:r>
      <w:r w:rsidR="00DE166B">
        <w:t>storit</w:t>
      </w:r>
      <w:r w:rsidR="00EF1112">
        <w:t>e</w:t>
      </w:r>
      <w:r w:rsidR="00DE166B">
        <w:t>v »</w:t>
      </w:r>
      <w:proofErr w:type="spellStart"/>
      <w:r w:rsidR="00DE166B">
        <w:t>reuse</w:t>
      </w:r>
      <w:proofErr w:type="spellEnd"/>
      <w:r w:rsidR="006919C4">
        <w:t>«</w:t>
      </w:r>
      <w:r w:rsidR="00DE166B">
        <w:t xml:space="preserve">, </w:t>
      </w:r>
      <w:r w:rsidR="006919C4">
        <w:t>»</w:t>
      </w:r>
      <w:proofErr w:type="spellStart"/>
      <w:r w:rsidR="00DE166B">
        <w:t>remanufacturing</w:t>
      </w:r>
      <w:proofErr w:type="spellEnd"/>
      <w:r w:rsidR="006919C4">
        <w:t>«</w:t>
      </w:r>
      <w:r w:rsidR="007B292D">
        <w:t>,</w:t>
      </w:r>
      <w:r w:rsidR="00F20F3F">
        <w:t>.</w:t>
      </w:r>
      <w:r w:rsidR="00DE166B">
        <w:t>..)</w:t>
      </w:r>
      <w:r>
        <w:t xml:space="preserve">. </w:t>
      </w:r>
      <w:r w:rsidR="00DE166B">
        <w:t>Digitalizacija mora podpirati tudi zeleni in ustvarjalni prehod.</w:t>
      </w:r>
    </w:p>
    <w:p w14:paraId="72A29121" w14:textId="77777777" w:rsidR="00E00B6A" w:rsidRDefault="004065BA" w:rsidP="00E00B6A">
      <w:pPr>
        <w:jc w:val="both"/>
      </w:pPr>
      <w:r w:rsidRPr="004065BA">
        <w:t>Odpornost digitalizirane industrije na kibernetske grožnje in napade je ključna za njeno dolgoročno uspešnost in preživetje. Zato je v pametni industriji potrebno zagotavljati visok nivo kibernetske varnosti, tako z ustreznimi sistemi kot tudi postopki in izobraževanjem ter osveščanjem.</w:t>
      </w:r>
      <w:r w:rsidR="00E00B6A">
        <w:t xml:space="preserve"> </w:t>
      </w:r>
    </w:p>
    <w:p w14:paraId="61A694A0" w14:textId="77777777" w:rsidR="007705D4" w:rsidRPr="0059557B" w:rsidRDefault="007705D4" w:rsidP="002C7476">
      <w:pPr>
        <w:pStyle w:val="Naslov2"/>
        <w:numPr>
          <w:ilvl w:val="1"/>
          <w:numId w:val="27"/>
        </w:numPr>
        <w:rPr>
          <w:bCs/>
          <w:caps w:val="0"/>
        </w:rPr>
      </w:pPr>
      <w:bookmarkStart w:id="33" w:name="_Toc51140514"/>
      <w:r w:rsidRPr="0059557B">
        <w:rPr>
          <w:bCs/>
          <w:caps w:val="0"/>
        </w:rPr>
        <w:t>Krepitev digitalizacije in pametnih rešitev</w:t>
      </w:r>
      <w:bookmarkEnd w:id="33"/>
    </w:p>
    <w:p w14:paraId="4EA09EDB" w14:textId="42026C65" w:rsidR="007705D4" w:rsidRDefault="00C532E5" w:rsidP="00377108">
      <w:pPr>
        <w:jc w:val="both"/>
        <w:rPr>
          <w:rFonts w:ascii="Trebuchet MS" w:hAnsi="Trebuchet MS" w:cstheme="minorHAnsi"/>
          <w:color w:val="000000"/>
          <w:szCs w:val="22"/>
        </w:rPr>
      </w:pPr>
      <w:r w:rsidRPr="00C532E5">
        <w:t xml:space="preserve">Posodabljanje gospodarstva </w:t>
      </w:r>
      <w:r>
        <w:t>mora iti</w:t>
      </w:r>
      <w:r w:rsidRPr="00C532E5">
        <w:t xml:space="preserve"> v smeri uporabe najbolj sodobnih tehnologij,</w:t>
      </w:r>
      <w:r w:rsidR="00AA1E76">
        <w:t xml:space="preserve"> najvišje procesne varnosti,</w:t>
      </w:r>
      <w:r w:rsidRPr="00C532E5">
        <w:t xml:space="preserve"> zvišanja stopnje avtomatizacije in robotizacije, uporabe digitalnih tehnologij ter umetne inteligence</w:t>
      </w:r>
      <w:r w:rsidR="00C67DE9">
        <w:t>, kar posledično prispeva tudi k učinkovitejši rabi virov in energije.</w:t>
      </w:r>
      <w:r w:rsidRPr="00C532E5">
        <w:t xml:space="preserve"> Uvajanje pametnih tovarn naj bi kar 10</w:t>
      </w:r>
      <w:r w:rsidR="00FC5C8B">
        <w:t>-krat</w:t>
      </w:r>
      <w:r w:rsidRPr="00C532E5">
        <w:t xml:space="preserve"> povečalo produktivnost</w:t>
      </w:r>
      <w:r w:rsidRPr="001B383C">
        <w:t>.</w:t>
      </w:r>
      <w:r w:rsidR="00377108" w:rsidRPr="001B383C">
        <w:t xml:space="preserve"> </w:t>
      </w:r>
      <w:bookmarkStart w:id="34" w:name="_Hlk36539626"/>
      <w:r w:rsidR="00E64022" w:rsidRPr="001B383C">
        <w:rPr>
          <w:rFonts w:ascii="Trebuchet MS" w:hAnsi="Trebuchet MS" w:cstheme="minorHAnsi"/>
          <w:color w:val="000000"/>
          <w:szCs w:val="22"/>
        </w:rPr>
        <w:t xml:space="preserve">Uvajanje digitalnih rešitev </w:t>
      </w:r>
      <w:r w:rsidR="001B383C">
        <w:rPr>
          <w:rFonts w:ascii="Trebuchet MS" w:hAnsi="Trebuchet MS" w:cstheme="minorHAnsi"/>
          <w:color w:val="000000"/>
          <w:szCs w:val="22"/>
        </w:rPr>
        <w:t xml:space="preserve">mora </w:t>
      </w:r>
      <w:r w:rsidR="00FC5C8B">
        <w:rPr>
          <w:rFonts w:ascii="Trebuchet MS" w:hAnsi="Trebuchet MS" w:cstheme="minorHAnsi"/>
          <w:color w:val="000000"/>
          <w:szCs w:val="22"/>
        </w:rPr>
        <w:t xml:space="preserve">potekati </w:t>
      </w:r>
      <w:r w:rsidR="00E64022" w:rsidRPr="001B383C">
        <w:rPr>
          <w:rFonts w:ascii="Trebuchet MS" w:hAnsi="Trebuchet MS" w:cstheme="minorHAnsi"/>
          <w:color w:val="000000"/>
          <w:szCs w:val="22"/>
        </w:rPr>
        <w:t>na več ravneh</w:t>
      </w:r>
      <w:r w:rsidR="009C51B9">
        <w:rPr>
          <w:rFonts w:ascii="Trebuchet MS" w:hAnsi="Trebuchet MS" w:cstheme="minorHAnsi"/>
          <w:color w:val="000000"/>
          <w:szCs w:val="22"/>
        </w:rPr>
        <w:t>.</w:t>
      </w:r>
      <w:r w:rsidR="00E64022" w:rsidRPr="001B383C">
        <w:rPr>
          <w:rFonts w:ascii="Trebuchet MS" w:hAnsi="Trebuchet MS" w:cstheme="minorHAnsi"/>
          <w:color w:val="000000"/>
          <w:szCs w:val="22"/>
        </w:rPr>
        <w:t xml:space="preserve"> </w:t>
      </w:r>
      <w:r w:rsidR="009C51B9">
        <w:rPr>
          <w:rFonts w:ascii="Trebuchet MS" w:hAnsi="Trebuchet MS" w:cstheme="minorHAnsi"/>
          <w:color w:val="000000"/>
          <w:szCs w:val="22"/>
        </w:rPr>
        <w:t>Na</w:t>
      </w:r>
      <w:r w:rsidR="00E64022" w:rsidRPr="001B383C">
        <w:rPr>
          <w:rFonts w:ascii="Trebuchet MS" w:hAnsi="Trebuchet MS" w:cstheme="minorHAnsi"/>
          <w:color w:val="000000"/>
          <w:szCs w:val="22"/>
        </w:rPr>
        <w:t xml:space="preserve"> ravni EU in ravni države </w:t>
      </w:r>
      <w:r w:rsidR="009C51B9">
        <w:rPr>
          <w:rFonts w:ascii="Trebuchet MS" w:hAnsi="Trebuchet MS" w:cstheme="minorHAnsi"/>
          <w:color w:val="000000"/>
          <w:szCs w:val="22"/>
        </w:rPr>
        <w:t>se</w:t>
      </w:r>
      <w:r w:rsidR="00E62E18">
        <w:rPr>
          <w:rFonts w:ascii="Trebuchet MS" w:hAnsi="Trebuchet MS" w:cstheme="minorHAnsi"/>
          <w:color w:val="000000"/>
          <w:szCs w:val="22"/>
        </w:rPr>
        <w:t xml:space="preserve"> prilagaja zakonodaja,</w:t>
      </w:r>
      <w:r w:rsidR="009C51B9">
        <w:rPr>
          <w:rFonts w:ascii="Trebuchet MS" w:hAnsi="Trebuchet MS" w:cstheme="minorHAnsi"/>
          <w:color w:val="000000"/>
          <w:szCs w:val="22"/>
        </w:rPr>
        <w:t xml:space="preserve"> </w:t>
      </w:r>
      <w:r w:rsidR="00E64022" w:rsidRPr="001B383C">
        <w:rPr>
          <w:rFonts w:ascii="Trebuchet MS" w:hAnsi="Trebuchet MS" w:cstheme="minorHAnsi"/>
          <w:color w:val="000000"/>
          <w:szCs w:val="22"/>
        </w:rPr>
        <w:t xml:space="preserve">pravila kibernetske varnosti in varstva potrošnikov ob </w:t>
      </w:r>
      <w:r w:rsidR="00377108" w:rsidRPr="001B383C">
        <w:rPr>
          <w:rFonts w:ascii="Trebuchet MS" w:hAnsi="Trebuchet MS" w:cstheme="minorHAnsi"/>
          <w:color w:val="000000"/>
          <w:szCs w:val="22"/>
        </w:rPr>
        <w:t>hkratnem uvajanju digitalne tehnologije</w:t>
      </w:r>
      <w:r w:rsidR="00E64022" w:rsidRPr="001B383C">
        <w:rPr>
          <w:rFonts w:ascii="Trebuchet MS" w:hAnsi="Trebuchet MS" w:cstheme="minorHAnsi"/>
          <w:color w:val="000000"/>
          <w:szCs w:val="22"/>
        </w:rPr>
        <w:t xml:space="preserve"> v poslovanje podjetij</w:t>
      </w:r>
      <w:r w:rsidR="00377108" w:rsidRPr="001B383C">
        <w:rPr>
          <w:rFonts w:ascii="Trebuchet MS" w:hAnsi="Trebuchet MS" w:cstheme="minorHAnsi"/>
          <w:color w:val="000000"/>
          <w:szCs w:val="22"/>
        </w:rPr>
        <w:t xml:space="preserve"> na vseh področjih</w:t>
      </w:r>
      <w:r w:rsidR="00E64022" w:rsidRPr="001B383C">
        <w:rPr>
          <w:rFonts w:ascii="Trebuchet MS" w:hAnsi="Trebuchet MS" w:cstheme="minorHAnsi"/>
          <w:color w:val="000000"/>
          <w:szCs w:val="22"/>
        </w:rPr>
        <w:t>.</w:t>
      </w:r>
      <w:r w:rsidR="001F13CB">
        <w:rPr>
          <w:rFonts w:ascii="Trebuchet MS" w:hAnsi="Trebuchet MS" w:cstheme="minorHAnsi"/>
          <w:color w:val="000000"/>
          <w:szCs w:val="22"/>
        </w:rPr>
        <w:t xml:space="preserve"> Nova zakonodaja pa mora imeti ocenjen vpliv na digitalno.</w:t>
      </w:r>
      <w:r w:rsidR="00437B38">
        <w:rPr>
          <w:rFonts w:ascii="Trebuchet MS" w:hAnsi="Trebuchet MS" w:cstheme="minorHAnsi"/>
          <w:color w:val="000000"/>
          <w:szCs w:val="22"/>
        </w:rPr>
        <w:t xml:space="preserve"> </w:t>
      </w:r>
      <w:r w:rsidR="00E64022" w:rsidRPr="001B383C">
        <w:rPr>
          <w:rFonts w:ascii="Trebuchet MS" w:hAnsi="Trebuchet MS" w:cstheme="minorHAnsi"/>
          <w:color w:val="000000"/>
          <w:szCs w:val="22"/>
        </w:rPr>
        <w:t>Ti procesi</w:t>
      </w:r>
      <w:r w:rsidR="00377108" w:rsidRPr="001B383C">
        <w:rPr>
          <w:rFonts w:ascii="Trebuchet MS" w:hAnsi="Trebuchet MS" w:cstheme="minorHAnsi"/>
          <w:color w:val="000000"/>
          <w:szCs w:val="22"/>
        </w:rPr>
        <w:t xml:space="preserve"> že spreminja</w:t>
      </w:r>
      <w:r w:rsidR="00E64022" w:rsidRPr="001B383C">
        <w:rPr>
          <w:rFonts w:ascii="Trebuchet MS" w:hAnsi="Trebuchet MS" w:cstheme="minorHAnsi"/>
          <w:color w:val="000000"/>
          <w:szCs w:val="22"/>
        </w:rPr>
        <w:t>jo</w:t>
      </w:r>
      <w:r w:rsidR="00377108" w:rsidRPr="001B383C">
        <w:rPr>
          <w:rFonts w:ascii="Trebuchet MS" w:hAnsi="Trebuchet MS" w:cstheme="minorHAnsi"/>
          <w:color w:val="000000"/>
          <w:szCs w:val="22"/>
        </w:rPr>
        <w:t xml:space="preserve"> podobo industrije in način poslovanja. To dokazujejo slovenska podjetja, ki sodelujejo z vodilnimi podjetji na svetovnem trgu tudi z uvajanjem </w:t>
      </w:r>
      <w:r w:rsidR="00E64022" w:rsidRPr="001B383C">
        <w:rPr>
          <w:rFonts w:ascii="Trebuchet MS" w:hAnsi="Trebuchet MS" w:cstheme="minorHAnsi"/>
          <w:color w:val="000000"/>
          <w:szCs w:val="22"/>
        </w:rPr>
        <w:t xml:space="preserve">pametne avtomatizirane proizvodnje in uporabo </w:t>
      </w:r>
      <w:r w:rsidR="00377108" w:rsidRPr="001B383C">
        <w:rPr>
          <w:rFonts w:ascii="Trebuchet MS" w:hAnsi="Trebuchet MS" w:cstheme="minorHAnsi"/>
          <w:color w:val="000000"/>
          <w:szCs w:val="22"/>
        </w:rPr>
        <w:t xml:space="preserve">umetne inteligence. </w:t>
      </w:r>
    </w:p>
    <w:p w14:paraId="02FB2482" w14:textId="781E42AE" w:rsidR="00DE166B" w:rsidRDefault="00377108" w:rsidP="00377108">
      <w:pPr>
        <w:jc w:val="both"/>
        <w:rPr>
          <w:rFonts w:ascii="Trebuchet MS" w:hAnsi="Trebuchet MS" w:cstheme="minorHAnsi"/>
          <w:color w:val="000000"/>
          <w:szCs w:val="22"/>
        </w:rPr>
      </w:pPr>
      <w:r>
        <w:t>Ukrepi na področju digitalizacije omogočajo podjetjem preprost in hiter prodor na tuji trg oz</w:t>
      </w:r>
      <w:r w:rsidR="00FC5C8B">
        <w:t>iroma</w:t>
      </w:r>
      <w:r>
        <w:t xml:space="preserve"> razširitev poslovanja na obstoječem tujem trgu, krajši čas določenih operacij, procesov, optimizacijo in </w:t>
      </w:r>
      <w:r w:rsidRPr="00FD4C45">
        <w:t>učinkovitejš</w:t>
      </w:r>
      <w:r w:rsidR="0032594A">
        <w:t>e</w:t>
      </w:r>
      <w:r>
        <w:t xml:space="preserve"> iskanje virov oz</w:t>
      </w:r>
      <w:r w:rsidR="00FC5C8B">
        <w:t>iroma</w:t>
      </w:r>
      <w:r w:rsidRPr="00FD4C45">
        <w:t xml:space="preserve"> </w:t>
      </w:r>
      <w:r w:rsidR="0032594A">
        <w:t>učinkovitejšo</w:t>
      </w:r>
      <w:r>
        <w:t xml:space="preserve"> nabavo, nižje stroške administracije, povečano preglednost nad poslovnimi procesi ter posledično povečano prodajo na tujih trgih, izboljšanje konkurenčnega položaja, poenostavitev distribucijske poti, razširitev trga in dosega poslovanja ter posledično večje prihodke, izboljšanje interakcij s strankami, natančnejše in lažje dostopne informacije o samem podjetju, dobaviteljih, kupcih, ciljnih trgih, povečanje hitrosti poslovanja, povečanje tržnega deleža in </w:t>
      </w:r>
      <w:r w:rsidRPr="009C51B9">
        <w:t>racionalizacijo poslovnega modela.</w:t>
      </w:r>
      <w:r w:rsidR="001C2D6A" w:rsidRPr="009C51B9">
        <w:t xml:space="preserve"> </w:t>
      </w:r>
      <w:r w:rsidRPr="009C51B9">
        <w:rPr>
          <w:rFonts w:ascii="Trebuchet MS" w:hAnsi="Trebuchet MS" w:cstheme="minorHAnsi"/>
          <w:color w:val="000000"/>
          <w:szCs w:val="22"/>
        </w:rPr>
        <w:t>Zato pa bomo potrebovali tudi močno nacionalno digitalno infrastrukturo</w:t>
      </w:r>
      <w:r w:rsidR="00241D4B" w:rsidRPr="00241D4B">
        <w:rPr>
          <w:rFonts w:ascii="Trebuchet MS" w:hAnsi="Trebuchet MS" w:cstheme="minorHAnsi"/>
          <w:color w:val="000000"/>
          <w:szCs w:val="22"/>
        </w:rPr>
        <w:t>, ki vključuje aktivno povezovanje in sodelovanje različnih akterjev s ciljem postaviti Slovenijo na zemljevid uspešnih in referenčnih držav na področju pametne in zelene industrij</w:t>
      </w:r>
      <w:r w:rsidR="00FC5C8B">
        <w:rPr>
          <w:rFonts w:ascii="Trebuchet MS" w:hAnsi="Trebuchet MS" w:cstheme="minorHAnsi"/>
          <w:color w:val="000000"/>
          <w:szCs w:val="22"/>
        </w:rPr>
        <w:t>e</w:t>
      </w:r>
      <w:r w:rsidR="00241D4B" w:rsidRPr="00241D4B">
        <w:rPr>
          <w:rFonts w:ascii="Trebuchet MS" w:hAnsi="Trebuchet MS" w:cstheme="minorHAnsi"/>
          <w:color w:val="000000"/>
          <w:szCs w:val="22"/>
        </w:rPr>
        <w:t>.</w:t>
      </w:r>
      <w:r w:rsidR="00DE166B">
        <w:rPr>
          <w:rFonts w:ascii="Trebuchet MS" w:hAnsi="Trebuchet MS" w:cstheme="minorHAnsi"/>
          <w:color w:val="000000"/>
          <w:szCs w:val="22"/>
        </w:rPr>
        <w:t xml:space="preserve"> </w:t>
      </w:r>
      <w:r w:rsidR="00DE166B" w:rsidRPr="00BA41F4">
        <w:t>Hitre in zanesljive širokopasovne povezave (fiksne in mobilne), tudi na podeželju, so nujne za razvoj ključnih spletnih socialnih in gospodarskih storitev. Uvedba 5G je odvisna od pravočasne dodelitve spektra 5G.</w:t>
      </w:r>
    </w:p>
    <w:p w14:paraId="77B446BF" w14:textId="08192977" w:rsidR="006253E4" w:rsidRPr="00BA41F4" w:rsidRDefault="00E62E18" w:rsidP="006253E4">
      <w:pPr>
        <w:jc w:val="both"/>
      </w:pPr>
      <w:r>
        <w:rPr>
          <w:rFonts w:ascii="Trebuchet MS" w:hAnsi="Trebuchet MS" w:cstheme="minorHAnsi"/>
          <w:color w:val="000000"/>
          <w:szCs w:val="22"/>
        </w:rPr>
        <w:lastRenderedPageBreak/>
        <w:t>Nasloviti želimo ne samo digitalno preoblikovanje klasičnih podjetij</w:t>
      </w:r>
      <w:r w:rsidR="00FC5C8B">
        <w:rPr>
          <w:rFonts w:ascii="Trebuchet MS" w:hAnsi="Trebuchet MS" w:cstheme="minorHAnsi"/>
          <w:color w:val="000000"/>
          <w:szCs w:val="22"/>
        </w:rPr>
        <w:t>,</w:t>
      </w:r>
      <w:r>
        <w:rPr>
          <w:rFonts w:ascii="Trebuchet MS" w:hAnsi="Trebuchet MS" w:cstheme="minorHAnsi"/>
          <w:color w:val="000000"/>
          <w:szCs w:val="22"/>
        </w:rPr>
        <w:t xml:space="preserve"> ampak želimo nuditi podporo hitrejšemu razvoju digitalnih podjetij.</w:t>
      </w:r>
      <w:r w:rsidR="00DE166B">
        <w:rPr>
          <w:rFonts w:ascii="Trebuchet MS" w:hAnsi="Trebuchet MS" w:cstheme="minorHAnsi"/>
          <w:color w:val="000000"/>
          <w:szCs w:val="22"/>
        </w:rPr>
        <w:t xml:space="preserve"> </w:t>
      </w:r>
      <w:r w:rsidR="00C81DF2" w:rsidRPr="00BA41F4">
        <w:t xml:space="preserve">Izboljšanje digitalnih znanj in spretnosti delavcev bi lahko razmeroma hitro povečalo njihovo zaposljivost in podprlo gospodarsko okrevanje po krizi zaradi pandemije COVID-19. Uvedba uporabniku prijaznih storitev e-uprave in digitalnih javnih storitev bi pomagala dodatno zmanjšati upravno breme za podjetja. Čeprav so na voljo </w:t>
      </w:r>
      <w:r w:rsidR="00677D54" w:rsidRPr="00BA41F4">
        <w:t xml:space="preserve">že </w:t>
      </w:r>
      <w:r w:rsidR="00C81DF2" w:rsidRPr="00BA41F4">
        <w:t xml:space="preserve">številne spletne javne storitve, bodo za njihovo uporabo s strani posameznikov in podjetij potrebna prizadevanja za povečanje zaupanja ljudi v spletne transakcije in njihovo varnost (npr. uvedba nacionalnega elektronskega identifikatorja, kibernetske varnosti in funkcij v zvezi z zasebnostjo). </w:t>
      </w:r>
    </w:p>
    <w:p w14:paraId="5A0AFE14" w14:textId="4B5E574D" w:rsidR="00396542" w:rsidRDefault="00396542" w:rsidP="006253E4">
      <w:pPr>
        <w:jc w:val="both"/>
        <w:rPr>
          <w:rFonts w:ascii="Trebuchet MS" w:eastAsia="Times New Roman" w:hAnsi="Trebuchet MS" w:cs="Times New Roman"/>
          <w:szCs w:val="22"/>
          <w:lang w:eastAsia="sl-SI"/>
        </w:rPr>
      </w:pPr>
      <w:r w:rsidRPr="00396542">
        <w:rPr>
          <w:rFonts w:ascii="Trebuchet MS" w:eastAsia="Times New Roman" w:hAnsi="Trebuchet MS" w:cs="Times New Roman"/>
          <w:szCs w:val="22"/>
          <w:lang w:eastAsia="sl-SI"/>
        </w:rPr>
        <w:t>Pametna industrija bo upoštevala tudi Nacionalni program spodbujanja razvoja in uporabe umetne inteligence v RS do leta 2025 (</w:t>
      </w:r>
      <w:proofErr w:type="spellStart"/>
      <w:r w:rsidRPr="00396542">
        <w:rPr>
          <w:rFonts w:ascii="Trebuchet MS" w:eastAsia="Times New Roman" w:hAnsi="Trebuchet MS" w:cs="Times New Roman"/>
          <w:szCs w:val="22"/>
          <w:lang w:eastAsia="sl-SI"/>
        </w:rPr>
        <w:t>Np</w:t>
      </w:r>
      <w:r w:rsidR="00E6226C">
        <w:rPr>
          <w:rFonts w:ascii="Trebuchet MS" w:eastAsia="Times New Roman" w:hAnsi="Trebuchet MS" w:cs="Times New Roman"/>
          <w:szCs w:val="22"/>
          <w:lang w:eastAsia="sl-SI"/>
        </w:rPr>
        <w:t>UI</w:t>
      </w:r>
      <w:proofErr w:type="spellEnd"/>
      <w:r w:rsidRPr="00396542">
        <w:rPr>
          <w:rFonts w:ascii="Trebuchet MS" w:eastAsia="Times New Roman" w:hAnsi="Trebuchet MS" w:cs="Times New Roman"/>
          <w:szCs w:val="22"/>
          <w:lang w:eastAsia="sl-SI"/>
        </w:rPr>
        <w:t xml:space="preserve">), ki je usklajen s </w:t>
      </w:r>
      <w:r w:rsidR="00C67DE9">
        <w:rPr>
          <w:rFonts w:ascii="Trebuchet MS" w:eastAsia="Times New Roman" w:hAnsi="Trebuchet MS" w:cs="Times New Roman"/>
          <w:szCs w:val="22"/>
          <w:lang w:eastAsia="sl-SI"/>
        </w:rPr>
        <w:t>SRS</w:t>
      </w:r>
      <w:r w:rsidRPr="00396542">
        <w:rPr>
          <w:rFonts w:ascii="Trebuchet MS" w:eastAsia="Times New Roman" w:hAnsi="Trebuchet MS" w:cs="Times New Roman"/>
          <w:szCs w:val="22"/>
          <w:lang w:eastAsia="sl-SI"/>
        </w:rPr>
        <w:t xml:space="preserve"> 2030. </w:t>
      </w:r>
      <w:proofErr w:type="spellStart"/>
      <w:r w:rsidRPr="00396542">
        <w:rPr>
          <w:rFonts w:ascii="Trebuchet MS" w:eastAsia="Times New Roman" w:hAnsi="Trebuchet MS" w:cs="Times New Roman"/>
          <w:szCs w:val="22"/>
          <w:lang w:eastAsia="sl-SI"/>
        </w:rPr>
        <w:t>Np</w:t>
      </w:r>
      <w:r w:rsidR="00E6226C">
        <w:rPr>
          <w:rFonts w:ascii="Trebuchet MS" w:eastAsia="Times New Roman" w:hAnsi="Trebuchet MS" w:cs="Times New Roman"/>
          <w:szCs w:val="22"/>
          <w:lang w:eastAsia="sl-SI"/>
        </w:rPr>
        <w:t>UI</w:t>
      </w:r>
      <w:proofErr w:type="spellEnd"/>
      <w:r w:rsidRPr="00396542">
        <w:rPr>
          <w:rFonts w:ascii="Trebuchet MS" w:eastAsia="Times New Roman" w:hAnsi="Trebuchet MS" w:cs="Times New Roman"/>
          <w:szCs w:val="22"/>
          <w:lang w:eastAsia="sl-SI"/>
        </w:rPr>
        <w:t xml:space="preserve"> med  globalne izzive uvršča tudi industrijsko 4.0 revolucijo tako, da se vzpostavljajo novi modeli gospodarskega poslovanja ter celotnega družbenega in okoljskega razvoja.</w:t>
      </w:r>
      <w:r w:rsidRPr="006959D3">
        <w:rPr>
          <w:rFonts w:ascii="Trebuchet MS" w:eastAsia="Times New Roman" w:hAnsi="Trebuchet MS" w:cs="Times New Roman"/>
          <w:szCs w:val="22"/>
          <w:lang w:eastAsia="sl-SI"/>
        </w:rPr>
        <w:t xml:space="preserve"> </w:t>
      </w:r>
    </w:p>
    <w:p w14:paraId="72C23D5F" w14:textId="77777777" w:rsidR="00241D4B" w:rsidRDefault="00241D4B" w:rsidP="00241D4B">
      <w:pPr>
        <w:jc w:val="both"/>
        <w:rPr>
          <w:rFonts w:ascii="Trebuchet MS" w:eastAsia="Trebuchet MS" w:hAnsi="Trebuchet MS" w:cs="Trebuchet MS"/>
        </w:rPr>
      </w:pPr>
      <w:r w:rsidRPr="68F3CF9F">
        <w:rPr>
          <w:rFonts w:ascii="Trebuchet MS" w:eastAsia="Trebuchet MS" w:hAnsi="Trebuchet MS" w:cs="Trebuchet MS"/>
        </w:rPr>
        <w:t>Digitalna preobrazba hkrati pomeni tudi preobrazbo industrije v industrijo 4.0, s čimer bo Slovenija lahko konkurirala v evropskem in svetovnem prostoru. V proizvodnem podjetju bo potrebno digitalno transformacijo in digitalizacijo opredeliti na dveh ravneh, na ravni</w:t>
      </w:r>
      <w:r>
        <w:rPr>
          <w:rFonts w:ascii="Trebuchet MS" w:eastAsia="Trebuchet MS" w:hAnsi="Trebuchet MS" w:cs="Trebuchet MS"/>
        </w:rPr>
        <w:t xml:space="preserve"> digitalizacije</w:t>
      </w:r>
      <w:r w:rsidRPr="68F3CF9F">
        <w:rPr>
          <w:rFonts w:ascii="Trebuchet MS" w:eastAsia="Trebuchet MS" w:hAnsi="Trebuchet MS" w:cs="Trebuchet MS"/>
        </w:rPr>
        <w:t xml:space="preserve"> proizvod</w:t>
      </w:r>
      <w:r>
        <w:rPr>
          <w:rFonts w:ascii="Trebuchet MS" w:eastAsia="Trebuchet MS" w:hAnsi="Trebuchet MS" w:cs="Trebuchet MS"/>
        </w:rPr>
        <w:t xml:space="preserve">ov, </w:t>
      </w:r>
      <w:r w:rsidRPr="68F3CF9F">
        <w:rPr>
          <w:rFonts w:ascii="Trebuchet MS" w:eastAsia="Trebuchet MS" w:hAnsi="Trebuchet MS" w:cs="Trebuchet MS"/>
        </w:rPr>
        <w:t>storit</w:t>
      </w:r>
      <w:r>
        <w:rPr>
          <w:rFonts w:ascii="Trebuchet MS" w:eastAsia="Trebuchet MS" w:hAnsi="Trebuchet MS" w:cs="Trebuchet MS"/>
        </w:rPr>
        <w:t>ev in ustvarjanja digitalnih poslovnih modelov (smart), ter z</w:t>
      </w:r>
      <w:r w:rsidRPr="68F3CF9F">
        <w:rPr>
          <w:rFonts w:ascii="Trebuchet MS" w:eastAsia="Trebuchet MS" w:hAnsi="Trebuchet MS" w:cs="Trebuchet MS"/>
        </w:rPr>
        <w:t xml:space="preserve"> digitalizacijo procesov</w:t>
      </w:r>
      <w:r>
        <w:rPr>
          <w:rFonts w:ascii="Trebuchet MS" w:eastAsia="Trebuchet MS" w:hAnsi="Trebuchet MS" w:cs="Trebuchet MS"/>
        </w:rPr>
        <w:t xml:space="preserve"> in poslovanja.</w:t>
      </w:r>
      <w:r w:rsidRPr="68F3CF9F">
        <w:rPr>
          <w:rFonts w:ascii="Trebuchet MS" w:eastAsia="Trebuchet MS" w:hAnsi="Trebuchet MS" w:cs="Trebuchet MS"/>
        </w:rPr>
        <w:t xml:space="preserve"> </w:t>
      </w:r>
      <w:r>
        <w:rPr>
          <w:rFonts w:ascii="Trebuchet MS" w:eastAsia="Trebuchet MS" w:hAnsi="Trebuchet MS" w:cs="Trebuchet MS"/>
        </w:rPr>
        <w:t>To</w:t>
      </w:r>
      <w:r w:rsidRPr="68F3CF9F">
        <w:rPr>
          <w:rFonts w:ascii="Trebuchet MS" w:eastAsia="Trebuchet MS" w:hAnsi="Trebuchet MS" w:cs="Trebuchet MS"/>
        </w:rPr>
        <w:t xml:space="preserve"> bo predstavljalo prihranek na vseh ravneh poslovanja</w:t>
      </w:r>
      <w:r>
        <w:rPr>
          <w:rFonts w:ascii="Trebuchet MS" w:eastAsia="Trebuchet MS" w:hAnsi="Trebuchet MS" w:cs="Trebuchet MS"/>
        </w:rPr>
        <w:t xml:space="preserve">, dvig produktivnosti in </w:t>
      </w:r>
      <w:r w:rsidRPr="68F3CF9F">
        <w:rPr>
          <w:rFonts w:ascii="Trebuchet MS" w:eastAsia="Trebuchet MS" w:hAnsi="Trebuchet MS" w:cs="Trebuchet MS"/>
        </w:rPr>
        <w:t>konkurenčnost</w:t>
      </w:r>
      <w:r>
        <w:rPr>
          <w:rFonts w:ascii="Trebuchet MS" w:eastAsia="Trebuchet MS" w:hAnsi="Trebuchet MS" w:cs="Trebuchet MS"/>
        </w:rPr>
        <w:t>i</w:t>
      </w:r>
      <w:r w:rsidRPr="68F3CF9F">
        <w:rPr>
          <w:rFonts w:ascii="Trebuchet MS" w:eastAsia="Trebuchet MS" w:hAnsi="Trebuchet MS" w:cs="Trebuchet MS"/>
        </w:rPr>
        <w:t xml:space="preserve"> na globalnem trgu. </w:t>
      </w:r>
      <w:r>
        <w:rPr>
          <w:rFonts w:ascii="Trebuchet MS" w:eastAsia="Trebuchet MS" w:hAnsi="Trebuchet MS" w:cs="Trebuchet MS"/>
        </w:rPr>
        <w:t>Pri razvoju je treba upoštevati</w:t>
      </w:r>
      <w:r w:rsidRPr="002B0D6B">
        <w:rPr>
          <w:rFonts w:ascii="Trebuchet MS" w:eastAsia="Trebuchet MS" w:hAnsi="Trebuchet MS" w:cs="Trebuchet MS"/>
        </w:rPr>
        <w:t xml:space="preserve"> načel</w:t>
      </w:r>
      <w:r>
        <w:rPr>
          <w:rFonts w:ascii="Trebuchet MS" w:eastAsia="Trebuchet MS" w:hAnsi="Trebuchet MS" w:cs="Trebuchet MS"/>
        </w:rPr>
        <w:t>a vgrajene kibernetske varnosti.</w:t>
      </w:r>
    </w:p>
    <w:p w14:paraId="20B96C3C" w14:textId="70D157F0" w:rsidR="005C14B8" w:rsidRDefault="005C14B8" w:rsidP="005C14B8">
      <w:pPr>
        <w:jc w:val="both"/>
        <w:rPr>
          <w:rFonts w:ascii="Trebuchet MS" w:eastAsia="Times New Roman" w:hAnsi="Trebuchet MS" w:cs="Times New Roman"/>
          <w:lang w:eastAsia="sl-SI"/>
        </w:rPr>
      </w:pPr>
      <w:r w:rsidRPr="3BDE223E">
        <w:rPr>
          <w:rFonts w:ascii="Trebuchet MS" w:eastAsia="Times New Roman" w:hAnsi="Trebuchet MS" w:cs="Times New Roman"/>
          <w:lang w:eastAsia="sl-SI"/>
        </w:rPr>
        <w:t xml:space="preserve">Poleg posodabljanja gospodarstva z digitalizacijo poslovanja in uvajanjem pametnih rešitev v lastno poslovanje pa moramo spodbujati tudi razvoj poslovanja gospodarstva v smeri uporabe novih tehnologij, kot so </w:t>
      </w:r>
      <w:proofErr w:type="spellStart"/>
      <w:r w:rsidRPr="3BDE223E">
        <w:rPr>
          <w:rFonts w:ascii="Trebuchet MS" w:eastAsia="Times New Roman" w:hAnsi="Trebuchet MS" w:cs="Times New Roman"/>
          <w:lang w:eastAsia="sl-SI"/>
        </w:rPr>
        <w:t>IoT</w:t>
      </w:r>
      <w:proofErr w:type="spellEnd"/>
      <w:r w:rsidRPr="3BDE223E">
        <w:rPr>
          <w:rFonts w:ascii="Trebuchet MS" w:eastAsia="Times New Roman" w:hAnsi="Trebuchet MS" w:cs="Times New Roman"/>
          <w:lang w:eastAsia="sl-SI"/>
        </w:rPr>
        <w:t>, umetna inteligenca, digitalne platforme in podobno</w:t>
      </w:r>
      <w:r w:rsidR="00221537">
        <w:rPr>
          <w:rFonts w:ascii="Trebuchet MS" w:eastAsia="Times New Roman" w:hAnsi="Trebuchet MS" w:cs="Times New Roman"/>
          <w:lang w:eastAsia="sl-SI"/>
        </w:rPr>
        <w:t>,</w:t>
      </w:r>
      <w:r w:rsidRPr="3BDE223E">
        <w:rPr>
          <w:rFonts w:ascii="Trebuchet MS" w:eastAsia="Times New Roman" w:hAnsi="Trebuchet MS" w:cs="Times New Roman"/>
          <w:lang w:eastAsia="sl-SI"/>
        </w:rPr>
        <w:t xml:space="preserve"> za nove digitalizirane storitve, produkte in poslovne modele. Pri </w:t>
      </w:r>
      <w:r>
        <w:rPr>
          <w:rFonts w:ascii="Trebuchet MS" w:eastAsia="Times New Roman" w:hAnsi="Trebuchet MS" w:cs="Times New Roman"/>
          <w:lang w:eastAsia="sl-SI"/>
        </w:rPr>
        <w:t>tem</w:t>
      </w:r>
      <w:r w:rsidRPr="3BDE223E">
        <w:rPr>
          <w:rFonts w:ascii="Trebuchet MS" w:eastAsia="Times New Roman" w:hAnsi="Trebuchet MS" w:cs="Times New Roman"/>
          <w:lang w:eastAsia="sl-SI"/>
        </w:rPr>
        <w:t xml:space="preserve"> temeljimo na poznavanju trga, konkurence, lastnih kupcev in uporabnikov in </w:t>
      </w:r>
      <w:r>
        <w:rPr>
          <w:rFonts w:ascii="Trebuchet MS" w:eastAsia="Times New Roman" w:hAnsi="Trebuchet MS" w:cs="Times New Roman"/>
          <w:lang w:eastAsia="sl-SI"/>
        </w:rPr>
        <w:t xml:space="preserve">se </w:t>
      </w:r>
      <w:r w:rsidRPr="3BDE223E">
        <w:rPr>
          <w:rFonts w:ascii="Trebuchet MS" w:eastAsia="Times New Roman" w:hAnsi="Trebuchet MS" w:cs="Times New Roman"/>
          <w:lang w:eastAsia="sl-SI"/>
        </w:rPr>
        <w:t xml:space="preserve">osredotočamo na sodobno uporabniško izkušnjo. Uspešen in hiter razvoj v tej smeri, ki je za konkurenčnost nujen, lahko spodbudimo z </w:t>
      </w:r>
      <w:r w:rsidRPr="005C14B8">
        <w:t>razvojem</w:t>
      </w:r>
      <w:r w:rsidRPr="3BDE223E">
        <w:rPr>
          <w:rFonts w:ascii="Trebuchet MS" w:eastAsia="Times New Roman" w:hAnsi="Trebuchet MS" w:cs="Times New Roman"/>
          <w:lang w:eastAsia="sl-SI"/>
        </w:rPr>
        <w:t xml:space="preserve"> lastnih digitalnih kompetenc podjetja ter s povezovanjem v nova razvojna partnerstva in verige vrednosti z razvojnimi podjetji IKT sektorja</w:t>
      </w:r>
      <w:r>
        <w:rPr>
          <w:rFonts w:ascii="Trebuchet MS" w:eastAsia="Times New Roman" w:hAnsi="Trebuchet MS" w:cs="Times New Roman"/>
          <w:lang w:eastAsia="sl-SI"/>
        </w:rPr>
        <w:t xml:space="preserve"> in institucijami znanja</w:t>
      </w:r>
      <w:r w:rsidRPr="3BDE223E">
        <w:rPr>
          <w:rFonts w:ascii="Trebuchet MS" w:eastAsia="Times New Roman" w:hAnsi="Trebuchet MS" w:cs="Times New Roman"/>
          <w:lang w:eastAsia="sl-SI"/>
        </w:rPr>
        <w:t xml:space="preserve">. </w:t>
      </w:r>
      <w:r w:rsidRPr="57C7A725">
        <w:rPr>
          <w:rFonts w:ascii="Trebuchet MS" w:eastAsia="Times New Roman" w:hAnsi="Trebuchet MS" w:cs="Times New Roman"/>
          <w:lang w:eastAsia="sl-SI"/>
        </w:rPr>
        <w:t xml:space="preserve">Na ta način bomo lahko povezovali multidisciplinarna znanja za kreiranje sodobnih digitalnih storitev, </w:t>
      </w:r>
      <w:r w:rsidRPr="33FE9A6D">
        <w:rPr>
          <w:rFonts w:ascii="Trebuchet MS" w:eastAsia="Times New Roman" w:hAnsi="Trebuchet MS" w:cs="Times New Roman"/>
          <w:lang w:eastAsia="sl-SI"/>
        </w:rPr>
        <w:t xml:space="preserve">produktov in poslovnih modelov, kar bo </w:t>
      </w:r>
      <w:r w:rsidRPr="17822DC7">
        <w:rPr>
          <w:rFonts w:ascii="Trebuchet MS" w:eastAsia="Times New Roman" w:hAnsi="Trebuchet MS" w:cs="Times New Roman"/>
          <w:lang w:eastAsia="sl-SI"/>
        </w:rPr>
        <w:t>poleg produktivnosti</w:t>
      </w:r>
      <w:r w:rsidRPr="33FE9A6D">
        <w:rPr>
          <w:rFonts w:ascii="Trebuchet MS" w:eastAsia="Times New Roman" w:hAnsi="Trebuchet MS" w:cs="Times New Roman"/>
          <w:lang w:eastAsia="sl-SI"/>
        </w:rPr>
        <w:t xml:space="preserve"> drugi nujen pogoj za konkurenčnost gospodarstva</w:t>
      </w:r>
      <w:r>
        <w:rPr>
          <w:rFonts w:ascii="Trebuchet MS" w:eastAsia="Times New Roman" w:hAnsi="Trebuchet MS" w:cs="Times New Roman"/>
          <w:lang w:eastAsia="sl-SI"/>
        </w:rPr>
        <w:t>,</w:t>
      </w:r>
      <w:r w:rsidR="00BA3151">
        <w:rPr>
          <w:rFonts w:ascii="Trebuchet MS" w:eastAsia="Times New Roman" w:hAnsi="Trebuchet MS" w:cs="Times New Roman"/>
          <w:lang w:eastAsia="sl-SI"/>
        </w:rPr>
        <w:t xml:space="preserve"> </w:t>
      </w:r>
      <w:r>
        <w:rPr>
          <w:rFonts w:ascii="Trebuchet MS" w:eastAsia="Times New Roman" w:hAnsi="Trebuchet MS" w:cs="Times New Roman"/>
          <w:lang w:eastAsia="sl-SI"/>
        </w:rPr>
        <w:t xml:space="preserve">dvig dodane vrednosti </w:t>
      </w:r>
      <w:r w:rsidRPr="17822DC7">
        <w:rPr>
          <w:rFonts w:ascii="Trebuchet MS" w:eastAsia="Times New Roman" w:hAnsi="Trebuchet MS" w:cs="Times New Roman"/>
          <w:lang w:eastAsia="sl-SI"/>
        </w:rPr>
        <w:t xml:space="preserve">in </w:t>
      </w:r>
      <w:r w:rsidRPr="341CD679">
        <w:rPr>
          <w:rFonts w:ascii="Trebuchet MS" w:eastAsia="Times New Roman" w:hAnsi="Trebuchet MS" w:cs="Times New Roman"/>
          <w:lang w:eastAsia="sl-SI"/>
        </w:rPr>
        <w:t>uspešno internacionalizacijo oz</w:t>
      </w:r>
      <w:r w:rsidR="00221537">
        <w:rPr>
          <w:rFonts w:ascii="Trebuchet MS" w:eastAsia="Times New Roman" w:hAnsi="Trebuchet MS" w:cs="Times New Roman"/>
          <w:lang w:eastAsia="sl-SI"/>
        </w:rPr>
        <w:t>iroma</w:t>
      </w:r>
      <w:r w:rsidR="00221537" w:rsidRPr="341CD679">
        <w:rPr>
          <w:rFonts w:ascii="Trebuchet MS" w:eastAsia="Times New Roman" w:hAnsi="Trebuchet MS" w:cs="Times New Roman"/>
          <w:lang w:eastAsia="sl-SI"/>
        </w:rPr>
        <w:t xml:space="preserve"> </w:t>
      </w:r>
      <w:r w:rsidRPr="341CD679">
        <w:rPr>
          <w:rFonts w:ascii="Trebuchet MS" w:eastAsia="Times New Roman" w:hAnsi="Trebuchet MS" w:cs="Times New Roman"/>
          <w:lang w:eastAsia="sl-SI"/>
        </w:rPr>
        <w:t>povečevanje izvoza na zahtevne trge</w:t>
      </w:r>
      <w:r>
        <w:rPr>
          <w:rFonts w:ascii="Trebuchet MS" w:eastAsia="Times New Roman" w:hAnsi="Trebuchet MS" w:cs="Times New Roman"/>
          <w:lang w:eastAsia="sl-SI"/>
        </w:rPr>
        <w:t xml:space="preserve"> z višanjem deleža visokotehnoloških proizvodov. Na ta način lahko slovenska industrija širi izvozne trge in postaja odpornejša. </w:t>
      </w:r>
      <w:r w:rsidRPr="341CD679">
        <w:rPr>
          <w:rFonts w:ascii="Trebuchet MS" w:eastAsia="Times New Roman" w:hAnsi="Trebuchet MS" w:cs="Times New Roman"/>
          <w:lang w:eastAsia="sl-SI"/>
        </w:rPr>
        <w:t xml:space="preserve">  </w:t>
      </w:r>
    </w:p>
    <w:p w14:paraId="047A040E" w14:textId="77777777" w:rsidR="009C51B9" w:rsidRPr="00465666" w:rsidRDefault="00621CAD" w:rsidP="002C7476">
      <w:pPr>
        <w:pStyle w:val="Naslov2"/>
        <w:numPr>
          <w:ilvl w:val="1"/>
          <w:numId w:val="27"/>
        </w:numPr>
        <w:rPr>
          <w:bCs/>
          <w:caps w:val="0"/>
        </w:rPr>
      </w:pPr>
      <w:bookmarkStart w:id="35" w:name="_Toc51140515"/>
      <w:r w:rsidRPr="00621CAD">
        <w:rPr>
          <w:bCs/>
          <w:caps w:val="0"/>
          <w:spacing w:val="0"/>
        </w:rPr>
        <w:t xml:space="preserve">Spodbujanje </w:t>
      </w:r>
      <w:r w:rsidR="00E26DB8" w:rsidRPr="0059557B">
        <w:rPr>
          <w:bCs/>
          <w:caps w:val="0"/>
        </w:rPr>
        <w:t>razvojno</w:t>
      </w:r>
      <w:r w:rsidR="0032594A">
        <w:rPr>
          <w:bCs/>
          <w:caps w:val="0"/>
        </w:rPr>
        <w:t>-</w:t>
      </w:r>
      <w:r w:rsidR="00E26DB8" w:rsidRPr="0059557B">
        <w:rPr>
          <w:bCs/>
          <w:caps w:val="0"/>
        </w:rPr>
        <w:t>raziskovalnega in inovacijskega</w:t>
      </w:r>
      <w:r w:rsidR="00B042A4" w:rsidRPr="00B042A4">
        <w:rPr>
          <w:bCs/>
          <w:caps w:val="0"/>
        </w:rPr>
        <w:t xml:space="preserve"> </w:t>
      </w:r>
      <w:r w:rsidR="00B042A4" w:rsidRPr="003F63BA">
        <w:rPr>
          <w:bCs/>
          <w:caps w:val="0"/>
        </w:rPr>
        <w:t>ciklusa</w:t>
      </w:r>
      <w:bookmarkEnd w:id="35"/>
    </w:p>
    <w:bookmarkEnd w:id="34"/>
    <w:p w14:paraId="57FA40C9" w14:textId="77777777" w:rsidR="008A7EFB" w:rsidRDefault="009C51B9" w:rsidP="00465666">
      <w:pPr>
        <w:jc w:val="both"/>
      </w:pPr>
      <w:r w:rsidRPr="00465666">
        <w:t>Industrijska</w:t>
      </w:r>
      <w:r w:rsidR="001B436C" w:rsidRPr="00465666">
        <w:t xml:space="preserve"> strategija skupaj z</w:t>
      </w:r>
      <w:r w:rsidR="001C2D6A" w:rsidRPr="00465666">
        <w:t xml:space="preserve"> </w:t>
      </w:r>
      <w:r w:rsidR="00C67DE9">
        <w:t>Raziskovalno in inovacijsko strategijo</w:t>
      </w:r>
      <w:r w:rsidR="001C2D6A" w:rsidRPr="00465666">
        <w:t xml:space="preserve"> </w:t>
      </w:r>
      <w:r w:rsidR="001B436C" w:rsidRPr="00465666">
        <w:t xml:space="preserve">usmerja ukrepe v </w:t>
      </w:r>
      <w:r w:rsidR="001C2D6A" w:rsidRPr="00465666">
        <w:t>spodbujanj</w:t>
      </w:r>
      <w:r w:rsidR="001B436C" w:rsidRPr="00465666">
        <w:t>e</w:t>
      </w:r>
      <w:r w:rsidR="001C2D6A" w:rsidRPr="00465666">
        <w:t xml:space="preserve"> celotnega razvojnega </w:t>
      </w:r>
      <w:r w:rsidR="001C2D6A" w:rsidRPr="00FD4C45">
        <w:t>raziskovaln</w:t>
      </w:r>
      <w:r w:rsidR="0032594A">
        <w:t>ega</w:t>
      </w:r>
      <w:r w:rsidR="001C2D6A" w:rsidRPr="00465666">
        <w:t xml:space="preserve"> </w:t>
      </w:r>
      <w:r w:rsidRPr="00465666">
        <w:t>in inovacijskega</w:t>
      </w:r>
      <w:r w:rsidR="001C2D6A" w:rsidRPr="00465666">
        <w:t xml:space="preserve"> ciklusa od TRL 1-9 s poudarkom na </w:t>
      </w:r>
      <w:r w:rsidR="0004394B">
        <w:t>prioritetn</w:t>
      </w:r>
      <w:r w:rsidR="00C67DE9">
        <w:t>ih področjih</w:t>
      </w:r>
      <w:r w:rsidR="0004394B">
        <w:t xml:space="preserve">, ki izhajajo iz </w:t>
      </w:r>
      <w:r w:rsidR="001C2D6A" w:rsidRPr="00465666">
        <w:t>Strategij</w:t>
      </w:r>
      <w:r w:rsidR="0004394B">
        <w:t>e</w:t>
      </w:r>
      <w:r w:rsidR="001C2D6A" w:rsidRPr="00465666">
        <w:t xml:space="preserve"> pametne specializacije, kar se bo sistemsko krmililo preko novega Zakona o znanstveno-raziskovalni in inovacijski dejavnosti. Tako bomo dosegli tudi p</w:t>
      </w:r>
      <w:r w:rsidR="00B64C4B" w:rsidRPr="00465666">
        <w:t>reusmeritev</w:t>
      </w:r>
      <w:r w:rsidR="00865808">
        <w:t xml:space="preserve"> industrije</w:t>
      </w:r>
      <w:r w:rsidR="00B64C4B" w:rsidRPr="00465666">
        <w:t xml:space="preserve"> od </w:t>
      </w:r>
      <w:r w:rsidR="001C2D6A" w:rsidRPr="00465666">
        <w:t xml:space="preserve">prakse </w:t>
      </w:r>
      <w:r w:rsidR="00B64C4B" w:rsidRPr="00465666">
        <w:t>dobav</w:t>
      </w:r>
      <w:r w:rsidR="001C2D6A" w:rsidRPr="00465666">
        <w:t>ljanja</w:t>
      </w:r>
      <w:r w:rsidR="00B64C4B" w:rsidRPr="00465666">
        <w:t xml:space="preserve"> komponent v </w:t>
      </w:r>
      <w:proofErr w:type="spellStart"/>
      <w:r w:rsidR="00B64C4B" w:rsidRPr="00465666">
        <w:t>nišno</w:t>
      </w:r>
      <w:proofErr w:type="spellEnd"/>
      <w:r w:rsidR="00B64C4B" w:rsidRPr="00465666">
        <w:t xml:space="preserve"> usmerjenega soustvarjalca tehnološko visoko razvitih izdelkov</w:t>
      </w:r>
      <w:r w:rsidR="001C2D6A" w:rsidRPr="00465666">
        <w:t>.</w:t>
      </w:r>
      <w:r w:rsidR="009F3C62">
        <w:t xml:space="preserve"> Pri zasnovi izdelkov je potrebno upoštevati krožne in digitalne vidike (»</w:t>
      </w:r>
      <w:proofErr w:type="spellStart"/>
      <w:r w:rsidR="009F3C62">
        <w:t>circular</w:t>
      </w:r>
      <w:proofErr w:type="spellEnd"/>
      <w:r w:rsidR="009F3C62">
        <w:t xml:space="preserve"> &amp; </w:t>
      </w:r>
      <w:proofErr w:type="spellStart"/>
      <w:r w:rsidR="009F3C62">
        <w:t>digital</w:t>
      </w:r>
      <w:proofErr w:type="spellEnd"/>
      <w:r w:rsidR="009F3C62">
        <w:t xml:space="preserve"> </w:t>
      </w:r>
      <w:proofErr w:type="spellStart"/>
      <w:r w:rsidR="009F3C62">
        <w:t>by</w:t>
      </w:r>
      <w:proofErr w:type="spellEnd"/>
      <w:r w:rsidR="009F3C62">
        <w:t xml:space="preserve"> design«)</w:t>
      </w:r>
      <w:r w:rsidR="00F978FE">
        <w:t>.</w:t>
      </w:r>
      <w:r w:rsidR="001C2D6A" w:rsidRPr="00465666">
        <w:t xml:space="preserve"> </w:t>
      </w:r>
      <w:r w:rsidR="00B64C4B" w:rsidRPr="00465666">
        <w:t>Bistveno pri tem je, da se prioritet ne opredeljene »od zgoraj navzdol«, pač pa na osnovi partnerstva med gospodarstvom, institucijami znanja</w:t>
      </w:r>
      <w:r w:rsidR="006253E4">
        <w:t>,</w:t>
      </w:r>
      <w:r w:rsidR="00B64C4B" w:rsidRPr="00465666">
        <w:t xml:space="preserve"> državo</w:t>
      </w:r>
      <w:r w:rsidR="006253E4">
        <w:t xml:space="preserve"> in drugimi deležniki</w:t>
      </w:r>
      <w:r w:rsidR="00B64C4B" w:rsidRPr="00465666">
        <w:t xml:space="preserve">. </w:t>
      </w:r>
    </w:p>
    <w:p w14:paraId="36944599" w14:textId="77777777" w:rsidR="007058D9" w:rsidRDefault="007058D9" w:rsidP="007058D9">
      <w:pPr>
        <w:jc w:val="both"/>
      </w:pPr>
      <w:r>
        <w:t>Pri tem je bistvenega pomena, da se vzpostavi sistem uporabe raziskovalne opreme, ki obsega dopolnitev že vzpostavljene evidence razpoložljive raziskovalne opreme ter vzpostavitev povezave med uporabniki in lastniki opreme.</w:t>
      </w:r>
    </w:p>
    <w:p w14:paraId="713ECB9B" w14:textId="3297DB2D" w:rsidR="006253E4" w:rsidRPr="006253E4" w:rsidRDefault="00894022" w:rsidP="006253E4">
      <w:pPr>
        <w:spacing w:before="0" w:after="160"/>
        <w:jc w:val="both"/>
        <w:rPr>
          <w:rFonts w:asciiTheme="majorHAnsi" w:eastAsia="Calibri" w:hAnsiTheme="majorHAnsi" w:cs="Times New Roman"/>
          <w:szCs w:val="22"/>
        </w:rPr>
      </w:pPr>
      <w:r w:rsidRPr="00894022">
        <w:rPr>
          <w:rFonts w:asciiTheme="majorHAnsi" w:eastAsia="Calibri" w:hAnsiTheme="majorHAnsi" w:cs="Times New Roman"/>
          <w:szCs w:val="22"/>
        </w:rPr>
        <w:lastRenderedPageBreak/>
        <w:t xml:space="preserve">Med </w:t>
      </w:r>
      <w:r w:rsidRPr="00894022">
        <w:rPr>
          <w:rFonts w:ascii="Trebuchet MS" w:eastAsia="Calibri" w:hAnsi="Trebuchet MS" w:cs="Times New Roman"/>
          <w:szCs w:val="22"/>
        </w:rPr>
        <w:t>vlaganji</w:t>
      </w:r>
      <w:r w:rsidRPr="00894022">
        <w:rPr>
          <w:rFonts w:asciiTheme="majorHAnsi" w:eastAsia="Calibri" w:hAnsiTheme="majorHAnsi" w:cs="Times New Roman"/>
          <w:szCs w:val="22"/>
        </w:rPr>
        <w:t xml:space="preserve"> v raziskave in razvoj se bo</w:t>
      </w:r>
      <w:r w:rsidR="00811DD7">
        <w:rPr>
          <w:rFonts w:asciiTheme="majorHAnsi" w:eastAsia="Calibri" w:hAnsiTheme="majorHAnsi" w:cs="Times New Roman"/>
          <w:szCs w:val="22"/>
        </w:rPr>
        <w:t>,</w:t>
      </w:r>
      <w:r w:rsidRPr="00894022">
        <w:rPr>
          <w:rFonts w:asciiTheme="majorHAnsi" w:eastAsia="Calibri" w:hAnsiTheme="majorHAnsi" w:cs="Times New Roman"/>
          <w:szCs w:val="22"/>
        </w:rPr>
        <w:t xml:space="preserve"> </w:t>
      </w:r>
      <w:r w:rsidR="00811DD7">
        <w:rPr>
          <w:rFonts w:asciiTheme="majorHAnsi" w:eastAsia="Calibri" w:hAnsiTheme="majorHAnsi" w:cs="Times New Roman"/>
          <w:szCs w:val="22"/>
        </w:rPr>
        <w:t xml:space="preserve">poleg podpore zelenemu in digitalnemu prehodu, </w:t>
      </w:r>
      <w:r w:rsidRPr="00894022">
        <w:rPr>
          <w:rFonts w:asciiTheme="majorHAnsi" w:eastAsia="Calibri" w:hAnsiTheme="majorHAnsi" w:cs="Times New Roman"/>
          <w:szCs w:val="22"/>
        </w:rPr>
        <w:t>dal poseben poudarek</w:t>
      </w:r>
      <w:r w:rsidR="002E268F">
        <w:rPr>
          <w:rFonts w:asciiTheme="majorHAnsi" w:eastAsia="Calibri" w:hAnsiTheme="majorHAnsi" w:cs="Times New Roman"/>
          <w:szCs w:val="22"/>
        </w:rPr>
        <w:t xml:space="preserve"> na reševanj</w:t>
      </w:r>
      <w:r w:rsidR="00C725DA">
        <w:rPr>
          <w:rFonts w:asciiTheme="majorHAnsi" w:eastAsia="Calibri" w:hAnsiTheme="majorHAnsi" w:cs="Times New Roman"/>
          <w:szCs w:val="22"/>
        </w:rPr>
        <w:t>e</w:t>
      </w:r>
      <w:r w:rsidR="002E268F">
        <w:rPr>
          <w:rFonts w:asciiTheme="majorHAnsi" w:eastAsia="Calibri" w:hAnsiTheme="majorHAnsi" w:cs="Times New Roman"/>
          <w:szCs w:val="22"/>
        </w:rPr>
        <w:t xml:space="preserve"> drugih družbenih izzivov (npr. pandemij).</w:t>
      </w:r>
      <w:r w:rsidR="00167442">
        <w:rPr>
          <w:rFonts w:asciiTheme="majorHAnsi" w:eastAsia="Calibri" w:hAnsiTheme="majorHAnsi" w:cs="Times New Roman"/>
          <w:szCs w:val="22"/>
        </w:rPr>
        <w:t xml:space="preserve"> </w:t>
      </w:r>
      <w:r w:rsidR="002E268F">
        <w:rPr>
          <w:rFonts w:asciiTheme="majorHAnsi" w:eastAsia="Calibri" w:hAnsiTheme="majorHAnsi" w:cs="Times New Roman"/>
          <w:szCs w:val="22"/>
        </w:rPr>
        <w:t>Za to področje bodo na voljo sredstva, ki izhajajo iz</w:t>
      </w:r>
      <w:r w:rsidR="006253E4" w:rsidRPr="006253E4">
        <w:rPr>
          <w:rFonts w:asciiTheme="majorHAnsi" w:eastAsia="Calibri" w:hAnsiTheme="majorHAnsi" w:cs="Times New Roman"/>
          <w:szCs w:val="22"/>
        </w:rPr>
        <w:t xml:space="preserve"> Načrta EU za okrevanje in </w:t>
      </w:r>
      <w:r w:rsidR="002E268F">
        <w:rPr>
          <w:rFonts w:asciiTheme="majorHAnsi" w:eastAsia="Calibri" w:hAnsiTheme="majorHAnsi" w:cs="Times New Roman"/>
          <w:szCs w:val="22"/>
        </w:rPr>
        <w:t>iz</w:t>
      </w:r>
      <w:r w:rsidR="006253E4" w:rsidRPr="006253E4">
        <w:rPr>
          <w:rFonts w:asciiTheme="majorHAnsi" w:eastAsia="Calibri" w:hAnsiTheme="majorHAnsi" w:cs="Times New Roman"/>
          <w:szCs w:val="22"/>
        </w:rPr>
        <w:t xml:space="preserve"> programov Obzorja. </w:t>
      </w:r>
    </w:p>
    <w:p w14:paraId="1115EF06" w14:textId="77777777" w:rsidR="000300B8" w:rsidRDefault="006253E4" w:rsidP="006253E4">
      <w:pPr>
        <w:jc w:val="both"/>
      </w:pPr>
      <w:r w:rsidRPr="006253E4">
        <w:t xml:space="preserve">Spodbujati bi bilo treba tudi uporabo evropskega unitarnega patenta, kar je še precej neizkoriščeno. Preko unitarnega patenta bi še posebej MSP lahko za razumno ceno razvijala in zaščitila svoj know-how na evropski in mednarodni ravni.   </w:t>
      </w:r>
      <w:r w:rsidR="000300B8" w:rsidRPr="00E26DB8">
        <w:t xml:space="preserve"> </w:t>
      </w:r>
    </w:p>
    <w:p w14:paraId="117F7A72" w14:textId="77777777" w:rsidR="00E26DB8" w:rsidRPr="0059557B" w:rsidRDefault="00E26DB8" w:rsidP="002221D1">
      <w:pPr>
        <w:pStyle w:val="Naslov2"/>
        <w:numPr>
          <w:ilvl w:val="1"/>
          <w:numId w:val="27"/>
        </w:numPr>
        <w:rPr>
          <w:bCs/>
        </w:rPr>
      </w:pPr>
      <w:r w:rsidRPr="0059557B">
        <w:rPr>
          <w:bCs/>
        </w:rPr>
        <w:t xml:space="preserve"> </w:t>
      </w:r>
      <w:bookmarkStart w:id="36" w:name="_Toc51140516"/>
      <w:r w:rsidRPr="0059557B">
        <w:rPr>
          <w:bCs/>
          <w:caps w:val="0"/>
        </w:rPr>
        <w:t xml:space="preserve">Mreženje in </w:t>
      </w:r>
      <w:r w:rsidR="00621CAD" w:rsidRPr="0059557B">
        <w:rPr>
          <w:bCs/>
          <w:caps w:val="0"/>
        </w:rPr>
        <w:t>povezovanje</w:t>
      </w:r>
      <w:bookmarkEnd w:id="36"/>
    </w:p>
    <w:p w14:paraId="628922E8" w14:textId="7D8C1C95" w:rsidR="00B64C4B" w:rsidRDefault="00A32FF4" w:rsidP="00465666">
      <w:pPr>
        <w:jc w:val="both"/>
      </w:pPr>
      <w:r w:rsidRPr="00465666">
        <w:t>Mreženje in povezovanje</w:t>
      </w:r>
      <w:r w:rsidR="00AC73B6" w:rsidRPr="00465666">
        <w:t>, predvsem na področju raziskav, razvoja in inovacij, je ključnega pomena.</w:t>
      </w:r>
      <w:r w:rsidR="00FD2B8E">
        <w:t xml:space="preserve"> </w:t>
      </w:r>
      <w:r w:rsidR="00DC7743">
        <w:t>V povezavi</w:t>
      </w:r>
      <w:r w:rsidR="00DC7743" w:rsidRPr="00465666">
        <w:t xml:space="preserve"> </w:t>
      </w:r>
      <w:r w:rsidR="00606085" w:rsidRPr="00465666">
        <w:t>s tem se bo</w:t>
      </w:r>
      <w:r w:rsidR="00B64C4B" w:rsidRPr="00465666">
        <w:t xml:space="preserve"> </w:t>
      </w:r>
      <w:r w:rsidR="00606085" w:rsidRPr="00465666">
        <w:t xml:space="preserve">nadaljeval </w:t>
      </w:r>
      <w:r w:rsidR="009C51B9" w:rsidRPr="00465666">
        <w:t>razvoj</w:t>
      </w:r>
      <w:r w:rsidR="00606085" w:rsidRPr="00465666">
        <w:t xml:space="preserve"> </w:t>
      </w:r>
      <w:r w:rsidR="00B64C4B" w:rsidRPr="00465666">
        <w:t>koncept</w:t>
      </w:r>
      <w:r w:rsidR="00606085" w:rsidRPr="00465666">
        <w:t>a</w:t>
      </w:r>
      <w:r w:rsidR="00B64C4B" w:rsidRPr="00465666">
        <w:t xml:space="preserve"> </w:t>
      </w:r>
      <w:r w:rsidR="00F978FE">
        <w:t>s</w:t>
      </w:r>
      <w:r w:rsidR="00B64C4B" w:rsidRPr="00465666">
        <w:t>trateških razvojno-inovacijskih partnerstev (SRIP</w:t>
      </w:r>
      <w:r w:rsidR="00B758D5">
        <w:t>-</w:t>
      </w:r>
      <w:r w:rsidR="00B64C4B" w:rsidRPr="00465666">
        <w:t>ov), ki na vsakem od prednostnih področij S4 združujejo ključne deležnike iz gospodarstva, raziskovalne sfere in ostale deležnike</w:t>
      </w:r>
      <w:r w:rsidR="0086765E">
        <w:t>.</w:t>
      </w:r>
      <w:r w:rsidR="00B64C4B" w:rsidRPr="00465666">
        <w:t xml:space="preserve"> Ti skupaj z državo ne samo sooblikujejo razvojno politiko, ampak tudi organizirajo celovit razvojno-inovacijski ekosistem po posameznih področjih S4. V praksi to pomeni vzpostavljanje </w:t>
      </w:r>
      <w:r w:rsidR="00AB1B1E" w:rsidRPr="00AB1B1E">
        <w:t xml:space="preserve">različnih organizacijskih mostov (skupnih omizij, kjer različni akterji sodelujejo pri oblikovanju strategij in razvojnih programov) ter </w:t>
      </w:r>
      <w:r w:rsidR="00B64C4B" w:rsidRPr="00465666">
        <w:t xml:space="preserve">verig vrednosti </w:t>
      </w:r>
      <w:r w:rsidR="008B5D6C">
        <w:t xml:space="preserve">tako </w:t>
      </w:r>
      <w:r w:rsidR="00B64C4B" w:rsidRPr="00465666">
        <w:t xml:space="preserve">doma </w:t>
      </w:r>
      <w:r w:rsidR="008B5D6C">
        <w:t>kot</w:t>
      </w:r>
      <w:r w:rsidR="00B64C4B" w:rsidRPr="00465666">
        <w:t xml:space="preserve"> z vključevanjem v mednarodne verige in mednarodne razvojno-inovacijske platforme s pripravo zahtevnejših razvojnih projektov, </w:t>
      </w:r>
      <w:r w:rsidR="00231407" w:rsidRPr="00465666">
        <w:t>z</w:t>
      </w:r>
      <w:r w:rsidR="00B64C4B" w:rsidRPr="00465666">
        <w:t xml:space="preserve"> vzpostavljanjem skupnih nastopov in mednarodno promocijo. </w:t>
      </w:r>
    </w:p>
    <w:p w14:paraId="420D00AA" w14:textId="0C45E7AB" w:rsidR="00AB1B1E" w:rsidRPr="00AB1B1E" w:rsidRDefault="00AB1B1E" w:rsidP="00AB1B1E">
      <w:pPr>
        <w:jc w:val="both"/>
      </w:pPr>
      <w:r>
        <w:t>Zastaviti je treba</w:t>
      </w:r>
      <w:r w:rsidRPr="00AB1B1E">
        <w:t xml:space="preserve"> ambiciozne cilje za internacionalizacijo znanja in rešitev, kjer </w:t>
      </w:r>
      <w:r w:rsidR="00E5411D">
        <w:t xml:space="preserve">bi </w:t>
      </w:r>
      <w:r w:rsidRPr="00AB1B1E">
        <w:t>bila slovenska</w:t>
      </w:r>
      <w:r w:rsidRPr="66F7BB8A">
        <w:rPr>
          <w:color w:val="FF0000"/>
        </w:rPr>
        <w:t xml:space="preserve"> </w:t>
      </w:r>
      <w:r w:rsidRPr="00AB1B1E">
        <w:t>podjetja s podpro celotnega ekosistema (država, raziskovalni sektor, nevladni sektor) sposobna ponuditi celovite visokotehnološke rešitve za večja okolja.</w:t>
      </w:r>
    </w:p>
    <w:p w14:paraId="07DF4032" w14:textId="77777777" w:rsidR="0053363B" w:rsidRPr="00465666" w:rsidRDefault="00A347B2" w:rsidP="00465666">
      <w:pPr>
        <w:jc w:val="both"/>
      </w:pPr>
      <w:r>
        <w:t xml:space="preserve">Pomembne so tudi druge oblike povezovanja in mreženja, na primer grozdi, digitalna inovacijska vozlišča, kompetenčni </w:t>
      </w:r>
      <w:r w:rsidR="00B042A4" w:rsidRPr="003F63BA">
        <w:t>centri</w:t>
      </w:r>
      <w:r w:rsidR="005D096C">
        <w:t xml:space="preserve"> in druge neformalne oblike povezovanja</w:t>
      </w:r>
      <w:r>
        <w:t>.</w:t>
      </w:r>
    </w:p>
    <w:p w14:paraId="1AAE67C0" w14:textId="77777777" w:rsidR="00377108" w:rsidRPr="0059557B" w:rsidRDefault="00E26DB8" w:rsidP="002C7476">
      <w:pPr>
        <w:pStyle w:val="Naslov2"/>
        <w:numPr>
          <w:ilvl w:val="1"/>
          <w:numId w:val="27"/>
        </w:numPr>
        <w:rPr>
          <w:bCs/>
          <w:caps w:val="0"/>
        </w:rPr>
      </w:pPr>
      <w:bookmarkStart w:id="37" w:name="_Toc51140517"/>
      <w:r w:rsidRPr="0059557B">
        <w:rPr>
          <w:bCs/>
          <w:caps w:val="0"/>
        </w:rPr>
        <w:t>Krepitev</w:t>
      </w:r>
      <w:r w:rsidR="00FD2B8E">
        <w:rPr>
          <w:bCs/>
          <w:caps w:val="0"/>
        </w:rPr>
        <w:t xml:space="preserve"> in razvoj novih</w:t>
      </w:r>
      <w:r w:rsidRPr="0059557B">
        <w:rPr>
          <w:bCs/>
          <w:caps w:val="0"/>
        </w:rPr>
        <w:t xml:space="preserve"> kompetenc</w:t>
      </w:r>
      <w:r w:rsidR="00FD2B8E">
        <w:rPr>
          <w:bCs/>
          <w:caps w:val="0"/>
        </w:rPr>
        <w:t>, prekvalifikacija, nove oblike dela</w:t>
      </w:r>
      <w:bookmarkEnd w:id="37"/>
    </w:p>
    <w:p w14:paraId="2FCF0353" w14:textId="64FD712A" w:rsidR="00AA1E76" w:rsidRDefault="00AA1E76" w:rsidP="00AA1E76">
      <w:pPr>
        <w:jc w:val="both"/>
      </w:pPr>
      <w:r>
        <w:t>Uresničevanje pametne industrije mora biti usmerjeno v krepitev kompetenc zaposlenih. Pomembno vlogo na tem področju predstavlja platforma za napovedovanje potreb po kompetencah, ki bo na podlagi spremljanja trendov in potreb trga dela omogočila pravočasn</w:t>
      </w:r>
      <w:r w:rsidR="00E5411D">
        <w:t>a</w:t>
      </w:r>
      <w:r>
        <w:t xml:space="preserve"> usposabljanj</w:t>
      </w:r>
      <w:r w:rsidR="00E5411D">
        <w:t>a</w:t>
      </w:r>
      <w:r>
        <w:t xml:space="preserve"> in izobraževanja sodelavcev za prihajajoče nove naloge, ki jih narekuje nenehen industrijski razvoj. Na podlagi nenehnega spremljanja vrzeli v kompetencah zaposlenih se bodo tako lahko oblikovali ustrezni programi izobraževanja in usposabljanja, ki bodo krepili kompetence</w:t>
      </w:r>
      <w:r w:rsidR="008E1ED4">
        <w:t>,</w:t>
      </w:r>
      <w:r>
        <w:t xml:space="preserve"> potrebne za delo in razvoj na področju zelenega, pametnega, digitalnega in ustvarjalnega. Predvsem pa </w:t>
      </w:r>
      <w:r w:rsidR="008E1ED4">
        <w:t xml:space="preserve">bo potrebno </w:t>
      </w:r>
      <w:r>
        <w:t xml:space="preserve">z ukrepi omogočiti pridobivanje in krepitev interdisciplinarnih ter »mehkih« kompetenc. </w:t>
      </w:r>
    </w:p>
    <w:p w14:paraId="33BF4113" w14:textId="5F1E0DE2" w:rsidR="00AA1E76" w:rsidRDefault="00AA1E76" w:rsidP="00AA1E76">
      <w:pPr>
        <w:jc w:val="both"/>
      </w:pPr>
      <w:r>
        <w:t>Z ukrepi za prekvalifikacijo in dokvalifikacijo zaposlenih, ki bodo zaradi digitalizacije in vpeljave industrije 4.0 potrebovali nove kompetence</w:t>
      </w:r>
      <w:r w:rsidR="008E1ED4">
        <w:t>,</w:t>
      </w:r>
      <w:r>
        <w:t xml:space="preserve"> se bo zmanjšalo število brezposelnih oseb na trgu dela. Vendar </w:t>
      </w:r>
      <w:r w:rsidR="008E1ED4">
        <w:t xml:space="preserve">morajo biti </w:t>
      </w:r>
      <w:r>
        <w:t xml:space="preserve">ukrepi celostni in zajeti celotno vertikalo in </w:t>
      </w:r>
      <w:r w:rsidR="008E1ED4">
        <w:t xml:space="preserve">se </w:t>
      </w:r>
      <w:r>
        <w:t>začeti že v osnovnih šolah z ustrezno in kakovostno karierno orientacijo, s pomočjo katere se bo usposobilo učence, dijake, študente in kasneje odrasle za razvoj in načrtovanje kariere. Ukrepi naj spodbujajo pridobivanje kompetenc s področja pametnega in digitalnega v različnih oblikah (npr. »</w:t>
      </w:r>
      <w:proofErr w:type="spellStart"/>
      <w:r>
        <w:t>job</w:t>
      </w:r>
      <w:proofErr w:type="spellEnd"/>
      <w:r>
        <w:t xml:space="preserve"> </w:t>
      </w:r>
      <w:proofErr w:type="spellStart"/>
      <w:r>
        <w:t>shadowing</w:t>
      </w:r>
      <w:proofErr w:type="spellEnd"/>
      <w:r>
        <w:t xml:space="preserve">«). Prav tako je zaposlenim potrebno omogočiti različne oblike opravljanja dela, predvsem glede na trend </w:t>
      </w:r>
      <w:proofErr w:type="spellStart"/>
      <w:r>
        <w:t>personalizacije</w:t>
      </w:r>
      <w:proofErr w:type="spellEnd"/>
      <w:r>
        <w:t xml:space="preserve"> delovnega mesta, kjer je to ustrezno. Novi načini in oblike dela zahtevajo višji nivo razvitosti kompetenc, ki omogočajo sodelovanje in učinkovito opravljanje delovnih nalog. Preskok v digitalno je mogoč le, če so kadri usposobljeni za uporabo digitalnih in pametnih tehnologij ter s pomočjo njih učinkovito opravljajo delo.</w:t>
      </w:r>
    </w:p>
    <w:p w14:paraId="4B30390A" w14:textId="48632A75" w:rsidR="004A2351" w:rsidRDefault="00AA1E76" w:rsidP="00465666">
      <w:pPr>
        <w:jc w:val="both"/>
      </w:pPr>
      <w:r>
        <w:t xml:space="preserve">Nadalje </w:t>
      </w:r>
      <w:r w:rsidR="008E1ED4">
        <w:t xml:space="preserve">morajo </w:t>
      </w:r>
      <w:r>
        <w:t>ukrepi zajeti ohranjanje obstoječega visoko izobraženega kadra ter privabljanje istega iz tujine ter omogočati prožno prehajanje kadra iz in</w:t>
      </w:r>
      <w:r w:rsidR="00A71F2E">
        <w:t>s</w:t>
      </w:r>
      <w:r>
        <w:t>titucij znanja in izobraževalnega sistema v gospodarstvo in obratno</w:t>
      </w:r>
      <w:r w:rsidR="00497A76">
        <w:t>;</w:t>
      </w:r>
      <w:r>
        <w:t xml:space="preserve"> s slednjim spodbujamo povezavo znanja in prakse ter interdisciplinarnost. Pravočasno odkrivanje in ohranjanje talentov v gospodarstvu, in</w:t>
      </w:r>
      <w:r w:rsidR="00A71F2E">
        <w:t>s</w:t>
      </w:r>
      <w:r>
        <w:t xml:space="preserve">titucijah </w:t>
      </w:r>
      <w:r>
        <w:lastRenderedPageBreak/>
        <w:t>znanja in izobraževalnih in</w:t>
      </w:r>
      <w:r w:rsidR="00A71F2E">
        <w:t>s</w:t>
      </w:r>
      <w:r>
        <w:t xml:space="preserve">titucijah, razvoj karier zaposlenih z namenom </w:t>
      </w:r>
      <w:proofErr w:type="spellStart"/>
      <w:r>
        <w:t>prekvalifiacije</w:t>
      </w:r>
      <w:proofErr w:type="spellEnd"/>
      <w:r>
        <w:t xml:space="preserve"> in dokvalifikacije</w:t>
      </w:r>
      <w:r w:rsidR="00497A76">
        <w:t>,</w:t>
      </w:r>
      <w:r>
        <w:t xml:space="preserve"> je ključnega pomena za razvoj.  </w:t>
      </w:r>
    </w:p>
    <w:p w14:paraId="140904E2" w14:textId="77777777" w:rsidR="00621CAD" w:rsidRDefault="00621CAD" w:rsidP="00621CAD">
      <w:pPr>
        <w:pStyle w:val="Naslov2"/>
        <w:numPr>
          <w:ilvl w:val="1"/>
          <w:numId w:val="38"/>
        </w:numPr>
      </w:pPr>
      <w:bookmarkStart w:id="38" w:name="_Toc47013594"/>
      <w:bookmarkStart w:id="39" w:name="_Toc51140518"/>
      <w:r>
        <w:rPr>
          <w:caps w:val="0"/>
        </w:rPr>
        <w:t>Internacionalizacija</w:t>
      </w:r>
      <w:bookmarkEnd w:id="38"/>
      <w:bookmarkEnd w:id="39"/>
      <w:r>
        <w:rPr>
          <w:caps w:val="0"/>
        </w:rPr>
        <w:t xml:space="preserve"> </w:t>
      </w:r>
    </w:p>
    <w:p w14:paraId="390D1A2F" w14:textId="54AA5549" w:rsidR="0040305C" w:rsidRDefault="004F0406" w:rsidP="009E47FF">
      <w:pPr>
        <w:tabs>
          <w:tab w:val="left" w:pos="2410"/>
        </w:tabs>
        <w:jc w:val="both"/>
      </w:pPr>
      <w:r w:rsidRPr="004F0406">
        <w:t>Namen internacionalizacije je spodbuditi večjo odprtost v mednarodno okolje</w:t>
      </w:r>
      <w:r>
        <w:t xml:space="preserve">. </w:t>
      </w:r>
      <w:r w:rsidRPr="004F0406">
        <w:t xml:space="preserve">Hiter napredek od podjetij zahteva nenehno prilagajanje, povečevanje učinkovitosti, zniževanje stroškov in iskanje novih </w:t>
      </w:r>
      <w:r w:rsidRPr="00465666">
        <w:t>priložnosti</w:t>
      </w:r>
      <w:r w:rsidRPr="004F0406">
        <w:t xml:space="preserve"> na </w:t>
      </w:r>
      <w:r w:rsidRPr="00FD4C45">
        <w:t>domač</w:t>
      </w:r>
      <w:r w:rsidR="0032594A">
        <w:t>em</w:t>
      </w:r>
      <w:r w:rsidRPr="004F0406">
        <w:t xml:space="preserve"> ter tujih trgih. </w:t>
      </w:r>
      <w:r w:rsidR="00B042A4" w:rsidRPr="003F63BA">
        <w:t>Tako postaja internacionalizacija poslovanja tudi za večino MSP nujna za preživetje.</w:t>
      </w:r>
      <w:r w:rsidR="00AA1E76">
        <w:t xml:space="preserve"> V ta namen se pripravlja program za promocijo investicij in</w:t>
      </w:r>
      <w:r w:rsidR="00763F9A">
        <w:t xml:space="preserve"> </w:t>
      </w:r>
      <w:r w:rsidR="00AA1E76">
        <w:t xml:space="preserve">internacionalizacije slovenskega gospodarstva 2020–2024. Program v središče postavlja tri strateška področja: trajnost, inovativnost in digitalizacijo. Z ukrepi bomo skušali omiliti posledice pandemije COVID-19 in delovali v smeri dinamične, odporne in konkurenčne Slovenije. Glavni cilji programa so diverzifikacija izvoza, povečanje števila izvoznikov (MSP), </w:t>
      </w:r>
      <w:proofErr w:type="spellStart"/>
      <w:r w:rsidR="00AA1E76">
        <w:t>pozicioniranje</w:t>
      </w:r>
      <w:proofErr w:type="spellEnd"/>
      <w:r w:rsidR="00AA1E76">
        <w:t xml:space="preserve"> v globalnih verigah vrednosti, zmanjša</w:t>
      </w:r>
      <w:r w:rsidR="00A32F3B">
        <w:t>nje</w:t>
      </w:r>
      <w:r w:rsidR="00AA1E76">
        <w:t xml:space="preserve"> zaostan</w:t>
      </w:r>
      <w:r w:rsidR="00A32F3B">
        <w:t>ka</w:t>
      </w:r>
      <w:r w:rsidR="00AA1E76">
        <w:t xml:space="preserve"> pri vhodnih</w:t>
      </w:r>
      <w:r w:rsidR="009E47FF">
        <w:t xml:space="preserve"> tujih neposredni investicij</w:t>
      </w:r>
      <w:r w:rsidR="00AA1E76">
        <w:t xml:space="preserve"> za drugimi EU državami, ciljna usmerjenost ter izboljšanje učinkovitosti ekosistema.</w:t>
      </w:r>
    </w:p>
    <w:p w14:paraId="46B24CDF" w14:textId="77777777" w:rsidR="00C13A31" w:rsidRDefault="004F0406" w:rsidP="00A97A0D">
      <w:pPr>
        <w:shd w:val="clear" w:color="auto" w:fill="FFFFFF" w:themeFill="background1"/>
        <w:spacing w:before="0" w:after="0"/>
        <w:jc w:val="both"/>
      </w:pPr>
      <w:r>
        <w:t xml:space="preserve">Pomembna je tudi internacionalizacija na področju raziskav, razvoja in inovacij. </w:t>
      </w:r>
      <w:r w:rsidR="00B042A4" w:rsidRPr="003F63BA">
        <w:t>Zato je potrebno</w:t>
      </w:r>
      <w:r w:rsidR="00621CAD">
        <w:t>:</w:t>
      </w:r>
    </w:p>
    <w:p w14:paraId="413BF202" w14:textId="77777777" w:rsidR="00A97A0D" w:rsidRDefault="00A97A0D" w:rsidP="00A97A0D">
      <w:pPr>
        <w:shd w:val="clear" w:color="auto" w:fill="FFFFFF" w:themeFill="background1"/>
        <w:spacing w:before="0" w:after="0"/>
        <w:jc w:val="both"/>
      </w:pPr>
    </w:p>
    <w:p w14:paraId="33C01F41" w14:textId="77777777" w:rsidR="00C13A31" w:rsidRDefault="00C13A31" w:rsidP="00A97A0D">
      <w:pPr>
        <w:pStyle w:val="Odstavekseznama"/>
        <w:numPr>
          <w:ilvl w:val="0"/>
          <w:numId w:val="37"/>
        </w:numPr>
        <w:shd w:val="clear" w:color="auto" w:fill="FFFFFF" w:themeFill="background1"/>
        <w:spacing w:before="0" w:after="0"/>
        <w:jc w:val="both"/>
      </w:pPr>
      <w:r w:rsidRPr="00600C9A">
        <w:t>pospeševati</w:t>
      </w:r>
      <w:r w:rsidRPr="003F63BA">
        <w:t xml:space="preserve"> </w:t>
      </w:r>
      <w:r w:rsidR="00B042A4" w:rsidRPr="003F63BA">
        <w:t xml:space="preserve">vključevanje v evropske </w:t>
      </w:r>
      <w:r w:rsidR="00621CAD">
        <w:t xml:space="preserve">in globalne </w:t>
      </w:r>
      <w:r w:rsidR="00B042A4" w:rsidRPr="003F63BA">
        <w:t>razvojno-raziskovalne in tehnološke projekte</w:t>
      </w:r>
      <w:r w:rsidR="00584114">
        <w:t>, pobude</w:t>
      </w:r>
      <w:r w:rsidRPr="00C13A31">
        <w:rPr>
          <w:b/>
        </w:rPr>
        <w:t xml:space="preserve"> </w:t>
      </w:r>
      <w:r w:rsidRPr="00C13A31">
        <w:t>in programe</w:t>
      </w:r>
      <w:r>
        <w:t xml:space="preserve"> (npr. Obzorje, Eureka, sodelovanje z Evropsko vesoljsko agencijo - ESA in Evropsko obrambno agencijo - EDA, </w:t>
      </w:r>
      <w:proofErr w:type="spellStart"/>
      <w:r>
        <w:t>Life</w:t>
      </w:r>
      <w:proofErr w:type="spellEnd"/>
      <w:r>
        <w:t>+ programi),</w:t>
      </w:r>
    </w:p>
    <w:p w14:paraId="6C7BC2FF" w14:textId="77777777" w:rsidR="00C13A31" w:rsidRDefault="00C13A31" w:rsidP="00621CAD">
      <w:pPr>
        <w:pStyle w:val="Odstavekseznama"/>
        <w:numPr>
          <w:ilvl w:val="0"/>
          <w:numId w:val="37"/>
        </w:numPr>
        <w:shd w:val="clear" w:color="auto" w:fill="FFFFFF" w:themeFill="background1"/>
        <w:spacing w:before="0" w:after="375"/>
        <w:jc w:val="both"/>
      </w:pPr>
      <w:r>
        <w:t>spodbujati sodelovanje z različnimi evropskimi in mednarodnimi institucijami</w:t>
      </w:r>
      <w:r w:rsidR="00621CAD">
        <w:t xml:space="preserve"> </w:t>
      </w:r>
      <w:r w:rsidR="009D2F68">
        <w:t xml:space="preserve">(npr. </w:t>
      </w:r>
      <w:proofErr w:type="spellStart"/>
      <w:r w:rsidR="009D2F68">
        <w:t>European</w:t>
      </w:r>
      <w:proofErr w:type="spellEnd"/>
      <w:r w:rsidR="009D2F68">
        <w:t xml:space="preserve"> Institute </w:t>
      </w:r>
      <w:proofErr w:type="spellStart"/>
      <w:r w:rsidR="009D2F68">
        <w:t>of</w:t>
      </w:r>
      <w:proofErr w:type="spellEnd"/>
      <w:r w:rsidR="009D2F68">
        <w:t xml:space="preserve"> </w:t>
      </w:r>
      <w:proofErr w:type="spellStart"/>
      <w:r w:rsidR="009D2F68">
        <w:t>Technology</w:t>
      </w:r>
      <w:proofErr w:type="spellEnd"/>
      <w:r w:rsidR="009D2F68">
        <w:t xml:space="preserve"> - EIT/ </w:t>
      </w:r>
      <w:proofErr w:type="spellStart"/>
      <w:r w:rsidR="009D2F68">
        <w:t>Knowledge</w:t>
      </w:r>
      <w:proofErr w:type="spellEnd"/>
      <w:r w:rsidR="009D2F68">
        <w:t xml:space="preserve"> </w:t>
      </w:r>
      <w:proofErr w:type="spellStart"/>
      <w:r w:rsidR="009D2F68">
        <w:t>and</w:t>
      </w:r>
      <w:proofErr w:type="spellEnd"/>
      <w:r w:rsidR="009D2F68">
        <w:t xml:space="preserve"> </w:t>
      </w:r>
      <w:proofErr w:type="spellStart"/>
      <w:r w:rsidR="009D2F68">
        <w:t>Innovation</w:t>
      </w:r>
      <w:proofErr w:type="spellEnd"/>
      <w:r w:rsidR="009D2F68">
        <w:t xml:space="preserve"> </w:t>
      </w:r>
      <w:proofErr w:type="spellStart"/>
      <w:r w:rsidR="009D2F68">
        <w:t>Communities</w:t>
      </w:r>
      <w:proofErr w:type="spellEnd"/>
      <w:r w:rsidR="009D2F68">
        <w:t xml:space="preserve"> - </w:t>
      </w:r>
      <w:proofErr w:type="spellStart"/>
      <w:r w:rsidR="009D2F68">
        <w:t>KICs</w:t>
      </w:r>
      <w:proofErr w:type="spellEnd"/>
      <w:r w:rsidR="009D2F68">
        <w:t xml:space="preserve">, </w:t>
      </w:r>
      <w:proofErr w:type="spellStart"/>
      <w:r w:rsidR="009D2F68">
        <w:t>Biobased</w:t>
      </w:r>
      <w:proofErr w:type="spellEnd"/>
      <w:r w:rsidR="009D2F68">
        <w:t xml:space="preserve"> </w:t>
      </w:r>
      <w:proofErr w:type="spellStart"/>
      <w:r w:rsidR="009D2F68">
        <w:t>industry</w:t>
      </w:r>
      <w:proofErr w:type="spellEnd"/>
      <w:r w:rsidR="009D2F68">
        <w:t xml:space="preserve"> </w:t>
      </w:r>
      <w:proofErr w:type="spellStart"/>
      <w:r w:rsidR="009D2F68">
        <w:t>Joint</w:t>
      </w:r>
      <w:proofErr w:type="spellEnd"/>
      <w:r w:rsidR="009D2F68">
        <w:t xml:space="preserve"> </w:t>
      </w:r>
      <w:proofErr w:type="spellStart"/>
      <w:r w:rsidR="009D2F68">
        <w:t>Undertaking</w:t>
      </w:r>
      <w:proofErr w:type="spellEnd"/>
      <w:r w:rsidR="009D2F68">
        <w:t xml:space="preserve"> - BBI JU)</w:t>
      </w:r>
      <w:r>
        <w:t>,</w:t>
      </w:r>
      <w:r w:rsidR="009D2F68">
        <w:t xml:space="preserve"> </w:t>
      </w:r>
    </w:p>
    <w:p w14:paraId="62F4AE4A" w14:textId="77777777" w:rsidR="00C13A31" w:rsidRPr="00C13A31" w:rsidRDefault="00C13A31" w:rsidP="00621CAD">
      <w:pPr>
        <w:pStyle w:val="Odstavekseznama"/>
        <w:numPr>
          <w:ilvl w:val="0"/>
          <w:numId w:val="37"/>
        </w:numPr>
        <w:shd w:val="clear" w:color="auto" w:fill="FFFFFF" w:themeFill="background1"/>
        <w:spacing w:before="0" w:after="375"/>
        <w:jc w:val="both"/>
      </w:pPr>
      <w:r w:rsidRPr="00C13A31">
        <w:t>krepiti sodelovanje z obstoječimi in novimi mrežami podpornega okolja ter ostalimi deležniki v tujini</w:t>
      </w:r>
      <w:r>
        <w:t xml:space="preserve"> (npr. mreža </w:t>
      </w:r>
      <w:proofErr w:type="spellStart"/>
      <w:r>
        <w:t>Eurpean</w:t>
      </w:r>
      <w:proofErr w:type="spellEnd"/>
      <w:r>
        <w:t xml:space="preserve"> </w:t>
      </w:r>
      <w:proofErr w:type="spellStart"/>
      <w:r>
        <w:t>Enterprise</w:t>
      </w:r>
      <w:proofErr w:type="spellEnd"/>
      <w:r>
        <w:t xml:space="preserve"> </w:t>
      </w:r>
      <w:proofErr w:type="spellStart"/>
      <w:r>
        <w:t>Network</w:t>
      </w:r>
      <w:proofErr w:type="spellEnd"/>
      <w:r>
        <w:t xml:space="preserve"> – EEN),</w:t>
      </w:r>
    </w:p>
    <w:p w14:paraId="5FCF3E3F" w14:textId="77777777" w:rsidR="00B042A4" w:rsidRDefault="00C13A31" w:rsidP="00621CAD">
      <w:pPr>
        <w:pStyle w:val="Odstavekseznama"/>
        <w:numPr>
          <w:ilvl w:val="0"/>
          <w:numId w:val="37"/>
        </w:numPr>
        <w:shd w:val="clear" w:color="auto" w:fill="FFFFFF" w:themeFill="background1"/>
        <w:spacing w:before="0" w:after="375"/>
        <w:jc w:val="both"/>
      </w:pPr>
      <w:r>
        <w:t>identificiranje in spremljanje</w:t>
      </w:r>
      <w:r w:rsidR="00621CAD" w:rsidRPr="00965C40">
        <w:t xml:space="preserve"> tehnoloških dosežkov/trendov na evropskem in globalnem trgu</w:t>
      </w:r>
      <w:r>
        <w:t xml:space="preserve"> ter prenos dobrih praks iz Slovenije in v Slovenijo, ki</w:t>
      </w:r>
      <w:r w:rsidRPr="00965C40">
        <w:t xml:space="preserve"> obsega mednarodne gospodarske dogodke, mrežo </w:t>
      </w:r>
      <w:proofErr w:type="spellStart"/>
      <w:r w:rsidRPr="00965C40">
        <w:t>Innovation</w:t>
      </w:r>
      <w:proofErr w:type="spellEnd"/>
      <w:r w:rsidRPr="00965C40">
        <w:t xml:space="preserve"> Radar ter mrežo ekonomskih predstavnikov v tujini</w:t>
      </w:r>
      <w:r w:rsidR="00621CAD" w:rsidRPr="00965C40">
        <w:t xml:space="preserve">. </w:t>
      </w:r>
    </w:p>
    <w:p w14:paraId="2C93F046" w14:textId="77777777" w:rsidR="00514F6B" w:rsidRDefault="00514F6B">
      <w:r>
        <w:br w:type="page"/>
      </w:r>
    </w:p>
    <w:p w14:paraId="42756ACC" w14:textId="77777777" w:rsidR="00401CAA" w:rsidRPr="002C33EA" w:rsidRDefault="002C33EA" w:rsidP="002C33EA">
      <w:pPr>
        <w:pStyle w:val="Naslov1"/>
        <w:numPr>
          <w:ilvl w:val="0"/>
          <w:numId w:val="5"/>
        </w:numPr>
        <w:rPr>
          <w:caps w:val="0"/>
          <w:sz w:val="20"/>
        </w:rPr>
      </w:pPr>
      <w:bookmarkStart w:id="40" w:name="_Toc51140519"/>
      <w:r w:rsidRPr="002C33EA">
        <w:rPr>
          <w:caps w:val="0"/>
          <w:sz w:val="20"/>
        </w:rPr>
        <w:lastRenderedPageBreak/>
        <w:t>USMERITVE ZA POVEZAN ZELENI</w:t>
      </w:r>
      <w:r>
        <w:rPr>
          <w:caps w:val="0"/>
          <w:sz w:val="20"/>
        </w:rPr>
        <w:t>, USTVARJALNI IN PAMETNI RAZVOJ</w:t>
      </w:r>
      <w:bookmarkEnd w:id="40"/>
    </w:p>
    <w:p w14:paraId="2D8EE4E2" w14:textId="6800A318" w:rsidR="002C33EA" w:rsidRDefault="002C33EA" w:rsidP="002C33EA">
      <w:pPr>
        <w:jc w:val="both"/>
      </w:pPr>
      <w:r>
        <w:t>Kot je navedeno v poglavju 2.4, je nabor ukrepov za izvajanje SIS v veliki meri standardiziran. Vendar pa je pri posameznih ukrepih ključno, da so pravilno usmerjeni in da v izvedbenem delu podprejo zeleni, ustvarjalni in pametni razvoj. Primer ukrepa so raziskave, razvoj in inovacije, ki so osnovno gonilo razvoja gospodarstva, vendar je pomembno, kam in kako so usmerjene, da bodo podprle želeno smer razvoja.</w:t>
      </w:r>
    </w:p>
    <w:tbl>
      <w:tblPr>
        <w:tblStyle w:val="Tabelamrea4poudarek11"/>
        <w:tblW w:w="0" w:type="auto"/>
        <w:tblLook w:val="04A0" w:firstRow="1" w:lastRow="0" w:firstColumn="1" w:lastColumn="0" w:noHBand="0" w:noVBand="1"/>
      </w:tblPr>
      <w:tblGrid>
        <w:gridCol w:w="6516"/>
        <w:gridCol w:w="1276"/>
        <w:gridCol w:w="1270"/>
      </w:tblGrid>
      <w:tr w:rsidR="00AB7F23" w14:paraId="02B6B651" w14:textId="77777777" w:rsidTr="00AB7F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2879A39D" w14:textId="77777777" w:rsidR="00AB7F23" w:rsidRDefault="00AB7F23" w:rsidP="00C55975">
            <w:pPr>
              <w:rPr>
                <w:caps/>
              </w:rPr>
            </w:pPr>
            <w:r>
              <w:rPr>
                <w:caps/>
              </w:rPr>
              <w:t xml:space="preserve">uSMERITVE po posameznih sklopih ukrepov </w:t>
            </w:r>
          </w:p>
        </w:tc>
        <w:tc>
          <w:tcPr>
            <w:tcW w:w="1276" w:type="dxa"/>
          </w:tcPr>
          <w:p w14:paraId="5D867C13" w14:textId="77777777" w:rsidR="00AB7F23" w:rsidRDefault="00AB7F23" w:rsidP="00C55975">
            <w:pPr>
              <w:cnfStyle w:val="100000000000" w:firstRow="1" w:lastRow="0" w:firstColumn="0" w:lastColumn="0" w:oddVBand="0" w:evenVBand="0" w:oddHBand="0" w:evenHBand="0" w:firstRowFirstColumn="0" w:firstRowLastColumn="0" w:lastRowFirstColumn="0" w:lastRowLastColumn="0"/>
              <w:rPr>
                <w:caps/>
              </w:rPr>
            </w:pPr>
            <w:r>
              <w:rPr>
                <w:caps/>
              </w:rPr>
              <w:t>nosilni resor/ji</w:t>
            </w:r>
          </w:p>
        </w:tc>
        <w:tc>
          <w:tcPr>
            <w:tcW w:w="1270" w:type="dxa"/>
          </w:tcPr>
          <w:p w14:paraId="0B52CE08" w14:textId="77777777" w:rsidR="00AB7F23" w:rsidRDefault="00AB7F23" w:rsidP="00C55975">
            <w:pPr>
              <w:cnfStyle w:val="100000000000" w:firstRow="1" w:lastRow="0" w:firstColumn="0" w:lastColumn="0" w:oddVBand="0" w:evenVBand="0" w:oddHBand="0" w:evenHBand="0" w:firstRowFirstColumn="0" w:firstRowLastColumn="0" w:lastRowFirstColumn="0" w:lastRowLastColumn="0"/>
              <w:rPr>
                <w:caps/>
              </w:rPr>
            </w:pPr>
            <w:r>
              <w:rPr>
                <w:caps/>
              </w:rPr>
              <w:t>ocena finančnih sredstev</w:t>
            </w:r>
          </w:p>
        </w:tc>
      </w:tr>
      <w:tr w:rsidR="00AB7F23" w14:paraId="2361D8B1" w14:textId="77777777" w:rsidTr="00AB7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367CF7C0" w14:textId="77777777" w:rsidR="00AB7F23" w:rsidRPr="00A902C0" w:rsidRDefault="00AB7F23" w:rsidP="00C55975">
            <w:pPr>
              <w:pStyle w:val="Odstavekseznama"/>
              <w:numPr>
                <w:ilvl w:val="0"/>
                <w:numId w:val="39"/>
              </w:numPr>
              <w:rPr>
                <w:b w:val="0"/>
                <w:caps/>
              </w:rPr>
            </w:pPr>
            <w:r w:rsidRPr="00CE1321">
              <w:t>Raziskave, razvoj in inovacije (RRI</w:t>
            </w:r>
            <w:r>
              <w:rPr>
                <w:b w:val="0"/>
              </w:rPr>
              <w:t>)</w:t>
            </w:r>
            <w:r w:rsidRPr="00A902C0">
              <w:rPr>
                <w:b w:val="0"/>
              </w:rPr>
              <w:t>:</w:t>
            </w:r>
          </w:p>
          <w:p w14:paraId="73394EAD" w14:textId="77777777" w:rsidR="00AB7F23" w:rsidRPr="00A902C0" w:rsidRDefault="00AB7F23" w:rsidP="00AB7F23">
            <w:pPr>
              <w:pStyle w:val="Odstavekseznama"/>
              <w:numPr>
                <w:ilvl w:val="1"/>
                <w:numId w:val="39"/>
              </w:numPr>
              <w:ind w:left="851" w:hanging="511"/>
              <w:rPr>
                <w:b w:val="0"/>
                <w:caps/>
              </w:rPr>
            </w:pPr>
            <w:r w:rsidRPr="00A902C0">
              <w:rPr>
                <w:b w:val="0"/>
              </w:rPr>
              <w:t>Pove</w:t>
            </w:r>
            <w:r>
              <w:rPr>
                <w:b w:val="0"/>
              </w:rPr>
              <w:t>čanje deleža za RRD na 3 %, od tega javni del na 1 %.</w:t>
            </w:r>
          </w:p>
          <w:p w14:paraId="788C3017" w14:textId="77777777" w:rsidR="00AB7F23" w:rsidRPr="00CE1321" w:rsidRDefault="00AB7F23" w:rsidP="00AB7F23">
            <w:pPr>
              <w:pStyle w:val="Odstavekseznama"/>
              <w:numPr>
                <w:ilvl w:val="1"/>
                <w:numId w:val="39"/>
              </w:numPr>
              <w:ind w:left="851" w:hanging="511"/>
              <w:rPr>
                <w:b w:val="0"/>
                <w:caps/>
              </w:rPr>
            </w:pPr>
            <w:r>
              <w:rPr>
                <w:b w:val="0"/>
              </w:rPr>
              <w:t>Ohranitev 100-odstotnih davčnih olajšav za RRI.</w:t>
            </w:r>
          </w:p>
          <w:p w14:paraId="351DDC44" w14:textId="77777777" w:rsidR="00AB7F23" w:rsidRPr="00A902C0" w:rsidRDefault="00AB7F23" w:rsidP="00AB7F23">
            <w:pPr>
              <w:pStyle w:val="Odstavekseznama"/>
              <w:numPr>
                <w:ilvl w:val="1"/>
                <w:numId w:val="39"/>
              </w:numPr>
              <w:ind w:left="851" w:hanging="511"/>
              <w:rPr>
                <w:b w:val="0"/>
                <w:caps/>
              </w:rPr>
            </w:pPr>
            <w:r>
              <w:rPr>
                <w:b w:val="0"/>
              </w:rPr>
              <w:t>Povezovanje celotnega razvojnega cikla od TRL-1 do TRL-9.</w:t>
            </w:r>
          </w:p>
          <w:p w14:paraId="5597E48F" w14:textId="77777777" w:rsidR="00AB7F23" w:rsidRPr="00CE1321" w:rsidRDefault="00AB7F23" w:rsidP="00AB7F23">
            <w:pPr>
              <w:pStyle w:val="Odstavekseznama"/>
              <w:numPr>
                <w:ilvl w:val="1"/>
                <w:numId w:val="39"/>
              </w:numPr>
              <w:ind w:left="851" w:hanging="511"/>
              <w:rPr>
                <w:b w:val="0"/>
              </w:rPr>
            </w:pPr>
            <w:r>
              <w:rPr>
                <w:b w:val="0"/>
              </w:rPr>
              <w:t>V</w:t>
            </w:r>
            <w:r w:rsidRPr="00CE1321">
              <w:rPr>
                <w:b w:val="0"/>
              </w:rPr>
              <w:t>zpostavit</w:t>
            </w:r>
            <w:r>
              <w:rPr>
                <w:b w:val="0"/>
              </w:rPr>
              <w:t>ev</w:t>
            </w:r>
            <w:r w:rsidRPr="00CE1321">
              <w:rPr>
                <w:b w:val="0"/>
              </w:rPr>
              <w:t xml:space="preserve"> sistema uporabe raziskovalne opreme, ki obsega dopolnitev že vzpostavljene evidence razpoložljive raziskovalne opreme ter vzpostavitev povezave med uporabniki in lastniki opreme.</w:t>
            </w:r>
          </w:p>
          <w:p w14:paraId="3F282335" w14:textId="77777777" w:rsidR="00AB7F23" w:rsidRPr="008A1265" w:rsidRDefault="00AB7F23" w:rsidP="00AB7F23">
            <w:pPr>
              <w:pStyle w:val="Odstavekseznama"/>
              <w:numPr>
                <w:ilvl w:val="1"/>
                <w:numId w:val="39"/>
              </w:numPr>
              <w:ind w:left="851" w:hanging="511"/>
              <w:rPr>
                <w:b w:val="0"/>
                <w:caps/>
              </w:rPr>
            </w:pPr>
            <w:r>
              <w:rPr>
                <w:b w:val="0"/>
              </w:rPr>
              <w:t>P</w:t>
            </w:r>
            <w:r w:rsidRPr="008A1265">
              <w:rPr>
                <w:b w:val="0"/>
              </w:rPr>
              <w:t xml:space="preserve">ospeševanje </w:t>
            </w:r>
            <w:r>
              <w:rPr>
                <w:b w:val="0"/>
              </w:rPr>
              <w:t>prenosa tehnologije in znanja</w:t>
            </w:r>
            <w:r w:rsidRPr="008A1265">
              <w:rPr>
                <w:b w:val="0"/>
              </w:rPr>
              <w:t xml:space="preserve"> za pospešeno komercializacijo rezultatov raziskav in razvoja</w:t>
            </w:r>
            <w:r>
              <w:rPr>
                <w:b w:val="0"/>
              </w:rPr>
              <w:t xml:space="preserve">. </w:t>
            </w:r>
          </w:p>
          <w:p w14:paraId="01DB7941" w14:textId="77777777" w:rsidR="00AB7F23" w:rsidRPr="008A1265" w:rsidRDefault="00AB7F23" w:rsidP="00AB7F23">
            <w:pPr>
              <w:pStyle w:val="Odstavekseznama"/>
              <w:numPr>
                <w:ilvl w:val="1"/>
                <w:numId w:val="39"/>
              </w:numPr>
              <w:ind w:left="851" w:hanging="511"/>
              <w:rPr>
                <w:b w:val="0"/>
                <w:caps/>
              </w:rPr>
            </w:pPr>
            <w:r>
              <w:rPr>
                <w:b w:val="0"/>
              </w:rPr>
              <w:t>Upoštevanje krožnih in digitalnih vidikov pri zasnovi izdelkov (»</w:t>
            </w:r>
            <w:proofErr w:type="spellStart"/>
            <w:r>
              <w:rPr>
                <w:b w:val="0"/>
              </w:rPr>
              <w:t>circular</w:t>
            </w:r>
            <w:proofErr w:type="spellEnd"/>
            <w:r>
              <w:rPr>
                <w:b w:val="0"/>
              </w:rPr>
              <w:t xml:space="preserve"> </w:t>
            </w:r>
            <w:proofErr w:type="spellStart"/>
            <w:r>
              <w:rPr>
                <w:b w:val="0"/>
              </w:rPr>
              <w:t>and</w:t>
            </w:r>
            <w:proofErr w:type="spellEnd"/>
            <w:r>
              <w:rPr>
                <w:b w:val="0"/>
              </w:rPr>
              <w:t xml:space="preserve"> </w:t>
            </w:r>
            <w:proofErr w:type="spellStart"/>
            <w:r>
              <w:rPr>
                <w:b w:val="0"/>
              </w:rPr>
              <w:t>digital</w:t>
            </w:r>
            <w:proofErr w:type="spellEnd"/>
            <w:r>
              <w:rPr>
                <w:b w:val="0"/>
              </w:rPr>
              <w:t xml:space="preserve"> </w:t>
            </w:r>
            <w:proofErr w:type="spellStart"/>
            <w:r>
              <w:rPr>
                <w:b w:val="0"/>
              </w:rPr>
              <w:t>by</w:t>
            </w:r>
            <w:proofErr w:type="spellEnd"/>
            <w:r>
              <w:rPr>
                <w:b w:val="0"/>
              </w:rPr>
              <w:t xml:space="preserve"> design«).</w:t>
            </w:r>
          </w:p>
          <w:p w14:paraId="5BC773A6" w14:textId="77777777" w:rsidR="00AB7F23" w:rsidRPr="007410B8" w:rsidRDefault="00AB7F23" w:rsidP="00AB7F23">
            <w:pPr>
              <w:pStyle w:val="Odstavekseznama"/>
              <w:numPr>
                <w:ilvl w:val="1"/>
                <w:numId w:val="39"/>
              </w:numPr>
              <w:ind w:left="851" w:hanging="511"/>
              <w:rPr>
                <w:b w:val="0"/>
                <w:caps/>
              </w:rPr>
            </w:pPr>
            <w:r>
              <w:rPr>
                <w:b w:val="0"/>
              </w:rPr>
              <w:t xml:space="preserve">Krepitev RRI </w:t>
            </w:r>
            <w:r w:rsidRPr="007410B8">
              <w:rPr>
                <w:b w:val="0"/>
              </w:rPr>
              <w:t>na področjih novih</w:t>
            </w:r>
            <w:r>
              <w:rPr>
                <w:b w:val="0"/>
              </w:rPr>
              <w:t xml:space="preserve"> in alternativnih</w:t>
            </w:r>
            <w:r w:rsidRPr="007410B8">
              <w:rPr>
                <w:b w:val="0"/>
              </w:rPr>
              <w:t xml:space="preserve"> materialov, izdelkov, storitev in tehnologij z upoštevanjem sodobnih pristopov</w:t>
            </w:r>
            <w:r>
              <w:rPr>
                <w:b w:val="0"/>
              </w:rPr>
              <w:t xml:space="preserve"> (življenjski cikel, digitalni dvojčki ipd.).</w:t>
            </w:r>
          </w:p>
          <w:p w14:paraId="0DAC9AA0" w14:textId="77777777" w:rsidR="00AB7F23" w:rsidRPr="007058D9" w:rsidRDefault="00AB7F23" w:rsidP="00AB7F23">
            <w:pPr>
              <w:pStyle w:val="Odstavekseznama"/>
              <w:numPr>
                <w:ilvl w:val="1"/>
                <w:numId w:val="39"/>
              </w:numPr>
              <w:ind w:left="851" w:hanging="511"/>
              <w:rPr>
                <w:b w:val="0"/>
                <w:caps/>
              </w:rPr>
            </w:pPr>
            <w:r w:rsidRPr="00CF3C6A">
              <w:rPr>
                <w:b w:val="0"/>
              </w:rPr>
              <w:t>Razvoj najsodobnejših tehnologij in produktov po usmeritvah nove RISS in Strategije pametne specializacije</w:t>
            </w:r>
            <w:r w:rsidRPr="00CF3C6A">
              <w:t>.</w:t>
            </w:r>
          </w:p>
          <w:p w14:paraId="31B4A526" w14:textId="77777777" w:rsidR="00AB7F23" w:rsidRPr="00A902C0" w:rsidRDefault="00AB7F23" w:rsidP="00C55975">
            <w:pPr>
              <w:pStyle w:val="Odstavekseznama"/>
              <w:ind w:left="792"/>
              <w:rPr>
                <w:b w:val="0"/>
                <w:caps/>
              </w:rPr>
            </w:pPr>
          </w:p>
        </w:tc>
        <w:tc>
          <w:tcPr>
            <w:tcW w:w="1276" w:type="dxa"/>
          </w:tcPr>
          <w:p w14:paraId="7A305F0B" w14:textId="77777777" w:rsidR="00AB7F23" w:rsidRPr="00A902C0" w:rsidRDefault="00AB7F23" w:rsidP="00C55975">
            <w:pPr>
              <w:cnfStyle w:val="000000100000" w:firstRow="0" w:lastRow="0" w:firstColumn="0" w:lastColumn="0" w:oddVBand="0" w:evenVBand="0" w:oddHBand="1" w:evenHBand="0" w:firstRowFirstColumn="0" w:firstRowLastColumn="0" w:lastRowFirstColumn="0" w:lastRowLastColumn="0"/>
              <w:rPr>
                <w:caps/>
              </w:rPr>
            </w:pPr>
          </w:p>
        </w:tc>
        <w:tc>
          <w:tcPr>
            <w:tcW w:w="1270" w:type="dxa"/>
          </w:tcPr>
          <w:p w14:paraId="2CBB2AB3" w14:textId="77777777" w:rsidR="00AB7F23" w:rsidRPr="00A902C0" w:rsidRDefault="00AB7F23" w:rsidP="00C55975">
            <w:pPr>
              <w:cnfStyle w:val="000000100000" w:firstRow="0" w:lastRow="0" w:firstColumn="0" w:lastColumn="0" w:oddVBand="0" w:evenVBand="0" w:oddHBand="1" w:evenHBand="0" w:firstRowFirstColumn="0" w:firstRowLastColumn="0" w:lastRowFirstColumn="0" w:lastRowLastColumn="0"/>
              <w:rPr>
                <w:caps/>
              </w:rPr>
            </w:pPr>
          </w:p>
        </w:tc>
      </w:tr>
      <w:tr w:rsidR="00AB7F23" w14:paraId="1F6F7056" w14:textId="77777777" w:rsidTr="00AB7F23">
        <w:tc>
          <w:tcPr>
            <w:cnfStyle w:val="001000000000" w:firstRow="0" w:lastRow="0" w:firstColumn="1" w:lastColumn="0" w:oddVBand="0" w:evenVBand="0" w:oddHBand="0" w:evenHBand="0" w:firstRowFirstColumn="0" w:firstRowLastColumn="0" w:lastRowFirstColumn="0" w:lastRowLastColumn="0"/>
            <w:tcW w:w="6516" w:type="dxa"/>
          </w:tcPr>
          <w:p w14:paraId="7BC2B299" w14:textId="77777777" w:rsidR="00AB7F23" w:rsidRPr="00CE1321" w:rsidRDefault="00AB7F23" w:rsidP="00C55975">
            <w:pPr>
              <w:pStyle w:val="Odstavekseznama"/>
              <w:numPr>
                <w:ilvl w:val="0"/>
                <w:numId w:val="39"/>
              </w:numPr>
            </w:pPr>
            <w:r w:rsidRPr="00CE1321">
              <w:t>Demonstracijski in pilotni projekti</w:t>
            </w:r>
          </w:p>
          <w:p w14:paraId="774A8F8A" w14:textId="77777777" w:rsidR="00AB7F23" w:rsidRDefault="00AB7F23" w:rsidP="00AB7F23">
            <w:pPr>
              <w:pStyle w:val="Odstavekseznama"/>
              <w:numPr>
                <w:ilvl w:val="1"/>
                <w:numId w:val="39"/>
              </w:numPr>
              <w:ind w:left="851" w:hanging="511"/>
              <w:rPr>
                <w:b w:val="0"/>
                <w:bCs w:val="0"/>
              </w:rPr>
            </w:pPr>
            <w:r w:rsidRPr="00CF3C6A">
              <w:rPr>
                <w:b w:val="0"/>
              </w:rPr>
              <w:t>Podpora pilo</w:t>
            </w:r>
            <w:r>
              <w:rPr>
                <w:b w:val="0"/>
              </w:rPr>
              <w:t>tno-demonstracijskih projektov in</w:t>
            </w:r>
            <w:r w:rsidRPr="00CF3C6A">
              <w:rPr>
                <w:b w:val="0"/>
              </w:rPr>
              <w:t xml:space="preserve"> demonstracijskih centrov</w:t>
            </w:r>
            <w:r w:rsidRPr="00CF3C6A">
              <w:rPr>
                <w:b w:val="0"/>
                <w:bCs w:val="0"/>
              </w:rPr>
              <w:t>, ki prispevajo k zelenemu</w:t>
            </w:r>
            <w:r>
              <w:rPr>
                <w:b w:val="0"/>
                <w:bCs w:val="0"/>
              </w:rPr>
              <w:t>, ustvarjalnemu</w:t>
            </w:r>
            <w:r w:rsidRPr="00CF3C6A">
              <w:rPr>
                <w:b w:val="0"/>
                <w:bCs w:val="0"/>
              </w:rPr>
              <w:t xml:space="preserve"> </w:t>
            </w:r>
            <w:r>
              <w:rPr>
                <w:b w:val="0"/>
                <w:bCs w:val="0"/>
              </w:rPr>
              <w:t xml:space="preserve">in pametnemu </w:t>
            </w:r>
            <w:r w:rsidRPr="00CF3C6A">
              <w:rPr>
                <w:b w:val="0"/>
                <w:bCs w:val="0"/>
              </w:rPr>
              <w:t>prehodu in</w:t>
            </w:r>
            <w:r w:rsidRPr="00CF3C6A">
              <w:rPr>
                <w:b w:val="0"/>
              </w:rPr>
              <w:t xml:space="preserve"> </w:t>
            </w:r>
            <w:r w:rsidRPr="00CF3C6A">
              <w:rPr>
                <w:b w:val="0"/>
                <w:bCs w:val="0"/>
              </w:rPr>
              <w:t xml:space="preserve">preko katerih bo mogoča promocija rešitev in znanja.  </w:t>
            </w:r>
          </w:p>
          <w:p w14:paraId="027199FF" w14:textId="77777777" w:rsidR="00AB7F23" w:rsidRPr="003A6AED" w:rsidRDefault="00AB7F23" w:rsidP="00AB7F23">
            <w:pPr>
              <w:pStyle w:val="Odstavekseznama"/>
              <w:numPr>
                <w:ilvl w:val="1"/>
                <w:numId w:val="39"/>
              </w:numPr>
              <w:ind w:left="851" w:hanging="511"/>
              <w:rPr>
                <w:b w:val="0"/>
              </w:rPr>
            </w:pPr>
            <w:r>
              <w:rPr>
                <w:b w:val="0"/>
              </w:rPr>
              <w:t>V</w:t>
            </w:r>
            <w:r w:rsidRPr="003A6AED">
              <w:rPr>
                <w:b w:val="0"/>
              </w:rPr>
              <w:t>zpostavitev pilotnih primerov kaskadne rabe</w:t>
            </w:r>
            <w:r>
              <w:rPr>
                <w:b w:val="0"/>
              </w:rPr>
              <w:t xml:space="preserve"> za z</w:t>
            </w:r>
            <w:r w:rsidRPr="003A6AED">
              <w:rPr>
                <w:b w:val="0"/>
              </w:rPr>
              <w:t>apiranje snovnih tokov</w:t>
            </w:r>
            <w:r>
              <w:rPr>
                <w:b w:val="0"/>
              </w:rPr>
              <w:t xml:space="preserve"> in izboljšanje snovne izrabe odpadkov</w:t>
            </w:r>
            <w:r w:rsidRPr="003A6AED">
              <w:rPr>
                <w:b w:val="0"/>
              </w:rPr>
              <w:t xml:space="preserve">: povratna logistika, </w:t>
            </w:r>
            <w:r>
              <w:rPr>
                <w:b w:val="0"/>
              </w:rPr>
              <w:t>sortiranje, spremljanje tokov itd</w:t>
            </w:r>
            <w:r w:rsidRPr="003A6AED">
              <w:rPr>
                <w:b w:val="0"/>
              </w:rPr>
              <w:t xml:space="preserve">. </w:t>
            </w:r>
          </w:p>
          <w:p w14:paraId="5B2D7EA9" w14:textId="77777777" w:rsidR="00AB7F23" w:rsidRPr="003A6AED" w:rsidRDefault="00AB7F23" w:rsidP="00AB7F23">
            <w:pPr>
              <w:pStyle w:val="Odstavekseznama"/>
              <w:numPr>
                <w:ilvl w:val="1"/>
                <w:numId w:val="39"/>
              </w:numPr>
              <w:ind w:left="851" w:hanging="511"/>
              <w:rPr>
                <w:b w:val="0"/>
              </w:rPr>
            </w:pPr>
            <w:r>
              <w:rPr>
                <w:b w:val="0"/>
              </w:rPr>
              <w:t xml:space="preserve">Demonstracijski in pilotni projekti v energetsko intenzivni industriji za uvajanje novih </w:t>
            </w:r>
            <w:proofErr w:type="spellStart"/>
            <w:r>
              <w:rPr>
                <w:b w:val="0"/>
              </w:rPr>
              <w:t>nizkoogljičnih</w:t>
            </w:r>
            <w:proofErr w:type="spellEnd"/>
            <w:r>
              <w:rPr>
                <w:b w:val="0"/>
              </w:rPr>
              <w:t xml:space="preserve"> tehnologij za </w:t>
            </w:r>
            <w:r w:rsidRPr="003A6AED">
              <w:rPr>
                <w:b w:val="0"/>
              </w:rPr>
              <w:t>izboljšanje energetske in snovne učinkovitosti, ohranjanje konkurenčnosti in preprečitev »odliva ogljika«.</w:t>
            </w:r>
          </w:p>
          <w:p w14:paraId="7B610DFB" w14:textId="77777777" w:rsidR="00AB7F23" w:rsidRPr="00A57F15" w:rsidRDefault="00AB7F23" w:rsidP="00C55975">
            <w:pPr>
              <w:pStyle w:val="Odstavekseznama"/>
              <w:ind w:left="360"/>
              <w:rPr>
                <w:b w:val="0"/>
              </w:rPr>
            </w:pPr>
          </w:p>
        </w:tc>
        <w:tc>
          <w:tcPr>
            <w:tcW w:w="1276" w:type="dxa"/>
          </w:tcPr>
          <w:p w14:paraId="55625F4D" w14:textId="77777777" w:rsidR="00AB7F23" w:rsidRPr="00A902C0" w:rsidRDefault="00AB7F23" w:rsidP="00C55975">
            <w:pPr>
              <w:cnfStyle w:val="000000000000" w:firstRow="0" w:lastRow="0" w:firstColumn="0" w:lastColumn="0" w:oddVBand="0" w:evenVBand="0" w:oddHBand="0" w:evenHBand="0" w:firstRowFirstColumn="0" w:firstRowLastColumn="0" w:lastRowFirstColumn="0" w:lastRowLastColumn="0"/>
              <w:rPr>
                <w:caps/>
              </w:rPr>
            </w:pPr>
          </w:p>
        </w:tc>
        <w:tc>
          <w:tcPr>
            <w:tcW w:w="1270" w:type="dxa"/>
          </w:tcPr>
          <w:p w14:paraId="39EEF666" w14:textId="77777777" w:rsidR="00AB7F23" w:rsidRPr="00A902C0" w:rsidRDefault="00AB7F23" w:rsidP="00C55975">
            <w:pPr>
              <w:cnfStyle w:val="000000000000" w:firstRow="0" w:lastRow="0" w:firstColumn="0" w:lastColumn="0" w:oddVBand="0" w:evenVBand="0" w:oddHBand="0" w:evenHBand="0" w:firstRowFirstColumn="0" w:firstRowLastColumn="0" w:lastRowFirstColumn="0" w:lastRowLastColumn="0"/>
              <w:rPr>
                <w:caps/>
              </w:rPr>
            </w:pPr>
          </w:p>
        </w:tc>
      </w:tr>
      <w:tr w:rsidR="00AB7F23" w14:paraId="389D1504" w14:textId="77777777" w:rsidTr="00AB7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11355F73" w14:textId="77777777" w:rsidR="00AB7F23" w:rsidRPr="00584114" w:rsidRDefault="00AB7F23" w:rsidP="00C55975">
            <w:pPr>
              <w:pStyle w:val="Odstavekseznama"/>
              <w:numPr>
                <w:ilvl w:val="0"/>
                <w:numId w:val="39"/>
              </w:numPr>
            </w:pPr>
            <w:r w:rsidRPr="00584114">
              <w:t>Vključ</w:t>
            </w:r>
            <w:r>
              <w:t>evanje v mednarodne raziskovalno-razvojne</w:t>
            </w:r>
            <w:r w:rsidRPr="00584114">
              <w:t xml:space="preserve"> </w:t>
            </w:r>
            <w:r>
              <w:t xml:space="preserve">in inovacijske </w:t>
            </w:r>
            <w:r w:rsidRPr="00584114">
              <w:t>projekte in programe</w:t>
            </w:r>
          </w:p>
          <w:p w14:paraId="479B67D7" w14:textId="77777777" w:rsidR="00AB7F23" w:rsidRPr="00584114" w:rsidRDefault="00AB7F23" w:rsidP="00AB7F23">
            <w:pPr>
              <w:pStyle w:val="Odstavekseznama"/>
              <w:numPr>
                <w:ilvl w:val="1"/>
                <w:numId w:val="39"/>
              </w:numPr>
              <w:ind w:left="851" w:hanging="511"/>
              <w:rPr>
                <w:b w:val="0"/>
              </w:rPr>
            </w:pPr>
            <w:r>
              <w:rPr>
                <w:b w:val="0"/>
              </w:rPr>
              <w:t>Pospeševanje vključevanja</w:t>
            </w:r>
            <w:r w:rsidRPr="00584114">
              <w:rPr>
                <w:b w:val="0"/>
              </w:rPr>
              <w:t xml:space="preserve"> v evropske in globalne </w:t>
            </w:r>
            <w:r>
              <w:rPr>
                <w:b w:val="0"/>
              </w:rPr>
              <w:t>raziskovalno-razvojne</w:t>
            </w:r>
            <w:r w:rsidRPr="00584114">
              <w:rPr>
                <w:b w:val="0"/>
              </w:rPr>
              <w:t xml:space="preserve"> </w:t>
            </w:r>
            <w:r>
              <w:rPr>
                <w:b w:val="0"/>
              </w:rPr>
              <w:t>in inovacijske</w:t>
            </w:r>
            <w:r w:rsidRPr="00584114">
              <w:rPr>
                <w:b w:val="0"/>
              </w:rPr>
              <w:t xml:space="preserve"> projekte</w:t>
            </w:r>
            <w:r>
              <w:rPr>
                <w:b w:val="0"/>
              </w:rPr>
              <w:t>, pobude</w:t>
            </w:r>
            <w:r w:rsidRPr="00584114">
              <w:rPr>
                <w:b w:val="0"/>
              </w:rPr>
              <w:t xml:space="preserve"> in programe</w:t>
            </w:r>
            <w:r>
              <w:rPr>
                <w:b w:val="0"/>
              </w:rPr>
              <w:t>.</w:t>
            </w:r>
          </w:p>
          <w:p w14:paraId="2FEB6B43" w14:textId="77777777" w:rsidR="00AB7F23" w:rsidRPr="00584114" w:rsidRDefault="00AB7F23" w:rsidP="00AB7F23">
            <w:pPr>
              <w:pStyle w:val="Odstavekseznama"/>
              <w:numPr>
                <w:ilvl w:val="1"/>
                <w:numId w:val="39"/>
              </w:numPr>
              <w:ind w:left="851" w:hanging="511"/>
              <w:rPr>
                <w:b w:val="0"/>
              </w:rPr>
            </w:pPr>
            <w:r w:rsidRPr="00584114">
              <w:rPr>
                <w:b w:val="0"/>
              </w:rPr>
              <w:t>Spodbujanje sodelovanj</w:t>
            </w:r>
            <w:r>
              <w:rPr>
                <w:b w:val="0"/>
              </w:rPr>
              <w:t>a</w:t>
            </w:r>
            <w:r w:rsidRPr="00584114">
              <w:rPr>
                <w:b w:val="0"/>
              </w:rPr>
              <w:t xml:space="preserve"> z različnimi evropskimi in mednarodnimi institucijami </w:t>
            </w:r>
            <w:r>
              <w:rPr>
                <w:b w:val="0"/>
              </w:rPr>
              <w:t>ter</w:t>
            </w:r>
            <w:r w:rsidRPr="00584114">
              <w:rPr>
                <w:b w:val="0"/>
              </w:rPr>
              <w:t xml:space="preserve"> mrežami podpornega okolja. </w:t>
            </w:r>
          </w:p>
          <w:p w14:paraId="757EC01B" w14:textId="77777777" w:rsidR="00AB7F23" w:rsidRPr="00584114" w:rsidRDefault="00AB7F23" w:rsidP="00AB7F23">
            <w:pPr>
              <w:pStyle w:val="Odstavekseznama"/>
              <w:numPr>
                <w:ilvl w:val="1"/>
                <w:numId w:val="39"/>
              </w:numPr>
              <w:ind w:left="851" w:hanging="511"/>
              <w:rPr>
                <w:b w:val="0"/>
              </w:rPr>
            </w:pPr>
            <w:r>
              <w:rPr>
                <w:b w:val="0"/>
              </w:rPr>
              <w:t>I</w:t>
            </w:r>
            <w:r w:rsidRPr="00584114">
              <w:rPr>
                <w:b w:val="0"/>
              </w:rPr>
              <w:t>dentificiranje in spremljanje tehnoloških dosežkov/trendov na evropskem in globalnem trgu ter prenos dobrih praks</w:t>
            </w:r>
            <w:r>
              <w:rPr>
                <w:b w:val="0"/>
              </w:rPr>
              <w:t>.</w:t>
            </w:r>
            <w:r w:rsidRPr="00584114">
              <w:rPr>
                <w:b w:val="0"/>
              </w:rPr>
              <w:t xml:space="preserve"> </w:t>
            </w:r>
          </w:p>
          <w:p w14:paraId="1A9CB2B0" w14:textId="77777777" w:rsidR="00AB7F23" w:rsidRPr="00584114" w:rsidRDefault="00AB7F23" w:rsidP="00C55975"/>
        </w:tc>
        <w:tc>
          <w:tcPr>
            <w:tcW w:w="1276" w:type="dxa"/>
          </w:tcPr>
          <w:p w14:paraId="087FCC8D" w14:textId="77777777" w:rsidR="00AB7F23" w:rsidRPr="00A902C0" w:rsidRDefault="00AB7F23" w:rsidP="00C55975">
            <w:pPr>
              <w:cnfStyle w:val="000000100000" w:firstRow="0" w:lastRow="0" w:firstColumn="0" w:lastColumn="0" w:oddVBand="0" w:evenVBand="0" w:oddHBand="1" w:evenHBand="0" w:firstRowFirstColumn="0" w:firstRowLastColumn="0" w:lastRowFirstColumn="0" w:lastRowLastColumn="0"/>
              <w:rPr>
                <w:caps/>
              </w:rPr>
            </w:pPr>
          </w:p>
        </w:tc>
        <w:tc>
          <w:tcPr>
            <w:tcW w:w="1270" w:type="dxa"/>
          </w:tcPr>
          <w:p w14:paraId="29D7030F" w14:textId="77777777" w:rsidR="00AB7F23" w:rsidRPr="00A902C0" w:rsidRDefault="00AB7F23" w:rsidP="00C55975">
            <w:pPr>
              <w:cnfStyle w:val="000000100000" w:firstRow="0" w:lastRow="0" w:firstColumn="0" w:lastColumn="0" w:oddVBand="0" w:evenVBand="0" w:oddHBand="1" w:evenHBand="0" w:firstRowFirstColumn="0" w:firstRowLastColumn="0" w:lastRowFirstColumn="0" w:lastRowLastColumn="0"/>
              <w:rPr>
                <w:caps/>
              </w:rPr>
            </w:pPr>
          </w:p>
        </w:tc>
      </w:tr>
      <w:tr w:rsidR="00AB7F23" w14:paraId="7E186FBF" w14:textId="77777777" w:rsidTr="00AB7F23">
        <w:tc>
          <w:tcPr>
            <w:cnfStyle w:val="001000000000" w:firstRow="0" w:lastRow="0" w:firstColumn="1" w:lastColumn="0" w:oddVBand="0" w:evenVBand="0" w:oddHBand="0" w:evenHBand="0" w:firstRowFirstColumn="0" w:firstRowLastColumn="0" w:lastRowFirstColumn="0" w:lastRowLastColumn="0"/>
            <w:tcW w:w="6516" w:type="dxa"/>
          </w:tcPr>
          <w:p w14:paraId="7D3C07A0" w14:textId="77777777" w:rsidR="00AB7F23" w:rsidRPr="00584114" w:rsidRDefault="00AB7F23" w:rsidP="00C55975">
            <w:pPr>
              <w:pStyle w:val="Odstavekseznama"/>
              <w:numPr>
                <w:ilvl w:val="0"/>
                <w:numId w:val="39"/>
              </w:numPr>
            </w:pPr>
            <w:r w:rsidRPr="00584114">
              <w:t>Mreženje in sodelovanje na področju raziskav, razvoja in inovacij</w:t>
            </w:r>
          </w:p>
          <w:p w14:paraId="02FD88C7" w14:textId="77777777" w:rsidR="00AB7F23" w:rsidRDefault="00AB7F23" w:rsidP="00AB7F23">
            <w:pPr>
              <w:pStyle w:val="Odstavekseznama"/>
              <w:numPr>
                <w:ilvl w:val="1"/>
                <w:numId w:val="39"/>
              </w:numPr>
              <w:ind w:left="851" w:hanging="511"/>
              <w:rPr>
                <w:b w:val="0"/>
              </w:rPr>
            </w:pPr>
            <w:r w:rsidRPr="00CF3C6A">
              <w:rPr>
                <w:b w:val="0"/>
              </w:rPr>
              <w:t>Nadgradnja stratešk</w:t>
            </w:r>
            <w:r>
              <w:rPr>
                <w:b w:val="0"/>
              </w:rPr>
              <w:t>ih</w:t>
            </w:r>
            <w:r w:rsidRPr="00CF3C6A">
              <w:rPr>
                <w:b w:val="0"/>
              </w:rPr>
              <w:t xml:space="preserve"> raz</w:t>
            </w:r>
            <w:r>
              <w:rPr>
                <w:b w:val="0"/>
              </w:rPr>
              <w:t>vojno-</w:t>
            </w:r>
            <w:r w:rsidRPr="00CF3C6A">
              <w:rPr>
                <w:b w:val="0"/>
              </w:rPr>
              <w:t xml:space="preserve">inovacijskih partnerstev (SRIP-ov) ter vpeljava novih tehnologij in dobrih praks </w:t>
            </w:r>
            <w:r>
              <w:rPr>
                <w:b w:val="0"/>
              </w:rPr>
              <w:t>na</w:t>
            </w:r>
            <w:r w:rsidRPr="00CF3C6A">
              <w:rPr>
                <w:b w:val="0"/>
              </w:rPr>
              <w:t xml:space="preserve"> </w:t>
            </w:r>
            <w:r w:rsidRPr="00CF3C6A">
              <w:rPr>
                <w:b w:val="0"/>
              </w:rPr>
              <w:lastRenderedPageBreak/>
              <w:t xml:space="preserve">različna področja in s tem pospešenega </w:t>
            </w:r>
            <w:r>
              <w:rPr>
                <w:b w:val="0"/>
              </w:rPr>
              <w:t xml:space="preserve">sodelovanja in </w:t>
            </w:r>
            <w:r w:rsidRPr="00CF3C6A">
              <w:rPr>
                <w:b w:val="0"/>
              </w:rPr>
              <w:t xml:space="preserve">razvoja deležnikov po posameznih področjih. </w:t>
            </w:r>
          </w:p>
          <w:p w14:paraId="5374F350" w14:textId="77777777" w:rsidR="00AB7F23" w:rsidRPr="003D26AB" w:rsidRDefault="00AB7F23" w:rsidP="00AB7F23">
            <w:pPr>
              <w:pStyle w:val="Odstavekseznama"/>
              <w:numPr>
                <w:ilvl w:val="1"/>
                <w:numId w:val="39"/>
              </w:numPr>
              <w:ind w:left="851" w:hanging="511"/>
              <w:rPr>
                <w:b w:val="0"/>
              </w:rPr>
            </w:pPr>
            <w:r>
              <w:rPr>
                <w:b w:val="0"/>
              </w:rPr>
              <w:t>Pospeševanje drugih oblik s</w:t>
            </w:r>
            <w:r w:rsidRPr="003A6AED">
              <w:rPr>
                <w:b w:val="0"/>
              </w:rPr>
              <w:t>odelovanj</w:t>
            </w:r>
            <w:r>
              <w:rPr>
                <w:b w:val="0"/>
              </w:rPr>
              <w:t>a</w:t>
            </w:r>
            <w:r w:rsidRPr="003A6AED">
              <w:rPr>
                <w:b w:val="0"/>
              </w:rPr>
              <w:t xml:space="preserve"> poslovnih subjektov z raziskovalno-razvojnimi institucijami</w:t>
            </w:r>
            <w:r>
              <w:rPr>
                <w:b w:val="0"/>
              </w:rPr>
              <w:t xml:space="preserve"> in drugimi deležniki.</w:t>
            </w:r>
          </w:p>
        </w:tc>
        <w:tc>
          <w:tcPr>
            <w:tcW w:w="1276" w:type="dxa"/>
          </w:tcPr>
          <w:p w14:paraId="48A726AC" w14:textId="77777777" w:rsidR="00AB7F23" w:rsidRPr="00A902C0" w:rsidRDefault="00AB7F23" w:rsidP="00C55975">
            <w:pPr>
              <w:cnfStyle w:val="000000000000" w:firstRow="0" w:lastRow="0" w:firstColumn="0" w:lastColumn="0" w:oddVBand="0" w:evenVBand="0" w:oddHBand="0" w:evenHBand="0" w:firstRowFirstColumn="0" w:firstRowLastColumn="0" w:lastRowFirstColumn="0" w:lastRowLastColumn="0"/>
              <w:rPr>
                <w:caps/>
              </w:rPr>
            </w:pPr>
          </w:p>
        </w:tc>
        <w:tc>
          <w:tcPr>
            <w:tcW w:w="1270" w:type="dxa"/>
          </w:tcPr>
          <w:p w14:paraId="4F836076" w14:textId="77777777" w:rsidR="00AB7F23" w:rsidRPr="00A902C0" w:rsidRDefault="00AB7F23" w:rsidP="00C55975">
            <w:pPr>
              <w:cnfStyle w:val="000000000000" w:firstRow="0" w:lastRow="0" w:firstColumn="0" w:lastColumn="0" w:oddVBand="0" w:evenVBand="0" w:oddHBand="0" w:evenHBand="0" w:firstRowFirstColumn="0" w:firstRowLastColumn="0" w:lastRowFirstColumn="0" w:lastRowLastColumn="0"/>
              <w:rPr>
                <w:caps/>
              </w:rPr>
            </w:pPr>
          </w:p>
        </w:tc>
      </w:tr>
      <w:tr w:rsidR="00AB7F23" w14:paraId="5FF31A75" w14:textId="77777777" w:rsidTr="00AB7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0A83ED46" w14:textId="77777777" w:rsidR="00AB7F23" w:rsidRPr="008A1265" w:rsidRDefault="00AB7F23" w:rsidP="00C55975">
            <w:pPr>
              <w:pStyle w:val="Odstavekseznama"/>
              <w:numPr>
                <w:ilvl w:val="0"/>
                <w:numId w:val="39"/>
              </w:numPr>
            </w:pPr>
            <w:r w:rsidRPr="008A1265">
              <w:lastRenderedPageBreak/>
              <w:t>Podporno okolje za podjetja</w:t>
            </w:r>
          </w:p>
          <w:p w14:paraId="023245B7" w14:textId="77777777" w:rsidR="00AB7F23" w:rsidRPr="007410B8" w:rsidRDefault="00AB7F23" w:rsidP="00AB7F23">
            <w:pPr>
              <w:pStyle w:val="Odstavekseznama"/>
              <w:numPr>
                <w:ilvl w:val="1"/>
                <w:numId w:val="39"/>
              </w:numPr>
              <w:ind w:left="851" w:hanging="511"/>
              <w:rPr>
                <w:rFonts w:cs="Calibri"/>
                <w:b w:val="0"/>
              </w:rPr>
            </w:pPr>
            <w:r w:rsidRPr="007410B8">
              <w:rPr>
                <w:rFonts w:cs="Calibri"/>
                <w:b w:val="0"/>
              </w:rPr>
              <w:t xml:space="preserve">Vzpostavitev povezovalnega, vključujočega in komplementarnega </w:t>
            </w:r>
            <w:proofErr w:type="spellStart"/>
            <w:r w:rsidRPr="007410B8">
              <w:rPr>
                <w:rFonts w:cs="Calibri"/>
                <w:b w:val="0"/>
              </w:rPr>
              <w:t>platformnega</w:t>
            </w:r>
            <w:proofErr w:type="spellEnd"/>
            <w:r w:rsidRPr="007410B8">
              <w:rPr>
                <w:rFonts w:cs="Calibri"/>
                <w:b w:val="0"/>
              </w:rPr>
              <w:t xml:space="preserve"> inovacijskega ekosistema, ki bo izgrajen iz subjektov ter programov na temeljnih področjih celotne družbe (</w:t>
            </w:r>
            <w:r w:rsidRPr="007410B8">
              <w:rPr>
                <w:b w:val="0"/>
                <w:bCs w:val="0"/>
              </w:rPr>
              <w:t xml:space="preserve">gospodarstvo, akademska in znanstveno-raziskovalna sfera, javni sektor in širša družba) ter bo koordiniran s strani </w:t>
            </w:r>
            <w:r>
              <w:rPr>
                <w:b w:val="0"/>
                <w:bCs w:val="0"/>
              </w:rPr>
              <w:t>SPIRIT-a</w:t>
            </w:r>
            <w:r w:rsidRPr="007410B8">
              <w:rPr>
                <w:b w:val="0"/>
                <w:bCs w:val="0"/>
              </w:rPr>
              <w:t>.</w:t>
            </w:r>
          </w:p>
          <w:p w14:paraId="5DA92232" w14:textId="77777777" w:rsidR="00AB7F23" w:rsidRDefault="00AB7F23" w:rsidP="00AB7F23">
            <w:pPr>
              <w:pStyle w:val="Odstavekseznama"/>
              <w:numPr>
                <w:ilvl w:val="1"/>
                <w:numId w:val="39"/>
              </w:numPr>
              <w:ind w:left="851" w:hanging="511"/>
              <w:rPr>
                <w:b w:val="0"/>
              </w:rPr>
            </w:pPr>
            <w:r w:rsidRPr="007410B8">
              <w:rPr>
                <w:b w:val="0"/>
              </w:rPr>
              <w:t>Nadaljnji razvoj in nadgradnja storitev podpornih subjektov</w:t>
            </w:r>
            <w:r>
              <w:rPr>
                <w:b w:val="0"/>
              </w:rPr>
              <w:t xml:space="preserve"> inovacijskega ekosistema</w:t>
            </w:r>
            <w:r w:rsidRPr="007410B8">
              <w:rPr>
                <w:b w:val="0"/>
              </w:rPr>
              <w:t xml:space="preserve"> predvsem v </w:t>
            </w:r>
            <w:r>
              <w:rPr>
                <w:b w:val="0"/>
              </w:rPr>
              <w:t>smeri zelenega, ustvarjalnega in pametnega razvoja</w:t>
            </w:r>
            <w:r w:rsidRPr="007410B8">
              <w:rPr>
                <w:b w:val="0"/>
              </w:rPr>
              <w:t xml:space="preserve">. </w:t>
            </w:r>
          </w:p>
          <w:p w14:paraId="3C91B228" w14:textId="77777777" w:rsidR="00AB7F23" w:rsidRPr="007410B8" w:rsidRDefault="00AB7F23" w:rsidP="00C55975">
            <w:pPr>
              <w:pStyle w:val="Odstavekseznama"/>
              <w:ind w:left="792"/>
              <w:rPr>
                <w:rFonts w:cs="Calibri"/>
              </w:rPr>
            </w:pPr>
          </w:p>
        </w:tc>
        <w:tc>
          <w:tcPr>
            <w:tcW w:w="1276" w:type="dxa"/>
          </w:tcPr>
          <w:p w14:paraId="3C6C78C8" w14:textId="77777777" w:rsidR="00AB7F23" w:rsidRPr="00A902C0" w:rsidRDefault="00AB7F23" w:rsidP="00C55975">
            <w:pPr>
              <w:cnfStyle w:val="000000100000" w:firstRow="0" w:lastRow="0" w:firstColumn="0" w:lastColumn="0" w:oddVBand="0" w:evenVBand="0" w:oddHBand="1" w:evenHBand="0" w:firstRowFirstColumn="0" w:firstRowLastColumn="0" w:lastRowFirstColumn="0" w:lastRowLastColumn="0"/>
              <w:rPr>
                <w:caps/>
              </w:rPr>
            </w:pPr>
          </w:p>
        </w:tc>
        <w:tc>
          <w:tcPr>
            <w:tcW w:w="1270" w:type="dxa"/>
          </w:tcPr>
          <w:p w14:paraId="286258BD" w14:textId="77777777" w:rsidR="00AB7F23" w:rsidRPr="00A902C0" w:rsidRDefault="00AB7F23" w:rsidP="00C55975">
            <w:pPr>
              <w:cnfStyle w:val="000000100000" w:firstRow="0" w:lastRow="0" w:firstColumn="0" w:lastColumn="0" w:oddVBand="0" w:evenVBand="0" w:oddHBand="1" w:evenHBand="0" w:firstRowFirstColumn="0" w:firstRowLastColumn="0" w:lastRowFirstColumn="0" w:lastRowLastColumn="0"/>
              <w:rPr>
                <w:caps/>
              </w:rPr>
            </w:pPr>
          </w:p>
        </w:tc>
      </w:tr>
      <w:tr w:rsidR="00AB7F23" w14:paraId="2A222C84" w14:textId="77777777" w:rsidTr="00AB7F23">
        <w:tc>
          <w:tcPr>
            <w:cnfStyle w:val="001000000000" w:firstRow="0" w:lastRow="0" w:firstColumn="1" w:lastColumn="0" w:oddVBand="0" w:evenVBand="0" w:oddHBand="0" w:evenHBand="0" w:firstRowFirstColumn="0" w:firstRowLastColumn="0" w:lastRowFirstColumn="0" w:lastRowLastColumn="0"/>
            <w:tcW w:w="6516" w:type="dxa"/>
          </w:tcPr>
          <w:p w14:paraId="0C4AE581" w14:textId="77777777" w:rsidR="00AB7F23" w:rsidRPr="008A1265" w:rsidRDefault="00AB7F23" w:rsidP="00C55975">
            <w:pPr>
              <w:pStyle w:val="Odstavekseznama"/>
              <w:numPr>
                <w:ilvl w:val="0"/>
                <w:numId w:val="39"/>
              </w:numPr>
            </w:pPr>
            <w:r w:rsidRPr="008A1265">
              <w:t>Promocija</w:t>
            </w:r>
            <w:r>
              <w:t xml:space="preserve"> podjetništva in inovativnosti</w:t>
            </w:r>
          </w:p>
          <w:p w14:paraId="30534807" w14:textId="77777777" w:rsidR="00AB7F23" w:rsidRPr="003A6AED" w:rsidRDefault="00AB7F23" w:rsidP="00AB7F23">
            <w:pPr>
              <w:pStyle w:val="Odstavekseznama"/>
              <w:numPr>
                <w:ilvl w:val="1"/>
                <w:numId w:val="39"/>
              </w:numPr>
              <w:ind w:left="851" w:hanging="511"/>
              <w:rPr>
                <w:b w:val="0"/>
              </w:rPr>
            </w:pPr>
            <w:r>
              <w:rPr>
                <w:rFonts w:cs="Calibri"/>
                <w:b w:val="0"/>
              </w:rPr>
              <w:t>Promocija inovativnosti in</w:t>
            </w:r>
            <w:r w:rsidRPr="003A6AED">
              <w:rPr>
                <w:rFonts w:cs="Calibri"/>
                <w:b w:val="0"/>
              </w:rPr>
              <w:t xml:space="preserve"> podjetniške kulture kot pozitivne vrednote (npr. preko javnih medijev, sodelovanja na dogodkih, poslovnih srečanjih in sejmih s področja podjetništva, obrti in inovacij</w:t>
            </w:r>
            <w:r>
              <w:rPr>
                <w:rFonts w:cs="Calibri"/>
                <w:b w:val="0"/>
              </w:rPr>
              <w:t xml:space="preserve">, </w:t>
            </w:r>
            <w:r w:rsidRPr="003A6AED">
              <w:rPr>
                <w:rFonts w:cs="Calibri"/>
                <w:b w:val="0"/>
              </w:rPr>
              <w:t xml:space="preserve">izbora in nagrajevanja najboljših slovenskih inovacij </w:t>
            </w:r>
            <w:r>
              <w:rPr>
                <w:rFonts w:cs="Calibri"/>
                <w:b w:val="0"/>
              </w:rPr>
              <w:t>ipd.).</w:t>
            </w:r>
          </w:p>
          <w:p w14:paraId="05FEF6EF" w14:textId="77777777" w:rsidR="00AB7F23" w:rsidRPr="008A1265" w:rsidRDefault="00AB7F23" w:rsidP="00AB7F23">
            <w:pPr>
              <w:pStyle w:val="Odstavekseznama"/>
              <w:numPr>
                <w:ilvl w:val="1"/>
                <w:numId w:val="39"/>
              </w:numPr>
              <w:ind w:left="851" w:hanging="511"/>
              <w:rPr>
                <w:b w:val="0"/>
              </w:rPr>
            </w:pPr>
            <w:r w:rsidRPr="003A6AED">
              <w:rPr>
                <w:rFonts w:cs="Calibri"/>
                <w:b w:val="0"/>
                <w:color w:val="000000"/>
                <w:lang w:eastAsia="sl-SI"/>
              </w:rPr>
              <w:t>Celovita</w:t>
            </w:r>
            <w:r w:rsidRPr="003A6AED">
              <w:rPr>
                <w:rFonts w:cs="Calibri"/>
                <w:b w:val="0"/>
              </w:rPr>
              <w:t xml:space="preserve"> promocija in nagrajevanje ustvarjalnosti, podjetništva in inovativnosti (UPI)</w:t>
            </w:r>
            <w:r>
              <w:rPr>
                <w:rFonts w:cs="Calibri"/>
                <w:b w:val="0"/>
              </w:rPr>
              <w:t>.</w:t>
            </w:r>
            <w:r w:rsidRPr="003A6AED">
              <w:rPr>
                <w:rFonts w:cs="Calibri"/>
                <w:b w:val="0"/>
              </w:rPr>
              <w:t xml:space="preserve"> </w:t>
            </w:r>
          </w:p>
          <w:p w14:paraId="2153DFC1" w14:textId="77777777" w:rsidR="00AB7F23" w:rsidRPr="003D26AB" w:rsidRDefault="00AB7F23" w:rsidP="00AB7F23">
            <w:pPr>
              <w:pStyle w:val="Odstavekseznama"/>
              <w:numPr>
                <w:ilvl w:val="1"/>
                <w:numId w:val="39"/>
              </w:numPr>
              <w:ind w:left="851" w:hanging="511"/>
              <w:rPr>
                <w:rFonts w:cs="Calibri"/>
                <w:b w:val="0"/>
              </w:rPr>
            </w:pPr>
            <w:r w:rsidRPr="003D26AB">
              <w:rPr>
                <w:rFonts w:cs="Calibri"/>
                <w:b w:val="0"/>
              </w:rPr>
              <w:t>Promocija podjetništva v posebnih ciljnih skupinah</w:t>
            </w:r>
            <w:r>
              <w:rPr>
                <w:rFonts w:cs="Calibri"/>
                <w:b w:val="0"/>
              </w:rPr>
              <w:t>.</w:t>
            </w:r>
            <w:r w:rsidRPr="003D26AB">
              <w:rPr>
                <w:rFonts w:cs="Calibri"/>
                <w:b w:val="0"/>
              </w:rPr>
              <w:t xml:space="preserve"> </w:t>
            </w:r>
          </w:p>
          <w:p w14:paraId="29BBBA0B" w14:textId="77777777" w:rsidR="00AB7F23" w:rsidRPr="003D26AB" w:rsidRDefault="00AB7F23" w:rsidP="00AB7F23">
            <w:pPr>
              <w:pStyle w:val="Odstavekseznama"/>
              <w:numPr>
                <w:ilvl w:val="1"/>
                <w:numId w:val="39"/>
              </w:numPr>
              <w:ind w:left="851" w:hanging="511"/>
              <w:rPr>
                <w:rFonts w:cs="Calibri"/>
                <w:b w:val="0"/>
              </w:rPr>
            </w:pPr>
            <w:r w:rsidRPr="003D26AB">
              <w:rPr>
                <w:rFonts w:cs="Calibri"/>
                <w:b w:val="0"/>
              </w:rPr>
              <w:t>Promocija in odpiranje novih tržnih poti na domačem in tujih trgih.</w:t>
            </w:r>
          </w:p>
          <w:p w14:paraId="21DD040D" w14:textId="77777777" w:rsidR="00AB7F23" w:rsidRPr="003D26AB" w:rsidRDefault="00AB7F23" w:rsidP="00AB7F23">
            <w:pPr>
              <w:pStyle w:val="Odstavekseznama"/>
              <w:numPr>
                <w:ilvl w:val="1"/>
                <w:numId w:val="39"/>
              </w:numPr>
              <w:ind w:left="851" w:hanging="511"/>
              <w:rPr>
                <w:rFonts w:cs="Calibri"/>
                <w:b w:val="0"/>
              </w:rPr>
            </w:pPr>
            <w:r>
              <w:rPr>
                <w:rFonts w:cs="Calibri"/>
                <w:b w:val="0"/>
              </w:rPr>
              <w:t xml:space="preserve">Krepitev blagovnih znamk, vključno s krepitvijo </w:t>
            </w:r>
            <w:proofErr w:type="spellStart"/>
            <w:r>
              <w:rPr>
                <w:rFonts w:cs="Calibri"/>
                <w:b w:val="0"/>
              </w:rPr>
              <w:t>pozicioniranja</w:t>
            </w:r>
            <w:proofErr w:type="spellEnd"/>
            <w:r>
              <w:rPr>
                <w:rFonts w:cs="Calibri"/>
                <w:b w:val="0"/>
              </w:rPr>
              <w:t xml:space="preserve"> Slovenije kot zelene, ustvarjalne in pametne dežele (a</w:t>
            </w:r>
            <w:r w:rsidRPr="003D26AB">
              <w:rPr>
                <w:rFonts w:cs="Calibri"/>
                <w:b w:val="0"/>
              </w:rPr>
              <w:t xml:space="preserve">mbasadorji </w:t>
            </w:r>
            <w:r>
              <w:rPr>
                <w:rFonts w:cs="Calibri"/>
                <w:b w:val="0"/>
              </w:rPr>
              <w:t>»</w:t>
            </w:r>
            <w:proofErr w:type="spellStart"/>
            <w:r>
              <w:rPr>
                <w:rFonts w:cs="Calibri"/>
                <w:b w:val="0"/>
              </w:rPr>
              <w:t>green.creative.smart</w:t>
            </w:r>
            <w:proofErr w:type="spellEnd"/>
            <w:r>
              <w:rPr>
                <w:rFonts w:cs="Calibri"/>
                <w:b w:val="0"/>
              </w:rPr>
              <w:t>«).</w:t>
            </w:r>
          </w:p>
          <w:p w14:paraId="36F12836" w14:textId="77777777" w:rsidR="00AB7F23" w:rsidRPr="003A6AED" w:rsidRDefault="00AB7F23" w:rsidP="00C55975">
            <w:pPr>
              <w:pStyle w:val="Odstavekseznama"/>
              <w:ind w:left="792"/>
              <w:rPr>
                <w:b w:val="0"/>
              </w:rPr>
            </w:pPr>
          </w:p>
        </w:tc>
        <w:tc>
          <w:tcPr>
            <w:tcW w:w="1276" w:type="dxa"/>
          </w:tcPr>
          <w:p w14:paraId="5CA07004" w14:textId="77777777" w:rsidR="00AB7F23" w:rsidRPr="00A902C0" w:rsidRDefault="00AB7F23" w:rsidP="00C55975">
            <w:pPr>
              <w:cnfStyle w:val="000000000000" w:firstRow="0" w:lastRow="0" w:firstColumn="0" w:lastColumn="0" w:oddVBand="0" w:evenVBand="0" w:oddHBand="0" w:evenHBand="0" w:firstRowFirstColumn="0" w:firstRowLastColumn="0" w:lastRowFirstColumn="0" w:lastRowLastColumn="0"/>
              <w:rPr>
                <w:caps/>
              </w:rPr>
            </w:pPr>
          </w:p>
        </w:tc>
        <w:tc>
          <w:tcPr>
            <w:tcW w:w="1270" w:type="dxa"/>
          </w:tcPr>
          <w:p w14:paraId="11F61F79" w14:textId="77777777" w:rsidR="00AB7F23" w:rsidRPr="00A902C0" w:rsidRDefault="00AB7F23" w:rsidP="00C55975">
            <w:pPr>
              <w:cnfStyle w:val="000000000000" w:firstRow="0" w:lastRow="0" w:firstColumn="0" w:lastColumn="0" w:oddVBand="0" w:evenVBand="0" w:oddHBand="0" w:evenHBand="0" w:firstRowFirstColumn="0" w:firstRowLastColumn="0" w:lastRowFirstColumn="0" w:lastRowLastColumn="0"/>
              <w:rPr>
                <w:caps/>
              </w:rPr>
            </w:pPr>
          </w:p>
        </w:tc>
      </w:tr>
      <w:tr w:rsidR="00AB7F23" w14:paraId="6DF87E92" w14:textId="77777777" w:rsidTr="00AB7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7C128955" w14:textId="77777777" w:rsidR="00AB7F23" w:rsidRDefault="00AB7F23" w:rsidP="00C55975">
            <w:pPr>
              <w:pStyle w:val="Odstavekseznama"/>
              <w:numPr>
                <w:ilvl w:val="0"/>
                <w:numId w:val="39"/>
              </w:numPr>
            </w:pPr>
            <w:r>
              <w:t>Spodbujanje zagonskih podjetij in podjetij s potencialom hitre rasti</w:t>
            </w:r>
          </w:p>
          <w:p w14:paraId="6E2B89B9" w14:textId="77777777" w:rsidR="00AB7F23" w:rsidRPr="00D86E69" w:rsidRDefault="00AB7F23" w:rsidP="00AB7F23">
            <w:pPr>
              <w:pStyle w:val="Odstavekseznama"/>
              <w:numPr>
                <w:ilvl w:val="1"/>
                <w:numId w:val="39"/>
              </w:numPr>
              <w:ind w:left="851" w:hanging="511"/>
            </w:pPr>
            <w:r w:rsidRPr="003A6AED">
              <w:rPr>
                <w:rFonts w:cs="Calibri"/>
                <w:b w:val="0"/>
                <w:color w:val="000000"/>
                <w:lang w:eastAsia="sl-SI"/>
              </w:rPr>
              <w:t xml:space="preserve">Spodbujanje </w:t>
            </w:r>
            <w:r w:rsidRPr="00FA10B8">
              <w:rPr>
                <w:rFonts w:cs="Calibri"/>
                <w:b w:val="0"/>
              </w:rPr>
              <w:t>ustanavljanja</w:t>
            </w:r>
            <w:r w:rsidRPr="003A6AED">
              <w:rPr>
                <w:rFonts w:cs="Calibri"/>
                <w:b w:val="0"/>
                <w:color w:val="000000"/>
                <w:lang w:eastAsia="sl-SI"/>
              </w:rPr>
              <w:t xml:space="preserve"> novih inovativnih podjetij (</w:t>
            </w:r>
            <w:proofErr w:type="spellStart"/>
            <w:r w:rsidRPr="003A6AED">
              <w:rPr>
                <w:rFonts w:cs="Calibri"/>
                <w:b w:val="0"/>
                <w:color w:val="000000"/>
                <w:lang w:eastAsia="sl-SI"/>
              </w:rPr>
              <w:t>startup</w:t>
            </w:r>
            <w:proofErr w:type="spellEnd"/>
            <w:r>
              <w:rPr>
                <w:rFonts w:cs="Calibri"/>
                <w:b w:val="0"/>
                <w:color w:val="000000"/>
                <w:lang w:eastAsia="sl-SI"/>
              </w:rPr>
              <w:t>-</w:t>
            </w:r>
            <w:proofErr w:type="spellStart"/>
            <w:r>
              <w:rPr>
                <w:rFonts w:cs="Calibri"/>
                <w:b w:val="0"/>
                <w:color w:val="000000"/>
                <w:lang w:eastAsia="sl-SI"/>
              </w:rPr>
              <w:t>ov</w:t>
            </w:r>
            <w:proofErr w:type="spellEnd"/>
            <w:r w:rsidRPr="003A6AED">
              <w:rPr>
                <w:rFonts w:cs="Calibri"/>
                <w:b w:val="0"/>
                <w:color w:val="000000"/>
                <w:lang w:eastAsia="sl-SI"/>
              </w:rPr>
              <w:t xml:space="preserve">) in podjetij s potencialom hitre rasti ter hitro rastočih (scale-up) podjetij. </w:t>
            </w:r>
            <w:r>
              <w:rPr>
                <w:rFonts w:cs="Calibri"/>
                <w:b w:val="0"/>
                <w:color w:val="000000"/>
                <w:lang w:eastAsia="sl-SI"/>
              </w:rPr>
              <w:t>Poseben poudarek bo dan zagonu »krožnih« podjetij.</w:t>
            </w:r>
          </w:p>
          <w:p w14:paraId="174F6430" w14:textId="77777777" w:rsidR="00AB7F23" w:rsidRPr="008A1265" w:rsidRDefault="00AB7F23" w:rsidP="00AB7F23">
            <w:pPr>
              <w:pStyle w:val="Odstavekseznama"/>
              <w:numPr>
                <w:ilvl w:val="1"/>
                <w:numId w:val="39"/>
              </w:numPr>
              <w:ind w:left="851" w:hanging="511"/>
            </w:pPr>
            <w:r>
              <w:rPr>
                <w:rFonts w:cs="Calibri"/>
                <w:b w:val="0"/>
                <w:color w:val="000000"/>
                <w:lang w:eastAsia="sl-SI"/>
              </w:rPr>
              <w:t>S</w:t>
            </w:r>
            <w:r w:rsidRPr="003A6AED">
              <w:rPr>
                <w:rFonts w:cs="Calibri"/>
                <w:b w:val="0"/>
                <w:color w:val="000000"/>
                <w:lang w:eastAsia="sl-SI"/>
              </w:rPr>
              <w:t>podbujanje povezovanja podjetij z mentorskimi sistemi in poslovnimi mentorji</w:t>
            </w:r>
          </w:p>
        </w:tc>
        <w:tc>
          <w:tcPr>
            <w:tcW w:w="1276" w:type="dxa"/>
          </w:tcPr>
          <w:p w14:paraId="5BC34127" w14:textId="77777777" w:rsidR="00AB7F23" w:rsidRPr="00A902C0" w:rsidRDefault="00AB7F23" w:rsidP="00C55975">
            <w:pPr>
              <w:cnfStyle w:val="000000100000" w:firstRow="0" w:lastRow="0" w:firstColumn="0" w:lastColumn="0" w:oddVBand="0" w:evenVBand="0" w:oddHBand="1" w:evenHBand="0" w:firstRowFirstColumn="0" w:firstRowLastColumn="0" w:lastRowFirstColumn="0" w:lastRowLastColumn="0"/>
              <w:rPr>
                <w:caps/>
              </w:rPr>
            </w:pPr>
          </w:p>
        </w:tc>
        <w:tc>
          <w:tcPr>
            <w:tcW w:w="1270" w:type="dxa"/>
          </w:tcPr>
          <w:p w14:paraId="6CA76C74" w14:textId="77777777" w:rsidR="00AB7F23" w:rsidRPr="00A902C0" w:rsidRDefault="00AB7F23" w:rsidP="00C55975">
            <w:pPr>
              <w:cnfStyle w:val="000000100000" w:firstRow="0" w:lastRow="0" w:firstColumn="0" w:lastColumn="0" w:oddVBand="0" w:evenVBand="0" w:oddHBand="1" w:evenHBand="0" w:firstRowFirstColumn="0" w:firstRowLastColumn="0" w:lastRowFirstColumn="0" w:lastRowLastColumn="0"/>
              <w:rPr>
                <w:caps/>
              </w:rPr>
            </w:pPr>
          </w:p>
        </w:tc>
      </w:tr>
      <w:tr w:rsidR="00AB7F23" w14:paraId="692CD1DA" w14:textId="77777777" w:rsidTr="00AB7F23">
        <w:tc>
          <w:tcPr>
            <w:cnfStyle w:val="001000000000" w:firstRow="0" w:lastRow="0" w:firstColumn="1" w:lastColumn="0" w:oddVBand="0" w:evenVBand="0" w:oddHBand="0" w:evenHBand="0" w:firstRowFirstColumn="0" w:firstRowLastColumn="0" w:lastRowFirstColumn="0" w:lastRowLastColumn="0"/>
            <w:tcW w:w="6516" w:type="dxa"/>
          </w:tcPr>
          <w:p w14:paraId="711C9E8C" w14:textId="77777777" w:rsidR="00AB7F23" w:rsidRPr="00FA10B8" w:rsidRDefault="00AB7F23" w:rsidP="00C55975">
            <w:pPr>
              <w:pStyle w:val="Odstavekseznama"/>
              <w:numPr>
                <w:ilvl w:val="0"/>
                <w:numId w:val="39"/>
              </w:numPr>
            </w:pPr>
            <w:r w:rsidRPr="00FA10B8">
              <w:t>Podpora rasti in razvoju MSP:</w:t>
            </w:r>
          </w:p>
          <w:p w14:paraId="71FB5645" w14:textId="77777777" w:rsidR="00AB7F23" w:rsidRPr="003A6AED" w:rsidRDefault="00AB7F23" w:rsidP="00AB7F23">
            <w:pPr>
              <w:pStyle w:val="Odstavekseznama"/>
              <w:numPr>
                <w:ilvl w:val="1"/>
                <w:numId w:val="39"/>
              </w:numPr>
              <w:spacing w:before="0"/>
              <w:ind w:left="851" w:hanging="511"/>
              <w:rPr>
                <w:rFonts w:cs="Calibri"/>
                <w:b w:val="0"/>
                <w:color w:val="000000"/>
                <w:lang w:eastAsia="sl-SI"/>
              </w:rPr>
            </w:pPr>
            <w:r>
              <w:rPr>
                <w:rFonts w:cs="Calibri"/>
                <w:b w:val="0"/>
                <w:color w:val="000000"/>
                <w:lang w:eastAsia="sl-SI"/>
              </w:rPr>
              <w:t xml:space="preserve">Krepitev </w:t>
            </w:r>
            <w:r w:rsidRPr="003A6AED">
              <w:rPr>
                <w:rFonts w:cs="Calibri"/>
                <w:b w:val="0"/>
                <w:color w:val="000000"/>
                <w:lang w:eastAsia="sl-SI"/>
              </w:rPr>
              <w:t xml:space="preserve">dolžniških virov financiranja (subvencioniranje obrestnih mer, mikrokrediti, </w:t>
            </w:r>
            <w:proofErr w:type="spellStart"/>
            <w:r w:rsidRPr="003A6AED">
              <w:rPr>
                <w:rFonts w:cs="Calibri"/>
                <w:b w:val="0"/>
                <w:color w:val="000000"/>
                <w:lang w:eastAsia="sl-SI"/>
              </w:rPr>
              <w:t>mikrogarancije</w:t>
            </w:r>
            <w:proofErr w:type="spellEnd"/>
            <w:r w:rsidRPr="003A6AED">
              <w:rPr>
                <w:rFonts w:cs="Calibri"/>
                <w:b w:val="0"/>
                <w:color w:val="000000"/>
                <w:lang w:eastAsia="sl-SI"/>
              </w:rPr>
              <w:t xml:space="preserve">, krediti in </w:t>
            </w:r>
            <w:proofErr w:type="spellStart"/>
            <w:r w:rsidRPr="003A6AED">
              <w:rPr>
                <w:rFonts w:cs="Calibri"/>
                <w:b w:val="0"/>
                <w:color w:val="000000"/>
                <w:lang w:eastAsia="sl-SI"/>
              </w:rPr>
              <w:t>mezzanine</w:t>
            </w:r>
            <w:proofErr w:type="spellEnd"/>
            <w:r w:rsidRPr="003A6AED">
              <w:rPr>
                <w:rFonts w:cs="Calibri"/>
                <w:b w:val="0"/>
                <w:color w:val="000000"/>
                <w:lang w:eastAsia="sl-SI"/>
              </w:rPr>
              <w:t xml:space="preserve"> krediti, garancije</w:t>
            </w:r>
            <w:r>
              <w:rPr>
                <w:rFonts w:cs="Calibri"/>
                <w:b w:val="0"/>
                <w:color w:val="000000"/>
                <w:lang w:eastAsia="sl-SI"/>
              </w:rPr>
              <w:t>,</w:t>
            </w:r>
            <w:r w:rsidRPr="003A6AED">
              <w:rPr>
                <w:rFonts w:cs="Calibri"/>
                <w:b w:val="0"/>
                <w:color w:val="000000"/>
                <w:lang w:eastAsia="sl-SI"/>
              </w:rPr>
              <w:t>…)</w:t>
            </w:r>
            <w:r>
              <w:rPr>
                <w:rFonts w:cs="Calibri"/>
                <w:b w:val="0"/>
                <w:color w:val="000000"/>
                <w:lang w:eastAsia="sl-SI"/>
              </w:rPr>
              <w:t>.</w:t>
            </w:r>
            <w:r w:rsidRPr="003A6AED">
              <w:rPr>
                <w:rFonts w:cs="Calibri"/>
                <w:b w:val="0"/>
                <w:color w:val="000000"/>
                <w:lang w:eastAsia="sl-SI"/>
              </w:rPr>
              <w:t xml:space="preserve"> </w:t>
            </w:r>
          </w:p>
          <w:p w14:paraId="5229872E" w14:textId="77777777" w:rsidR="00AB7F23" w:rsidRPr="003A6AED" w:rsidRDefault="00AB7F23" w:rsidP="00AB7F23">
            <w:pPr>
              <w:pStyle w:val="Odstavekseznama"/>
              <w:numPr>
                <w:ilvl w:val="1"/>
                <w:numId w:val="39"/>
              </w:numPr>
              <w:spacing w:before="0"/>
              <w:ind w:left="851" w:hanging="511"/>
              <w:rPr>
                <w:rFonts w:cs="Calibri"/>
                <w:b w:val="0"/>
                <w:color w:val="000000"/>
                <w:lang w:eastAsia="sl-SI"/>
              </w:rPr>
            </w:pPr>
            <w:r>
              <w:rPr>
                <w:rFonts w:cs="Calibri"/>
                <w:b w:val="0"/>
                <w:color w:val="000000"/>
                <w:lang w:eastAsia="sl-SI"/>
              </w:rPr>
              <w:t>Krepitev</w:t>
            </w:r>
            <w:r w:rsidRPr="003A6AED">
              <w:rPr>
                <w:rFonts w:cs="Calibri"/>
                <w:b w:val="0"/>
                <w:color w:val="000000"/>
                <w:lang w:eastAsia="sl-SI"/>
              </w:rPr>
              <w:t xml:space="preserve"> lastniških virov financiranja (krepitev in učinkovito delovanje skladov semenskega in tveganega kapitala) ter razvoj dru</w:t>
            </w:r>
            <w:r>
              <w:rPr>
                <w:rFonts w:cs="Calibri"/>
                <w:b w:val="0"/>
                <w:color w:val="000000"/>
                <w:lang w:eastAsia="sl-SI"/>
              </w:rPr>
              <w:t>gih sodobnih oblik financiranja.</w:t>
            </w:r>
            <w:r w:rsidRPr="003A6AED">
              <w:rPr>
                <w:rFonts w:cs="Calibri"/>
                <w:b w:val="0"/>
                <w:color w:val="000000"/>
                <w:lang w:eastAsia="sl-SI"/>
              </w:rPr>
              <w:t xml:space="preserve"> </w:t>
            </w:r>
          </w:p>
          <w:p w14:paraId="1E33E221" w14:textId="77777777" w:rsidR="00AB7F23" w:rsidRPr="003A6AED" w:rsidRDefault="00AB7F23" w:rsidP="00AB7F23">
            <w:pPr>
              <w:pStyle w:val="Odstavekseznama"/>
              <w:numPr>
                <w:ilvl w:val="1"/>
                <w:numId w:val="39"/>
              </w:numPr>
              <w:spacing w:before="0"/>
              <w:ind w:left="851" w:hanging="511"/>
              <w:rPr>
                <w:rFonts w:cs="Calibri"/>
                <w:b w:val="0"/>
                <w:color w:val="000000"/>
                <w:lang w:eastAsia="sl-SI"/>
              </w:rPr>
            </w:pPr>
            <w:r>
              <w:rPr>
                <w:rFonts w:cs="Calibri"/>
                <w:b w:val="0"/>
                <w:color w:val="000000"/>
                <w:lang w:eastAsia="sl-SI"/>
              </w:rPr>
              <w:t>Uvajanje spodbud</w:t>
            </w:r>
            <w:r w:rsidRPr="003A6AED">
              <w:rPr>
                <w:rFonts w:cs="Calibri"/>
                <w:b w:val="0"/>
                <w:color w:val="000000"/>
                <w:lang w:eastAsia="sl-SI"/>
              </w:rPr>
              <w:t xml:space="preserve"> malih vrednosti (t.</w:t>
            </w:r>
            <w:r>
              <w:rPr>
                <w:rFonts w:cs="Calibri"/>
                <w:b w:val="0"/>
                <w:color w:val="000000"/>
                <w:lang w:eastAsia="sl-SI"/>
              </w:rPr>
              <w:t xml:space="preserve"> </w:t>
            </w:r>
            <w:r w:rsidRPr="003A6AED">
              <w:rPr>
                <w:rFonts w:cs="Calibri"/>
                <w:b w:val="0"/>
                <w:color w:val="000000"/>
                <w:lang w:eastAsia="sl-SI"/>
              </w:rPr>
              <w:t>i. vavčerjev</w:t>
            </w:r>
            <w:r>
              <w:rPr>
                <w:rFonts w:cs="Calibri"/>
                <w:b w:val="0"/>
                <w:color w:val="000000"/>
                <w:lang w:eastAsia="sl-SI"/>
              </w:rPr>
              <w:t>)</w:t>
            </w:r>
            <w:r w:rsidRPr="003A6AED">
              <w:rPr>
                <w:rFonts w:cs="Calibri"/>
                <w:b w:val="0"/>
                <w:color w:val="000000"/>
                <w:lang w:eastAsia="sl-SI"/>
              </w:rPr>
              <w:t xml:space="preserve"> za posebne vsebine</w:t>
            </w:r>
            <w:r>
              <w:rPr>
                <w:rFonts w:cs="Calibri"/>
                <w:b w:val="0"/>
                <w:color w:val="000000"/>
                <w:lang w:eastAsia="sl-SI"/>
              </w:rPr>
              <w:t>, ki podpirajo zeleni, ustvarjalni in pametni razvoj</w:t>
            </w:r>
            <w:r w:rsidRPr="003A6AED">
              <w:rPr>
                <w:rFonts w:cs="Calibri"/>
                <w:b w:val="0"/>
                <w:color w:val="000000"/>
                <w:lang w:eastAsia="sl-SI"/>
              </w:rPr>
              <w:t>.</w:t>
            </w:r>
          </w:p>
          <w:p w14:paraId="4776CD7A" w14:textId="77777777" w:rsidR="00AB7F23" w:rsidRPr="00FA10B8" w:rsidRDefault="00AB7F23" w:rsidP="00AB7F23">
            <w:pPr>
              <w:pStyle w:val="Odstavekseznama"/>
              <w:numPr>
                <w:ilvl w:val="1"/>
                <w:numId w:val="39"/>
              </w:numPr>
              <w:spacing w:before="0"/>
              <w:ind w:left="851" w:hanging="511"/>
              <w:rPr>
                <w:b w:val="0"/>
              </w:rPr>
            </w:pPr>
            <w:r>
              <w:rPr>
                <w:b w:val="0"/>
              </w:rPr>
              <w:t>Pospeševanje digitalne in krožne</w:t>
            </w:r>
            <w:r w:rsidRPr="003A6AED">
              <w:rPr>
                <w:b w:val="0"/>
              </w:rPr>
              <w:t xml:space="preserve"> transformacij</w:t>
            </w:r>
            <w:r>
              <w:rPr>
                <w:b w:val="0"/>
              </w:rPr>
              <w:t>e</w:t>
            </w:r>
            <w:r w:rsidRPr="003A6AED">
              <w:rPr>
                <w:b w:val="0"/>
              </w:rPr>
              <w:t xml:space="preserve"> podjetij: </w:t>
            </w:r>
            <w:r>
              <w:rPr>
                <w:b w:val="0"/>
                <w:bCs w:val="0"/>
              </w:rPr>
              <w:t>s</w:t>
            </w:r>
            <w:r w:rsidRPr="003A6AED">
              <w:rPr>
                <w:b w:val="0"/>
                <w:bCs w:val="0"/>
              </w:rPr>
              <w:t xml:space="preserve">podbujanje uvajanja sodobnih digitalnih tehnologij v poslovanje podjetij, </w:t>
            </w:r>
            <w:r w:rsidRPr="003A6AED">
              <w:rPr>
                <w:b w:val="0"/>
              </w:rPr>
              <w:t>ustvarjanje</w:t>
            </w:r>
            <w:r w:rsidRPr="003A6AED">
              <w:rPr>
                <w:b w:val="0"/>
                <w:bCs w:val="0"/>
              </w:rPr>
              <w:t xml:space="preserve"> novih produktov, storitev in poslovnih modelov ter ustvarjanje razvojnih partnerstev za te namene.</w:t>
            </w:r>
            <w:r w:rsidRPr="003A6AED">
              <w:rPr>
                <w:b w:val="0"/>
              </w:rPr>
              <w:t xml:space="preserve"> </w:t>
            </w:r>
          </w:p>
          <w:p w14:paraId="33B591B8" w14:textId="77777777" w:rsidR="00AB7F23" w:rsidRPr="003A6AED" w:rsidRDefault="00AB7F23" w:rsidP="00C55975">
            <w:pPr>
              <w:rPr>
                <w:b w:val="0"/>
              </w:rPr>
            </w:pPr>
          </w:p>
        </w:tc>
        <w:tc>
          <w:tcPr>
            <w:tcW w:w="1276" w:type="dxa"/>
          </w:tcPr>
          <w:p w14:paraId="57A415DC" w14:textId="77777777" w:rsidR="00AB7F23" w:rsidRPr="00A902C0" w:rsidRDefault="00AB7F23" w:rsidP="00C55975">
            <w:pPr>
              <w:cnfStyle w:val="000000000000" w:firstRow="0" w:lastRow="0" w:firstColumn="0" w:lastColumn="0" w:oddVBand="0" w:evenVBand="0" w:oddHBand="0" w:evenHBand="0" w:firstRowFirstColumn="0" w:firstRowLastColumn="0" w:lastRowFirstColumn="0" w:lastRowLastColumn="0"/>
              <w:rPr>
                <w:caps/>
              </w:rPr>
            </w:pPr>
          </w:p>
        </w:tc>
        <w:tc>
          <w:tcPr>
            <w:tcW w:w="1270" w:type="dxa"/>
          </w:tcPr>
          <w:p w14:paraId="4CE786D7" w14:textId="77777777" w:rsidR="00AB7F23" w:rsidRPr="00A902C0" w:rsidRDefault="00AB7F23" w:rsidP="00C55975">
            <w:pPr>
              <w:cnfStyle w:val="000000000000" w:firstRow="0" w:lastRow="0" w:firstColumn="0" w:lastColumn="0" w:oddVBand="0" w:evenVBand="0" w:oddHBand="0" w:evenHBand="0" w:firstRowFirstColumn="0" w:firstRowLastColumn="0" w:lastRowFirstColumn="0" w:lastRowLastColumn="0"/>
              <w:rPr>
                <w:caps/>
              </w:rPr>
            </w:pPr>
          </w:p>
        </w:tc>
      </w:tr>
      <w:tr w:rsidR="00AB7F23" w14:paraId="2398D5B5" w14:textId="77777777" w:rsidTr="00AB7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777B79AD" w14:textId="77777777" w:rsidR="00AB7F23" w:rsidRPr="00FA10B8" w:rsidRDefault="00AB7F23" w:rsidP="00C55975">
            <w:pPr>
              <w:pStyle w:val="Odstavekseznama"/>
              <w:numPr>
                <w:ilvl w:val="0"/>
                <w:numId w:val="39"/>
              </w:numPr>
            </w:pPr>
            <w:proofErr w:type="spellStart"/>
            <w:r w:rsidRPr="00FA10B8">
              <w:t>Netehnološke</w:t>
            </w:r>
            <w:proofErr w:type="spellEnd"/>
            <w:r w:rsidRPr="00FA10B8">
              <w:t xml:space="preserve"> inovacije in poslovni modeli:</w:t>
            </w:r>
          </w:p>
          <w:p w14:paraId="56F7C7C0" w14:textId="77777777" w:rsidR="00AB7F23" w:rsidRDefault="00AB7F23" w:rsidP="00AB7F23">
            <w:pPr>
              <w:pStyle w:val="Odstavekseznama"/>
              <w:numPr>
                <w:ilvl w:val="1"/>
                <w:numId w:val="39"/>
              </w:numPr>
              <w:spacing w:before="0"/>
              <w:ind w:left="851" w:hanging="511"/>
              <w:rPr>
                <w:rFonts w:cs="Calibri"/>
                <w:b w:val="0"/>
                <w:color w:val="000000"/>
                <w:lang w:eastAsia="sl-SI"/>
              </w:rPr>
            </w:pPr>
            <w:r w:rsidRPr="00F04450">
              <w:rPr>
                <w:rFonts w:cs="Calibri"/>
                <w:b w:val="0"/>
                <w:color w:val="000000"/>
                <w:lang w:eastAsia="sl-SI"/>
              </w:rPr>
              <w:t xml:space="preserve">Podpora </w:t>
            </w:r>
            <w:proofErr w:type="spellStart"/>
            <w:r w:rsidRPr="00F04450">
              <w:rPr>
                <w:rFonts w:cs="Calibri"/>
                <w:b w:val="0"/>
                <w:color w:val="000000"/>
                <w:lang w:eastAsia="sl-SI"/>
              </w:rPr>
              <w:t>netehnološkim</w:t>
            </w:r>
            <w:proofErr w:type="spellEnd"/>
            <w:r w:rsidRPr="00F04450">
              <w:rPr>
                <w:rFonts w:cs="Calibri"/>
                <w:b w:val="0"/>
                <w:color w:val="000000"/>
                <w:lang w:eastAsia="sl-SI"/>
              </w:rPr>
              <w:t xml:space="preserve"> inovacijam in </w:t>
            </w:r>
            <w:proofErr w:type="spellStart"/>
            <w:r w:rsidRPr="00F04450">
              <w:rPr>
                <w:rFonts w:cs="Calibri"/>
                <w:b w:val="0"/>
                <w:bCs w:val="0"/>
                <w:color w:val="000000"/>
                <w:lang w:eastAsia="sl-SI"/>
              </w:rPr>
              <w:t>inoviranju</w:t>
            </w:r>
            <w:proofErr w:type="spellEnd"/>
            <w:r w:rsidRPr="00F04450">
              <w:rPr>
                <w:rFonts w:cs="Calibri"/>
                <w:b w:val="0"/>
                <w:bCs w:val="0"/>
                <w:color w:val="000000"/>
                <w:lang w:eastAsia="sl-SI"/>
              </w:rPr>
              <w:t xml:space="preserve"> poslovnih modelov</w:t>
            </w:r>
            <w:r w:rsidRPr="00F04450">
              <w:rPr>
                <w:rFonts w:cs="Calibri"/>
                <w:b w:val="0"/>
                <w:color w:val="000000"/>
                <w:lang w:eastAsia="sl-SI"/>
              </w:rPr>
              <w:t xml:space="preserve"> (neopredmetena sredstva: pravice intelektualne </w:t>
            </w:r>
            <w:r w:rsidRPr="00F04450">
              <w:rPr>
                <w:rFonts w:cs="Calibri"/>
                <w:b w:val="0"/>
                <w:color w:val="000000"/>
                <w:lang w:eastAsia="sl-SI"/>
              </w:rPr>
              <w:lastRenderedPageBreak/>
              <w:t>lastnine, procesne in organizacijske inovacije,</w:t>
            </w:r>
            <w:r w:rsidRPr="00F04450">
              <w:rPr>
                <w:rFonts w:ascii="Trebuchet MS" w:hAnsi="Trebuchet MS" w:cstheme="minorHAnsi"/>
                <w:b w:val="0"/>
                <w:szCs w:val="22"/>
              </w:rPr>
              <w:t xml:space="preserve"> nove poslovno</w:t>
            </w:r>
            <w:r w:rsidRPr="00F04450">
              <w:rPr>
                <w:rFonts w:ascii="Trebuchet MS" w:hAnsi="Trebuchet MS" w:cstheme="minorHAnsi"/>
                <w:b w:val="0"/>
              </w:rPr>
              <w:t>-</w:t>
            </w:r>
            <w:r w:rsidRPr="00F04450">
              <w:rPr>
                <w:rFonts w:ascii="Trebuchet MS" w:hAnsi="Trebuchet MS" w:cstheme="minorHAnsi"/>
                <w:b w:val="0"/>
                <w:szCs w:val="22"/>
              </w:rPr>
              <w:t>upravljavske rešitve</w:t>
            </w:r>
            <w:r w:rsidRPr="00F04450">
              <w:rPr>
                <w:rFonts w:cs="Calibri"/>
                <w:b w:val="0"/>
                <w:color w:val="000000"/>
                <w:lang w:eastAsia="sl-SI"/>
              </w:rPr>
              <w:t xml:space="preserve">, novi poslovni modeli ter inovativne metode internacionalizacije podjetij na osnovi skupnih vlaganj znanja, tehnologij in </w:t>
            </w:r>
            <w:r w:rsidRPr="00CF3C6A">
              <w:rPr>
                <w:rFonts w:cs="Calibri"/>
                <w:b w:val="0"/>
                <w:color w:val="000000"/>
                <w:lang w:eastAsia="sl-SI"/>
              </w:rPr>
              <w:t>kapitala</w:t>
            </w:r>
            <w:r>
              <w:rPr>
                <w:rFonts w:cs="Calibri"/>
                <w:b w:val="0"/>
                <w:color w:val="000000"/>
                <w:lang w:eastAsia="sl-SI"/>
              </w:rPr>
              <w:t>)</w:t>
            </w:r>
            <w:r w:rsidRPr="00CF3C6A">
              <w:rPr>
                <w:rFonts w:cs="Calibri"/>
                <w:b w:val="0"/>
                <w:color w:val="000000"/>
                <w:lang w:eastAsia="sl-SI"/>
              </w:rPr>
              <w:t>.</w:t>
            </w:r>
          </w:p>
          <w:p w14:paraId="7AB6EBC9" w14:textId="77777777" w:rsidR="00AB7F23" w:rsidRDefault="00AB7F23" w:rsidP="00AB7F23">
            <w:pPr>
              <w:pStyle w:val="Odstavekseznama"/>
              <w:numPr>
                <w:ilvl w:val="1"/>
                <w:numId w:val="39"/>
              </w:numPr>
              <w:spacing w:before="0"/>
              <w:ind w:left="851" w:hanging="511"/>
              <w:rPr>
                <w:b w:val="0"/>
              </w:rPr>
            </w:pPr>
            <w:r w:rsidRPr="003A6AED">
              <w:rPr>
                <w:b w:val="0"/>
              </w:rPr>
              <w:t>Razvoj in preno</w:t>
            </w:r>
            <w:r>
              <w:rPr>
                <w:b w:val="0"/>
              </w:rPr>
              <w:t>va poslovnih modelov in procesnih izboljšav</w:t>
            </w:r>
            <w:r w:rsidRPr="003A6AED">
              <w:rPr>
                <w:b w:val="0"/>
              </w:rPr>
              <w:t xml:space="preserve"> za </w:t>
            </w:r>
            <w:r w:rsidRPr="00FA10B8">
              <w:rPr>
                <w:rFonts w:cs="Calibri"/>
                <w:b w:val="0"/>
                <w:color w:val="000000"/>
                <w:lang w:eastAsia="sl-SI"/>
              </w:rPr>
              <w:t>pospeševanje</w:t>
            </w:r>
            <w:r w:rsidRPr="003A6AED">
              <w:rPr>
                <w:b w:val="0"/>
              </w:rPr>
              <w:t xml:space="preserve"> prehoda v krožno</w:t>
            </w:r>
            <w:r>
              <w:rPr>
                <w:b w:val="0"/>
              </w:rPr>
              <w:t xml:space="preserve"> in digitalno</w:t>
            </w:r>
            <w:r w:rsidRPr="003A6AED">
              <w:rPr>
                <w:b w:val="0"/>
              </w:rPr>
              <w:t xml:space="preserve"> gospodarstvo, tudi z uporabo </w:t>
            </w:r>
            <w:r>
              <w:rPr>
                <w:b w:val="0"/>
              </w:rPr>
              <w:t>najsodobnejših</w:t>
            </w:r>
            <w:r w:rsidRPr="003A6AED">
              <w:rPr>
                <w:b w:val="0"/>
              </w:rPr>
              <w:t xml:space="preserve"> tehnologij (optimiziranje poslovnih tokov, optimizacija pretoka materialov in njegove rabe, avtomatizacija linij</w:t>
            </w:r>
            <w:r>
              <w:rPr>
                <w:b w:val="0"/>
              </w:rPr>
              <w:t>, souporaba,</w:t>
            </w:r>
            <w:r w:rsidRPr="003A6AED">
              <w:rPr>
                <w:b w:val="0"/>
              </w:rPr>
              <w:t>…),</w:t>
            </w:r>
          </w:p>
          <w:p w14:paraId="56807275" w14:textId="77777777" w:rsidR="00AB7F23" w:rsidRPr="00CF3C6A" w:rsidRDefault="00AB7F23" w:rsidP="00AB7F23">
            <w:pPr>
              <w:pStyle w:val="Odstavekseznama"/>
              <w:numPr>
                <w:ilvl w:val="1"/>
                <w:numId w:val="39"/>
              </w:numPr>
              <w:tabs>
                <w:tab w:val="left" w:pos="1130"/>
              </w:tabs>
              <w:spacing w:before="0"/>
              <w:ind w:left="851" w:hanging="511"/>
              <w:rPr>
                <w:b w:val="0"/>
              </w:rPr>
            </w:pPr>
            <w:r w:rsidRPr="00CF3C6A">
              <w:rPr>
                <w:b w:val="0"/>
              </w:rPr>
              <w:t xml:space="preserve">Podpora dizajn managementu ter povezovanju kulturno-kreativnih </w:t>
            </w:r>
            <w:r w:rsidRPr="00CF3C6A">
              <w:rPr>
                <w:rFonts w:cs="Calibri"/>
                <w:b w:val="0"/>
                <w:color w:val="000000"/>
                <w:lang w:eastAsia="sl-SI"/>
              </w:rPr>
              <w:t>sektorjev</w:t>
            </w:r>
            <w:r w:rsidRPr="00CF3C6A">
              <w:rPr>
                <w:b w:val="0"/>
              </w:rPr>
              <w:t xml:space="preserve"> in podjetij.</w:t>
            </w:r>
          </w:p>
          <w:p w14:paraId="18B3D6D6" w14:textId="77777777" w:rsidR="00AB7F23" w:rsidRPr="00CF3C6A" w:rsidRDefault="00AB7F23" w:rsidP="00C55975"/>
        </w:tc>
        <w:tc>
          <w:tcPr>
            <w:tcW w:w="1276" w:type="dxa"/>
          </w:tcPr>
          <w:p w14:paraId="46458B89" w14:textId="77777777" w:rsidR="00AB7F23" w:rsidRPr="00A902C0" w:rsidRDefault="00AB7F23" w:rsidP="00C55975">
            <w:pPr>
              <w:cnfStyle w:val="000000100000" w:firstRow="0" w:lastRow="0" w:firstColumn="0" w:lastColumn="0" w:oddVBand="0" w:evenVBand="0" w:oddHBand="1" w:evenHBand="0" w:firstRowFirstColumn="0" w:firstRowLastColumn="0" w:lastRowFirstColumn="0" w:lastRowLastColumn="0"/>
              <w:rPr>
                <w:caps/>
              </w:rPr>
            </w:pPr>
          </w:p>
        </w:tc>
        <w:tc>
          <w:tcPr>
            <w:tcW w:w="1270" w:type="dxa"/>
          </w:tcPr>
          <w:p w14:paraId="7506DEA8" w14:textId="77777777" w:rsidR="00AB7F23" w:rsidRPr="00A902C0" w:rsidRDefault="00AB7F23" w:rsidP="00C55975">
            <w:pPr>
              <w:cnfStyle w:val="000000100000" w:firstRow="0" w:lastRow="0" w:firstColumn="0" w:lastColumn="0" w:oddVBand="0" w:evenVBand="0" w:oddHBand="1" w:evenHBand="0" w:firstRowFirstColumn="0" w:firstRowLastColumn="0" w:lastRowFirstColumn="0" w:lastRowLastColumn="0"/>
              <w:rPr>
                <w:caps/>
              </w:rPr>
            </w:pPr>
          </w:p>
        </w:tc>
      </w:tr>
      <w:tr w:rsidR="00AB7F23" w14:paraId="55AE4FCA" w14:textId="77777777" w:rsidTr="00AB7F23">
        <w:tc>
          <w:tcPr>
            <w:cnfStyle w:val="001000000000" w:firstRow="0" w:lastRow="0" w:firstColumn="1" w:lastColumn="0" w:oddVBand="0" w:evenVBand="0" w:oddHBand="0" w:evenHBand="0" w:firstRowFirstColumn="0" w:firstRowLastColumn="0" w:lastRowFirstColumn="0" w:lastRowLastColumn="0"/>
            <w:tcW w:w="6516" w:type="dxa"/>
          </w:tcPr>
          <w:p w14:paraId="394B5234" w14:textId="77777777" w:rsidR="00AB7F23" w:rsidRPr="00BA1D03" w:rsidRDefault="00AB7F23" w:rsidP="00C55975">
            <w:pPr>
              <w:pStyle w:val="Odstavekseznama"/>
              <w:numPr>
                <w:ilvl w:val="0"/>
                <w:numId w:val="39"/>
              </w:numPr>
            </w:pPr>
            <w:r w:rsidRPr="00BA1D03">
              <w:lastRenderedPageBreak/>
              <w:t>Spodbujanje investicij</w:t>
            </w:r>
          </w:p>
          <w:p w14:paraId="199D5961" w14:textId="77777777" w:rsidR="00AB7F23" w:rsidRDefault="00AB7F23" w:rsidP="00AB7F23">
            <w:pPr>
              <w:pStyle w:val="Odstavekseznama"/>
              <w:numPr>
                <w:ilvl w:val="1"/>
                <w:numId w:val="39"/>
              </w:numPr>
              <w:tabs>
                <w:tab w:val="left" w:pos="1024"/>
              </w:tabs>
              <w:spacing w:before="0"/>
              <w:ind w:left="851" w:hanging="511"/>
              <w:rPr>
                <w:b w:val="0"/>
              </w:rPr>
            </w:pPr>
            <w:r>
              <w:rPr>
                <w:b w:val="0"/>
              </w:rPr>
              <w:t>Spodbujanje strateško pomembnih začetnih investicij domačih in tujih vlagateljev.</w:t>
            </w:r>
          </w:p>
          <w:p w14:paraId="447A9277" w14:textId="77777777" w:rsidR="00AB7F23" w:rsidRPr="003F2303" w:rsidRDefault="00AB7F23" w:rsidP="00AB7F23">
            <w:pPr>
              <w:pStyle w:val="Odstavekseznama"/>
              <w:numPr>
                <w:ilvl w:val="1"/>
                <w:numId w:val="39"/>
              </w:numPr>
              <w:tabs>
                <w:tab w:val="left" w:pos="1040"/>
              </w:tabs>
              <w:spacing w:before="0"/>
              <w:ind w:left="851" w:hanging="511"/>
              <w:rPr>
                <w:b w:val="0"/>
              </w:rPr>
            </w:pPr>
            <w:r w:rsidRPr="003F2303">
              <w:rPr>
                <w:b w:val="0"/>
              </w:rPr>
              <w:t xml:space="preserve">Podpora </w:t>
            </w:r>
            <w:r w:rsidRPr="00FA10B8">
              <w:rPr>
                <w:b w:val="0"/>
              </w:rPr>
              <w:t>investicijam</w:t>
            </w:r>
            <w:r>
              <w:rPr>
                <w:b w:val="0"/>
              </w:rPr>
              <w:t xml:space="preserve"> za uvajanje Industrije 4.0 in</w:t>
            </w:r>
            <w:r w:rsidRPr="003F2303">
              <w:rPr>
                <w:b w:val="0"/>
              </w:rPr>
              <w:t xml:space="preserve"> </w:t>
            </w:r>
            <w:proofErr w:type="spellStart"/>
            <w:r>
              <w:rPr>
                <w:b w:val="0"/>
              </w:rPr>
              <w:t>nizkoogljičnega</w:t>
            </w:r>
            <w:proofErr w:type="spellEnd"/>
            <w:r>
              <w:rPr>
                <w:b w:val="0"/>
              </w:rPr>
              <w:t xml:space="preserve"> </w:t>
            </w:r>
            <w:r w:rsidRPr="003F2303">
              <w:rPr>
                <w:b w:val="0"/>
              </w:rPr>
              <w:t>krožnega gospodarstva.</w:t>
            </w:r>
          </w:p>
          <w:p w14:paraId="2D51A9DC" w14:textId="77777777" w:rsidR="00AB7F23" w:rsidRPr="00A57F15" w:rsidRDefault="00AB7F23" w:rsidP="00C55975">
            <w:pPr>
              <w:pStyle w:val="Odstavekseznama"/>
              <w:spacing w:before="0"/>
              <w:ind w:left="792"/>
              <w:rPr>
                <w:b w:val="0"/>
              </w:rPr>
            </w:pPr>
          </w:p>
        </w:tc>
        <w:tc>
          <w:tcPr>
            <w:tcW w:w="1276" w:type="dxa"/>
          </w:tcPr>
          <w:p w14:paraId="30EE3377" w14:textId="77777777" w:rsidR="00AB7F23" w:rsidRPr="00A902C0" w:rsidRDefault="00AB7F23" w:rsidP="00C55975">
            <w:pPr>
              <w:cnfStyle w:val="000000000000" w:firstRow="0" w:lastRow="0" w:firstColumn="0" w:lastColumn="0" w:oddVBand="0" w:evenVBand="0" w:oddHBand="0" w:evenHBand="0" w:firstRowFirstColumn="0" w:firstRowLastColumn="0" w:lastRowFirstColumn="0" w:lastRowLastColumn="0"/>
              <w:rPr>
                <w:caps/>
              </w:rPr>
            </w:pPr>
          </w:p>
        </w:tc>
        <w:tc>
          <w:tcPr>
            <w:tcW w:w="1270" w:type="dxa"/>
          </w:tcPr>
          <w:p w14:paraId="3D392E34" w14:textId="77777777" w:rsidR="00AB7F23" w:rsidRPr="00A902C0" w:rsidRDefault="00AB7F23" w:rsidP="00C55975">
            <w:pPr>
              <w:cnfStyle w:val="000000000000" w:firstRow="0" w:lastRow="0" w:firstColumn="0" w:lastColumn="0" w:oddVBand="0" w:evenVBand="0" w:oddHBand="0" w:evenHBand="0" w:firstRowFirstColumn="0" w:firstRowLastColumn="0" w:lastRowFirstColumn="0" w:lastRowLastColumn="0"/>
              <w:rPr>
                <w:caps/>
              </w:rPr>
            </w:pPr>
          </w:p>
        </w:tc>
      </w:tr>
      <w:tr w:rsidR="00AB7F23" w14:paraId="30CCB4F9" w14:textId="77777777" w:rsidTr="00AB7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1B37DC7D" w14:textId="77777777" w:rsidR="00AB7F23" w:rsidRPr="00BA1D03" w:rsidRDefault="00AB7F23" w:rsidP="00C55975">
            <w:pPr>
              <w:pStyle w:val="Odstavekseznama"/>
              <w:numPr>
                <w:ilvl w:val="0"/>
                <w:numId w:val="39"/>
              </w:numPr>
            </w:pPr>
            <w:r w:rsidRPr="00BA1D03">
              <w:t>Internacionalizacija</w:t>
            </w:r>
          </w:p>
          <w:p w14:paraId="491274A9" w14:textId="77777777" w:rsidR="00AB7F23" w:rsidRDefault="00AB7F23" w:rsidP="00AB7F23">
            <w:pPr>
              <w:pStyle w:val="Odstavekseznama"/>
              <w:numPr>
                <w:ilvl w:val="1"/>
                <w:numId w:val="39"/>
              </w:numPr>
              <w:tabs>
                <w:tab w:val="left" w:pos="1040"/>
              </w:tabs>
              <w:spacing w:before="0"/>
              <w:ind w:left="851" w:hanging="511"/>
              <w:rPr>
                <w:b w:val="0"/>
              </w:rPr>
            </w:pPr>
            <w:r>
              <w:rPr>
                <w:b w:val="0"/>
              </w:rPr>
              <w:t>Pospeševanje internacionalizacije v skladu s Programom za spodbujanje internacionalizacije.</w:t>
            </w:r>
          </w:p>
          <w:p w14:paraId="64125BA6" w14:textId="77777777" w:rsidR="00AB7F23" w:rsidRPr="00294795" w:rsidRDefault="00AB7F23" w:rsidP="00AB7F23">
            <w:pPr>
              <w:pStyle w:val="Odstavekseznama"/>
              <w:numPr>
                <w:ilvl w:val="1"/>
                <w:numId w:val="39"/>
              </w:numPr>
              <w:tabs>
                <w:tab w:val="left" w:pos="1040"/>
              </w:tabs>
              <w:spacing w:before="0"/>
              <w:ind w:left="851" w:hanging="511"/>
              <w:rPr>
                <w:b w:val="0"/>
              </w:rPr>
            </w:pPr>
            <w:r w:rsidRPr="00294795">
              <w:rPr>
                <w:b w:val="0"/>
              </w:rPr>
              <w:t>Omogočanje in povečanje internacion</w:t>
            </w:r>
            <w:r>
              <w:rPr>
                <w:b w:val="0"/>
              </w:rPr>
              <w:t>alizacije preko digitalizacije</w:t>
            </w:r>
            <w:r w:rsidRPr="00294795">
              <w:rPr>
                <w:b w:val="0"/>
              </w:rPr>
              <w:t xml:space="preserve">. </w:t>
            </w:r>
          </w:p>
          <w:p w14:paraId="2F52CA7E" w14:textId="77777777" w:rsidR="00AB7F23" w:rsidRPr="003D26AB" w:rsidRDefault="00AB7F23" w:rsidP="00C55975">
            <w:pPr>
              <w:spacing w:before="240"/>
              <w:ind w:left="360"/>
              <w:jc w:val="both"/>
            </w:pPr>
          </w:p>
        </w:tc>
        <w:tc>
          <w:tcPr>
            <w:tcW w:w="1276" w:type="dxa"/>
          </w:tcPr>
          <w:p w14:paraId="162F1FCA" w14:textId="77777777" w:rsidR="00AB7F23" w:rsidRPr="00A902C0" w:rsidRDefault="00AB7F23" w:rsidP="00C55975">
            <w:pPr>
              <w:cnfStyle w:val="000000100000" w:firstRow="0" w:lastRow="0" w:firstColumn="0" w:lastColumn="0" w:oddVBand="0" w:evenVBand="0" w:oddHBand="1" w:evenHBand="0" w:firstRowFirstColumn="0" w:firstRowLastColumn="0" w:lastRowFirstColumn="0" w:lastRowLastColumn="0"/>
              <w:rPr>
                <w:caps/>
              </w:rPr>
            </w:pPr>
          </w:p>
        </w:tc>
        <w:tc>
          <w:tcPr>
            <w:tcW w:w="1270" w:type="dxa"/>
          </w:tcPr>
          <w:p w14:paraId="28E33DF5" w14:textId="77777777" w:rsidR="00AB7F23" w:rsidRPr="00A902C0" w:rsidRDefault="00AB7F23" w:rsidP="00C55975">
            <w:pPr>
              <w:cnfStyle w:val="000000100000" w:firstRow="0" w:lastRow="0" w:firstColumn="0" w:lastColumn="0" w:oddVBand="0" w:evenVBand="0" w:oddHBand="1" w:evenHBand="0" w:firstRowFirstColumn="0" w:firstRowLastColumn="0" w:lastRowFirstColumn="0" w:lastRowLastColumn="0"/>
              <w:rPr>
                <w:caps/>
              </w:rPr>
            </w:pPr>
          </w:p>
        </w:tc>
      </w:tr>
      <w:tr w:rsidR="00AB7F23" w14:paraId="7D1A2C1F" w14:textId="77777777" w:rsidTr="00AB7F23">
        <w:tc>
          <w:tcPr>
            <w:cnfStyle w:val="001000000000" w:firstRow="0" w:lastRow="0" w:firstColumn="1" w:lastColumn="0" w:oddVBand="0" w:evenVBand="0" w:oddHBand="0" w:evenHBand="0" w:firstRowFirstColumn="0" w:firstRowLastColumn="0" w:lastRowFirstColumn="0" w:lastRowLastColumn="0"/>
            <w:tcW w:w="6516" w:type="dxa"/>
          </w:tcPr>
          <w:p w14:paraId="38478D8C" w14:textId="77777777" w:rsidR="00AB7F23" w:rsidRPr="00BA1D03" w:rsidRDefault="00AB7F23" w:rsidP="00C55975">
            <w:pPr>
              <w:pStyle w:val="Odstavekseznama"/>
              <w:numPr>
                <w:ilvl w:val="0"/>
                <w:numId w:val="39"/>
              </w:numPr>
            </w:pPr>
            <w:r w:rsidRPr="00BA1D03">
              <w:t>Krepitev kompetenc, usposabljanje, prekvalifikacija, prilagajanje demografskim spremembam</w:t>
            </w:r>
          </w:p>
          <w:p w14:paraId="2C0E0C93" w14:textId="77777777" w:rsidR="00AB7F23" w:rsidRDefault="00AB7F23" w:rsidP="00AB7F23">
            <w:pPr>
              <w:pStyle w:val="Odstavekseznama"/>
              <w:numPr>
                <w:ilvl w:val="1"/>
                <w:numId w:val="39"/>
              </w:numPr>
              <w:tabs>
                <w:tab w:val="left" w:pos="1040"/>
              </w:tabs>
              <w:spacing w:before="0"/>
              <w:ind w:left="851" w:hanging="511"/>
              <w:rPr>
                <w:b w:val="0"/>
              </w:rPr>
            </w:pPr>
            <w:r w:rsidRPr="00294795">
              <w:rPr>
                <w:b w:val="0"/>
              </w:rPr>
              <w:t>Razvoj platform za krepitev kompetenc zaposlenih in vodstvenega kadra v vseh vejah industrije in na področju digitalne transformacije gospodarstva nasploh.</w:t>
            </w:r>
          </w:p>
          <w:p w14:paraId="32053FA4" w14:textId="77777777" w:rsidR="00AB7F23" w:rsidRPr="003A6AED" w:rsidRDefault="00AB7F23" w:rsidP="00AB7F23">
            <w:pPr>
              <w:pStyle w:val="Odstavekseznama"/>
              <w:numPr>
                <w:ilvl w:val="1"/>
                <w:numId w:val="39"/>
              </w:numPr>
              <w:tabs>
                <w:tab w:val="left" w:pos="1040"/>
              </w:tabs>
              <w:spacing w:before="0"/>
              <w:ind w:left="851" w:hanging="511"/>
              <w:rPr>
                <w:b w:val="0"/>
              </w:rPr>
            </w:pPr>
            <w:r w:rsidRPr="003A6AED">
              <w:rPr>
                <w:b w:val="0"/>
              </w:rPr>
              <w:t xml:space="preserve">Krepitev kompetenc, potrebnih za </w:t>
            </w:r>
            <w:r>
              <w:rPr>
                <w:b w:val="0"/>
              </w:rPr>
              <w:t>zeleni, ustvarjalni in pametni razvoj</w:t>
            </w:r>
            <w:r w:rsidRPr="003A6AED">
              <w:rPr>
                <w:b w:val="0"/>
              </w:rPr>
              <w:t>, upoštevajoč globalne trende</w:t>
            </w:r>
            <w:r>
              <w:rPr>
                <w:b w:val="0"/>
              </w:rPr>
              <w:t>.</w:t>
            </w:r>
            <w:r w:rsidRPr="003A6AED">
              <w:rPr>
                <w:b w:val="0"/>
              </w:rPr>
              <w:t xml:space="preserve"> </w:t>
            </w:r>
          </w:p>
          <w:p w14:paraId="0E67410F" w14:textId="77777777" w:rsidR="00AB7F23" w:rsidRPr="003D26AB" w:rsidRDefault="00AB7F23" w:rsidP="00C55975">
            <w:pPr>
              <w:pStyle w:val="Odstavekseznama"/>
              <w:spacing w:before="0"/>
              <w:ind w:left="792"/>
              <w:rPr>
                <w:b w:val="0"/>
              </w:rPr>
            </w:pPr>
          </w:p>
        </w:tc>
        <w:tc>
          <w:tcPr>
            <w:tcW w:w="1276" w:type="dxa"/>
          </w:tcPr>
          <w:p w14:paraId="2A37A50E" w14:textId="77777777" w:rsidR="00AB7F23" w:rsidRPr="00A902C0" w:rsidRDefault="00AB7F23" w:rsidP="00C55975">
            <w:pPr>
              <w:cnfStyle w:val="000000000000" w:firstRow="0" w:lastRow="0" w:firstColumn="0" w:lastColumn="0" w:oddVBand="0" w:evenVBand="0" w:oddHBand="0" w:evenHBand="0" w:firstRowFirstColumn="0" w:firstRowLastColumn="0" w:lastRowFirstColumn="0" w:lastRowLastColumn="0"/>
              <w:rPr>
                <w:caps/>
              </w:rPr>
            </w:pPr>
          </w:p>
        </w:tc>
        <w:tc>
          <w:tcPr>
            <w:tcW w:w="1270" w:type="dxa"/>
          </w:tcPr>
          <w:p w14:paraId="33C3E44D" w14:textId="77777777" w:rsidR="00AB7F23" w:rsidRPr="00A902C0" w:rsidRDefault="00AB7F23" w:rsidP="00C55975">
            <w:pPr>
              <w:cnfStyle w:val="000000000000" w:firstRow="0" w:lastRow="0" w:firstColumn="0" w:lastColumn="0" w:oddVBand="0" w:evenVBand="0" w:oddHBand="0" w:evenHBand="0" w:firstRowFirstColumn="0" w:firstRowLastColumn="0" w:lastRowFirstColumn="0" w:lastRowLastColumn="0"/>
              <w:rPr>
                <w:caps/>
              </w:rPr>
            </w:pPr>
          </w:p>
        </w:tc>
      </w:tr>
      <w:tr w:rsidR="00AB7F23" w14:paraId="6DFAD7CA" w14:textId="77777777" w:rsidTr="00AB7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701B8C68" w14:textId="77777777" w:rsidR="00AB7F23" w:rsidRPr="00BA1D03" w:rsidRDefault="00AB7F23" w:rsidP="00C55975">
            <w:pPr>
              <w:pStyle w:val="Odstavekseznama"/>
              <w:numPr>
                <w:ilvl w:val="0"/>
                <w:numId w:val="39"/>
              </w:numPr>
            </w:pPr>
            <w:r w:rsidRPr="00BA1D03">
              <w:t xml:space="preserve">Infrastruktura </w:t>
            </w:r>
          </w:p>
          <w:p w14:paraId="6BE66864" w14:textId="77777777" w:rsidR="00AB7F23" w:rsidRDefault="00AB7F23" w:rsidP="00AB7F23">
            <w:pPr>
              <w:pStyle w:val="Odstavekseznama"/>
              <w:numPr>
                <w:ilvl w:val="1"/>
                <w:numId w:val="39"/>
              </w:numPr>
              <w:tabs>
                <w:tab w:val="left" w:pos="1040"/>
              </w:tabs>
              <w:spacing w:before="0"/>
              <w:ind w:left="851" w:hanging="511"/>
              <w:rPr>
                <w:b w:val="0"/>
              </w:rPr>
            </w:pPr>
            <w:r w:rsidRPr="00294795">
              <w:rPr>
                <w:b w:val="0"/>
              </w:rPr>
              <w:t>Razvoj potrebne infrastrukture</w:t>
            </w:r>
            <w:r>
              <w:rPr>
                <w:b w:val="0"/>
              </w:rPr>
              <w:t xml:space="preserve">, ki omogoča razvoj zelene, ustvarjalne in </w:t>
            </w:r>
            <w:r w:rsidRPr="00294795">
              <w:rPr>
                <w:b w:val="0"/>
              </w:rPr>
              <w:t xml:space="preserve">pametne industrije (5G, </w:t>
            </w:r>
            <w:proofErr w:type="spellStart"/>
            <w:r w:rsidRPr="00294795">
              <w:rPr>
                <w:b w:val="0"/>
              </w:rPr>
              <w:t>blockchain</w:t>
            </w:r>
            <w:proofErr w:type="spellEnd"/>
            <w:r>
              <w:rPr>
                <w:b w:val="0"/>
              </w:rPr>
              <w:t xml:space="preserve">, razvoj </w:t>
            </w:r>
            <w:r w:rsidRPr="00BA1D03">
              <w:rPr>
                <w:b w:val="0"/>
              </w:rPr>
              <w:t xml:space="preserve">objektov za povečanje </w:t>
            </w:r>
            <w:r>
              <w:rPr>
                <w:b w:val="0"/>
              </w:rPr>
              <w:t>snovne in energetske učinkovitosti in rabe itd.).</w:t>
            </w:r>
          </w:p>
          <w:p w14:paraId="013FB2DA" w14:textId="77777777" w:rsidR="00AB7F23" w:rsidRPr="003D26AB" w:rsidRDefault="00AB7F23" w:rsidP="00C55975">
            <w:pPr>
              <w:pStyle w:val="Odstavekseznama"/>
              <w:spacing w:before="0"/>
              <w:ind w:left="792"/>
              <w:rPr>
                <w:b w:val="0"/>
              </w:rPr>
            </w:pPr>
          </w:p>
        </w:tc>
        <w:tc>
          <w:tcPr>
            <w:tcW w:w="1276" w:type="dxa"/>
          </w:tcPr>
          <w:p w14:paraId="03BD05AE" w14:textId="77777777" w:rsidR="00AB7F23" w:rsidRPr="00A902C0" w:rsidRDefault="00AB7F23" w:rsidP="00C55975">
            <w:pPr>
              <w:cnfStyle w:val="000000100000" w:firstRow="0" w:lastRow="0" w:firstColumn="0" w:lastColumn="0" w:oddVBand="0" w:evenVBand="0" w:oddHBand="1" w:evenHBand="0" w:firstRowFirstColumn="0" w:firstRowLastColumn="0" w:lastRowFirstColumn="0" w:lastRowLastColumn="0"/>
              <w:rPr>
                <w:caps/>
              </w:rPr>
            </w:pPr>
          </w:p>
        </w:tc>
        <w:tc>
          <w:tcPr>
            <w:tcW w:w="1270" w:type="dxa"/>
          </w:tcPr>
          <w:p w14:paraId="058F8556" w14:textId="77777777" w:rsidR="00AB7F23" w:rsidRPr="00A902C0" w:rsidRDefault="00AB7F23" w:rsidP="00C55975">
            <w:pPr>
              <w:cnfStyle w:val="000000100000" w:firstRow="0" w:lastRow="0" w:firstColumn="0" w:lastColumn="0" w:oddVBand="0" w:evenVBand="0" w:oddHBand="1" w:evenHBand="0" w:firstRowFirstColumn="0" w:firstRowLastColumn="0" w:lastRowFirstColumn="0" w:lastRowLastColumn="0"/>
              <w:rPr>
                <w:caps/>
              </w:rPr>
            </w:pPr>
          </w:p>
        </w:tc>
      </w:tr>
      <w:tr w:rsidR="00AB7F23" w14:paraId="0D12F9F9" w14:textId="77777777" w:rsidTr="00AB7F23">
        <w:tc>
          <w:tcPr>
            <w:cnfStyle w:val="001000000000" w:firstRow="0" w:lastRow="0" w:firstColumn="1" w:lastColumn="0" w:oddVBand="0" w:evenVBand="0" w:oddHBand="0" w:evenHBand="0" w:firstRowFirstColumn="0" w:firstRowLastColumn="0" w:lastRowFirstColumn="0" w:lastRowLastColumn="0"/>
            <w:tcW w:w="6516" w:type="dxa"/>
          </w:tcPr>
          <w:p w14:paraId="4B354D01" w14:textId="77777777" w:rsidR="00AB7F23" w:rsidRPr="00BA1D03" w:rsidRDefault="00AB7F23" w:rsidP="00C55975">
            <w:pPr>
              <w:pStyle w:val="Odstavekseznama"/>
              <w:numPr>
                <w:ilvl w:val="0"/>
                <w:numId w:val="39"/>
              </w:numPr>
            </w:pPr>
            <w:r w:rsidRPr="00BA1D03">
              <w:t>Zakonodaja in poslovno okolje</w:t>
            </w:r>
          </w:p>
          <w:p w14:paraId="56D80809" w14:textId="77777777" w:rsidR="00AB7F23" w:rsidRDefault="00AB7F23" w:rsidP="00AB7F23">
            <w:pPr>
              <w:pStyle w:val="Odstavekseznama"/>
              <w:numPr>
                <w:ilvl w:val="1"/>
                <w:numId w:val="39"/>
              </w:numPr>
              <w:spacing w:before="0"/>
              <w:ind w:left="851" w:hanging="511"/>
              <w:rPr>
                <w:b w:val="0"/>
              </w:rPr>
            </w:pPr>
            <w:r w:rsidRPr="003A6AED">
              <w:rPr>
                <w:b w:val="0"/>
              </w:rPr>
              <w:t xml:space="preserve">Spodbujanje trajnostne proizvodnje in potrošnje; v okviru tega tudi ozaveščanje javnosti o pozitivnih učinkih </w:t>
            </w:r>
            <w:r>
              <w:rPr>
                <w:b w:val="0"/>
              </w:rPr>
              <w:t>naravnih obnovljivih virov.</w:t>
            </w:r>
            <w:r w:rsidRPr="007410B8">
              <w:rPr>
                <w:b w:val="0"/>
              </w:rPr>
              <w:t xml:space="preserve"> </w:t>
            </w:r>
          </w:p>
          <w:p w14:paraId="38B937F5" w14:textId="77777777" w:rsidR="00AB7F23" w:rsidRPr="00CF3C6A" w:rsidRDefault="00AB7F23" w:rsidP="00AB7F23">
            <w:pPr>
              <w:pStyle w:val="Odstavekseznama"/>
              <w:numPr>
                <w:ilvl w:val="1"/>
                <w:numId w:val="39"/>
              </w:numPr>
              <w:spacing w:before="0"/>
              <w:ind w:left="851" w:hanging="511"/>
              <w:rPr>
                <w:b w:val="0"/>
              </w:rPr>
            </w:pPr>
            <w:r w:rsidRPr="007410B8">
              <w:rPr>
                <w:b w:val="0"/>
              </w:rPr>
              <w:t>Ustvarjanje spodbudnega gospodarskega okolja (zakonodaja, fiskalni okvir) za investicije v</w:t>
            </w:r>
            <w:r>
              <w:rPr>
                <w:b w:val="0"/>
              </w:rPr>
              <w:t xml:space="preserve"> </w:t>
            </w:r>
            <w:proofErr w:type="spellStart"/>
            <w:r>
              <w:rPr>
                <w:b w:val="0"/>
              </w:rPr>
              <w:t>nizkoogljično</w:t>
            </w:r>
            <w:proofErr w:type="spellEnd"/>
            <w:r w:rsidRPr="007410B8">
              <w:rPr>
                <w:b w:val="0"/>
              </w:rPr>
              <w:t xml:space="preserve"> </w:t>
            </w:r>
            <w:r>
              <w:rPr>
                <w:b w:val="0"/>
              </w:rPr>
              <w:t xml:space="preserve">krožno gospodarstvo za </w:t>
            </w:r>
            <w:r w:rsidRPr="00CF3C6A">
              <w:rPr>
                <w:b w:val="0"/>
              </w:rPr>
              <w:t>učinkovito rabo energije/surovin oziroma zapiranje snovnih zank</w:t>
            </w:r>
            <w:r w:rsidRPr="003D26AB">
              <w:rPr>
                <w:b w:val="0"/>
              </w:rPr>
              <w:t xml:space="preserve"> </w:t>
            </w:r>
            <w:r>
              <w:rPr>
                <w:b w:val="0"/>
              </w:rPr>
              <w:t>(</w:t>
            </w:r>
            <w:r w:rsidRPr="003D26AB">
              <w:rPr>
                <w:b w:val="0"/>
              </w:rPr>
              <w:t xml:space="preserve">razvoj tehnologij in postopkov za visoko kakovostno izrabo surovin, vključno z novimi </w:t>
            </w:r>
            <w:r>
              <w:rPr>
                <w:b w:val="0"/>
              </w:rPr>
              <w:t>postopki predelave in reciklaže)</w:t>
            </w:r>
            <w:r w:rsidRPr="00CF3C6A">
              <w:rPr>
                <w:b w:val="0"/>
              </w:rPr>
              <w:t xml:space="preserve">. </w:t>
            </w:r>
          </w:p>
          <w:p w14:paraId="34A4810E" w14:textId="77777777" w:rsidR="00AB7F23" w:rsidRPr="00BA1D03" w:rsidRDefault="00AB7F23" w:rsidP="00AB7F23">
            <w:pPr>
              <w:pStyle w:val="Odstavekseznama"/>
              <w:numPr>
                <w:ilvl w:val="1"/>
                <w:numId w:val="39"/>
              </w:numPr>
              <w:spacing w:before="0"/>
              <w:ind w:left="851" w:hanging="511"/>
              <w:rPr>
                <w:b w:val="0"/>
              </w:rPr>
            </w:pPr>
            <w:r w:rsidRPr="00BA1D03">
              <w:rPr>
                <w:b w:val="0"/>
              </w:rPr>
              <w:t>Ustvarjanje in krepitev trgov za sekundarne surovine in pospeševanje industrijske simbioze.</w:t>
            </w:r>
          </w:p>
          <w:p w14:paraId="25F7C1C4" w14:textId="77777777" w:rsidR="00AB7F23" w:rsidRPr="003A6AED" w:rsidRDefault="00AB7F23" w:rsidP="00AB7F23">
            <w:pPr>
              <w:pStyle w:val="Odstavekseznama"/>
              <w:numPr>
                <w:ilvl w:val="1"/>
                <w:numId w:val="39"/>
              </w:numPr>
              <w:spacing w:before="0"/>
              <w:ind w:left="851" w:hanging="511"/>
              <w:rPr>
                <w:b w:val="0"/>
              </w:rPr>
            </w:pPr>
            <w:r>
              <w:rPr>
                <w:b w:val="0"/>
              </w:rPr>
              <w:t>Zeleno oziroma</w:t>
            </w:r>
            <w:r w:rsidRPr="003A6AED">
              <w:rPr>
                <w:b w:val="0"/>
              </w:rPr>
              <w:t xml:space="preserve"> krožno javno naročanje, v okviru katerega se podpira tudi uporaba naravnih/obnovljivih virov (npr. spodbujanje lesene gradnje z zelenimi javnimi naročili).</w:t>
            </w:r>
          </w:p>
          <w:p w14:paraId="72BF999E" w14:textId="6F06D3E7" w:rsidR="00AB7F23" w:rsidRPr="00A350D6" w:rsidRDefault="00AB7F23" w:rsidP="00A350D6">
            <w:pPr>
              <w:pStyle w:val="Odstavekseznama"/>
              <w:numPr>
                <w:ilvl w:val="1"/>
                <w:numId w:val="39"/>
              </w:numPr>
              <w:spacing w:before="0"/>
              <w:ind w:left="851" w:hanging="511"/>
            </w:pPr>
            <w:r w:rsidRPr="00CF3C6A">
              <w:rPr>
                <w:b w:val="0"/>
              </w:rPr>
              <w:t>Spodbujanje</w:t>
            </w:r>
            <w:r w:rsidRPr="00CF3C6A">
              <w:rPr>
                <w:b w:val="0"/>
                <w:bCs w:val="0"/>
              </w:rPr>
              <w:t xml:space="preserve"> standardizacije (</w:t>
            </w:r>
            <w:r w:rsidRPr="00CF3C6A">
              <w:rPr>
                <w:b w:val="0"/>
              </w:rPr>
              <w:t>aktivno vključevanje v sooblikovanje ter podpora uporabi mednarodnih standardov),</w:t>
            </w:r>
            <w:r>
              <w:rPr>
                <w:b w:val="0"/>
              </w:rPr>
              <w:t xml:space="preserve"> </w:t>
            </w:r>
            <w:r w:rsidRPr="00CF3C6A">
              <w:rPr>
                <w:b w:val="0"/>
              </w:rPr>
              <w:t>uporabe mednarodnih certifikatov</w:t>
            </w:r>
            <w:r>
              <w:rPr>
                <w:b w:val="0"/>
              </w:rPr>
              <w:t xml:space="preserve"> in zaščite </w:t>
            </w:r>
            <w:r>
              <w:rPr>
                <w:b w:val="0"/>
              </w:rPr>
              <w:lastRenderedPageBreak/>
              <w:t>intelektualne lastnine</w:t>
            </w:r>
            <w:r>
              <w:t>.</w:t>
            </w:r>
            <w:r w:rsidRPr="00E371B2">
              <w:t xml:space="preserve"> </w:t>
            </w:r>
          </w:p>
        </w:tc>
        <w:tc>
          <w:tcPr>
            <w:tcW w:w="1276" w:type="dxa"/>
          </w:tcPr>
          <w:p w14:paraId="3B753CE8" w14:textId="77777777" w:rsidR="00AB7F23" w:rsidRPr="00A902C0" w:rsidRDefault="00AB7F23" w:rsidP="00C55975">
            <w:pPr>
              <w:cnfStyle w:val="000000000000" w:firstRow="0" w:lastRow="0" w:firstColumn="0" w:lastColumn="0" w:oddVBand="0" w:evenVBand="0" w:oddHBand="0" w:evenHBand="0" w:firstRowFirstColumn="0" w:firstRowLastColumn="0" w:lastRowFirstColumn="0" w:lastRowLastColumn="0"/>
              <w:rPr>
                <w:caps/>
              </w:rPr>
            </w:pPr>
          </w:p>
        </w:tc>
        <w:tc>
          <w:tcPr>
            <w:tcW w:w="1270" w:type="dxa"/>
          </w:tcPr>
          <w:p w14:paraId="1BAE6986" w14:textId="77777777" w:rsidR="00AB7F23" w:rsidRPr="00A902C0" w:rsidRDefault="00AB7F23" w:rsidP="00C55975">
            <w:pPr>
              <w:cnfStyle w:val="000000000000" w:firstRow="0" w:lastRow="0" w:firstColumn="0" w:lastColumn="0" w:oddVBand="0" w:evenVBand="0" w:oddHBand="0" w:evenHBand="0" w:firstRowFirstColumn="0" w:firstRowLastColumn="0" w:lastRowFirstColumn="0" w:lastRowLastColumn="0"/>
              <w:rPr>
                <w:caps/>
              </w:rPr>
            </w:pPr>
          </w:p>
        </w:tc>
      </w:tr>
    </w:tbl>
    <w:p w14:paraId="270FBEFA" w14:textId="77777777" w:rsidR="00B758D5" w:rsidRDefault="00B758D5">
      <w:pPr>
        <w:rPr>
          <w:caps/>
        </w:rPr>
      </w:pPr>
    </w:p>
    <w:p w14:paraId="221E4C79" w14:textId="77777777" w:rsidR="002C33EA" w:rsidRDefault="002C33EA">
      <w:pPr>
        <w:rPr>
          <w:caps/>
        </w:rPr>
      </w:pPr>
    </w:p>
    <w:p w14:paraId="7F6874A7" w14:textId="77777777" w:rsidR="002C33EA" w:rsidRDefault="002C33EA">
      <w:pPr>
        <w:rPr>
          <w:caps/>
        </w:rPr>
      </w:pPr>
    </w:p>
    <w:p w14:paraId="65501B6F" w14:textId="77777777" w:rsidR="002C33EA" w:rsidRDefault="002C33EA">
      <w:pPr>
        <w:rPr>
          <w:caps/>
        </w:rPr>
      </w:pPr>
    </w:p>
    <w:p w14:paraId="4D395966" w14:textId="77777777" w:rsidR="002C33EA" w:rsidRDefault="002C33EA">
      <w:pPr>
        <w:rPr>
          <w:caps/>
        </w:rPr>
      </w:pPr>
      <w:r>
        <w:rPr>
          <w:caps/>
        </w:rPr>
        <w:br w:type="page"/>
      </w:r>
    </w:p>
    <w:p w14:paraId="2C27835C" w14:textId="77777777" w:rsidR="002C33EA" w:rsidRPr="009B538E" w:rsidRDefault="002C33EA">
      <w:pPr>
        <w:rPr>
          <w:color w:val="FFFFFF" w:themeColor="background1"/>
          <w:spacing w:val="15"/>
        </w:rPr>
      </w:pPr>
    </w:p>
    <w:p w14:paraId="02E72A15" w14:textId="77777777" w:rsidR="00A36DA8" w:rsidRPr="009B538E" w:rsidRDefault="006C7ECF" w:rsidP="002C7476">
      <w:pPr>
        <w:pStyle w:val="Naslov1"/>
        <w:numPr>
          <w:ilvl w:val="0"/>
          <w:numId w:val="5"/>
        </w:numPr>
        <w:rPr>
          <w:caps w:val="0"/>
          <w:sz w:val="20"/>
        </w:rPr>
      </w:pPr>
      <w:bookmarkStart w:id="41" w:name="_Toc51140520"/>
      <w:r w:rsidRPr="009B538E">
        <w:rPr>
          <w:caps w:val="0"/>
          <w:sz w:val="20"/>
        </w:rPr>
        <w:t>ZAKLJUČEK</w:t>
      </w:r>
      <w:bookmarkEnd w:id="41"/>
    </w:p>
    <w:p w14:paraId="794609F1" w14:textId="77777777" w:rsidR="00ED0C71" w:rsidRDefault="00A36DA8" w:rsidP="00ED0C71">
      <w:pPr>
        <w:jc w:val="both"/>
        <w:rPr>
          <w:szCs w:val="22"/>
        </w:rPr>
      </w:pPr>
      <w:r>
        <w:rPr>
          <w:szCs w:val="22"/>
        </w:rPr>
        <w:t>Industrijska s</w:t>
      </w:r>
      <w:r w:rsidRPr="00A36DA8">
        <w:rPr>
          <w:szCs w:val="22"/>
        </w:rPr>
        <w:t xml:space="preserve">trategija postavlja </w:t>
      </w:r>
      <w:r w:rsidR="00ED0C71">
        <w:rPr>
          <w:szCs w:val="22"/>
        </w:rPr>
        <w:t xml:space="preserve">usmeritve za </w:t>
      </w:r>
      <w:r w:rsidRPr="00ED0C71">
        <w:rPr>
          <w:szCs w:val="22"/>
        </w:rPr>
        <w:t xml:space="preserve">prehod </w:t>
      </w:r>
      <w:r w:rsidR="00ED0C71">
        <w:rPr>
          <w:szCs w:val="22"/>
        </w:rPr>
        <w:t xml:space="preserve">gospodarstva v zeleno, kreativno in pametno povezovanje in s tem dvig </w:t>
      </w:r>
      <w:r w:rsidRPr="00ED0C71">
        <w:rPr>
          <w:szCs w:val="22"/>
        </w:rPr>
        <w:t>konkurenčno</w:t>
      </w:r>
      <w:r w:rsidR="00ED0C71">
        <w:rPr>
          <w:szCs w:val="22"/>
        </w:rPr>
        <w:t>sti. P</w:t>
      </w:r>
      <w:r w:rsidRPr="00ED0C71">
        <w:rPr>
          <w:szCs w:val="22"/>
        </w:rPr>
        <w:t>omembn</w:t>
      </w:r>
      <w:r w:rsidR="001D30F8">
        <w:rPr>
          <w:szCs w:val="22"/>
        </w:rPr>
        <w:t>i</w:t>
      </w:r>
      <w:r w:rsidRPr="00ED0C71">
        <w:rPr>
          <w:szCs w:val="22"/>
        </w:rPr>
        <w:t xml:space="preserve"> družben</w:t>
      </w:r>
      <w:r w:rsidR="001D30F8">
        <w:rPr>
          <w:szCs w:val="22"/>
        </w:rPr>
        <w:t>i</w:t>
      </w:r>
      <w:r w:rsidRPr="00ED0C71">
        <w:rPr>
          <w:szCs w:val="22"/>
        </w:rPr>
        <w:t xml:space="preserve"> </w:t>
      </w:r>
      <w:r w:rsidR="001D30F8">
        <w:rPr>
          <w:szCs w:val="22"/>
        </w:rPr>
        <w:t>izzivi</w:t>
      </w:r>
      <w:r w:rsidRPr="00ED0C71">
        <w:rPr>
          <w:szCs w:val="22"/>
        </w:rPr>
        <w:t xml:space="preserve"> </w:t>
      </w:r>
      <w:r w:rsidR="00ED0C71">
        <w:rPr>
          <w:szCs w:val="22"/>
        </w:rPr>
        <w:t xml:space="preserve">krojijo prihodnje usmeritve </w:t>
      </w:r>
      <w:r w:rsidR="001D30F8">
        <w:rPr>
          <w:szCs w:val="22"/>
        </w:rPr>
        <w:t>za razvoj družbe</w:t>
      </w:r>
      <w:r w:rsidRPr="00ED0C71">
        <w:rPr>
          <w:szCs w:val="22"/>
        </w:rPr>
        <w:t xml:space="preserve">. </w:t>
      </w:r>
    </w:p>
    <w:p w14:paraId="0EF86A1A" w14:textId="10F276AA" w:rsidR="00606085" w:rsidRPr="00ED0C71" w:rsidRDefault="00ED0C71" w:rsidP="00B042A4">
      <w:pPr>
        <w:jc w:val="both"/>
        <w:rPr>
          <w:szCs w:val="22"/>
        </w:rPr>
      </w:pPr>
      <w:r>
        <w:rPr>
          <w:szCs w:val="22"/>
        </w:rPr>
        <w:t>S to strategijo se povezujemo v širšo zgodbo industrijske strategije</w:t>
      </w:r>
      <w:r w:rsidR="00F27958" w:rsidRPr="00F27958">
        <w:rPr>
          <w:szCs w:val="22"/>
        </w:rPr>
        <w:t xml:space="preserve"> </w:t>
      </w:r>
      <w:r w:rsidR="00F27958">
        <w:rPr>
          <w:szCs w:val="22"/>
        </w:rPr>
        <w:t>EU</w:t>
      </w:r>
      <w:r>
        <w:rPr>
          <w:szCs w:val="22"/>
        </w:rPr>
        <w:t xml:space="preserve">, s katero se vzpostavlja </w:t>
      </w:r>
      <w:r w:rsidR="00A36DA8" w:rsidRPr="00ED0C71">
        <w:rPr>
          <w:szCs w:val="22"/>
        </w:rPr>
        <w:t>skupna zaveza EU, njenih držav članic in regij, industrije, MSP in</w:t>
      </w:r>
      <w:r>
        <w:rPr>
          <w:szCs w:val="22"/>
        </w:rPr>
        <w:t xml:space="preserve"> </w:t>
      </w:r>
      <w:r w:rsidR="00A36DA8" w:rsidRPr="00ED0C71">
        <w:rPr>
          <w:szCs w:val="22"/>
        </w:rPr>
        <w:t>vse</w:t>
      </w:r>
      <w:r>
        <w:rPr>
          <w:szCs w:val="22"/>
        </w:rPr>
        <w:t>h</w:t>
      </w:r>
      <w:r w:rsidR="00A36DA8" w:rsidRPr="00ED0C71">
        <w:rPr>
          <w:szCs w:val="22"/>
        </w:rPr>
        <w:t xml:space="preserve"> drug</w:t>
      </w:r>
      <w:r>
        <w:rPr>
          <w:szCs w:val="22"/>
        </w:rPr>
        <w:t>ih</w:t>
      </w:r>
      <w:r w:rsidR="00A36DA8" w:rsidRPr="00ED0C71">
        <w:rPr>
          <w:szCs w:val="22"/>
        </w:rPr>
        <w:t xml:space="preserve"> zainteresiran</w:t>
      </w:r>
      <w:r>
        <w:rPr>
          <w:szCs w:val="22"/>
        </w:rPr>
        <w:t>ih</w:t>
      </w:r>
      <w:r w:rsidR="00A36DA8" w:rsidRPr="00ED0C71">
        <w:rPr>
          <w:szCs w:val="22"/>
        </w:rPr>
        <w:t xml:space="preserve"> strani v prenovljen</w:t>
      </w:r>
      <w:r>
        <w:rPr>
          <w:szCs w:val="22"/>
        </w:rPr>
        <w:t>o</w:t>
      </w:r>
      <w:r w:rsidR="00A36DA8" w:rsidRPr="00ED0C71">
        <w:rPr>
          <w:szCs w:val="22"/>
        </w:rPr>
        <w:t xml:space="preserve"> partnerstv</w:t>
      </w:r>
      <w:r>
        <w:rPr>
          <w:szCs w:val="22"/>
        </w:rPr>
        <w:t>o. S tem</w:t>
      </w:r>
      <w:r w:rsidR="00A36DA8" w:rsidRPr="00ED0C71">
        <w:rPr>
          <w:szCs w:val="22"/>
        </w:rPr>
        <w:t xml:space="preserve"> bo Evropi omogoč</w:t>
      </w:r>
      <w:r>
        <w:rPr>
          <w:szCs w:val="22"/>
        </w:rPr>
        <w:t>eno</w:t>
      </w:r>
      <w:r w:rsidR="00A36DA8" w:rsidRPr="00ED0C71">
        <w:rPr>
          <w:szCs w:val="22"/>
        </w:rPr>
        <w:t>, da kar najbolje izkoristi</w:t>
      </w:r>
      <w:r>
        <w:rPr>
          <w:szCs w:val="22"/>
        </w:rPr>
        <w:t xml:space="preserve"> </w:t>
      </w:r>
      <w:r w:rsidR="00A36DA8" w:rsidRPr="00ED0C71">
        <w:rPr>
          <w:szCs w:val="22"/>
        </w:rPr>
        <w:t>industrijsk</w:t>
      </w:r>
      <w:r>
        <w:rPr>
          <w:szCs w:val="22"/>
        </w:rPr>
        <w:t>o</w:t>
      </w:r>
      <w:r w:rsidR="00A36DA8" w:rsidRPr="00ED0C71">
        <w:rPr>
          <w:szCs w:val="22"/>
        </w:rPr>
        <w:t xml:space="preserve"> preobrazb</w:t>
      </w:r>
      <w:r>
        <w:rPr>
          <w:szCs w:val="22"/>
        </w:rPr>
        <w:t>o</w:t>
      </w:r>
      <w:r w:rsidR="00A36DA8" w:rsidRPr="00ED0C71">
        <w:rPr>
          <w:szCs w:val="22"/>
        </w:rPr>
        <w:t xml:space="preserve">. </w:t>
      </w:r>
    </w:p>
    <w:p w14:paraId="6B0B221D" w14:textId="77777777" w:rsidR="007C7F66" w:rsidRPr="00ED0C71" w:rsidRDefault="007C7F66" w:rsidP="00ED0C71">
      <w:pPr>
        <w:jc w:val="both"/>
        <w:rPr>
          <w:szCs w:val="22"/>
        </w:rPr>
      </w:pPr>
    </w:p>
    <w:p w14:paraId="252894FE" w14:textId="77777777" w:rsidR="00606085" w:rsidRPr="002835B3" w:rsidRDefault="00606085" w:rsidP="00ED0C71">
      <w:pPr>
        <w:rPr>
          <w:szCs w:val="22"/>
        </w:rPr>
      </w:pPr>
    </w:p>
    <w:p w14:paraId="20E8A1D4" w14:textId="77777777" w:rsidR="00606085" w:rsidRDefault="00606085"/>
    <w:p w14:paraId="1794F56B" w14:textId="77777777" w:rsidR="00F4218F" w:rsidRDefault="00F4218F">
      <w:r>
        <w:br w:type="page"/>
      </w:r>
    </w:p>
    <w:p w14:paraId="4897D493" w14:textId="77777777" w:rsidR="001A3633" w:rsidRPr="009B538E" w:rsidRDefault="001A3633" w:rsidP="001A3633">
      <w:pPr>
        <w:pStyle w:val="Naslov1"/>
        <w:rPr>
          <w:caps w:val="0"/>
          <w:sz w:val="20"/>
        </w:rPr>
      </w:pPr>
      <w:bookmarkStart w:id="42" w:name="_Toc51140521"/>
      <w:r w:rsidRPr="009B538E">
        <w:rPr>
          <w:caps w:val="0"/>
          <w:sz w:val="20"/>
        </w:rPr>
        <w:lastRenderedPageBreak/>
        <w:t>PRILOGE</w:t>
      </w:r>
      <w:bookmarkEnd w:id="42"/>
    </w:p>
    <w:p w14:paraId="03C2E8EB" w14:textId="77777777" w:rsidR="00C57729" w:rsidRDefault="00C57729" w:rsidP="002C7476">
      <w:pPr>
        <w:pStyle w:val="Napis"/>
        <w:numPr>
          <w:ilvl w:val="0"/>
          <w:numId w:val="16"/>
        </w:numPr>
        <w:rPr>
          <w:color w:val="549E39" w:themeColor="accent1"/>
          <w:sz w:val="20"/>
          <w:szCs w:val="20"/>
        </w:rPr>
      </w:pPr>
      <w:r w:rsidRPr="007C7F66">
        <w:rPr>
          <w:color w:val="549E39" w:themeColor="accent1"/>
          <w:sz w:val="20"/>
          <w:szCs w:val="20"/>
        </w:rPr>
        <w:t xml:space="preserve">Priloga </w:t>
      </w:r>
      <w:r w:rsidR="0063267A" w:rsidRPr="00964361">
        <w:rPr>
          <w:color w:val="549E39" w:themeColor="accent1"/>
          <w:sz w:val="20"/>
          <w:szCs w:val="20"/>
        </w:rPr>
        <w:fldChar w:fldCharType="begin"/>
      </w:r>
      <w:r w:rsidRPr="00964361">
        <w:rPr>
          <w:color w:val="549E39" w:themeColor="accent1"/>
          <w:sz w:val="20"/>
          <w:szCs w:val="20"/>
        </w:rPr>
        <w:instrText xml:space="preserve"> SEQ Priloga \* ARABIC </w:instrText>
      </w:r>
      <w:r w:rsidR="0063267A" w:rsidRPr="00964361">
        <w:rPr>
          <w:color w:val="549E39" w:themeColor="accent1"/>
          <w:sz w:val="20"/>
          <w:szCs w:val="20"/>
        </w:rPr>
        <w:fldChar w:fldCharType="separate"/>
      </w:r>
      <w:r w:rsidR="00A57F15">
        <w:rPr>
          <w:noProof/>
          <w:color w:val="549E39" w:themeColor="accent1"/>
          <w:sz w:val="20"/>
          <w:szCs w:val="20"/>
        </w:rPr>
        <w:t>1</w:t>
      </w:r>
      <w:r w:rsidR="0063267A" w:rsidRPr="00964361">
        <w:rPr>
          <w:color w:val="549E39" w:themeColor="accent1"/>
          <w:sz w:val="20"/>
          <w:szCs w:val="20"/>
        </w:rPr>
        <w:fldChar w:fldCharType="end"/>
      </w:r>
      <w:r>
        <w:rPr>
          <w:color w:val="549E39" w:themeColor="accent1"/>
          <w:sz w:val="20"/>
          <w:szCs w:val="20"/>
        </w:rPr>
        <w:t xml:space="preserve">: </w:t>
      </w:r>
      <w:r w:rsidRPr="00964361">
        <w:rPr>
          <w:color w:val="549E39" w:themeColor="accent1"/>
          <w:sz w:val="20"/>
          <w:szCs w:val="20"/>
        </w:rPr>
        <w:t xml:space="preserve">Predelovalne dejavnosti v Sloveniji v </w:t>
      </w:r>
      <w:r>
        <w:rPr>
          <w:color w:val="549E39" w:themeColor="accent1"/>
          <w:sz w:val="20"/>
          <w:szCs w:val="20"/>
        </w:rPr>
        <w:t xml:space="preserve">obdobju </w:t>
      </w:r>
      <w:r w:rsidRPr="00964361">
        <w:rPr>
          <w:color w:val="549E39" w:themeColor="accent1"/>
          <w:sz w:val="20"/>
          <w:szCs w:val="20"/>
        </w:rPr>
        <w:t>2008-2018</w:t>
      </w:r>
    </w:p>
    <w:p w14:paraId="676E26DB" w14:textId="77777777" w:rsidR="007C7F66" w:rsidRPr="00964361" w:rsidRDefault="007C7F66" w:rsidP="002C7476">
      <w:pPr>
        <w:pStyle w:val="Odstavekseznama"/>
        <w:numPr>
          <w:ilvl w:val="0"/>
          <w:numId w:val="16"/>
        </w:numPr>
        <w:spacing w:before="0" w:after="160" w:line="259" w:lineRule="auto"/>
        <w:rPr>
          <w:rFonts w:cstheme="minorHAnsi"/>
          <w:b/>
          <w:bCs/>
        </w:rPr>
      </w:pPr>
      <w:r w:rsidRPr="00964361">
        <w:rPr>
          <w:rFonts w:cstheme="minorHAnsi"/>
          <w:b/>
          <w:bCs/>
        </w:rPr>
        <w:t xml:space="preserve">Število subjektov </w:t>
      </w:r>
    </w:p>
    <w:p w14:paraId="07D59533" w14:textId="3563F6C0" w:rsidR="007C7F66" w:rsidRPr="00964361" w:rsidRDefault="001210CE" w:rsidP="00465666">
      <w:pPr>
        <w:jc w:val="both"/>
        <w:rPr>
          <w:rFonts w:cstheme="minorHAnsi"/>
        </w:rPr>
      </w:pPr>
      <w:r>
        <w:rPr>
          <w:rFonts w:cstheme="minorHAnsi"/>
        </w:rPr>
        <w:t>Na področju</w:t>
      </w:r>
      <w:r w:rsidR="007C7F66" w:rsidRPr="00964361">
        <w:rPr>
          <w:rFonts w:cstheme="minorHAnsi"/>
        </w:rPr>
        <w:t xml:space="preserve"> predelovalnih dejavnosti je bilo konec 2018 aktivnih 19.705 podjetij (pravnih oseb oz</w:t>
      </w:r>
      <w:r w:rsidR="005109E8">
        <w:rPr>
          <w:rFonts w:cstheme="minorHAnsi"/>
        </w:rPr>
        <w:t>iroma</w:t>
      </w:r>
      <w:r w:rsidR="005109E8" w:rsidRPr="00964361">
        <w:rPr>
          <w:rFonts w:cstheme="minorHAnsi"/>
        </w:rPr>
        <w:t xml:space="preserve"> </w:t>
      </w:r>
      <w:r w:rsidR="007C7F66" w:rsidRPr="00964361">
        <w:rPr>
          <w:rFonts w:cstheme="minorHAnsi"/>
        </w:rPr>
        <w:t>družb, fizičnih oseb oz</w:t>
      </w:r>
      <w:r w:rsidR="005109E8">
        <w:rPr>
          <w:rFonts w:cstheme="minorHAnsi"/>
        </w:rPr>
        <w:t>iroma</w:t>
      </w:r>
      <w:r w:rsidR="007C7F66" w:rsidRPr="00964361">
        <w:rPr>
          <w:rFonts w:cstheme="minorHAnsi"/>
        </w:rPr>
        <w:t xml:space="preserve"> s. p.</w:t>
      </w:r>
      <w:r w:rsidR="005109E8">
        <w:rPr>
          <w:rFonts w:cstheme="minorHAnsi"/>
        </w:rPr>
        <w:t>-jev</w:t>
      </w:r>
      <w:r w:rsidR="007C7F66" w:rsidRPr="00964361">
        <w:rPr>
          <w:rFonts w:cstheme="minorHAnsi"/>
        </w:rPr>
        <w:t xml:space="preserve"> ter normiranih s. p.</w:t>
      </w:r>
      <w:r w:rsidR="005109E8">
        <w:rPr>
          <w:rFonts w:cstheme="minorHAnsi"/>
        </w:rPr>
        <w:t>-jev</w:t>
      </w:r>
      <w:r w:rsidR="007C7F66" w:rsidRPr="00964361">
        <w:rPr>
          <w:rFonts w:cstheme="minorHAnsi"/>
        </w:rPr>
        <w:t>, ki so izkazal</w:t>
      </w:r>
      <w:r w:rsidR="005109E8">
        <w:rPr>
          <w:rFonts w:cstheme="minorHAnsi"/>
        </w:rPr>
        <w:t>i</w:t>
      </w:r>
      <w:r w:rsidR="007C7F66" w:rsidRPr="00964361">
        <w:rPr>
          <w:rFonts w:cstheme="minorHAnsi"/>
        </w:rPr>
        <w:t xml:space="preserve"> prihodek ali stroške dela). V zadnjih </w:t>
      </w:r>
      <w:r w:rsidR="007E5D1F">
        <w:rPr>
          <w:rFonts w:cstheme="minorHAnsi"/>
        </w:rPr>
        <w:t>desetih</w:t>
      </w:r>
      <w:r w:rsidR="007E5D1F" w:rsidRPr="00964361">
        <w:rPr>
          <w:rFonts w:cstheme="minorHAnsi"/>
        </w:rPr>
        <w:t xml:space="preserve"> </w:t>
      </w:r>
      <w:r w:rsidR="007C7F66" w:rsidRPr="00964361">
        <w:rPr>
          <w:rFonts w:cstheme="minorHAnsi"/>
        </w:rPr>
        <w:t xml:space="preserve">letih se je število podjetij povečalo za 1,3 % na leto, v zadnjih </w:t>
      </w:r>
      <w:r w:rsidR="007E5D1F">
        <w:rPr>
          <w:rFonts w:cstheme="minorHAnsi"/>
        </w:rPr>
        <w:t xml:space="preserve">petih </w:t>
      </w:r>
      <w:r w:rsidR="007C7F66" w:rsidRPr="00964361">
        <w:rPr>
          <w:rFonts w:cstheme="minorHAnsi"/>
        </w:rPr>
        <w:t xml:space="preserve">letih pa za 1,7 % na leto. V 2018 je </w:t>
      </w:r>
      <w:r w:rsidR="007C7F66" w:rsidRPr="00FD4C45">
        <w:rPr>
          <w:rFonts w:cstheme="minorHAnsi"/>
        </w:rPr>
        <w:t>bil</w:t>
      </w:r>
      <w:r w:rsidR="007C7F66" w:rsidRPr="00964361">
        <w:rPr>
          <w:rFonts w:cstheme="minorHAnsi"/>
        </w:rPr>
        <w:t xml:space="preserve"> med predelovalnimi dejavnostmi v primerjavi z letom 2008 porast števila podjetij največji v prehrambni (1.513 zaposlenih), strojni (517 zaposlenih), lesni (459 zaposlenih) ter kovinski industriji (295 zaposlenih). Število podjetij se je znižalo v tekstilni, papirni, kemični</w:t>
      </w:r>
      <w:r w:rsidR="00483DA1">
        <w:rPr>
          <w:rFonts w:cstheme="minorHAnsi"/>
        </w:rPr>
        <w:t xml:space="preserve">, </w:t>
      </w:r>
      <w:r w:rsidR="007C7F66" w:rsidRPr="00964361">
        <w:rPr>
          <w:rFonts w:cstheme="minorHAnsi"/>
        </w:rPr>
        <w:t>elektro</w:t>
      </w:r>
      <w:r w:rsidR="00483DA1">
        <w:rPr>
          <w:rFonts w:cstheme="minorHAnsi"/>
        </w:rPr>
        <w:t xml:space="preserve"> in nekovinski</w:t>
      </w:r>
      <w:r w:rsidR="007C7F66" w:rsidRPr="00964361">
        <w:rPr>
          <w:rFonts w:cstheme="minorHAnsi"/>
        </w:rPr>
        <w:t xml:space="preserve"> industriji (od 282</w:t>
      </w:r>
      <w:r w:rsidR="00483DA1">
        <w:rPr>
          <w:rFonts w:cstheme="minorHAnsi"/>
        </w:rPr>
        <w:t xml:space="preserve"> v tekstilni</w:t>
      </w:r>
      <w:r w:rsidR="007C7F66" w:rsidRPr="00964361">
        <w:rPr>
          <w:rFonts w:cstheme="minorHAnsi"/>
        </w:rPr>
        <w:t xml:space="preserve"> do 18 </w:t>
      </w:r>
      <w:r w:rsidR="00483DA1">
        <w:rPr>
          <w:rFonts w:cstheme="minorHAnsi"/>
        </w:rPr>
        <w:t>v nekovinski industriji</w:t>
      </w:r>
      <w:r w:rsidR="007C7F66" w:rsidRPr="00964361">
        <w:rPr>
          <w:rFonts w:cstheme="minorHAnsi"/>
        </w:rPr>
        <w:t>). V letu 2018 je največ podjetij delovalo v kovinski industriji (23 % vseh), sledi</w:t>
      </w:r>
      <w:r w:rsidR="005109E8">
        <w:rPr>
          <w:rFonts w:cstheme="minorHAnsi"/>
        </w:rPr>
        <w:t>jo</w:t>
      </w:r>
      <w:r w:rsidR="007C7F66" w:rsidRPr="00964361">
        <w:rPr>
          <w:rFonts w:cstheme="minorHAnsi"/>
        </w:rPr>
        <w:t xml:space="preserve"> strojna (17 %), lesna (16 %) ter prehrambna industrija (13 %).</w:t>
      </w:r>
    </w:p>
    <w:p w14:paraId="27C97FC0" w14:textId="77777777" w:rsidR="007C7F66" w:rsidRPr="007041AF" w:rsidRDefault="007C7F66" w:rsidP="007C7F66">
      <w:pPr>
        <w:rPr>
          <w:rFonts w:cstheme="minorHAnsi"/>
        </w:rPr>
      </w:pPr>
      <w:r w:rsidRPr="007041AF">
        <w:rPr>
          <w:rFonts w:cstheme="minorHAnsi"/>
          <w:noProof/>
          <w:lang w:eastAsia="sl-SI"/>
        </w:rPr>
        <w:drawing>
          <wp:inline distT="0" distB="0" distL="0" distR="0" wp14:anchorId="074B8851" wp14:editId="77B945B8">
            <wp:extent cx="4591611" cy="2743200"/>
            <wp:effectExtent l="0" t="0" r="0" b="0"/>
            <wp:docPr id="9" name="Grafikon 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D1185CC-FB13-454C-B319-F550EFCFFC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7E5D1F">
        <w:rPr>
          <w:rFonts w:cstheme="minorHAnsi"/>
        </w:rPr>
        <w:t>*</w:t>
      </w:r>
    </w:p>
    <w:p w14:paraId="7836A165" w14:textId="77777777" w:rsidR="003372D7" w:rsidRPr="00964361" w:rsidRDefault="003372D7" w:rsidP="003372D7">
      <w:pPr>
        <w:spacing w:before="20"/>
        <w:jc w:val="both"/>
        <w:rPr>
          <w:rFonts w:cstheme="minorHAnsi"/>
          <w:i/>
          <w:iCs/>
        </w:rPr>
      </w:pPr>
      <w:r w:rsidRPr="00964361">
        <w:rPr>
          <w:rFonts w:cstheme="minorHAnsi"/>
          <w:i/>
          <w:iCs/>
        </w:rPr>
        <w:t>Vir: SURS, strukturna statistika podjetij, preračuni Analitika GZS</w:t>
      </w:r>
    </w:p>
    <w:p w14:paraId="62DA85D1" w14:textId="77777777" w:rsidR="007C7F66" w:rsidRPr="00964361" w:rsidRDefault="007C7F66" w:rsidP="007C7F66">
      <w:pPr>
        <w:shd w:val="clear" w:color="auto" w:fill="E3DED1" w:themeFill="background2"/>
        <w:rPr>
          <w:rFonts w:cstheme="minorHAnsi"/>
          <w:b/>
          <w:i/>
        </w:rPr>
      </w:pPr>
      <w:r w:rsidRPr="00964361">
        <w:rPr>
          <w:rFonts w:cstheme="minorHAnsi"/>
          <w:b/>
          <w:i/>
        </w:rPr>
        <w:t>Opis metodologije</w:t>
      </w:r>
      <w:r w:rsidRPr="00964361">
        <w:rPr>
          <w:rFonts w:cstheme="minorHAnsi"/>
          <w:b/>
          <w:i/>
        </w:rPr>
        <w:tab/>
        <w:t xml:space="preserve"> </w:t>
      </w:r>
      <w:r w:rsidRPr="00964361">
        <w:rPr>
          <w:rFonts w:cstheme="minorHAnsi"/>
          <w:b/>
          <w:i/>
        </w:rPr>
        <w:tab/>
      </w:r>
    </w:p>
    <w:p w14:paraId="744C92F1" w14:textId="77090540" w:rsidR="007C7F66" w:rsidRPr="00964361" w:rsidRDefault="007C7F66" w:rsidP="00096DC5">
      <w:pPr>
        <w:shd w:val="clear" w:color="auto" w:fill="E3DED1" w:themeFill="background2"/>
        <w:jc w:val="both"/>
        <w:rPr>
          <w:rFonts w:cstheme="minorHAnsi"/>
          <w:i/>
        </w:rPr>
      </w:pPr>
      <w:r w:rsidRPr="00964361">
        <w:rPr>
          <w:rFonts w:cstheme="minorHAnsi"/>
          <w:i/>
        </w:rPr>
        <w:t xml:space="preserve">Poslovanje predelovalnih dejavnosti je analiza na podlagi podatkov o poslovanju poslovnih subjektov </w:t>
      </w:r>
      <w:proofErr w:type="spellStart"/>
      <w:r w:rsidRPr="00964361">
        <w:rPr>
          <w:rFonts w:cstheme="minorHAnsi"/>
          <w:i/>
        </w:rPr>
        <w:t>Ajpesa</w:t>
      </w:r>
      <w:proofErr w:type="spellEnd"/>
      <w:r w:rsidRPr="00964361">
        <w:rPr>
          <w:rFonts w:cstheme="minorHAnsi"/>
          <w:i/>
        </w:rPr>
        <w:t xml:space="preserve"> (Letni računovodski izkazi gospodarskih družb, gospodarskih javnih služb, malih samostojnih podjetnikov, zadrug, društev, itd) kot tudi podatkov iz davčnega obračuna akontacije dohodnine od dohodka iz dejavnosti, davka na dodano vrednost in davka od dohodkov pravnih oseb, ki jih zbira FURS.</w:t>
      </w:r>
    </w:p>
    <w:p w14:paraId="38AE1698" w14:textId="685DCB8A" w:rsidR="00964361" w:rsidRPr="00D04E9F" w:rsidRDefault="007C7F66" w:rsidP="00964361">
      <w:pPr>
        <w:shd w:val="clear" w:color="auto" w:fill="E3DED1" w:themeFill="background2"/>
        <w:jc w:val="both"/>
        <w:rPr>
          <w:i/>
        </w:rPr>
      </w:pPr>
      <w:r w:rsidRPr="00964361">
        <w:rPr>
          <w:rFonts w:cstheme="minorHAnsi"/>
          <w:i/>
        </w:rPr>
        <w:t xml:space="preserve">V </w:t>
      </w:r>
      <w:r w:rsidRPr="00964361">
        <w:rPr>
          <w:rFonts w:cstheme="minorHAnsi"/>
          <w:b/>
          <w:bCs/>
          <w:i/>
        </w:rPr>
        <w:t>prehrambno industrijo</w:t>
      </w:r>
      <w:r w:rsidRPr="00964361">
        <w:rPr>
          <w:rFonts w:cstheme="minorHAnsi"/>
          <w:i/>
        </w:rPr>
        <w:t xml:space="preserve"> </w:t>
      </w:r>
      <w:r w:rsidR="005254E4">
        <w:rPr>
          <w:rFonts w:cstheme="minorHAnsi"/>
          <w:i/>
        </w:rPr>
        <w:t>so vštete</w:t>
      </w:r>
      <w:r w:rsidRPr="00964361">
        <w:rPr>
          <w:rFonts w:cstheme="minorHAnsi"/>
          <w:i/>
        </w:rPr>
        <w:t xml:space="preserve"> dejavnosti </w:t>
      </w:r>
      <w:r w:rsidRPr="00964361">
        <w:rPr>
          <w:rFonts w:cstheme="minorHAnsi"/>
          <w:i/>
          <w:color w:val="000000"/>
          <w:lang w:eastAsia="sl-SI"/>
        </w:rPr>
        <w:t xml:space="preserve">C10 Proizvodnja živil in C11 Proizvodnja pijač; </w:t>
      </w:r>
      <w:r w:rsidR="00A347B2">
        <w:rPr>
          <w:rFonts w:cstheme="minorHAnsi"/>
          <w:i/>
        </w:rPr>
        <w:t>v</w:t>
      </w:r>
      <w:r w:rsidRPr="00964361">
        <w:rPr>
          <w:rFonts w:cstheme="minorHAnsi"/>
          <w:i/>
        </w:rPr>
        <w:t xml:space="preserve"> </w:t>
      </w:r>
      <w:r w:rsidRPr="00964361">
        <w:rPr>
          <w:rFonts w:cstheme="minorHAnsi"/>
          <w:b/>
          <w:bCs/>
          <w:i/>
        </w:rPr>
        <w:t xml:space="preserve">tekstilno industrijo </w:t>
      </w:r>
      <w:r w:rsidRPr="00964361">
        <w:rPr>
          <w:rFonts w:cstheme="minorHAnsi"/>
          <w:i/>
        </w:rPr>
        <w:t xml:space="preserve">C13 Proizvodnja tekstilij, C14 Proizvodnja oblačil, C15 Proizvodnja usnja, usnjenih izdelkov; v </w:t>
      </w:r>
      <w:r w:rsidRPr="00964361">
        <w:rPr>
          <w:rFonts w:cstheme="minorHAnsi"/>
          <w:b/>
          <w:bCs/>
          <w:i/>
        </w:rPr>
        <w:t>lesno industrijo</w:t>
      </w:r>
      <w:r w:rsidRPr="00964361">
        <w:rPr>
          <w:rFonts w:cstheme="minorHAnsi"/>
          <w:i/>
        </w:rPr>
        <w:t xml:space="preserve"> C16 Obdelava in predelava lesa, C31 Proizvodnja pohištva</w:t>
      </w:r>
      <w:r w:rsidR="004A1101">
        <w:rPr>
          <w:rFonts w:cstheme="minorHAnsi"/>
          <w:i/>
        </w:rPr>
        <w:t>;</w:t>
      </w:r>
      <w:r w:rsidRPr="00964361">
        <w:rPr>
          <w:rFonts w:cstheme="minorHAnsi"/>
          <w:i/>
        </w:rPr>
        <w:t xml:space="preserve"> v </w:t>
      </w:r>
      <w:r w:rsidRPr="00964361">
        <w:rPr>
          <w:rFonts w:cstheme="minorHAnsi"/>
          <w:b/>
          <w:bCs/>
          <w:i/>
        </w:rPr>
        <w:t>papirno industrijo</w:t>
      </w:r>
      <w:r w:rsidRPr="00964361">
        <w:rPr>
          <w:rFonts w:cstheme="minorHAnsi"/>
          <w:i/>
        </w:rPr>
        <w:t xml:space="preserve"> C17 Proizvodnja papirja in izdelkov iz papirja, C18 Tiskarstvo in razmnoževanje posnetih nosilcev zapisa</w:t>
      </w:r>
      <w:r w:rsidR="004A1101">
        <w:rPr>
          <w:rFonts w:cstheme="minorHAnsi"/>
          <w:i/>
        </w:rPr>
        <w:t>;</w:t>
      </w:r>
      <w:r w:rsidR="004A1101" w:rsidRPr="00964361">
        <w:rPr>
          <w:rFonts w:cstheme="minorHAnsi"/>
          <w:i/>
        </w:rPr>
        <w:t xml:space="preserve"> </w:t>
      </w:r>
      <w:r w:rsidRPr="00964361">
        <w:rPr>
          <w:rFonts w:cstheme="minorHAnsi"/>
          <w:i/>
        </w:rPr>
        <w:t xml:space="preserve">v </w:t>
      </w:r>
      <w:r w:rsidRPr="00964361">
        <w:rPr>
          <w:rFonts w:cstheme="minorHAnsi"/>
          <w:b/>
          <w:bCs/>
          <w:i/>
        </w:rPr>
        <w:t>kemično industrijo</w:t>
      </w:r>
      <w:r w:rsidRPr="00964361">
        <w:rPr>
          <w:rFonts w:cstheme="minorHAnsi"/>
          <w:i/>
        </w:rPr>
        <w:t xml:space="preserve"> C19 Proizvodnja koksa in naftnih derivatov, C20 Proizvodnja kemikalij, C21 Proizvodnja farmacevtskih surovin, C22 Proizvodnja izdelkov iz gume; </w:t>
      </w:r>
      <w:r w:rsidRPr="00964361">
        <w:rPr>
          <w:rFonts w:cstheme="minorHAnsi"/>
          <w:b/>
          <w:bCs/>
          <w:i/>
        </w:rPr>
        <w:t>nekovinski mineralni izdelki</w:t>
      </w:r>
      <w:r w:rsidRPr="00964361">
        <w:rPr>
          <w:rFonts w:cstheme="minorHAnsi"/>
          <w:i/>
        </w:rPr>
        <w:t xml:space="preserve"> </w:t>
      </w:r>
      <w:r w:rsidR="00A347B2">
        <w:rPr>
          <w:rFonts w:cstheme="minorHAnsi"/>
          <w:i/>
        </w:rPr>
        <w:t>C</w:t>
      </w:r>
      <w:r w:rsidRPr="00964361">
        <w:rPr>
          <w:rFonts w:cstheme="minorHAnsi"/>
          <w:i/>
        </w:rPr>
        <w:t xml:space="preserve">23; v </w:t>
      </w:r>
      <w:r w:rsidRPr="00964361">
        <w:rPr>
          <w:rFonts w:cstheme="minorHAnsi"/>
          <w:b/>
          <w:bCs/>
          <w:i/>
        </w:rPr>
        <w:t>kovinsko industrijo</w:t>
      </w:r>
      <w:r w:rsidRPr="00964361">
        <w:rPr>
          <w:rFonts w:cstheme="minorHAnsi"/>
          <w:i/>
        </w:rPr>
        <w:t xml:space="preserve"> C24 Proizvodnja kovin, C25 Proizvodnja kovinskih izdelkov; v </w:t>
      </w:r>
      <w:r w:rsidRPr="00964361">
        <w:rPr>
          <w:rFonts w:cstheme="minorHAnsi"/>
          <w:b/>
          <w:bCs/>
          <w:i/>
        </w:rPr>
        <w:t>elektro industrijo</w:t>
      </w:r>
      <w:r w:rsidRPr="00964361">
        <w:rPr>
          <w:rFonts w:cstheme="minorHAnsi"/>
          <w:i/>
        </w:rPr>
        <w:t xml:space="preserve"> C26 Proizvodnja računalnikov, elektronskih in optičnih izdelkov, C27 Proizvodnja električnih naprav; v </w:t>
      </w:r>
      <w:r w:rsidRPr="00964361">
        <w:rPr>
          <w:rFonts w:cstheme="minorHAnsi"/>
          <w:b/>
          <w:bCs/>
          <w:i/>
        </w:rPr>
        <w:t>strojno industrijo</w:t>
      </w:r>
      <w:r w:rsidRPr="00964361">
        <w:rPr>
          <w:rFonts w:cstheme="minorHAnsi"/>
          <w:i/>
        </w:rPr>
        <w:t xml:space="preserve"> C28 Proizvodnja drugih strojev in naprav, C29 Proizvodnja motornih vozil, C30 Proizvodnja drugih vozil in plovil, C33 Popravila in montaža strojev in naprav;</w:t>
      </w:r>
      <w:r w:rsidR="00D04E9F">
        <w:rPr>
          <w:rFonts w:cstheme="minorHAnsi"/>
          <w:i/>
        </w:rPr>
        <w:t xml:space="preserve"> v </w:t>
      </w:r>
      <w:r w:rsidR="00A347B2">
        <w:rPr>
          <w:rFonts w:cstheme="minorHAnsi"/>
          <w:b/>
          <w:bCs/>
          <w:i/>
        </w:rPr>
        <w:t>druge dejavnosti</w:t>
      </w:r>
      <w:r w:rsidR="00D04E9F">
        <w:rPr>
          <w:rFonts w:cstheme="minorHAnsi"/>
          <w:b/>
          <w:bCs/>
          <w:i/>
        </w:rPr>
        <w:t xml:space="preserve"> </w:t>
      </w:r>
      <w:r w:rsidR="00D04E9F" w:rsidRPr="00D04E9F">
        <w:rPr>
          <w:rFonts w:cstheme="minorHAnsi"/>
          <w:i/>
        </w:rPr>
        <w:t>C32 druge predelovalne dejavnosti</w:t>
      </w:r>
      <w:r w:rsidR="004A1101" w:rsidRPr="00D04E9F">
        <w:rPr>
          <w:rFonts w:cstheme="minorHAnsi"/>
          <w:i/>
        </w:rPr>
        <w:t>.</w:t>
      </w:r>
    </w:p>
    <w:p w14:paraId="09A5A68E" w14:textId="77777777" w:rsidR="007C7F66" w:rsidRPr="007041AF" w:rsidRDefault="007C7F66" w:rsidP="00A347B2">
      <w:pPr>
        <w:spacing w:after="0" w:line="360" w:lineRule="auto"/>
        <w:rPr>
          <w:rFonts w:cstheme="minorHAnsi"/>
        </w:rPr>
      </w:pPr>
      <w:r w:rsidRPr="007041AF">
        <w:rPr>
          <w:rFonts w:cstheme="minorHAnsi"/>
          <w:noProof/>
          <w:lang w:eastAsia="sl-SI"/>
        </w:rPr>
        <w:lastRenderedPageBreak/>
        <w:drawing>
          <wp:inline distT="0" distB="0" distL="0" distR="0" wp14:anchorId="19B489D3" wp14:editId="3E181F5F">
            <wp:extent cx="4396435" cy="2677363"/>
            <wp:effectExtent l="0" t="0" r="4445" b="8890"/>
            <wp:docPr id="12" name="Grafikon 1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4514CCE-0804-410C-A75E-F83171809B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2F34731" w14:textId="77777777" w:rsidR="003372D7" w:rsidRPr="009B538E" w:rsidRDefault="003372D7" w:rsidP="003372D7">
      <w:pPr>
        <w:spacing w:before="20"/>
        <w:jc w:val="both"/>
        <w:rPr>
          <w:i/>
        </w:rPr>
      </w:pPr>
      <w:r w:rsidRPr="009B538E">
        <w:rPr>
          <w:i/>
        </w:rPr>
        <w:t>Vir: SURS, strukturna statistika podjetij, preračuni Analitika GZS</w:t>
      </w:r>
    </w:p>
    <w:p w14:paraId="39FEDFB8" w14:textId="77777777" w:rsidR="007C7F66" w:rsidRPr="00964361" w:rsidRDefault="007C7F66" w:rsidP="002C7476">
      <w:pPr>
        <w:pStyle w:val="Odstavekseznama"/>
        <w:numPr>
          <w:ilvl w:val="0"/>
          <w:numId w:val="16"/>
        </w:numPr>
        <w:spacing w:before="0" w:after="160" w:line="259" w:lineRule="auto"/>
        <w:rPr>
          <w:rFonts w:cstheme="minorHAnsi"/>
          <w:b/>
          <w:bCs/>
        </w:rPr>
      </w:pPr>
      <w:r w:rsidRPr="00964361">
        <w:rPr>
          <w:rFonts w:cstheme="minorHAnsi"/>
          <w:b/>
          <w:bCs/>
        </w:rPr>
        <w:t>Prihodek od prodaje v predelovalnih dejavnostih</w:t>
      </w:r>
    </w:p>
    <w:p w14:paraId="01D9632D" w14:textId="77777777" w:rsidR="007C7F66" w:rsidRPr="00964361" w:rsidRDefault="007C7F66" w:rsidP="007C7F66">
      <w:pPr>
        <w:pStyle w:val="Odstavekseznama"/>
        <w:ind w:left="0"/>
        <w:jc w:val="both"/>
        <w:rPr>
          <w:rFonts w:cstheme="minorHAnsi"/>
        </w:rPr>
      </w:pPr>
    </w:p>
    <w:p w14:paraId="0BBE53D9" w14:textId="0BE1259B" w:rsidR="007C7F66" w:rsidRPr="00964361" w:rsidRDefault="007C7F66" w:rsidP="007C7F66">
      <w:pPr>
        <w:pStyle w:val="Odstavekseznama"/>
        <w:ind w:left="0"/>
        <w:jc w:val="both"/>
        <w:rPr>
          <w:rFonts w:cstheme="minorHAnsi"/>
        </w:rPr>
      </w:pPr>
      <w:r w:rsidRPr="00964361">
        <w:rPr>
          <w:rFonts w:cstheme="minorHAnsi"/>
        </w:rPr>
        <w:t>Gospodarski subjekti iz predelovalnih dejavnosti so v letu 2018 ustvarili za 31,3 mrd EUR prihodkov od prodaje na osnovi prodajne vrednosti kupcem zaračunanih prodanih proizvodov ali trgovskega blaga in materiala ter opravljenih storitev. V 2018 so predelovalne dejavnosti ustvarile za 5,4 mrd EUR več prihodka kot leta 2008 oz</w:t>
      </w:r>
      <w:r w:rsidR="00683E42">
        <w:rPr>
          <w:rFonts w:cstheme="minorHAnsi"/>
        </w:rPr>
        <w:t>iroma</w:t>
      </w:r>
      <w:r w:rsidRPr="00964361">
        <w:rPr>
          <w:rFonts w:cstheme="minorHAnsi"/>
        </w:rPr>
        <w:t xml:space="preserve"> so ti porasli za 21 %. V zadnjih </w:t>
      </w:r>
      <w:r w:rsidR="007B3946">
        <w:rPr>
          <w:rFonts w:cstheme="minorHAnsi"/>
        </w:rPr>
        <w:t>enajstih</w:t>
      </w:r>
      <w:r w:rsidRPr="00964361">
        <w:rPr>
          <w:rFonts w:cstheme="minorHAnsi"/>
        </w:rPr>
        <w:t xml:space="preserve"> letih so predelovalne dejavnosti v povprečju ustvarile 25,4 mrd EUR prihodkov od prodaje, v zadnjih </w:t>
      </w:r>
      <w:r w:rsidR="007B3946">
        <w:rPr>
          <w:rFonts w:cstheme="minorHAnsi"/>
        </w:rPr>
        <w:t>petih</w:t>
      </w:r>
      <w:r w:rsidRPr="00964361">
        <w:rPr>
          <w:rFonts w:cstheme="minorHAnsi"/>
        </w:rPr>
        <w:t xml:space="preserve"> letih pa zaradi konjunkture in večje vpetosti v mednarodne tokove v povprečju 27,4 mrd EUR prihodka od prodaje. </w:t>
      </w:r>
    </w:p>
    <w:p w14:paraId="1FA35C8A" w14:textId="77777777" w:rsidR="007C7F66" w:rsidRPr="00964361" w:rsidRDefault="007C7F66" w:rsidP="007C7F66">
      <w:pPr>
        <w:pStyle w:val="Odstavekseznama"/>
        <w:ind w:left="0"/>
        <w:jc w:val="both"/>
        <w:rPr>
          <w:rFonts w:cstheme="minorHAnsi"/>
        </w:rPr>
      </w:pPr>
    </w:p>
    <w:p w14:paraId="5921E726" w14:textId="47ECBEEB" w:rsidR="007C7F66" w:rsidRPr="00964361" w:rsidRDefault="007C7F66" w:rsidP="007C7F66">
      <w:pPr>
        <w:pStyle w:val="Odstavekseznama"/>
        <w:ind w:left="0"/>
        <w:jc w:val="both"/>
        <w:rPr>
          <w:rFonts w:cstheme="minorHAnsi"/>
        </w:rPr>
      </w:pPr>
      <w:r w:rsidRPr="00964361">
        <w:rPr>
          <w:rFonts w:cstheme="minorHAnsi"/>
        </w:rPr>
        <w:t xml:space="preserve">V zadnjih </w:t>
      </w:r>
      <w:r w:rsidR="007D25AB">
        <w:rPr>
          <w:rFonts w:cstheme="minorHAnsi"/>
        </w:rPr>
        <w:t>desetih</w:t>
      </w:r>
      <w:r w:rsidR="007D25AB" w:rsidRPr="00964361">
        <w:rPr>
          <w:rFonts w:cstheme="minorHAnsi"/>
        </w:rPr>
        <w:t xml:space="preserve"> </w:t>
      </w:r>
      <w:r w:rsidRPr="00964361">
        <w:rPr>
          <w:rFonts w:cstheme="minorHAnsi"/>
        </w:rPr>
        <w:t>letih (2018/2008) so se v predelovalni</w:t>
      </w:r>
      <w:r w:rsidR="00E95B29" w:rsidRPr="00964361">
        <w:rPr>
          <w:rFonts w:cstheme="minorHAnsi"/>
        </w:rPr>
        <w:t>h</w:t>
      </w:r>
      <w:r w:rsidRPr="00964361">
        <w:rPr>
          <w:rFonts w:cstheme="minorHAnsi"/>
        </w:rPr>
        <w:t xml:space="preserve"> dejavnosti</w:t>
      </w:r>
      <w:r w:rsidR="00E95B29" w:rsidRPr="00964361">
        <w:rPr>
          <w:rFonts w:cstheme="minorHAnsi"/>
        </w:rPr>
        <w:t>h</w:t>
      </w:r>
      <w:r w:rsidRPr="00964361">
        <w:rPr>
          <w:rFonts w:cstheme="minorHAnsi"/>
        </w:rPr>
        <w:t xml:space="preserve"> prihodki najbolj zvišali v strojni (1,6 mrd EUR), kemični (1,</w:t>
      </w:r>
      <w:r w:rsidR="00E95B29" w:rsidRPr="00964361">
        <w:rPr>
          <w:rFonts w:cstheme="minorHAnsi"/>
        </w:rPr>
        <w:t>3</w:t>
      </w:r>
      <w:r w:rsidRPr="00964361">
        <w:rPr>
          <w:rFonts w:cstheme="minorHAnsi"/>
        </w:rPr>
        <w:t xml:space="preserve"> mrd EUR), elektro (1,3 mrd EUR) ter kovinski industriji (1,2 mrd EUR). Tekstilna in lesna industrija v 2018 še nista prišli na nivo iz leta 2008,</w:t>
      </w:r>
      <w:r w:rsidRPr="00FD4C45">
        <w:rPr>
          <w:rFonts w:cstheme="minorHAnsi"/>
        </w:rPr>
        <w:t xml:space="preserve"> </w:t>
      </w:r>
      <w:r w:rsidR="00DE7C2F">
        <w:rPr>
          <w:rFonts w:cstheme="minorHAnsi"/>
        </w:rPr>
        <w:t>tako</w:t>
      </w:r>
      <w:r w:rsidRPr="00964361">
        <w:rPr>
          <w:rFonts w:cstheme="minorHAnsi"/>
        </w:rPr>
        <w:t xml:space="preserve"> zaradi stečajev mnogih podjetij, kakor tudi zaradi prestrukturiranja (zniževanja proizvodnje pri obstoječih družbah). Kriza je leta 2009 prizadela vse panoge v predelovalnih dejavnostih, vendar je večina panog presegla nivo </w:t>
      </w:r>
      <w:proofErr w:type="spellStart"/>
      <w:r w:rsidRPr="00FD4C45">
        <w:rPr>
          <w:rFonts w:cstheme="minorHAnsi"/>
        </w:rPr>
        <w:t>pre</w:t>
      </w:r>
      <w:r w:rsidR="00DE7C2F">
        <w:rPr>
          <w:rFonts w:cstheme="minorHAnsi"/>
        </w:rPr>
        <w:t>d</w:t>
      </w:r>
      <w:r w:rsidRPr="00FD4C45">
        <w:rPr>
          <w:rFonts w:cstheme="minorHAnsi"/>
        </w:rPr>
        <w:t>kriznega</w:t>
      </w:r>
      <w:proofErr w:type="spellEnd"/>
      <w:r w:rsidRPr="00964361">
        <w:rPr>
          <w:rFonts w:cstheme="minorHAnsi"/>
        </w:rPr>
        <w:t xml:space="preserve"> leta. </w:t>
      </w:r>
    </w:p>
    <w:p w14:paraId="04AD8346" w14:textId="77777777" w:rsidR="007C7F66" w:rsidRPr="007041AF" w:rsidRDefault="007C7F66" w:rsidP="007C7F66">
      <w:pPr>
        <w:pStyle w:val="Odstavekseznama"/>
        <w:ind w:left="0"/>
        <w:rPr>
          <w:rFonts w:cstheme="minorHAnsi"/>
        </w:rPr>
      </w:pPr>
      <w:r w:rsidRPr="007041AF">
        <w:rPr>
          <w:rFonts w:cstheme="minorHAnsi"/>
          <w:noProof/>
          <w:lang w:eastAsia="sl-SI"/>
        </w:rPr>
        <w:drawing>
          <wp:inline distT="0" distB="0" distL="0" distR="0" wp14:anchorId="3E78506F" wp14:editId="28B292C2">
            <wp:extent cx="5755821" cy="2715986"/>
            <wp:effectExtent l="0" t="0" r="0" b="8255"/>
            <wp:docPr id="14" name="Grafikon 1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E2E478D-C8DE-44BF-B70A-6B91D95B9C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F91C3CA" w14:textId="77777777" w:rsidR="003372D7" w:rsidRPr="009B538E" w:rsidRDefault="003372D7" w:rsidP="003372D7">
      <w:pPr>
        <w:spacing w:before="20"/>
        <w:jc w:val="both"/>
        <w:rPr>
          <w:i/>
        </w:rPr>
      </w:pPr>
      <w:r w:rsidRPr="009B538E">
        <w:rPr>
          <w:i/>
        </w:rPr>
        <w:t>Vir: SURS, strukturna statistika podjetij, preračuni Analitika GZS</w:t>
      </w:r>
    </w:p>
    <w:p w14:paraId="6610C810" w14:textId="743C2CF1" w:rsidR="007C7F66" w:rsidRPr="00964361" w:rsidRDefault="007C7F66" w:rsidP="007C7F66">
      <w:pPr>
        <w:pStyle w:val="Odstavekseznama"/>
        <w:ind w:left="0"/>
        <w:jc w:val="both"/>
        <w:rPr>
          <w:rFonts w:cstheme="minorHAnsi"/>
        </w:rPr>
      </w:pPr>
      <w:r w:rsidRPr="00964361">
        <w:rPr>
          <w:rFonts w:cstheme="minorHAnsi"/>
        </w:rPr>
        <w:lastRenderedPageBreak/>
        <w:t xml:space="preserve">V obdobju zadnjih </w:t>
      </w:r>
      <w:r w:rsidR="007D25AB">
        <w:rPr>
          <w:rFonts w:cstheme="minorHAnsi"/>
        </w:rPr>
        <w:t>petih</w:t>
      </w:r>
      <w:r w:rsidR="007D25AB" w:rsidRPr="00964361">
        <w:rPr>
          <w:rFonts w:cstheme="minorHAnsi"/>
        </w:rPr>
        <w:t xml:space="preserve"> </w:t>
      </w:r>
      <w:r w:rsidRPr="00FD4C45">
        <w:rPr>
          <w:rFonts w:cstheme="minorHAnsi"/>
        </w:rPr>
        <w:t>let</w:t>
      </w:r>
      <w:r w:rsidRPr="00964361">
        <w:rPr>
          <w:rFonts w:cstheme="minorHAnsi"/>
        </w:rPr>
        <w:t xml:space="preserve"> (2014-2018) so prihodki v predelovalni dejavnosti vsako leto v povprečju porasli za 5,6 % letno. Znotraj predelovalnih dejavnosti so najbolj porasli v strojni industriji (za 8,3 % letno), drugih predelovalnih dejavnostih (za 7,8 % letno), lesni </w:t>
      </w:r>
      <w:r w:rsidR="007D25AB">
        <w:rPr>
          <w:rFonts w:cstheme="minorHAnsi"/>
        </w:rPr>
        <w:t>ter</w:t>
      </w:r>
      <w:r w:rsidRPr="00964361">
        <w:rPr>
          <w:rFonts w:cstheme="minorHAnsi"/>
        </w:rPr>
        <w:t xml:space="preserve"> kovinski in elektro industriji (6,7 % oz</w:t>
      </w:r>
      <w:r w:rsidR="007F59F8">
        <w:rPr>
          <w:rFonts w:cstheme="minorHAnsi"/>
        </w:rPr>
        <w:t>iroma</w:t>
      </w:r>
      <w:r w:rsidR="007F59F8" w:rsidRPr="00964361">
        <w:rPr>
          <w:rFonts w:cstheme="minorHAnsi"/>
        </w:rPr>
        <w:t xml:space="preserve"> </w:t>
      </w:r>
      <w:r w:rsidRPr="00964361">
        <w:rPr>
          <w:rFonts w:cstheme="minorHAnsi"/>
        </w:rPr>
        <w:t xml:space="preserve">6,6 % letno). </w:t>
      </w:r>
    </w:p>
    <w:tbl>
      <w:tblPr>
        <w:tblStyle w:val="Tabelaseznam4poudarek61"/>
        <w:tblW w:w="5000" w:type="pct"/>
        <w:tblLook w:val="04A0" w:firstRow="1" w:lastRow="0" w:firstColumn="1" w:lastColumn="0" w:noHBand="0" w:noVBand="1"/>
      </w:tblPr>
      <w:tblGrid>
        <w:gridCol w:w="2421"/>
        <w:gridCol w:w="1145"/>
        <w:gridCol w:w="1145"/>
        <w:gridCol w:w="1145"/>
        <w:gridCol w:w="1144"/>
        <w:gridCol w:w="1144"/>
        <w:gridCol w:w="1144"/>
      </w:tblGrid>
      <w:tr w:rsidR="009B538E" w:rsidRPr="00C13E3C" w14:paraId="2219E1BF" w14:textId="77777777" w:rsidTr="00865CE9">
        <w:trPr>
          <w:cnfStyle w:val="100000000000" w:firstRow="1" w:lastRow="0" w:firstColumn="0" w:lastColumn="0" w:oddVBand="0" w:evenVBand="0" w:oddHBand="0"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303" w:type="pct"/>
            <w:vAlign w:val="center"/>
            <w:hideMark/>
          </w:tcPr>
          <w:p w14:paraId="2CD80A0C" w14:textId="77777777" w:rsidR="007C7F66" w:rsidRPr="000146FF" w:rsidRDefault="007C7F66" w:rsidP="00BF7D3C">
            <w:pPr>
              <w:rPr>
                <w:b w:val="0"/>
              </w:rPr>
            </w:pPr>
            <w:r w:rsidRPr="000146FF">
              <w:t xml:space="preserve">Prihodek </w:t>
            </w:r>
          </w:p>
          <w:p w14:paraId="770627FA" w14:textId="77777777" w:rsidR="007C7F66" w:rsidRPr="000146FF" w:rsidRDefault="007C7F66" w:rsidP="00BF7D3C">
            <w:pPr>
              <w:rPr>
                <w:color w:val="029676" w:themeColor="accent4"/>
              </w:rPr>
            </w:pPr>
            <w:r w:rsidRPr="000146FF">
              <w:t>od prodaje</w:t>
            </w:r>
          </w:p>
        </w:tc>
        <w:tc>
          <w:tcPr>
            <w:tcW w:w="616" w:type="pct"/>
            <w:vAlign w:val="center"/>
          </w:tcPr>
          <w:p w14:paraId="423895CF"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pPr>
            <w:r w:rsidRPr="000146FF">
              <w:t>Vred.</w:t>
            </w:r>
          </w:p>
          <w:p w14:paraId="0FD806EF"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2018,</w:t>
            </w:r>
          </w:p>
          <w:p w14:paraId="6D8EC567"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mio EUR</w:t>
            </w:r>
          </w:p>
        </w:tc>
        <w:tc>
          <w:tcPr>
            <w:tcW w:w="616" w:type="pct"/>
            <w:vAlign w:val="center"/>
          </w:tcPr>
          <w:p w14:paraId="193804AB"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Ø Vred. 2008-2018,</w:t>
            </w:r>
          </w:p>
          <w:p w14:paraId="1517DE87"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mio EUR</w:t>
            </w:r>
          </w:p>
        </w:tc>
        <w:tc>
          <w:tcPr>
            <w:tcW w:w="616" w:type="pct"/>
            <w:vAlign w:val="center"/>
          </w:tcPr>
          <w:p w14:paraId="4FC0A2AE"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Vred. razlika</w:t>
            </w:r>
          </w:p>
          <w:p w14:paraId="2C2DCB8C"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2018-2008,</w:t>
            </w:r>
          </w:p>
          <w:p w14:paraId="73E687A2"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pPr>
            <w:r w:rsidRPr="000146FF">
              <w:t>mio EUR</w:t>
            </w:r>
          </w:p>
        </w:tc>
        <w:tc>
          <w:tcPr>
            <w:tcW w:w="616" w:type="pct"/>
            <w:vAlign w:val="center"/>
          </w:tcPr>
          <w:p w14:paraId="6DEE4085"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Sprem. v %</w:t>
            </w:r>
          </w:p>
          <w:p w14:paraId="682E1318"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2018/2008</w:t>
            </w:r>
          </w:p>
        </w:tc>
        <w:tc>
          <w:tcPr>
            <w:tcW w:w="616" w:type="pct"/>
            <w:vAlign w:val="center"/>
          </w:tcPr>
          <w:p w14:paraId="4A9F6565"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Ø Vred.</w:t>
            </w:r>
          </w:p>
          <w:p w14:paraId="6001C030"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2014-2018,</w:t>
            </w:r>
          </w:p>
          <w:p w14:paraId="3E36CBE0"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mio EUR</w:t>
            </w:r>
          </w:p>
        </w:tc>
        <w:tc>
          <w:tcPr>
            <w:tcW w:w="616" w:type="pct"/>
            <w:vAlign w:val="center"/>
          </w:tcPr>
          <w:p w14:paraId="5738336E" w14:textId="77777777" w:rsidR="007C7F66" w:rsidRPr="000146FF" w:rsidRDefault="00865CE9"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CAGR</w:t>
            </w:r>
            <w:r w:rsidRPr="000146FF">
              <w:rPr>
                <w:rStyle w:val="Sprotnaopomba-sklic"/>
              </w:rPr>
              <w:footnoteReference w:id="33"/>
            </w:r>
            <w:r w:rsidRPr="000146FF">
              <w:t xml:space="preserve"> v obdobju 2014-2018</w:t>
            </w:r>
          </w:p>
        </w:tc>
      </w:tr>
      <w:tr w:rsidR="009B538E" w:rsidRPr="00C13E3C" w14:paraId="10D3D803" w14:textId="77777777" w:rsidTr="0086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3" w:type="pct"/>
            <w:noWrap/>
            <w:vAlign w:val="bottom"/>
            <w:hideMark/>
          </w:tcPr>
          <w:p w14:paraId="55F62D9C" w14:textId="77777777" w:rsidR="004D19BE" w:rsidRPr="009B538E" w:rsidRDefault="004D19BE" w:rsidP="004D19BE">
            <w:pPr>
              <w:rPr>
                <w:rFonts w:asciiTheme="minorHAnsi" w:hAnsiTheme="minorHAnsi"/>
                <w:color w:val="000000"/>
              </w:rPr>
            </w:pPr>
            <w:r w:rsidRPr="009B538E">
              <w:rPr>
                <w:rFonts w:ascii="Trebuchet MS" w:hAnsi="Trebuchet MS"/>
                <w:color w:val="000000"/>
              </w:rPr>
              <w:t>PREDEL. DEJ. SKUPAJ</w:t>
            </w:r>
          </w:p>
        </w:tc>
        <w:tc>
          <w:tcPr>
            <w:tcW w:w="616" w:type="pct"/>
            <w:vAlign w:val="center"/>
          </w:tcPr>
          <w:p w14:paraId="60408F9D" w14:textId="77777777" w:rsidR="004D19BE" w:rsidRPr="000146FF"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0146FF">
              <w:rPr>
                <w:b/>
              </w:rPr>
              <w:t>31.279</w:t>
            </w:r>
          </w:p>
        </w:tc>
        <w:tc>
          <w:tcPr>
            <w:tcW w:w="616" w:type="pct"/>
            <w:vAlign w:val="center"/>
          </w:tcPr>
          <w:p w14:paraId="27D260FD" w14:textId="77777777" w:rsidR="004D19BE" w:rsidRPr="000146FF"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0146FF">
              <w:rPr>
                <w:b/>
              </w:rPr>
              <w:t>25.360</w:t>
            </w:r>
          </w:p>
        </w:tc>
        <w:tc>
          <w:tcPr>
            <w:tcW w:w="616" w:type="pct"/>
            <w:vAlign w:val="center"/>
          </w:tcPr>
          <w:p w14:paraId="4CDF936A" w14:textId="77777777" w:rsidR="004D19BE" w:rsidRPr="000146FF"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0146FF">
              <w:rPr>
                <w:b/>
              </w:rPr>
              <w:t>5.450</w:t>
            </w:r>
          </w:p>
        </w:tc>
        <w:tc>
          <w:tcPr>
            <w:tcW w:w="616" w:type="pct"/>
            <w:vAlign w:val="center"/>
          </w:tcPr>
          <w:p w14:paraId="38272A9E" w14:textId="77777777" w:rsidR="004D19BE" w:rsidRPr="000146FF"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0146FF">
              <w:rPr>
                <w:b/>
              </w:rPr>
              <w:t>21,1%</w:t>
            </w:r>
          </w:p>
        </w:tc>
        <w:tc>
          <w:tcPr>
            <w:tcW w:w="616" w:type="pct"/>
            <w:vAlign w:val="center"/>
          </w:tcPr>
          <w:p w14:paraId="519AB275" w14:textId="77777777" w:rsidR="004D19BE" w:rsidRPr="000146FF"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0146FF">
              <w:rPr>
                <w:b/>
              </w:rPr>
              <w:t>27.446</w:t>
            </w:r>
          </w:p>
        </w:tc>
        <w:tc>
          <w:tcPr>
            <w:tcW w:w="616" w:type="pct"/>
            <w:vAlign w:val="center"/>
          </w:tcPr>
          <w:p w14:paraId="36BD2226" w14:textId="77777777" w:rsidR="004D19BE" w:rsidRPr="000146FF"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0146FF">
              <w:rPr>
                <w:b/>
              </w:rPr>
              <w:t>5,6%</w:t>
            </w:r>
          </w:p>
        </w:tc>
      </w:tr>
      <w:tr w:rsidR="004D19BE" w:rsidRPr="00C13E3C" w14:paraId="4C6309FD" w14:textId="77777777" w:rsidTr="003D1F68">
        <w:tc>
          <w:tcPr>
            <w:cnfStyle w:val="001000000000" w:firstRow="0" w:lastRow="0" w:firstColumn="1" w:lastColumn="0" w:oddVBand="0" w:evenVBand="0" w:oddHBand="0" w:evenHBand="0" w:firstRowFirstColumn="0" w:firstRowLastColumn="0" w:lastRowFirstColumn="0" w:lastRowLastColumn="0"/>
            <w:tcW w:w="1303" w:type="pct"/>
            <w:noWrap/>
            <w:vAlign w:val="center"/>
            <w:hideMark/>
          </w:tcPr>
          <w:p w14:paraId="2A129427" w14:textId="77777777" w:rsidR="004D19BE" w:rsidRPr="009B538E" w:rsidRDefault="004D19BE" w:rsidP="004D19BE">
            <w:pPr>
              <w:rPr>
                <w:rFonts w:asciiTheme="minorHAnsi" w:hAnsiTheme="minorHAnsi"/>
                <w:b w:val="0"/>
                <w:color w:val="000000"/>
              </w:rPr>
            </w:pPr>
            <w:r w:rsidRPr="00FD4C45">
              <w:rPr>
                <w:rFonts w:ascii="Trebuchet MS" w:hAnsi="Trebuchet MS"/>
                <w:color w:val="000000"/>
              </w:rPr>
              <w:t>Prehrambna</w:t>
            </w:r>
          </w:p>
        </w:tc>
        <w:tc>
          <w:tcPr>
            <w:tcW w:w="616" w:type="pct"/>
            <w:noWrap/>
            <w:vAlign w:val="center"/>
          </w:tcPr>
          <w:p w14:paraId="25CA6453"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2.384</w:t>
            </w:r>
          </w:p>
        </w:tc>
        <w:tc>
          <w:tcPr>
            <w:tcW w:w="616" w:type="pct"/>
            <w:noWrap/>
            <w:vAlign w:val="center"/>
          </w:tcPr>
          <w:p w14:paraId="60779AEB"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2.196</w:t>
            </w:r>
          </w:p>
        </w:tc>
        <w:tc>
          <w:tcPr>
            <w:tcW w:w="616" w:type="pct"/>
            <w:noWrap/>
            <w:vAlign w:val="center"/>
          </w:tcPr>
          <w:p w14:paraId="677F103F"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125</w:t>
            </w:r>
          </w:p>
        </w:tc>
        <w:tc>
          <w:tcPr>
            <w:tcW w:w="616" w:type="pct"/>
            <w:noWrap/>
            <w:vAlign w:val="center"/>
          </w:tcPr>
          <w:p w14:paraId="109F29CA"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5,5%</w:t>
            </w:r>
          </w:p>
        </w:tc>
        <w:tc>
          <w:tcPr>
            <w:tcW w:w="616" w:type="pct"/>
            <w:vAlign w:val="center"/>
          </w:tcPr>
          <w:p w14:paraId="4512E93F"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2.263</w:t>
            </w:r>
          </w:p>
        </w:tc>
        <w:tc>
          <w:tcPr>
            <w:tcW w:w="616" w:type="pct"/>
            <w:noWrap/>
            <w:vAlign w:val="center"/>
          </w:tcPr>
          <w:p w14:paraId="018AFEF1"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2,2%</w:t>
            </w:r>
          </w:p>
        </w:tc>
      </w:tr>
      <w:tr w:rsidR="009B538E" w:rsidRPr="00C13E3C" w14:paraId="6E7BCEB5" w14:textId="77777777" w:rsidTr="0086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3" w:type="pct"/>
            <w:noWrap/>
            <w:vAlign w:val="center"/>
            <w:hideMark/>
          </w:tcPr>
          <w:p w14:paraId="0E830FB9" w14:textId="77777777" w:rsidR="004D19BE" w:rsidRPr="009B538E" w:rsidRDefault="004D19BE" w:rsidP="004D19BE">
            <w:pPr>
              <w:rPr>
                <w:rFonts w:asciiTheme="minorHAnsi" w:hAnsiTheme="minorHAnsi"/>
                <w:b w:val="0"/>
                <w:color w:val="000000"/>
              </w:rPr>
            </w:pPr>
            <w:r w:rsidRPr="00FD4C45">
              <w:rPr>
                <w:rFonts w:ascii="Trebuchet MS" w:hAnsi="Trebuchet MS"/>
                <w:color w:val="000000"/>
              </w:rPr>
              <w:t>Tekstilna</w:t>
            </w:r>
          </w:p>
        </w:tc>
        <w:tc>
          <w:tcPr>
            <w:tcW w:w="616" w:type="pct"/>
            <w:noWrap/>
            <w:vAlign w:val="center"/>
          </w:tcPr>
          <w:p w14:paraId="54FEDEDC"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895</w:t>
            </w:r>
          </w:p>
        </w:tc>
        <w:tc>
          <w:tcPr>
            <w:tcW w:w="616" w:type="pct"/>
            <w:noWrap/>
            <w:vAlign w:val="center"/>
          </w:tcPr>
          <w:p w14:paraId="50B86FAB"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846</w:t>
            </w:r>
          </w:p>
        </w:tc>
        <w:tc>
          <w:tcPr>
            <w:tcW w:w="616" w:type="pct"/>
            <w:noWrap/>
            <w:vAlign w:val="center"/>
          </w:tcPr>
          <w:p w14:paraId="4EA0D37A"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-173</w:t>
            </w:r>
          </w:p>
        </w:tc>
        <w:tc>
          <w:tcPr>
            <w:tcW w:w="616" w:type="pct"/>
            <w:noWrap/>
            <w:vAlign w:val="center"/>
          </w:tcPr>
          <w:p w14:paraId="0ADDDFCB"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-16,2%</w:t>
            </w:r>
          </w:p>
        </w:tc>
        <w:tc>
          <w:tcPr>
            <w:tcW w:w="616" w:type="pct"/>
            <w:vAlign w:val="center"/>
          </w:tcPr>
          <w:p w14:paraId="7CDF1482"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812</w:t>
            </w:r>
          </w:p>
        </w:tc>
        <w:tc>
          <w:tcPr>
            <w:tcW w:w="616" w:type="pct"/>
            <w:noWrap/>
            <w:vAlign w:val="center"/>
          </w:tcPr>
          <w:p w14:paraId="1522AE0C"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2,9%</w:t>
            </w:r>
          </w:p>
        </w:tc>
      </w:tr>
      <w:tr w:rsidR="004D19BE" w:rsidRPr="00C13E3C" w14:paraId="7B4E3532" w14:textId="77777777" w:rsidTr="003D1F68">
        <w:tc>
          <w:tcPr>
            <w:cnfStyle w:val="001000000000" w:firstRow="0" w:lastRow="0" w:firstColumn="1" w:lastColumn="0" w:oddVBand="0" w:evenVBand="0" w:oddHBand="0" w:evenHBand="0" w:firstRowFirstColumn="0" w:firstRowLastColumn="0" w:lastRowFirstColumn="0" w:lastRowLastColumn="0"/>
            <w:tcW w:w="1303" w:type="pct"/>
            <w:noWrap/>
            <w:vAlign w:val="center"/>
            <w:hideMark/>
          </w:tcPr>
          <w:p w14:paraId="1EB5F97B" w14:textId="77777777" w:rsidR="004D19BE" w:rsidRPr="009B538E" w:rsidRDefault="004D19BE" w:rsidP="004D19BE">
            <w:pPr>
              <w:rPr>
                <w:rFonts w:asciiTheme="minorHAnsi" w:hAnsiTheme="minorHAnsi"/>
                <w:b w:val="0"/>
                <w:color w:val="000000"/>
              </w:rPr>
            </w:pPr>
            <w:r w:rsidRPr="00FD4C45">
              <w:rPr>
                <w:rFonts w:ascii="Trebuchet MS" w:hAnsi="Trebuchet MS"/>
                <w:color w:val="000000"/>
              </w:rPr>
              <w:t>Lesna</w:t>
            </w:r>
          </w:p>
        </w:tc>
        <w:tc>
          <w:tcPr>
            <w:tcW w:w="616" w:type="pct"/>
            <w:noWrap/>
            <w:vAlign w:val="center"/>
          </w:tcPr>
          <w:p w14:paraId="4630A3BF"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1.415</w:t>
            </w:r>
          </w:p>
        </w:tc>
        <w:tc>
          <w:tcPr>
            <w:tcW w:w="616" w:type="pct"/>
            <w:noWrap/>
            <w:vAlign w:val="center"/>
          </w:tcPr>
          <w:p w14:paraId="5306BBD7"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1.191</w:t>
            </w:r>
          </w:p>
        </w:tc>
        <w:tc>
          <w:tcPr>
            <w:tcW w:w="616" w:type="pct"/>
            <w:noWrap/>
            <w:vAlign w:val="center"/>
          </w:tcPr>
          <w:p w14:paraId="4460FEB2"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-58</w:t>
            </w:r>
          </w:p>
        </w:tc>
        <w:tc>
          <w:tcPr>
            <w:tcW w:w="616" w:type="pct"/>
            <w:noWrap/>
            <w:vAlign w:val="center"/>
          </w:tcPr>
          <w:p w14:paraId="5817D977"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-3,9%</w:t>
            </w:r>
          </w:p>
        </w:tc>
        <w:tc>
          <w:tcPr>
            <w:tcW w:w="616" w:type="pct"/>
            <w:vAlign w:val="center"/>
          </w:tcPr>
          <w:p w14:paraId="25FE8C2A"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1.247</w:t>
            </w:r>
          </w:p>
        </w:tc>
        <w:tc>
          <w:tcPr>
            <w:tcW w:w="616" w:type="pct"/>
            <w:noWrap/>
            <w:vAlign w:val="center"/>
          </w:tcPr>
          <w:p w14:paraId="3153EA3F"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6,8%</w:t>
            </w:r>
          </w:p>
        </w:tc>
      </w:tr>
      <w:tr w:rsidR="009B538E" w:rsidRPr="00C13E3C" w14:paraId="4EA05F2A" w14:textId="77777777" w:rsidTr="0086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3" w:type="pct"/>
            <w:noWrap/>
            <w:vAlign w:val="center"/>
            <w:hideMark/>
          </w:tcPr>
          <w:p w14:paraId="025BB5DB" w14:textId="77777777" w:rsidR="004D19BE" w:rsidRPr="009B538E" w:rsidRDefault="004D19BE" w:rsidP="004D19BE">
            <w:pPr>
              <w:rPr>
                <w:rFonts w:asciiTheme="minorHAnsi" w:hAnsiTheme="minorHAnsi"/>
                <w:b w:val="0"/>
                <w:color w:val="000000"/>
              </w:rPr>
            </w:pPr>
            <w:r w:rsidRPr="00FD4C45">
              <w:rPr>
                <w:rFonts w:ascii="Trebuchet MS" w:hAnsi="Trebuchet MS"/>
                <w:color w:val="000000"/>
              </w:rPr>
              <w:t>Papirna</w:t>
            </w:r>
          </w:p>
        </w:tc>
        <w:tc>
          <w:tcPr>
            <w:tcW w:w="616" w:type="pct"/>
            <w:noWrap/>
            <w:vAlign w:val="center"/>
          </w:tcPr>
          <w:p w14:paraId="135C3B3F"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1.297</w:t>
            </w:r>
          </w:p>
        </w:tc>
        <w:tc>
          <w:tcPr>
            <w:tcW w:w="616" w:type="pct"/>
            <w:noWrap/>
            <w:vAlign w:val="center"/>
          </w:tcPr>
          <w:p w14:paraId="5459AB91"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1.188</w:t>
            </w:r>
          </w:p>
        </w:tc>
        <w:tc>
          <w:tcPr>
            <w:tcW w:w="616" w:type="pct"/>
            <w:noWrap/>
            <w:vAlign w:val="center"/>
          </w:tcPr>
          <w:p w14:paraId="0F17B5B1"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10</w:t>
            </w:r>
          </w:p>
        </w:tc>
        <w:tc>
          <w:tcPr>
            <w:tcW w:w="616" w:type="pct"/>
            <w:noWrap/>
            <w:vAlign w:val="center"/>
          </w:tcPr>
          <w:p w14:paraId="1BA1FCE1"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0,8%</w:t>
            </w:r>
          </w:p>
        </w:tc>
        <w:tc>
          <w:tcPr>
            <w:tcW w:w="616" w:type="pct"/>
            <w:vAlign w:val="center"/>
          </w:tcPr>
          <w:p w14:paraId="306EF258"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1.226</w:t>
            </w:r>
          </w:p>
        </w:tc>
        <w:tc>
          <w:tcPr>
            <w:tcW w:w="616" w:type="pct"/>
            <w:noWrap/>
            <w:vAlign w:val="center"/>
          </w:tcPr>
          <w:p w14:paraId="2B53F30F"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2,7%</w:t>
            </w:r>
          </w:p>
        </w:tc>
      </w:tr>
      <w:tr w:rsidR="004D19BE" w:rsidRPr="00C13E3C" w14:paraId="453AD1E2" w14:textId="77777777" w:rsidTr="003D1F68">
        <w:tc>
          <w:tcPr>
            <w:cnfStyle w:val="001000000000" w:firstRow="0" w:lastRow="0" w:firstColumn="1" w:lastColumn="0" w:oddVBand="0" w:evenVBand="0" w:oddHBand="0" w:evenHBand="0" w:firstRowFirstColumn="0" w:firstRowLastColumn="0" w:lastRowFirstColumn="0" w:lastRowLastColumn="0"/>
            <w:tcW w:w="1303" w:type="pct"/>
            <w:noWrap/>
            <w:vAlign w:val="center"/>
            <w:hideMark/>
          </w:tcPr>
          <w:p w14:paraId="796FAA7E" w14:textId="77777777" w:rsidR="004D19BE" w:rsidRPr="009B538E" w:rsidRDefault="004D19BE" w:rsidP="004D19BE">
            <w:pPr>
              <w:rPr>
                <w:rFonts w:asciiTheme="minorHAnsi" w:hAnsiTheme="minorHAnsi"/>
                <w:b w:val="0"/>
                <w:color w:val="000000"/>
              </w:rPr>
            </w:pPr>
            <w:r w:rsidRPr="00FD4C45">
              <w:rPr>
                <w:rFonts w:ascii="Trebuchet MS" w:hAnsi="Trebuchet MS"/>
                <w:color w:val="000000"/>
              </w:rPr>
              <w:t>Kemična</w:t>
            </w:r>
          </w:p>
        </w:tc>
        <w:tc>
          <w:tcPr>
            <w:tcW w:w="616" w:type="pct"/>
            <w:noWrap/>
            <w:vAlign w:val="center"/>
          </w:tcPr>
          <w:p w14:paraId="4BEC949D"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6.048</w:t>
            </w:r>
          </w:p>
        </w:tc>
        <w:tc>
          <w:tcPr>
            <w:tcW w:w="616" w:type="pct"/>
            <w:noWrap/>
            <w:vAlign w:val="center"/>
          </w:tcPr>
          <w:p w14:paraId="4E0E3A27"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5.010</w:t>
            </w:r>
          </w:p>
        </w:tc>
        <w:tc>
          <w:tcPr>
            <w:tcW w:w="616" w:type="pct"/>
            <w:noWrap/>
            <w:vAlign w:val="center"/>
          </w:tcPr>
          <w:p w14:paraId="12D9D252"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1.375</w:t>
            </w:r>
          </w:p>
        </w:tc>
        <w:tc>
          <w:tcPr>
            <w:tcW w:w="616" w:type="pct"/>
            <w:noWrap/>
            <w:vAlign w:val="center"/>
          </w:tcPr>
          <w:p w14:paraId="496659B2"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29,4%</w:t>
            </w:r>
          </w:p>
        </w:tc>
        <w:tc>
          <w:tcPr>
            <w:tcW w:w="616" w:type="pct"/>
            <w:vAlign w:val="center"/>
          </w:tcPr>
          <w:p w14:paraId="768BED8F"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5.473</w:t>
            </w:r>
          </w:p>
        </w:tc>
        <w:tc>
          <w:tcPr>
            <w:tcW w:w="616" w:type="pct"/>
            <w:noWrap/>
            <w:vAlign w:val="center"/>
          </w:tcPr>
          <w:p w14:paraId="7125765D"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3,6%</w:t>
            </w:r>
          </w:p>
        </w:tc>
      </w:tr>
      <w:tr w:rsidR="009B538E" w:rsidRPr="00C13E3C" w14:paraId="2483A8C3" w14:textId="77777777" w:rsidTr="0086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3" w:type="pct"/>
            <w:noWrap/>
            <w:vAlign w:val="center"/>
            <w:hideMark/>
          </w:tcPr>
          <w:p w14:paraId="7C92ADEE" w14:textId="77777777" w:rsidR="004D19BE" w:rsidRPr="009B538E" w:rsidRDefault="004D19BE" w:rsidP="004D19BE">
            <w:pPr>
              <w:rPr>
                <w:rFonts w:asciiTheme="minorHAnsi" w:hAnsiTheme="minorHAnsi"/>
                <w:b w:val="0"/>
                <w:color w:val="000000"/>
              </w:rPr>
            </w:pPr>
            <w:r w:rsidRPr="00FD4C45">
              <w:rPr>
                <w:rFonts w:ascii="Trebuchet MS" w:hAnsi="Trebuchet MS"/>
                <w:color w:val="000000"/>
              </w:rPr>
              <w:t>Nekovinska</w:t>
            </w:r>
          </w:p>
        </w:tc>
        <w:tc>
          <w:tcPr>
            <w:tcW w:w="616" w:type="pct"/>
            <w:noWrap/>
            <w:vAlign w:val="center"/>
          </w:tcPr>
          <w:p w14:paraId="222773B5"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1.014</w:t>
            </w:r>
          </w:p>
        </w:tc>
        <w:tc>
          <w:tcPr>
            <w:tcW w:w="616" w:type="pct"/>
            <w:noWrap/>
            <w:vAlign w:val="center"/>
          </w:tcPr>
          <w:p w14:paraId="5E8E9E20"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907</w:t>
            </w:r>
          </w:p>
        </w:tc>
        <w:tc>
          <w:tcPr>
            <w:tcW w:w="616" w:type="pct"/>
            <w:noWrap/>
            <w:vAlign w:val="center"/>
          </w:tcPr>
          <w:p w14:paraId="20551462"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9</w:t>
            </w:r>
          </w:p>
        </w:tc>
        <w:tc>
          <w:tcPr>
            <w:tcW w:w="616" w:type="pct"/>
            <w:noWrap/>
            <w:vAlign w:val="center"/>
          </w:tcPr>
          <w:p w14:paraId="7AFBB682"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0,9%</w:t>
            </w:r>
          </w:p>
        </w:tc>
        <w:tc>
          <w:tcPr>
            <w:tcW w:w="616" w:type="pct"/>
            <w:vAlign w:val="center"/>
          </w:tcPr>
          <w:p w14:paraId="2595A14C"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919</w:t>
            </w:r>
          </w:p>
        </w:tc>
        <w:tc>
          <w:tcPr>
            <w:tcW w:w="616" w:type="pct"/>
            <w:noWrap/>
            <w:vAlign w:val="center"/>
          </w:tcPr>
          <w:p w14:paraId="7859B50D"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3,4%</w:t>
            </w:r>
          </w:p>
        </w:tc>
      </w:tr>
      <w:tr w:rsidR="004D19BE" w:rsidRPr="00C13E3C" w14:paraId="33C255F7" w14:textId="77777777" w:rsidTr="003D1F68">
        <w:tc>
          <w:tcPr>
            <w:cnfStyle w:val="001000000000" w:firstRow="0" w:lastRow="0" w:firstColumn="1" w:lastColumn="0" w:oddVBand="0" w:evenVBand="0" w:oddHBand="0" w:evenHBand="0" w:firstRowFirstColumn="0" w:firstRowLastColumn="0" w:lastRowFirstColumn="0" w:lastRowLastColumn="0"/>
            <w:tcW w:w="1303" w:type="pct"/>
            <w:noWrap/>
            <w:vAlign w:val="center"/>
            <w:hideMark/>
          </w:tcPr>
          <w:p w14:paraId="69EE1030" w14:textId="77777777" w:rsidR="004D19BE" w:rsidRPr="009B538E" w:rsidRDefault="004D19BE" w:rsidP="004D19BE">
            <w:pPr>
              <w:rPr>
                <w:rFonts w:asciiTheme="minorHAnsi" w:hAnsiTheme="minorHAnsi"/>
                <w:b w:val="0"/>
                <w:color w:val="000000"/>
              </w:rPr>
            </w:pPr>
            <w:r w:rsidRPr="00FD4C45">
              <w:rPr>
                <w:rFonts w:ascii="Trebuchet MS" w:hAnsi="Trebuchet MS"/>
                <w:color w:val="000000"/>
              </w:rPr>
              <w:t>Kovinska</w:t>
            </w:r>
          </w:p>
        </w:tc>
        <w:tc>
          <w:tcPr>
            <w:tcW w:w="616" w:type="pct"/>
            <w:noWrap/>
            <w:vAlign w:val="center"/>
          </w:tcPr>
          <w:p w14:paraId="6CEFE8FC"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6.431</w:t>
            </w:r>
          </w:p>
        </w:tc>
        <w:tc>
          <w:tcPr>
            <w:tcW w:w="616" w:type="pct"/>
            <w:noWrap/>
            <w:vAlign w:val="center"/>
          </w:tcPr>
          <w:p w14:paraId="4ACA0CCC"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4.951</w:t>
            </w:r>
          </w:p>
        </w:tc>
        <w:tc>
          <w:tcPr>
            <w:tcW w:w="616" w:type="pct"/>
            <w:noWrap/>
            <w:vAlign w:val="center"/>
          </w:tcPr>
          <w:p w14:paraId="4459D4B0"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1.198</w:t>
            </w:r>
          </w:p>
        </w:tc>
        <w:tc>
          <w:tcPr>
            <w:tcW w:w="616" w:type="pct"/>
            <w:noWrap/>
            <w:vAlign w:val="center"/>
          </w:tcPr>
          <w:p w14:paraId="454130F7"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22,9%</w:t>
            </w:r>
          </w:p>
        </w:tc>
        <w:tc>
          <w:tcPr>
            <w:tcW w:w="616" w:type="pct"/>
            <w:vAlign w:val="center"/>
          </w:tcPr>
          <w:p w14:paraId="71004314"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5.559</w:t>
            </w:r>
          </w:p>
        </w:tc>
        <w:tc>
          <w:tcPr>
            <w:tcW w:w="616" w:type="pct"/>
            <w:noWrap/>
            <w:vAlign w:val="center"/>
          </w:tcPr>
          <w:p w14:paraId="321A3DD1"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6,7%</w:t>
            </w:r>
          </w:p>
        </w:tc>
      </w:tr>
      <w:tr w:rsidR="009B538E" w:rsidRPr="00C13E3C" w14:paraId="300620A9" w14:textId="77777777" w:rsidTr="0086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3" w:type="pct"/>
            <w:noWrap/>
            <w:vAlign w:val="center"/>
            <w:hideMark/>
          </w:tcPr>
          <w:p w14:paraId="4168B2CE" w14:textId="77777777" w:rsidR="004D19BE" w:rsidRPr="009B538E" w:rsidRDefault="004D19BE" w:rsidP="004D19BE">
            <w:pPr>
              <w:rPr>
                <w:rFonts w:asciiTheme="minorHAnsi" w:hAnsiTheme="minorHAnsi"/>
                <w:b w:val="0"/>
                <w:color w:val="000000"/>
              </w:rPr>
            </w:pPr>
            <w:r w:rsidRPr="00FD4C45">
              <w:rPr>
                <w:rFonts w:ascii="Trebuchet MS" w:hAnsi="Trebuchet MS"/>
                <w:color w:val="000000"/>
              </w:rPr>
              <w:t>Elektro</w:t>
            </w:r>
          </w:p>
        </w:tc>
        <w:tc>
          <w:tcPr>
            <w:tcW w:w="616" w:type="pct"/>
            <w:noWrap/>
            <w:vAlign w:val="center"/>
          </w:tcPr>
          <w:p w14:paraId="68A06D03"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4.387</w:t>
            </w:r>
          </w:p>
        </w:tc>
        <w:tc>
          <w:tcPr>
            <w:tcW w:w="616" w:type="pct"/>
            <w:noWrap/>
            <w:vAlign w:val="center"/>
          </w:tcPr>
          <w:p w14:paraId="6D8306AC"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3.454</w:t>
            </w:r>
          </w:p>
        </w:tc>
        <w:tc>
          <w:tcPr>
            <w:tcW w:w="616" w:type="pct"/>
            <w:noWrap/>
            <w:vAlign w:val="center"/>
          </w:tcPr>
          <w:p w14:paraId="56A3D49E"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1.337</w:t>
            </w:r>
          </w:p>
        </w:tc>
        <w:tc>
          <w:tcPr>
            <w:tcW w:w="616" w:type="pct"/>
            <w:noWrap/>
            <w:vAlign w:val="center"/>
          </w:tcPr>
          <w:p w14:paraId="66208D09"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43,8%</w:t>
            </w:r>
          </w:p>
        </w:tc>
        <w:tc>
          <w:tcPr>
            <w:tcW w:w="616" w:type="pct"/>
            <w:vAlign w:val="center"/>
          </w:tcPr>
          <w:p w14:paraId="09CF71BB"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3.870</w:t>
            </w:r>
          </w:p>
        </w:tc>
        <w:tc>
          <w:tcPr>
            <w:tcW w:w="616" w:type="pct"/>
            <w:noWrap/>
            <w:vAlign w:val="center"/>
          </w:tcPr>
          <w:p w14:paraId="764AD624"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6,6%</w:t>
            </w:r>
          </w:p>
        </w:tc>
      </w:tr>
      <w:tr w:rsidR="004D19BE" w:rsidRPr="00C13E3C" w14:paraId="07CCCF99" w14:textId="77777777" w:rsidTr="003D1F68">
        <w:tc>
          <w:tcPr>
            <w:cnfStyle w:val="001000000000" w:firstRow="0" w:lastRow="0" w:firstColumn="1" w:lastColumn="0" w:oddVBand="0" w:evenVBand="0" w:oddHBand="0" w:evenHBand="0" w:firstRowFirstColumn="0" w:firstRowLastColumn="0" w:lastRowFirstColumn="0" w:lastRowLastColumn="0"/>
            <w:tcW w:w="1303" w:type="pct"/>
            <w:noWrap/>
            <w:vAlign w:val="center"/>
            <w:hideMark/>
          </w:tcPr>
          <w:p w14:paraId="761FB75A" w14:textId="77777777" w:rsidR="004D19BE" w:rsidRPr="009B538E" w:rsidRDefault="004D19BE" w:rsidP="004D19BE">
            <w:pPr>
              <w:rPr>
                <w:rFonts w:asciiTheme="minorHAnsi" w:hAnsiTheme="minorHAnsi"/>
                <w:b w:val="0"/>
                <w:color w:val="000000"/>
              </w:rPr>
            </w:pPr>
            <w:r w:rsidRPr="00FD4C45">
              <w:rPr>
                <w:rFonts w:ascii="Trebuchet MS" w:hAnsi="Trebuchet MS"/>
                <w:color w:val="000000"/>
              </w:rPr>
              <w:t>Strojna</w:t>
            </w:r>
          </w:p>
        </w:tc>
        <w:tc>
          <w:tcPr>
            <w:tcW w:w="616" w:type="pct"/>
            <w:noWrap/>
            <w:vAlign w:val="center"/>
          </w:tcPr>
          <w:p w14:paraId="39C9EE3C"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6.995</w:t>
            </w:r>
          </w:p>
        </w:tc>
        <w:tc>
          <w:tcPr>
            <w:tcW w:w="616" w:type="pct"/>
            <w:noWrap/>
            <w:vAlign w:val="center"/>
          </w:tcPr>
          <w:p w14:paraId="12C53510"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5.275</w:t>
            </w:r>
          </w:p>
        </w:tc>
        <w:tc>
          <w:tcPr>
            <w:tcW w:w="616" w:type="pct"/>
            <w:noWrap/>
            <w:vAlign w:val="center"/>
          </w:tcPr>
          <w:p w14:paraId="3291624F"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1.583</w:t>
            </w:r>
          </w:p>
        </w:tc>
        <w:tc>
          <w:tcPr>
            <w:tcW w:w="616" w:type="pct"/>
            <w:noWrap/>
            <w:vAlign w:val="center"/>
          </w:tcPr>
          <w:p w14:paraId="0E752CB8"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29,3%</w:t>
            </w:r>
          </w:p>
        </w:tc>
        <w:tc>
          <w:tcPr>
            <w:tcW w:w="616" w:type="pct"/>
            <w:vAlign w:val="center"/>
          </w:tcPr>
          <w:p w14:paraId="40415547"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5.739</w:t>
            </w:r>
          </w:p>
        </w:tc>
        <w:tc>
          <w:tcPr>
            <w:tcW w:w="616" w:type="pct"/>
            <w:noWrap/>
            <w:vAlign w:val="center"/>
          </w:tcPr>
          <w:p w14:paraId="257154BE" w14:textId="77777777" w:rsidR="004D19BE" w:rsidRPr="00800E96"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800E96">
              <w:rPr>
                <w:rFonts w:ascii="Trebuchet MS" w:hAnsi="Trebuchet MS"/>
              </w:rPr>
              <w:t>8,3%</w:t>
            </w:r>
          </w:p>
        </w:tc>
      </w:tr>
      <w:tr w:rsidR="009B538E" w:rsidRPr="00C13E3C" w14:paraId="65CA4B19" w14:textId="77777777" w:rsidTr="0086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3" w:type="pct"/>
            <w:noWrap/>
            <w:vAlign w:val="center"/>
            <w:hideMark/>
          </w:tcPr>
          <w:p w14:paraId="5744DA80" w14:textId="77777777" w:rsidR="004D19BE" w:rsidRPr="009B538E" w:rsidRDefault="004D19BE" w:rsidP="004D19BE">
            <w:pPr>
              <w:rPr>
                <w:rFonts w:asciiTheme="minorHAnsi" w:hAnsiTheme="minorHAnsi"/>
                <w:b w:val="0"/>
                <w:color w:val="000000"/>
              </w:rPr>
            </w:pPr>
            <w:r w:rsidRPr="00FD4C45">
              <w:rPr>
                <w:rFonts w:ascii="Trebuchet MS" w:hAnsi="Trebuchet MS"/>
                <w:color w:val="000000"/>
              </w:rPr>
              <w:t>Druge</w:t>
            </w:r>
          </w:p>
        </w:tc>
        <w:tc>
          <w:tcPr>
            <w:tcW w:w="616" w:type="pct"/>
            <w:noWrap/>
            <w:vAlign w:val="center"/>
          </w:tcPr>
          <w:p w14:paraId="077F4A01"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484</w:t>
            </w:r>
          </w:p>
        </w:tc>
        <w:tc>
          <w:tcPr>
            <w:tcW w:w="616" w:type="pct"/>
            <w:noWrap/>
            <w:vAlign w:val="center"/>
          </w:tcPr>
          <w:p w14:paraId="3946B240"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380</w:t>
            </w:r>
          </w:p>
        </w:tc>
        <w:tc>
          <w:tcPr>
            <w:tcW w:w="616" w:type="pct"/>
            <w:noWrap/>
            <w:vAlign w:val="center"/>
          </w:tcPr>
          <w:p w14:paraId="68310954"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115</w:t>
            </w:r>
          </w:p>
        </w:tc>
        <w:tc>
          <w:tcPr>
            <w:tcW w:w="616" w:type="pct"/>
            <w:noWrap/>
            <w:vAlign w:val="center"/>
          </w:tcPr>
          <w:p w14:paraId="3C3FD1AE"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31,3%</w:t>
            </w:r>
          </w:p>
        </w:tc>
        <w:tc>
          <w:tcPr>
            <w:tcW w:w="616" w:type="pct"/>
            <w:vAlign w:val="center"/>
          </w:tcPr>
          <w:p w14:paraId="775BC4D8"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420</w:t>
            </w:r>
          </w:p>
        </w:tc>
        <w:tc>
          <w:tcPr>
            <w:tcW w:w="616" w:type="pct"/>
            <w:noWrap/>
            <w:vAlign w:val="center"/>
          </w:tcPr>
          <w:p w14:paraId="169B7AFF" w14:textId="77777777" w:rsidR="004D19BE" w:rsidRPr="00800E96"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800E96">
              <w:rPr>
                <w:rFonts w:ascii="Trebuchet MS" w:hAnsi="Trebuchet MS"/>
              </w:rPr>
              <w:t>7,8%</w:t>
            </w:r>
          </w:p>
        </w:tc>
      </w:tr>
    </w:tbl>
    <w:p w14:paraId="1CAFDC58" w14:textId="77777777" w:rsidR="003372D7" w:rsidRPr="009B538E" w:rsidRDefault="003372D7" w:rsidP="003372D7">
      <w:pPr>
        <w:spacing w:before="20"/>
        <w:jc w:val="both"/>
        <w:rPr>
          <w:i/>
        </w:rPr>
      </w:pPr>
      <w:r w:rsidRPr="009B538E">
        <w:rPr>
          <w:i/>
        </w:rPr>
        <w:t>Vir: SURS, strukturna statistika podjetij, preračuni Analitika GZS</w:t>
      </w:r>
    </w:p>
    <w:p w14:paraId="21A4E2C7" w14:textId="77777777" w:rsidR="007C7F66" w:rsidRPr="007041AF" w:rsidRDefault="007C7F66" w:rsidP="007C7F66">
      <w:pPr>
        <w:rPr>
          <w:rFonts w:cstheme="minorHAnsi"/>
        </w:rPr>
      </w:pPr>
    </w:p>
    <w:p w14:paraId="4D9CB8B8" w14:textId="77777777" w:rsidR="007C7F66" w:rsidRPr="007041AF" w:rsidRDefault="007C7F66" w:rsidP="00A347B2">
      <w:pPr>
        <w:spacing w:after="0"/>
        <w:rPr>
          <w:rFonts w:cstheme="minorHAnsi"/>
        </w:rPr>
      </w:pPr>
      <w:r w:rsidRPr="007041AF">
        <w:rPr>
          <w:rFonts w:cstheme="minorHAnsi"/>
          <w:noProof/>
          <w:lang w:eastAsia="sl-SI"/>
        </w:rPr>
        <w:drawing>
          <wp:inline distT="0" distB="0" distL="0" distR="0" wp14:anchorId="65B4ED8C" wp14:editId="690A023A">
            <wp:extent cx="4301337" cy="2662733"/>
            <wp:effectExtent l="0" t="0" r="4445" b="4445"/>
            <wp:docPr id="16" name="Grafikon 1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F491E84-B339-46AB-A029-80668E8295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0674F2D" w14:textId="77777777" w:rsidR="003372D7" w:rsidRPr="009B538E" w:rsidRDefault="003372D7" w:rsidP="003372D7">
      <w:pPr>
        <w:spacing w:before="20"/>
        <w:jc w:val="both"/>
        <w:rPr>
          <w:i/>
        </w:rPr>
      </w:pPr>
      <w:r w:rsidRPr="009B538E">
        <w:rPr>
          <w:i/>
        </w:rPr>
        <w:t>Vir: SURS, strukturna statistika podjetij, preračuni Analitika GZS</w:t>
      </w:r>
    </w:p>
    <w:p w14:paraId="66552D23" w14:textId="77777777" w:rsidR="007C7F66" w:rsidRPr="00964361" w:rsidRDefault="007C7F66" w:rsidP="002C7476">
      <w:pPr>
        <w:pStyle w:val="Odstavekseznama"/>
        <w:numPr>
          <w:ilvl w:val="1"/>
          <w:numId w:val="15"/>
        </w:numPr>
        <w:spacing w:before="0" w:after="160" w:line="259" w:lineRule="auto"/>
        <w:rPr>
          <w:rFonts w:cstheme="minorHAnsi"/>
          <w:b/>
          <w:bCs/>
        </w:rPr>
      </w:pPr>
      <w:r w:rsidRPr="00964361">
        <w:rPr>
          <w:rFonts w:cstheme="minorHAnsi"/>
          <w:b/>
          <w:bCs/>
        </w:rPr>
        <w:t>Prodaja na domačem trgu</w:t>
      </w:r>
    </w:p>
    <w:p w14:paraId="6CB195F7" w14:textId="2C7D6FA3" w:rsidR="007C7F66" w:rsidRPr="00964361" w:rsidRDefault="007C7F66" w:rsidP="00405849">
      <w:pPr>
        <w:jc w:val="both"/>
        <w:rPr>
          <w:rFonts w:cstheme="minorHAnsi"/>
        </w:rPr>
      </w:pPr>
      <w:r w:rsidRPr="00964361">
        <w:rPr>
          <w:rFonts w:cstheme="minorHAnsi"/>
        </w:rPr>
        <w:t xml:space="preserve">Prodaja v predelovalnih </w:t>
      </w:r>
      <w:r w:rsidRPr="00FD4C45">
        <w:rPr>
          <w:rFonts w:cstheme="minorHAnsi"/>
        </w:rPr>
        <w:t>dejavnosti</w:t>
      </w:r>
      <w:r w:rsidR="00DE7C2F">
        <w:rPr>
          <w:rFonts w:cstheme="minorHAnsi"/>
        </w:rPr>
        <w:t>h</w:t>
      </w:r>
      <w:r w:rsidRPr="00964361">
        <w:rPr>
          <w:rFonts w:cstheme="minorHAnsi"/>
        </w:rPr>
        <w:t xml:space="preserve"> na domačem trgu se je </w:t>
      </w:r>
      <w:r w:rsidR="007D25AB" w:rsidRPr="00964361">
        <w:rPr>
          <w:rFonts w:cstheme="minorHAnsi"/>
        </w:rPr>
        <w:t xml:space="preserve">v zadnjem desetletnem obdobju </w:t>
      </w:r>
      <w:r w:rsidR="007D25AB">
        <w:rPr>
          <w:rFonts w:cstheme="minorHAnsi"/>
        </w:rPr>
        <w:t xml:space="preserve">najbolj </w:t>
      </w:r>
      <w:r w:rsidR="007D25AB" w:rsidRPr="00964361">
        <w:rPr>
          <w:rFonts w:cstheme="minorHAnsi"/>
        </w:rPr>
        <w:t xml:space="preserve">povečala </w:t>
      </w:r>
      <w:r w:rsidRPr="00964361">
        <w:rPr>
          <w:rFonts w:cstheme="minorHAnsi"/>
        </w:rPr>
        <w:t xml:space="preserve">v zadnjih dveh letih (2017 in 2018). Višja je bila tako zaradi višje potrošnje prebivalstva kot podjetij. Čisti prihodki so se drastično zmanjševali v </w:t>
      </w:r>
      <w:r w:rsidRPr="00FD4C45">
        <w:rPr>
          <w:rFonts w:cstheme="minorHAnsi"/>
        </w:rPr>
        <w:t>let</w:t>
      </w:r>
      <w:r w:rsidR="00DE7C2F">
        <w:rPr>
          <w:rFonts w:cstheme="minorHAnsi"/>
        </w:rPr>
        <w:t>u</w:t>
      </w:r>
      <w:r w:rsidRPr="00964361">
        <w:rPr>
          <w:rFonts w:cstheme="minorHAnsi"/>
        </w:rPr>
        <w:t xml:space="preserve"> 2009, sledila pa sta še dva cikla zmanjšanja prodaje na domačem trgu in sicer v letih 2012-2013 ter v letu 2015. Prihodki od prodaje na domačem trgu, ki so v 2018 znašali 9,4 mrd EUR, so se v zadnjih </w:t>
      </w:r>
      <w:r w:rsidR="007E6B0E">
        <w:rPr>
          <w:rFonts w:cstheme="minorHAnsi"/>
        </w:rPr>
        <w:t>desetih</w:t>
      </w:r>
      <w:r w:rsidR="007E6B0E" w:rsidRPr="00964361">
        <w:rPr>
          <w:rFonts w:cstheme="minorHAnsi"/>
        </w:rPr>
        <w:t xml:space="preserve"> </w:t>
      </w:r>
      <w:r w:rsidRPr="00964361">
        <w:rPr>
          <w:rFonts w:cstheme="minorHAnsi"/>
        </w:rPr>
        <w:t xml:space="preserve">letih znižali v povprečju za 0,7 % na leto. V zadnjih </w:t>
      </w:r>
      <w:r w:rsidR="007E6B0E">
        <w:rPr>
          <w:rFonts w:cstheme="minorHAnsi"/>
        </w:rPr>
        <w:t>enajstih</w:t>
      </w:r>
      <w:r w:rsidR="007E6B0E" w:rsidRPr="00964361">
        <w:rPr>
          <w:rFonts w:cstheme="minorHAnsi"/>
        </w:rPr>
        <w:t xml:space="preserve"> </w:t>
      </w:r>
      <w:r w:rsidRPr="00964361">
        <w:rPr>
          <w:rFonts w:cstheme="minorHAnsi"/>
        </w:rPr>
        <w:t xml:space="preserve">letih so predelovalne dejavnosti v povprečju ustvarile 8,6 mrd EUR prihodkov od prodaje na domačem trgu. V 2018 so predelovalne dejavnosti v primerjavi z letom </w:t>
      </w:r>
      <w:r w:rsidRPr="00964361">
        <w:rPr>
          <w:rFonts w:cstheme="minorHAnsi"/>
        </w:rPr>
        <w:lastRenderedPageBreak/>
        <w:t xml:space="preserve">2008 beležile 682 mio EUR manj prihodkov od prodaje na domačem trgu, kar predstavlja upad za 6,8 %. </w:t>
      </w:r>
    </w:p>
    <w:p w14:paraId="73D32767" w14:textId="60706939" w:rsidR="007C7F66" w:rsidRPr="00964361" w:rsidRDefault="007C7F66" w:rsidP="00405849">
      <w:pPr>
        <w:jc w:val="both"/>
        <w:rPr>
          <w:rFonts w:cstheme="minorHAnsi"/>
        </w:rPr>
      </w:pPr>
      <w:r w:rsidRPr="00964361">
        <w:rPr>
          <w:rFonts w:cstheme="minorHAnsi"/>
        </w:rPr>
        <w:t xml:space="preserve">V zadnjih </w:t>
      </w:r>
      <w:r w:rsidR="007E6B0E">
        <w:rPr>
          <w:rFonts w:cstheme="minorHAnsi"/>
        </w:rPr>
        <w:t>desetih</w:t>
      </w:r>
      <w:r w:rsidRPr="00964361">
        <w:rPr>
          <w:rFonts w:cstheme="minorHAnsi"/>
        </w:rPr>
        <w:t xml:space="preserve"> letih (2018/2008) so se znotraj predelovalnih </w:t>
      </w:r>
      <w:r w:rsidRPr="00FD4C45">
        <w:rPr>
          <w:rFonts w:cstheme="minorHAnsi"/>
        </w:rPr>
        <w:t>dejavnost</w:t>
      </w:r>
      <w:r w:rsidR="00DE7C2F">
        <w:rPr>
          <w:rFonts w:cstheme="minorHAnsi"/>
        </w:rPr>
        <w:t>i</w:t>
      </w:r>
      <w:r w:rsidRPr="00964361">
        <w:rPr>
          <w:rFonts w:cstheme="minorHAnsi"/>
        </w:rPr>
        <w:t xml:space="preserve"> prihodki na domačem trgu zvišali le v strojni industriji (27 mio EUR), drugih predelovalnih dejavnostih (16 mio EUR) in kovinski industriji (44</w:t>
      </w:r>
      <w:r w:rsidR="007E6B0E">
        <w:rPr>
          <w:rFonts w:cstheme="minorHAnsi"/>
        </w:rPr>
        <w:t>.000</w:t>
      </w:r>
      <w:r w:rsidRPr="00964361">
        <w:rPr>
          <w:rFonts w:cstheme="minorHAnsi"/>
        </w:rPr>
        <w:t xml:space="preserve"> EUR). Vse ostale dejavnosti pri prodaji na domačem trgu še niso dosegle nivojev iz leta 2008. Največji zaostanek beležijo predvsem nekovinska (244 mio EUR), tekstilna (188 mio EUR) ter prehrambna industrija (124 mio EUR). </w:t>
      </w:r>
    </w:p>
    <w:p w14:paraId="069B923B" w14:textId="2E43BEFE" w:rsidR="007C7F66" w:rsidRPr="00964361" w:rsidRDefault="007C7F66" w:rsidP="00405849">
      <w:pPr>
        <w:jc w:val="both"/>
        <w:rPr>
          <w:rFonts w:cstheme="minorHAnsi"/>
        </w:rPr>
      </w:pPr>
      <w:r w:rsidRPr="00964361">
        <w:rPr>
          <w:rFonts w:cstheme="minorHAnsi"/>
        </w:rPr>
        <w:t xml:space="preserve">V obdobju zadnjih </w:t>
      </w:r>
      <w:r w:rsidR="007E6B0E">
        <w:rPr>
          <w:rFonts w:cstheme="minorHAnsi"/>
        </w:rPr>
        <w:t>petih</w:t>
      </w:r>
      <w:r w:rsidR="007E6B0E" w:rsidRPr="00964361">
        <w:rPr>
          <w:rFonts w:cstheme="minorHAnsi"/>
        </w:rPr>
        <w:t xml:space="preserve"> </w:t>
      </w:r>
      <w:r w:rsidRPr="00FD4C45">
        <w:rPr>
          <w:rFonts w:cstheme="minorHAnsi"/>
        </w:rPr>
        <w:t>let</w:t>
      </w:r>
      <w:r w:rsidRPr="00964361">
        <w:rPr>
          <w:rFonts w:cstheme="minorHAnsi"/>
        </w:rPr>
        <w:t xml:space="preserve"> (2014-2018) so prihodki na domačem trgu vsako leto v povprečju porasli za 2,6 % letno. Med predelovalnimi </w:t>
      </w:r>
      <w:r w:rsidRPr="00FD4C45">
        <w:rPr>
          <w:rFonts w:cstheme="minorHAnsi"/>
        </w:rPr>
        <w:t>dejavnost</w:t>
      </w:r>
      <w:r w:rsidR="00DE7C2F">
        <w:rPr>
          <w:rFonts w:cstheme="minorHAnsi"/>
        </w:rPr>
        <w:t>m</w:t>
      </w:r>
      <w:r w:rsidRPr="00FD4C45">
        <w:rPr>
          <w:rFonts w:cstheme="minorHAnsi"/>
        </w:rPr>
        <w:t>i</w:t>
      </w:r>
      <w:r w:rsidRPr="00964361">
        <w:rPr>
          <w:rFonts w:cstheme="minorHAnsi"/>
        </w:rPr>
        <w:t xml:space="preserve"> so prihodki na domačem trgu v povprečju najbolj porasli v lesni industriji (za 5,9 % letno), elektro in kovinski industriji </w:t>
      </w:r>
      <w:r w:rsidR="00F5643D">
        <w:rPr>
          <w:rFonts w:cstheme="minorHAnsi"/>
        </w:rPr>
        <w:t>(</w:t>
      </w:r>
      <w:r w:rsidRPr="00964361">
        <w:rPr>
          <w:rFonts w:cstheme="minorHAnsi"/>
        </w:rPr>
        <w:t xml:space="preserve">za 3,9 in 3,8 % letno), papirni industriji (za 3,6 % letno) ter kemični industriji (za 3 % letno). </w:t>
      </w:r>
    </w:p>
    <w:tbl>
      <w:tblPr>
        <w:tblStyle w:val="Tabelaseznam4poudarek61"/>
        <w:tblW w:w="5000" w:type="pct"/>
        <w:tblLook w:val="04A0" w:firstRow="1" w:lastRow="0" w:firstColumn="1" w:lastColumn="0" w:noHBand="0" w:noVBand="1"/>
      </w:tblPr>
      <w:tblGrid>
        <w:gridCol w:w="2388"/>
        <w:gridCol w:w="1150"/>
        <w:gridCol w:w="1150"/>
        <w:gridCol w:w="1150"/>
        <w:gridCol w:w="1150"/>
        <w:gridCol w:w="1150"/>
        <w:gridCol w:w="1150"/>
      </w:tblGrid>
      <w:tr w:rsidR="009B538E" w:rsidRPr="00C13E3C" w14:paraId="131EB576" w14:textId="77777777" w:rsidTr="00E142BA">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286" w:type="pct"/>
            <w:vAlign w:val="center"/>
            <w:hideMark/>
          </w:tcPr>
          <w:p w14:paraId="1945A5FF" w14:textId="77777777" w:rsidR="007C7F66" w:rsidRPr="000146FF" w:rsidRDefault="00E142BA" w:rsidP="00E142BA">
            <w:pPr>
              <w:rPr>
                <w:b w:val="0"/>
              </w:rPr>
            </w:pPr>
            <w:r w:rsidRPr="000146FF">
              <w:t>P</w:t>
            </w:r>
            <w:r w:rsidR="007C7F66" w:rsidRPr="000146FF">
              <w:t>rihod</w:t>
            </w:r>
            <w:r w:rsidRPr="000146FF">
              <w:t>ki</w:t>
            </w:r>
            <w:r w:rsidR="007C7F66" w:rsidRPr="000146FF">
              <w:t xml:space="preserve"> </w:t>
            </w:r>
            <w:r w:rsidRPr="000146FF">
              <w:t>n</w:t>
            </w:r>
            <w:r w:rsidR="007C7F66" w:rsidRPr="000146FF">
              <w:t>a domačem trgu</w:t>
            </w:r>
          </w:p>
        </w:tc>
        <w:tc>
          <w:tcPr>
            <w:tcW w:w="619" w:type="pct"/>
            <w:vAlign w:val="center"/>
          </w:tcPr>
          <w:p w14:paraId="1FFDE2D5"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pPr>
            <w:r w:rsidRPr="000146FF">
              <w:t>Vred.</w:t>
            </w:r>
          </w:p>
          <w:p w14:paraId="69F3CBE2"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2018,</w:t>
            </w:r>
          </w:p>
          <w:p w14:paraId="48E19A62"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mio EUR</w:t>
            </w:r>
          </w:p>
        </w:tc>
        <w:tc>
          <w:tcPr>
            <w:tcW w:w="619" w:type="pct"/>
            <w:vAlign w:val="center"/>
          </w:tcPr>
          <w:p w14:paraId="11EC700E"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Ø Vred. 2008-2018,</w:t>
            </w:r>
          </w:p>
          <w:p w14:paraId="36938362"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mio EUR</w:t>
            </w:r>
          </w:p>
        </w:tc>
        <w:tc>
          <w:tcPr>
            <w:tcW w:w="619" w:type="pct"/>
            <w:vAlign w:val="center"/>
          </w:tcPr>
          <w:p w14:paraId="54240637"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Vred. razlika</w:t>
            </w:r>
          </w:p>
          <w:p w14:paraId="050F4DFE"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2018-2008,</w:t>
            </w:r>
          </w:p>
          <w:p w14:paraId="372FACDE"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pPr>
            <w:r w:rsidRPr="000146FF">
              <w:t>mio EUR</w:t>
            </w:r>
          </w:p>
        </w:tc>
        <w:tc>
          <w:tcPr>
            <w:tcW w:w="619" w:type="pct"/>
            <w:vAlign w:val="center"/>
          </w:tcPr>
          <w:p w14:paraId="3B077ED7"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Sprem. v %</w:t>
            </w:r>
          </w:p>
          <w:p w14:paraId="2999CECE"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2018/2008</w:t>
            </w:r>
          </w:p>
        </w:tc>
        <w:tc>
          <w:tcPr>
            <w:tcW w:w="619" w:type="pct"/>
            <w:vAlign w:val="center"/>
          </w:tcPr>
          <w:p w14:paraId="0C9F805E"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Ø Vred.</w:t>
            </w:r>
          </w:p>
          <w:p w14:paraId="5E0C4D38"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2014-2018,</w:t>
            </w:r>
          </w:p>
          <w:p w14:paraId="18FB4A98" w14:textId="77777777" w:rsidR="007C7F66" w:rsidRPr="000146FF" w:rsidRDefault="007C7F66"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mio EUR</w:t>
            </w:r>
          </w:p>
        </w:tc>
        <w:tc>
          <w:tcPr>
            <w:tcW w:w="619" w:type="pct"/>
            <w:vAlign w:val="center"/>
          </w:tcPr>
          <w:p w14:paraId="7B69563F" w14:textId="77777777" w:rsidR="007C7F66" w:rsidRPr="000146FF" w:rsidRDefault="00865CE9" w:rsidP="00BF7D3C">
            <w:pPr>
              <w:jc w:val="center"/>
              <w:cnfStyle w:val="100000000000" w:firstRow="1" w:lastRow="0" w:firstColumn="0" w:lastColumn="0" w:oddVBand="0" w:evenVBand="0" w:oddHBand="0" w:evenHBand="0" w:firstRowFirstColumn="0" w:firstRowLastColumn="0" w:lastRowFirstColumn="0" w:lastRowLastColumn="0"/>
              <w:rPr>
                <w:b w:val="0"/>
              </w:rPr>
            </w:pPr>
            <w:r w:rsidRPr="000146FF">
              <w:t>CAGR</w:t>
            </w:r>
            <w:r w:rsidRPr="000146FF">
              <w:rPr>
                <w:rStyle w:val="Sprotnaopomba-sklic"/>
              </w:rPr>
              <w:footnoteReference w:id="34"/>
            </w:r>
            <w:r w:rsidRPr="000146FF">
              <w:t xml:space="preserve"> v obdobju 2014-2018</w:t>
            </w:r>
          </w:p>
        </w:tc>
      </w:tr>
      <w:tr w:rsidR="009B538E" w:rsidRPr="00C13E3C" w14:paraId="16EF5673" w14:textId="77777777" w:rsidTr="00405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6" w:type="pct"/>
            <w:noWrap/>
            <w:vAlign w:val="bottom"/>
            <w:hideMark/>
          </w:tcPr>
          <w:p w14:paraId="1C242C0A" w14:textId="77777777" w:rsidR="004D19BE" w:rsidRPr="00F5643D" w:rsidRDefault="004D19BE" w:rsidP="004D19BE">
            <w:pPr>
              <w:rPr>
                <w:rFonts w:ascii="Trebuchet MS" w:hAnsi="Trebuchet MS"/>
                <w:b w:val="0"/>
                <w:color w:val="000000"/>
              </w:rPr>
            </w:pPr>
            <w:r w:rsidRPr="00F5643D">
              <w:rPr>
                <w:rFonts w:ascii="Trebuchet MS" w:hAnsi="Trebuchet MS"/>
                <w:color w:val="000000"/>
              </w:rPr>
              <w:t>PREDEL. DEJ. SKUPAJ</w:t>
            </w:r>
          </w:p>
        </w:tc>
        <w:tc>
          <w:tcPr>
            <w:tcW w:w="619" w:type="pct"/>
            <w:vAlign w:val="center"/>
          </w:tcPr>
          <w:p w14:paraId="32BA29A4" w14:textId="77777777" w:rsidR="004D19BE" w:rsidRPr="000146FF"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0146FF">
              <w:rPr>
                <w:b/>
              </w:rPr>
              <w:t>9.364</w:t>
            </w:r>
          </w:p>
        </w:tc>
        <w:tc>
          <w:tcPr>
            <w:tcW w:w="619" w:type="pct"/>
            <w:vAlign w:val="center"/>
          </w:tcPr>
          <w:p w14:paraId="2ADC4049" w14:textId="77777777" w:rsidR="004D19BE" w:rsidRPr="000146FF"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0146FF">
              <w:rPr>
                <w:b/>
              </w:rPr>
              <w:t>8.639</w:t>
            </w:r>
          </w:p>
        </w:tc>
        <w:tc>
          <w:tcPr>
            <w:tcW w:w="619" w:type="pct"/>
            <w:vAlign w:val="center"/>
          </w:tcPr>
          <w:p w14:paraId="5E9B03D7" w14:textId="77777777" w:rsidR="004D19BE" w:rsidRPr="000146FF"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0146FF">
              <w:rPr>
                <w:b/>
              </w:rPr>
              <w:t>-682</w:t>
            </w:r>
          </w:p>
        </w:tc>
        <w:tc>
          <w:tcPr>
            <w:tcW w:w="619" w:type="pct"/>
            <w:vAlign w:val="center"/>
          </w:tcPr>
          <w:p w14:paraId="7BEF2857" w14:textId="77777777" w:rsidR="004D19BE" w:rsidRPr="000146FF"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0146FF">
              <w:rPr>
                <w:b/>
              </w:rPr>
              <w:t>-6,8%</w:t>
            </w:r>
          </w:p>
        </w:tc>
        <w:tc>
          <w:tcPr>
            <w:tcW w:w="619" w:type="pct"/>
            <w:vAlign w:val="center"/>
          </w:tcPr>
          <w:p w14:paraId="20EB9E9F" w14:textId="77777777" w:rsidR="004D19BE" w:rsidRPr="000146FF"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0146FF">
              <w:rPr>
                <w:b/>
              </w:rPr>
              <w:t>8.628</w:t>
            </w:r>
          </w:p>
        </w:tc>
        <w:tc>
          <w:tcPr>
            <w:tcW w:w="619" w:type="pct"/>
            <w:vAlign w:val="center"/>
          </w:tcPr>
          <w:p w14:paraId="0A310DE9" w14:textId="77777777" w:rsidR="004D19BE" w:rsidRPr="000146FF"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0146FF">
              <w:rPr>
                <w:b/>
              </w:rPr>
              <w:t>2,6%</w:t>
            </w:r>
          </w:p>
        </w:tc>
      </w:tr>
      <w:tr w:rsidR="004D19BE" w:rsidRPr="00C13E3C" w14:paraId="7B95A2BD" w14:textId="77777777" w:rsidTr="002C098B">
        <w:tc>
          <w:tcPr>
            <w:cnfStyle w:val="001000000000" w:firstRow="0" w:lastRow="0" w:firstColumn="1" w:lastColumn="0" w:oddVBand="0" w:evenVBand="0" w:oddHBand="0" w:evenHBand="0" w:firstRowFirstColumn="0" w:firstRowLastColumn="0" w:lastRowFirstColumn="0" w:lastRowLastColumn="0"/>
            <w:tcW w:w="1286" w:type="pct"/>
            <w:noWrap/>
            <w:vAlign w:val="center"/>
            <w:hideMark/>
          </w:tcPr>
          <w:p w14:paraId="76D43318" w14:textId="77777777" w:rsidR="004D19BE" w:rsidRPr="00F5643D" w:rsidRDefault="004D19BE" w:rsidP="004D19BE">
            <w:pPr>
              <w:rPr>
                <w:rFonts w:ascii="Trebuchet MS" w:hAnsi="Trebuchet MS"/>
                <w:color w:val="000000"/>
              </w:rPr>
            </w:pPr>
            <w:r w:rsidRPr="00F5643D">
              <w:rPr>
                <w:rFonts w:ascii="Trebuchet MS" w:hAnsi="Trebuchet MS"/>
                <w:color w:val="000000"/>
              </w:rPr>
              <w:t>Prehrambna</w:t>
            </w:r>
          </w:p>
        </w:tc>
        <w:tc>
          <w:tcPr>
            <w:tcW w:w="619" w:type="pct"/>
            <w:noWrap/>
            <w:vAlign w:val="center"/>
          </w:tcPr>
          <w:p w14:paraId="45B91E3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1.638</w:t>
            </w:r>
          </w:p>
        </w:tc>
        <w:tc>
          <w:tcPr>
            <w:tcW w:w="619" w:type="pct"/>
            <w:noWrap/>
            <w:vAlign w:val="center"/>
          </w:tcPr>
          <w:p w14:paraId="69C85561"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1.630</w:t>
            </w:r>
          </w:p>
        </w:tc>
        <w:tc>
          <w:tcPr>
            <w:tcW w:w="619" w:type="pct"/>
            <w:noWrap/>
            <w:vAlign w:val="center"/>
          </w:tcPr>
          <w:p w14:paraId="458055AF"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-124</w:t>
            </w:r>
          </w:p>
        </w:tc>
        <w:tc>
          <w:tcPr>
            <w:tcW w:w="619" w:type="pct"/>
            <w:noWrap/>
            <w:vAlign w:val="center"/>
          </w:tcPr>
          <w:p w14:paraId="6764068B"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-7,0%</w:t>
            </w:r>
          </w:p>
        </w:tc>
        <w:tc>
          <w:tcPr>
            <w:tcW w:w="619" w:type="pct"/>
            <w:noWrap/>
            <w:vAlign w:val="center"/>
          </w:tcPr>
          <w:p w14:paraId="035BF8E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1.620</w:t>
            </w:r>
          </w:p>
        </w:tc>
        <w:tc>
          <w:tcPr>
            <w:tcW w:w="619" w:type="pct"/>
            <w:noWrap/>
            <w:vAlign w:val="center"/>
          </w:tcPr>
          <w:p w14:paraId="7A67CFA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0,1%</w:t>
            </w:r>
          </w:p>
        </w:tc>
      </w:tr>
      <w:tr w:rsidR="009B538E" w:rsidRPr="00C13E3C" w14:paraId="32678C31" w14:textId="77777777" w:rsidTr="00405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6" w:type="pct"/>
            <w:noWrap/>
            <w:vAlign w:val="center"/>
            <w:hideMark/>
          </w:tcPr>
          <w:p w14:paraId="369116AF" w14:textId="77777777" w:rsidR="004D19BE" w:rsidRPr="00F5643D" w:rsidRDefault="004D19BE" w:rsidP="004D19BE">
            <w:pPr>
              <w:rPr>
                <w:rFonts w:ascii="Trebuchet MS" w:hAnsi="Trebuchet MS"/>
                <w:color w:val="000000"/>
              </w:rPr>
            </w:pPr>
            <w:r w:rsidRPr="00F5643D">
              <w:rPr>
                <w:rFonts w:ascii="Trebuchet MS" w:hAnsi="Trebuchet MS"/>
                <w:color w:val="000000"/>
              </w:rPr>
              <w:t>Tekstilna</w:t>
            </w:r>
          </w:p>
        </w:tc>
        <w:tc>
          <w:tcPr>
            <w:tcW w:w="619" w:type="pct"/>
            <w:noWrap/>
            <w:vAlign w:val="center"/>
          </w:tcPr>
          <w:p w14:paraId="7720124F"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212</w:t>
            </w:r>
          </w:p>
        </w:tc>
        <w:tc>
          <w:tcPr>
            <w:tcW w:w="619" w:type="pct"/>
            <w:noWrap/>
            <w:vAlign w:val="center"/>
          </w:tcPr>
          <w:p w14:paraId="246B5FA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238</w:t>
            </w:r>
          </w:p>
        </w:tc>
        <w:tc>
          <w:tcPr>
            <w:tcW w:w="619" w:type="pct"/>
            <w:noWrap/>
            <w:vAlign w:val="center"/>
          </w:tcPr>
          <w:p w14:paraId="464071F0"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-188</w:t>
            </w:r>
          </w:p>
        </w:tc>
        <w:tc>
          <w:tcPr>
            <w:tcW w:w="619" w:type="pct"/>
            <w:noWrap/>
            <w:vAlign w:val="center"/>
          </w:tcPr>
          <w:p w14:paraId="315FE4D9"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-46,9%</w:t>
            </w:r>
          </w:p>
        </w:tc>
        <w:tc>
          <w:tcPr>
            <w:tcW w:w="619" w:type="pct"/>
            <w:noWrap/>
            <w:vAlign w:val="center"/>
          </w:tcPr>
          <w:p w14:paraId="46DB1872"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203</w:t>
            </w:r>
          </w:p>
        </w:tc>
        <w:tc>
          <w:tcPr>
            <w:tcW w:w="619" w:type="pct"/>
            <w:noWrap/>
            <w:vAlign w:val="center"/>
          </w:tcPr>
          <w:p w14:paraId="5E45AF6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1,5%</w:t>
            </w:r>
          </w:p>
        </w:tc>
      </w:tr>
      <w:tr w:rsidR="004D19BE" w:rsidRPr="00C13E3C" w14:paraId="6F90A73B" w14:textId="77777777" w:rsidTr="002C098B">
        <w:tc>
          <w:tcPr>
            <w:cnfStyle w:val="001000000000" w:firstRow="0" w:lastRow="0" w:firstColumn="1" w:lastColumn="0" w:oddVBand="0" w:evenVBand="0" w:oddHBand="0" w:evenHBand="0" w:firstRowFirstColumn="0" w:firstRowLastColumn="0" w:lastRowFirstColumn="0" w:lastRowLastColumn="0"/>
            <w:tcW w:w="1286" w:type="pct"/>
            <w:noWrap/>
            <w:vAlign w:val="center"/>
            <w:hideMark/>
          </w:tcPr>
          <w:p w14:paraId="4979F1FE" w14:textId="77777777" w:rsidR="004D19BE" w:rsidRPr="00F5643D" w:rsidRDefault="004D19BE" w:rsidP="004D19BE">
            <w:pPr>
              <w:rPr>
                <w:rFonts w:ascii="Trebuchet MS" w:hAnsi="Trebuchet MS"/>
                <w:color w:val="000000"/>
              </w:rPr>
            </w:pPr>
            <w:r w:rsidRPr="00F5643D">
              <w:rPr>
                <w:rFonts w:ascii="Trebuchet MS" w:hAnsi="Trebuchet MS"/>
                <w:color w:val="000000"/>
              </w:rPr>
              <w:t>Lesna</w:t>
            </w:r>
          </w:p>
        </w:tc>
        <w:tc>
          <w:tcPr>
            <w:tcW w:w="619" w:type="pct"/>
            <w:noWrap/>
            <w:vAlign w:val="center"/>
          </w:tcPr>
          <w:p w14:paraId="66456DF8"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754</w:t>
            </w:r>
          </w:p>
        </w:tc>
        <w:tc>
          <w:tcPr>
            <w:tcW w:w="619" w:type="pct"/>
            <w:noWrap/>
            <w:vAlign w:val="center"/>
          </w:tcPr>
          <w:p w14:paraId="1098B4FD"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650</w:t>
            </w:r>
          </w:p>
        </w:tc>
        <w:tc>
          <w:tcPr>
            <w:tcW w:w="619" w:type="pct"/>
            <w:noWrap/>
            <w:vAlign w:val="center"/>
          </w:tcPr>
          <w:p w14:paraId="4D6404FB"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-14</w:t>
            </w:r>
          </w:p>
        </w:tc>
        <w:tc>
          <w:tcPr>
            <w:tcW w:w="619" w:type="pct"/>
            <w:noWrap/>
            <w:vAlign w:val="center"/>
          </w:tcPr>
          <w:p w14:paraId="111FFE6F"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-1,9%</w:t>
            </w:r>
          </w:p>
        </w:tc>
        <w:tc>
          <w:tcPr>
            <w:tcW w:w="619" w:type="pct"/>
            <w:noWrap/>
            <w:vAlign w:val="center"/>
          </w:tcPr>
          <w:p w14:paraId="1370955C"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668</w:t>
            </w:r>
          </w:p>
        </w:tc>
        <w:tc>
          <w:tcPr>
            <w:tcW w:w="619" w:type="pct"/>
            <w:noWrap/>
            <w:vAlign w:val="center"/>
          </w:tcPr>
          <w:p w14:paraId="611EA444"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5,9%</w:t>
            </w:r>
          </w:p>
        </w:tc>
      </w:tr>
      <w:tr w:rsidR="009B538E" w:rsidRPr="00C13E3C" w14:paraId="115862B4" w14:textId="77777777" w:rsidTr="00405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6" w:type="pct"/>
            <w:noWrap/>
            <w:vAlign w:val="center"/>
            <w:hideMark/>
          </w:tcPr>
          <w:p w14:paraId="1B6C7D2B" w14:textId="77777777" w:rsidR="004D19BE" w:rsidRPr="00F5643D" w:rsidRDefault="004D19BE" w:rsidP="004D19BE">
            <w:pPr>
              <w:rPr>
                <w:rFonts w:ascii="Trebuchet MS" w:hAnsi="Trebuchet MS"/>
                <w:color w:val="000000"/>
              </w:rPr>
            </w:pPr>
            <w:r w:rsidRPr="00F5643D">
              <w:rPr>
                <w:rFonts w:ascii="Trebuchet MS" w:hAnsi="Trebuchet MS"/>
                <w:color w:val="000000"/>
              </w:rPr>
              <w:t>Papirna</w:t>
            </w:r>
          </w:p>
        </w:tc>
        <w:tc>
          <w:tcPr>
            <w:tcW w:w="619" w:type="pct"/>
            <w:noWrap/>
            <w:vAlign w:val="center"/>
          </w:tcPr>
          <w:p w14:paraId="2C0AA27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585</w:t>
            </w:r>
          </w:p>
        </w:tc>
        <w:tc>
          <w:tcPr>
            <w:tcW w:w="619" w:type="pct"/>
            <w:noWrap/>
            <w:vAlign w:val="center"/>
          </w:tcPr>
          <w:p w14:paraId="2F080394"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534</w:t>
            </w:r>
          </w:p>
        </w:tc>
        <w:tc>
          <w:tcPr>
            <w:tcW w:w="619" w:type="pct"/>
            <w:noWrap/>
            <w:vAlign w:val="center"/>
          </w:tcPr>
          <w:p w14:paraId="617E15C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-73</w:t>
            </w:r>
          </w:p>
        </w:tc>
        <w:tc>
          <w:tcPr>
            <w:tcW w:w="619" w:type="pct"/>
            <w:noWrap/>
            <w:vAlign w:val="center"/>
          </w:tcPr>
          <w:p w14:paraId="3D15C13E"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-11,1%</w:t>
            </w:r>
          </w:p>
        </w:tc>
        <w:tc>
          <w:tcPr>
            <w:tcW w:w="619" w:type="pct"/>
            <w:noWrap/>
            <w:vAlign w:val="center"/>
          </w:tcPr>
          <w:p w14:paraId="06A3347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514</w:t>
            </w:r>
          </w:p>
        </w:tc>
        <w:tc>
          <w:tcPr>
            <w:tcW w:w="619" w:type="pct"/>
            <w:noWrap/>
            <w:vAlign w:val="center"/>
          </w:tcPr>
          <w:p w14:paraId="3E20F4B4"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3,6%</w:t>
            </w:r>
          </w:p>
        </w:tc>
      </w:tr>
      <w:tr w:rsidR="004D19BE" w:rsidRPr="00C13E3C" w14:paraId="005F73E0" w14:textId="77777777" w:rsidTr="002C098B">
        <w:tc>
          <w:tcPr>
            <w:cnfStyle w:val="001000000000" w:firstRow="0" w:lastRow="0" w:firstColumn="1" w:lastColumn="0" w:oddVBand="0" w:evenVBand="0" w:oddHBand="0" w:evenHBand="0" w:firstRowFirstColumn="0" w:firstRowLastColumn="0" w:lastRowFirstColumn="0" w:lastRowLastColumn="0"/>
            <w:tcW w:w="1286" w:type="pct"/>
            <w:noWrap/>
            <w:vAlign w:val="center"/>
            <w:hideMark/>
          </w:tcPr>
          <w:p w14:paraId="06CF478B" w14:textId="77777777" w:rsidR="004D19BE" w:rsidRPr="00F5643D" w:rsidRDefault="004D19BE" w:rsidP="004D19BE">
            <w:pPr>
              <w:rPr>
                <w:rFonts w:ascii="Trebuchet MS" w:hAnsi="Trebuchet MS"/>
                <w:color w:val="000000"/>
              </w:rPr>
            </w:pPr>
            <w:r w:rsidRPr="00F5643D">
              <w:rPr>
                <w:rFonts w:ascii="Trebuchet MS" w:hAnsi="Trebuchet MS"/>
                <w:color w:val="000000"/>
              </w:rPr>
              <w:t>Kemična</w:t>
            </w:r>
          </w:p>
        </w:tc>
        <w:tc>
          <w:tcPr>
            <w:tcW w:w="619" w:type="pct"/>
            <w:noWrap/>
            <w:vAlign w:val="center"/>
          </w:tcPr>
          <w:p w14:paraId="58F86328"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1.271</w:t>
            </w:r>
          </w:p>
        </w:tc>
        <w:tc>
          <w:tcPr>
            <w:tcW w:w="619" w:type="pct"/>
            <w:noWrap/>
            <w:vAlign w:val="center"/>
          </w:tcPr>
          <w:p w14:paraId="4C00D03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1.166</w:t>
            </w:r>
          </w:p>
        </w:tc>
        <w:tc>
          <w:tcPr>
            <w:tcW w:w="619" w:type="pct"/>
            <w:noWrap/>
            <w:vAlign w:val="center"/>
          </w:tcPr>
          <w:p w14:paraId="563FDFC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-35</w:t>
            </w:r>
          </w:p>
        </w:tc>
        <w:tc>
          <w:tcPr>
            <w:tcW w:w="619" w:type="pct"/>
            <w:noWrap/>
            <w:vAlign w:val="center"/>
          </w:tcPr>
          <w:p w14:paraId="6B780E4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-2,7%</w:t>
            </w:r>
          </w:p>
        </w:tc>
        <w:tc>
          <w:tcPr>
            <w:tcW w:w="619" w:type="pct"/>
            <w:noWrap/>
            <w:vAlign w:val="center"/>
          </w:tcPr>
          <w:p w14:paraId="77C7F2AF"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1.164</w:t>
            </w:r>
          </w:p>
        </w:tc>
        <w:tc>
          <w:tcPr>
            <w:tcW w:w="619" w:type="pct"/>
            <w:noWrap/>
            <w:vAlign w:val="center"/>
          </w:tcPr>
          <w:p w14:paraId="4CB61564"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3,0%</w:t>
            </w:r>
          </w:p>
        </w:tc>
      </w:tr>
      <w:tr w:rsidR="009B538E" w:rsidRPr="00C13E3C" w14:paraId="76518D44" w14:textId="77777777" w:rsidTr="00405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6" w:type="pct"/>
            <w:noWrap/>
            <w:vAlign w:val="center"/>
            <w:hideMark/>
          </w:tcPr>
          <w:p w14:paraId="68ED03FB" w14:textId="77777777" w:rsidR="004D19BE" w:rsidRPr="00F5643D" w:rsidRDefault="004D19BE" w:rsidP="004D19BE">
            <w:pPr>
              <w:rPr>
                <w:rFonts w:ascii="Trebuchet MS" w:hAnsi="Trebuchet MS"/>
                <w:color w:val="000000"/>
              </w:rPr>
            </w:pPr>
            <w:r w:rsidRPr="00F5643D">
              <w:rPr>
                <w:rFonts w:ascii="Trebuchet MS" w:hAnsi="Trebuchet MS"/>
                <w:color w:val="000000"/>
              </w:rPr>
              <w:t>Nekovinska</w:t>
            </w:r>
          </w:p>
        </w:tc>
        <w:tc>
          <w:tcPr>
            <w:tcW w:w="619" w:type="pct"/>
            <w:noWrap/>
            <w:vAlign w:val="center"/>
          </w:tcPr>
          <w:p w14:paraId="67BEA972"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403</w:t>
            </w:r>
          </w:p>
        </w:tc>
        <w:tc>
          <w:tcPr>
            <w:tcW w:w="619" w:type="pct"/>
            <w:noWrap/>
            <w:vAlign w:val="center"/>
          </w:tcPr>
          <w:p w14:paraId="18776CE8"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434</w:t>
            </w:r>
          </w:p>
        </w:tc>
        <w:tc>
          <w:tcPr>
            <w:tcW w:w="619" w:type="pct"/>
            <w:noWrap/>
            <w:vAlign w:val="center"/>
          </w:tcPr>
          <w:p w14:paraId="3899C8B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-244</w:t>
            </w:r>
          </w:p>
        </w:tc>
        <w:tc>
          <w:tcPr>
            <w:tcW w:w="619" w:type="pct"/>
            <w:noWrap/>
            <w:vAlign w:val="center"/>
          </w:tcPr>
          <w:p w14:paraId="7EB6C6EF"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-37,7%</w:t>
            </w:r>
          </w:p>
        </w:tc>
        <w:tc>
          <w:tcPr>
            <w:tcW w:w="619" w:type="pct"/>
            <w:noWrap/>
            <w:vAlign w:val="center"/>
          </w:tcPr>
          <w:p w14:paraId="44FABB94"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370</w:t>
            </w:r>
          </w:p>
        </w:tc>
        <w:tc>
          <w:tcPr>
            <w:tcW w:w="619" w:type="pct"/>
            <w:noWrap/>
            <w:vAlign w:val="center"/>
          </w:tcPr>
          <w:p w14:paraId="61FB073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1,2%</w:t>
            </w:r>
          </w:p>
        </w:tc>
      </w:tr>
      <w:tr w:rsidR="004D19BE" w:rsidRPr="00C13E3C" w14:paraId="2EFA2842" w14:textId="77777777" w:rsidTr="002C098B">
        <w:tc>
          <w:tcPr>
            <w:cnfStyle w:val="001000000000" w:firstRow="0" w:lastRow="0" w:firstColumn="1" w:lastColumn="0" w:oddVBand="0" w:evenVBand="0" w:oddHBand="0" w:evenHBand="0" w:firstRowFirstColumn="0" w:firstRowLastColumn="0" w:lastRowFirstColumn="0" w:lastRowLastColumn="0"/>
            <w:tcW w:w="1286" w:type="pct"/>
            <w:noWrap/>
            <w:vAlign w:val="center"/>
            <w:hideMark/>
          </w:tcPr>
          <w:p w14:paraId="31A56F4D" w14:textId="77777777" w:rsidR="004D19BE" w:rsidRPr="00F5643D" w:rsidRDefault="004D19BE" w:rsidP="004D19BE">
            <w:pPr>
              <w:rPr>
                <w:rFonts w:ascii="Trebuchet MS" w:hAnsi="Trebuchet MS"/>
                <w:color w:val="000000"/>
              </w:rPr>
            </w:pPr>
            <w:r w:rsidRPr="00F5643D">
              <w:rPr>
                <w:rFonts w:ascii="Trebuchet MS" w:hAnsi="Trebuchet MS"/>
                <w:color w:val="000000"/>
              </w:rPr>
              <w:t>Kovinska</w:t>
            </w:r>
          </w:p>
        </w:tc>
        <w:tc>
          <w:tcPr>
            <w:tcW w:w="619" w:type="pct"/>
            <w:noWrap/>
            <w:vAlign w:val="center"/>
          </w:tcPr>
          <w:p w14:paraId="32ABB1B8"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2.223</w:t>
            </w:r>
          </w:p>
        </w:tc>
        <w:tc>
          <w:tcPr>
            <w:tcW w:w="619" w:type="pct"/>
            <w:noWrap/>
            <w:vAlign w:val="center"/>
          </w:tcPr>
          <w:p w14:paraId="7FCDA406"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1.913</w:t>
            </w:r>
          </w:p>
        </w:tc>
        <w:tc>
          <w:tcPr>
            <w:tcW w:w="619" w:type="pct"/>
            <w:noWrap/>
            <w:vAlign w:val="center"/>
          </w:tcPr>
          <w:p w14:paraId="0F1A85A0"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0</w:t>
            </w:r>
          </w:p>
        </w:tc>
        <w:tc>
          <w:tcPr>
            <w:tcW w:w="619" w:type="pct"/>
            <w:noWrap/>
            <w:vAlign w:val="center"/>
          </w:tcPr>
          <w:p w14:paraId="0784FFF4"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0,0%</w:t>
            </w:r>
          </w:p>
        </w:tc>
        <w:tc>
          <w:tcPr>
            <w:tcW w:w="619" w:type="pct"/>
            <w:noWrap/>
            <w:vAlign w:val="center"/>
          </w:tcPr>
          <w:p w14:paraId="145BE94B"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1.993</w:t>
            </w:r>
          </w:p>
        </w:tc>
        <w:tc>
          <w:tcPr>
            <w:tcW w:w="619" w:type="pct"/>
            <w:noWrap/>
            <w:vAlign w:val="center"/>
          </w:tcPr>
          <w:p w14:paraId="251197D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3,8%</w:t>
            </w:r>
          </w:p>
        </w:tc>
      </w:tr>
      <w:tr w:rsidR="009B538E" w:rsidRPr="00C13E3C" w14:paraId="0F57A553" w14:textId="77777777" w:rsidTr="00405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6" w:type="pct"/>
            <w:noWrap/>
            <w:vAlign w:val="center"/>
            <w:hideMark/>
          </w:tcPr>
          <w:p w14:paraId="4DE74511" w14:textId="77777777" w:rsidR="004D19BE" w:rsidRPr="00F5643D" w:rsidRDefault="004D19BE" w:rsidP="004D19BE">
            <w:pPr>
              <w:rPr>
                <w:rFonts w:ascii="Trebuchet MS" w:hAnsi="Trebuchet MS"/>
                <w:color w:val="000000"/>
              </w:rPr>
            </w:pPr>
            <w:r w:rsidRPr="00F5643D">
              <w:rPr>
                <w:rFonts w:ascii="Trebuchet MS" w:hAnsi="Trebuchet MS"/>
                <w:color w:val="000000"/>
              </w:rPr>
              <w:t>Elektro</w:t>
            </w:r>
          </w:p>
        </w:tc>
        <w:tc>
          <w:tcPr>
            <w:tcW w:w="619" w:type="pct"/>
            <w:noWrap/>
            <w:vAlign w:val="center"/>
          </w:tcPr>
          <w:p w14:paraId="3C5175E4"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829</w:t>
            </w:r>
          </w:p>
        </w:tc>
        <w:tc>
          <w:tcPr>
            <w:tcW w:w="619" w:type="pct"/>
            <w:noWrap/>
            <w:vAlign w:val="center"/>
          </w:tcPr>
          <w:p w14:paraId="1C24881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764</w:t>
            </w:r>
          </w:p>
        </w:tc>
        <w:tc>
          <w:tcPr>
            <w:tcW w:w="619" w:type="pct"/>
            <w:noWrap/>
            <w:vAlign w:val="center"/>
          </w:tcPr>
          <w:p w14:paraId="4084BEA8"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-48</w:t>
            </w:r>
          </w:p>
        </w:tc>
        <w:tc>
          <w:tcPr>
            <w:tcW w:w="619" w:type="pct"/>
            <w:noWrap/>
            <w:vAlign w:val="center"/>
          </w:tcPr>
          <w:p w14:paraId="3F92FBA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-5,4%</w:t>
            </w:r>
          </w:p>
        </w:tc>
        <w:tc>
          <w:tcPr>
            <w:tcW w:w="619" w:type="pct"/>
            <w:noWrap/>
            <w:vAlign w:val="center"/>
          </w:tcPr>
          <w:p w14:paraId="04CC766F"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772</w:t>
            </w:r>
          </w:p>
        </w:tc>
        <w:tc>
          <w:tcPr>
            <w:tcW w:w="619" w:type="pct"/>
            <w:noWrap/>
            <w:vAlign w:val="center"/>
          </w:tcPr>
          <w:p w14:paraId="32E8281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3,9%</w:t>
            </w:r>
          </w:p>
        </w:tc>
      </w:tr>
      <w:tr w:rsidR="004D19BE" w:rsidRPr="00C13E3C" w14:paraId="46DFBD9C" w14:textId="77777777" w:rsidTr="002C098B">
        <w:tc>
          <w:tcPr>
            <w:cnfStyle w:val="001000000000" w:firstRow="0" w:lastRow="0" w:firstColumn="1" w:lastColumn="0" w:oddVBand="0" w:evenVBand="0" w:oddHBand="0" w:evenHBand="0" w:firstRowFirstColumn="0" w:firstRowLastColumn="0" w:lastRowFirstColumn="0" w:lastRowLastColumn="0"/>
            <w:tcW w:w="1286" w:type="pct"/>
            <w:noWrap/>
            <w:vAlign w:val="center"/>
            <w:hideMark/>
          </w:tcPr>
          <w:p w14:paraId="306E0AE4" w14:textId="77777777" w:rsidR="004D19BE" w:rsidRPr="00F5643D" w:rsidRDefault="004D19BE" w:rsidP="004D19BE">
            <w:pPr>
              <w:rPr>
                <w:rFonts w:ascii="Trebuchet MS" w:hAnsi="Trebuchet MS"/>
                <w:color w:val="000000"/>
              </w:rPr>
            </w:pPr>
            <w:r w:rsidRPr="00F5643D">
              <w:rPr>
                <w:rFonts w:ascii="Trebuchet MS" w:hAnsi="Trebuchet MS"/>
                <w:color w:val="000000"/>
              </w:rPr>
              <w:t>Strojna</w:t>
            </w:r>
          </w:p>
        </w:tc>
        <w:tc>
          <w:tcPr>
            <w:tcW w:w="619" w:type="pct"/>
            <w:noWrap/>
            <w:vAlign w:val="center"/>
          </w:tcPr>
          <w:p w14:paraId="08A486FA"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1.311</w:t>
            </w:r>
          </w:p>
        </w:tc>
        <w:tc>
          <w:tcPr>
            <w:tcW w:w="619" w:type="pct"/>
            <w:noWrap/>
            <w:vAlign w:val="center"/>
          </w:tcPr>
          <w:p w14:paraId="2ADAD680"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1.185</w:t>
            </w:r>
          </w:p>
        </w:tc>
        <w:tc>
          <w:tcPr>
            <w:tcW w:w="619" w:type="pct"/>
            <w:noWrap/>
            <w:vAlign w:val="center"/>
          </w:tcPr>
          <w:p w14:paraId="2863B06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27</w:t>
            </w:r>
          </w:p>
        </w:tc>
        <w:tc>
          <w:tcPr>
            <w:tcW w:w="619" w:type="pct"/>
            <w:noWrap/>
            <w:vAlign w:val="center"/>
          </w:tcPr>
          <w:p w14:paraId="13728F2C"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2,1%</w:t>
            </w:r>
          </w:p>
        </w:tc>
        <w:tc>
          <w:tcPr>
            <w:tcW w:w="619" w:type="pct"/>
            <w:noWrap/>
            <w:vAlign w:val="center"/>
          </w:tcPr>
          <w:p w14:paraId="2CEB5038"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1.201</w:t>
            </w:r>
          </w:p>
        </w:tc>
        <w:tc>
          <w:tcPr>
            <w:tcW w:w="619" w:type="pct"/>
            <w:noWrap/>
            <w:vAlign w:val="center"/>
          </w:tcPr>
          <w:p w14:paraId="5A7147E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1,4%</w:t>
            </w:r>
          </w:p>
        </w:tc>
      </w:tr>
      <w:tr w:rsidR="009B538E" w:rsidRPr="00C13E3C" w14:paraId="500351B1" w14:textId="77777777" w:rsidTr="00405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6" w:type="pct"/>
            <w:noWrap/>
            <w:vAlign w:val="center"/>
            <w:hideMark/>
          </w:tcPr>
          <w:p w14:paraId="1079E3F7" w14:textId="77777777" w:rsidR="004D19BE" w:rsidRPr="00F5643D" w:rsidRDefault="004D19BE" w:rsidP="004D19BE">
            <w:pPr>
              <w:rPr>
                <w:rFonts w:ascii="Trebuchet MS" w:hAnsi="Trebuchet MS"/>
                <w:color w:val="000000"/>
              </w:rPr>
            </w:pPr>
            <w:r w:rsidRPr="00F5643D">
              <w:rPr>
                <w:rFonts w:ascii="Trebuchet MS" w:hAnsi="Trebuchet MS"/>
                <w:color w:val="000000"/>
              </w:rPr>
              <w:t>Druge</w:t>
            </w:r>
          </w:p>
        </w:tc>
        <w:tc>
          <w:tcPr>
            <w:tcW w:w="619" w:type="pct"/>
            <w:noWrap/>
            <w:vAlign w:val="center"/>
          </w:tcPr>
          <w:p w14:paraId="2F2B297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138</w:t>
            </w:r>
          </w:p>
        </w:tc>
        <w:tc>
          <w:tcPr>
            <w:tcW w:w="619" w:type="pct"/>
            <w:noWrap/>
            <w:vAlign w:val="center"/>
          </w:tcPr>
          <w:p w14:paraId="25E3611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123</w:t>
            </w:r>
          </w:p>
        </w:tc>
        <w:tc>
          <w:tcPr>
            <w:tcW w:w="619" w:type="pct"/>
            <w:noWrap/>
            <w:vAlign w:val="center"/>
          </w:tcPr>
          <w:p w14:paraId="1F0FE66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16</w:t>
            </w:r>
          </w:p>
        </w:tc>
        <w:tc>
          <w:tcPr>
            <w:tcW w:w="619" w:type="pct"/>
            <w:noWrap/>
            <w:vAlign w:val="center"/>
          </w:tcPr>
          <w:p w14:paraId="4005CDD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13,3%</w:t>
            </w:r>
          </w:p>
        </w:tc>
        <w:tc>
          <w:tcPr>
            <w:tcW w:w="619" w:type="pct"/>
            <w:noWrap/>
            <w:vAlign w:val="center"/>
          </w:tcPr>
          <w:p w14:paraId="39B75AB9"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122</w:t>
            </w:r>
          </w:p>
        </w:tc>
        <w:tc>
          <w:tcPr>
            <w:tcW w:w="619" w:type="pct"/>
            <w:noWrap/>
            <w:vAlign w:val="center"/>
          </w:tcPr>
          <w:p w14:paraId="4A2030F7"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3,3%</w:t>
            </w:r>
          </w:p>
        </w:tc>
      </w:tr>
    </w:tbl>
    <w:p w14:paraId="2A61C49A" w14:textId="77777777" w:rsidR="003372D7" w:rsidRPr="009B538E" w:rsidRDefault="003372D7" w:rsidP="003372D7">
      <w:pPr>
        <w:spacing w:before="20"/>
        <w:jc w:val="both"/>
        <w:rPr>
          <w:i/>
        </w:rPr>
      </w:pPr>
      <w:r w:rsidRPr="009B538E">
        <w:rPr>
          <w:i/>
        </w:rPr>
        <w:t>Vir: SURS, strukturna statistika podjetij, preračuni Analitika GZS</w:t>
      </w:r>
    </w:p>
    <w:p w14:paraId="03BFFE7F" w14:textId="77777777" w:rsidR="007C7F66" w:rsidRPr="00964361" w:rsidRDefault="007C7F66" w:rsidP="002C7476">
      <w:pPr>
        <w:pStyle w:val="Odstavekseznama"/>
        <w:numPr>
          <w:ilvl w:val="0"/>
          <w:numId w:val="14"/>
        </w:numPr>
        <w:spacing w:before="0" w:after="160" w:line="259" w:lineRule="auto"/>
        <w:rPr>
          <w:rFonts w:cstheme="minorHAnsi"/>
          <w:b/>
          <w:bCs/>
        </w:rPr>
      </w:pPr>
      <w:r w:rsidRPr="00964361">
        <w:rPr>
          <w:rFonts w:cstheme="minorHAnsi"/>
          <w:b/>
          <w:bCs/>
        </w:rPr>
        <w:t>Prodaja na tujem trgu</w:t>
      </w:r>
    </w:p>
    <w:p w14:paraId="77930A9A" w14:textId="65B7A68C" w:rsidR="007C7F66" w:rsidRPr="00964361" w:rsidRDefault="007C7F66" w:rsidP="00405849">
      <w:pPr>
        <w:jc w:val="both"/>
        <w:rPr>
          <w:rFonts w:cstheme="minorHAnsi"/>
        </w:rPr>
      </w:pPr>
      <w:r w:rsidRPr="00964361">
        <w:rPr>
          <w:rFonts w:cstheme="minorHAnsi"/>
        </w:rPr>
        <w:t>Po začetku krize v letu 2009 in drastičnem upadu tako domačega povpraševanja kot izvoza so predelovalne dejavnosti hitro nadoknadile izgube pri izvozu. Predelovalne dejavnosti so v 2018 beležile 21,7 mrd EUR izvoza ter so tako za 43,8 % oz</w:t>
      </w:r>
      <w:r w:rsidR="00744759">
        <w:rPr>
          <w:rFonts w:cstheme="minorHAnsi"/>
        </w:rPr>
        <w:t>iroma</w:t>
      </w:r>
      <w:r w:rsidR="00744759" w:rsidRPr="00964361">
        <w:rPr>
          <w:rFonts w:cstheme="minorHAnsi"/>
        </w:rPr>
        <w:t xml:space="preserve"> </w:t>
      </w:r>
      <w:r w:rsidRPr="00964361">
        <w:rPr>
          <w:rFonts w:cstheme="minorHAnsi"/>
        </w:rPr>
        <w:t>za 6,6 mrd EUR presegle izvoz iz let</w:t>
      </w:r>
      <w:r w:rsidR="00744759">
        <w:rPr>
          <w:rFonts w:cstheme="minorHAnsi"/>
        </w:rPr>
        <w:t>a</w:t>
      </w:r>
      <w:r w:rsidRPr="00964361">
        <w:rPr>
          <w:rFonts w:cstheme="minorHAnsi"/>
        </w:rPr>
        <w:t xml:space="preserve"> 2008.</w:t>
      </w:r>
    </w:p>
    <w:p w14:paraId="5F0AA630" w14:textId="674037B4" w:rsidR="007C7F66" w:rsidRPr="00964361" w:rsidRDefault="007C7F66" w:rsidP="00405849">
      <w:pPr>
        <w:jc w:val="both"/>
        <w:rPr>
          <w:rFonts w:cstheme="minorHAnsi"/>
        </w:rPr>
      </w:pPr>
      <w:r w:rsidRPr="00964361">
        <w:rPr>
          <w:rFonts w:cstheme="minorHAnsi"/>
        </w:rPr>
        <w:t xml:space="preserve">V zadnjih </w:t>
      </w:r>
      <w:r w:rsidR="007E6B0E">
        <w:rPr>
          <w:rFonts w:cstheme="minorHAnsi"/>
        </w:rPr>
        <w:t>deset</w:t>
      </w:r>
      <w:r w:rsidRPr="00964361">
        <w:rPr>
          <w:rFonts w:cstheme="minorHAnsi"/>
        </w:rPr>
        <w:t>ih letih (2018/2008) se je znotraj predelovalnih dejavnosti izvoz najbolj zvišal v strojni, kovinski, kemični, elektro</w:t>
      </w:r>
      <w:r w:rsidR="00BD2282">
        <w:rPr>
          <w:rFonts w:cstheme="minorHAnsi"/>
        </w:rPr>
        <w:t xml:space="preserve"> in nekovinski</w:t>
      </w:r>
      <w:r w:rsidRPr="00964361">
        <w:rPr>
          <w:rFonts w:cstheme="minorHAnsi"/>
        </w:rPr>
        <w:t xml:space="preserve"> industriji (od 1,6</w:t>
      </w:r>
      <w:r w:rsidR="00BD2282">
        <w:rPr>
          <w:rFonts w:cstheme="minorHAnsi"/>
        </w:rPr>
        <w:t xml:space="preserve"> v strojni</w:t>
      </w:r>
      <w:r w:rsidRPr="00964361">
        <w:rPr>
          <w:rFonts w:cstheme="minorHAnsi"/>
        </w:rPr>
        <w:t xml:space="preserve"> do 1,3 mrd EUR</w:t>
      </w:r>
      <w:r w:rsidR="00BD2282">
        <w:rPr>
          <w:rFonts w:cstheme="minorHAnsi"/>
        </w:rPr>
        <w:t xml:space="preserve"> v strojni industriji</w:t>
      </w:r>
      <w:r w:rsidRPr="00964361">
        <w:rPr>
          <w:rFonts w:cstheme="minorHAnsi"/>
        </w:rPr>
        <w:t xml:space="preserve">). Le tekstilna industrija v 2018 ni uspela doseči nivojev izvoza iz leta 2008. V obdobju zadnjih </w:t>
      </w:r>
      <w:r w:rsidR="00C6180E">
        <w:rPr>
          <w:rFonts w:cstheme="minorHAnsi"/>
        </w:rPr>
        <w:t>pet</w:t>
      </w:r>
      <w:r w:rsidRPr="00964361">
        <w:rPr>
          <w:rFonts w:cstheme="minorHAnsi"/>
        </w:rPr>
        <w:t>ih let (2014-2018) se je izvoz v predelovalni dejavnosti vsako leto v povprečju povečal za 7,3 % letno. Med predelovalnimi dejavnostmi je izvoz v povprečju najbolj porasel v drugih predelovalnih dejavnostih (za 9,9 % letno), lesni (9,6 % letno)</w:t>
      </w:r>
      <w:r w:rsidR="001210CE">
        <w:rPr>
          <w:rFonts w:cstheme="minorHAnsi"/>
        </w:rPr>
        <w:t xml:space="preserve"> </w:t>
      </w:r>
      <w:r w:rsidR="00C6180E">
        <w:rPr>
          <w:rFonts w:cstheme="minorHAnsi"/>
        </w:rPr>
        <w:t>in</w:t>
      </w:r>
      <w:r w:rsidRPr="00964361">
        <w:rPr>
          <w:rFonts w:cstheme="minorHAnsi"/>
        </w:rPr>
        <w:t xml:space="preserve"> kovinski industriji (za 9,4 % letno)</w:t>
      </w:r>
      <w:r w:rsidR="00C6180E">
        <w:rPr>
          <w:rFonts w:cstheme="minorHAnsi"/>
        </w:rPr>
        <w:t>,</w:t>
      </w:r>
      <w:r w:rsidRPr="00964361">
        <w:rPr>
          <w:rFonts w:cstheme="minorHAnsi"/>
        </w:rPr>
        <w:t xml:space="preserve"> kakor tudi elektro in strojni industriji (8,9 in 8,8 % letno</w:t>
      </w:r>
      <w:r w:rsidR="00744759">
        <w:rPr>
          <w:rFonts w:cstheme="minorHAnsi"/>
        </w:rPr>
        <w:t>)</w:t>
      </w:r>
      <w:r w:rsidRPr="00964361">
        <w:rPr>
          <w:rFonts w:cstheme="minorHAnsi"/>
        </w:rPr>
        <w:t xml:space="preserve">. </w:t>
      </w:r>
    </w:p>
    <w:p w14:paraId="36965D2C" w14:textId="77777777" w:rsidR="007C7F66" w:rsidRPr="007041AF" w:rsidRDefault="007C7F66" w:rsidP="00A347B2">
      <w:pPr>
        <w:spacing w:after="0"/>
        <w:rPr>
          <w:rFonts w:cstheme="minorHAnsi"/>
        </w:rPr>
      </w:pPr>
      <w:r w:rsidRPr="007041AF">
        <w:rPr>
          <w:rFonts w:cstheme="minorHAnsi"/>
          <w:noProof/>
          <w:lang w:eastAsia="sl-SI"/>
        </w:rPr>
        <w:lastRenderedPageBreak/>
        <w:drawing>
          <wp:inline distT="0" distB="0" distL="0" distR="0" wp14:anchorId="40045A44" wp14:editId="0207AB76">
            <wp:extent cx="5311588" cy="2830446"/>
            <wp:effectExtent l="0" t="0" r="3810" b="8255"/>
            <wp:docPr id="17" name="Grafikon 1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CD6D9BE-EE73-4648-A134-FD8DCBD8B4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18143BD" w14:textId="77777777" w:rsidR="003372D7" w:rsidRPr="009B538E" w:rsidRDefault="003372D7" w:rsidP="003372D7">
      <w:pPr>
        <w:spacing w:before="20"/>
        <w:jc w:val="both"/>
        <w:rPr>
          <w:i/>
        </w:rPr>
      </w:pPr>
      <w:r w:rsidRPr="009B538E">
        <w:rPr>
          <w:i/>
        </w:rPr>
        <w:t>Vir: SURS, strukturna statistika podjetij, preračuni Analitika GZS</w:t>
      </w:r>
    </w:p>
    <w:p w14:paraId="171092F0" w14:textId="37ACFA8D" w:rsidR="007C7F66" w:rsidRPr="00964361" w:rsidRDefault="007C7F66" w:rsidP="00B758D5">
      <w:pPr>
        <w:jc w:val="both"/>
        <w:rPr>
          <w:rFonts w:cstheme="minorHAnsi"/>
        </w:rPr>
      </w:pPr>
      <w:r w:rsidRPr="00964361">
        <w:rPr>
          <w:rFonts w:cstheme="minorHAnsi"/>
        </w:rPr>
        <w:t xml:space="preserve">Znotraj predelovalnih </w:t>
      </w:r>
      <w:r w:rsidRPr="00FD4C45">
        <w:rPr>
          <w:rFonts w:cstheme="minorHAnsi"/>
        </w:rPr>
        <w:t>panog</w:t>
      </w:r>
      <w:r w:rsidRPr="00964361">
        <w:rPr>
          <w:rFonts w:cstheme="minorHAnsi"/>
        </w:rPr>
        <w:t xml:space="preserve"> so v 2018 največji izvozniki v strojni industriji, ki skupaj dosegajo 5,5 mrd EUR izvoza oz</w:t>
      </w:r>
      <w:r w:rsidR="00744759">
        <w:rPr>
          <w:rFonts w:cstheme="minorHAnsi"/>
        </w:rPr>
        <w:t>iroma</w:t>
      </w:r>
      <w:r w:rsidR="00744759" w:rsidRPr="00964361">
        <w:rPr>
          <w:rFonts w:cstheme="minorHAnsi"/>
        </w:rPr>
        <w:t xml:space="preserve"> </w:t>
      </w:r>
      <w:r w:rsidRPr="00964361">
        <w:rPr>
          <w:rFonts w:cstheme="minorHAnsi"/>
        </w:rPr>
        <w:t xml:space="preserve">25 % izvoza celotne predelovalne panoge, sledijo še kemična </w:t>
      </w:r>
      <w:r w:rsidR="00744759">
        <w:rPr>
          <w:rFonts w:cstheme="minorHAnsi"/>
        </w:rPr>
        <w:t>s</w:t>
      </w:r>
      <w:r w:rsidR="00744759" w:rsidRPr="00964361">
        <w:rPr>
          <w:rFonts w:cstheme="minorHAnsi"/>
        </w:rPr>
        <w:t xml:space="preserve"> </w:t>
      </w:r>
      <w:r w:rsidRPr="00964361">
        <w:rPr>
          <w:rFonts w:cstheme="minorHAnsi"/>
        </w:rPr>
        <w:t xml:space="preserve">4,8 mrd EUR, kovinska </w:t>
      </w:r>
      <w:r w:rsidR="00744759">
        <w:rPr>
          <w:rFonts w:cstheme="minorHAnsi"/>
        </w:rPr>
        <w:t>s</w:t>
      </w:r>
      <w:r w:rsidR="00744759" w:rsidRPr="00964361">
        <w:rPr>
          <w:rFonts w:cstheme="minorHAnsi"/>
        </w:rPr>
        <w:t xml:space="preserve"> </w:t>
      </w:r>
      <w:r w:rsidRPr="00964361">
        <w:rPr>
          <w:rFonts w:cstheme="minorHAnsi"/>
        </w:rPr>
        <w:t xml:space="preserve">4,3 mrd EUR in elektro industrija </w:t>
      </w:r>
      <w:r w:rsidR="00744759">
        <w:rPr>
          <w:rFonts w:cstheme="minorHAnsi"/>
        </w:rPr>
        <w:t>s</w:t>
      </w:r>
      <w:r w:rsidR="00744759" w:rsidRPr="00964361">
        <w:rPr>
          <w:rFonts w:cstheme="minorHAnsi"/>
        </w:rPr>
        <w:t xml:space="preserve"> </w:t>
      </w:r>
      <w:r w:rsidRPr="00964361">
        <w:rPr>
          <w:rFonts w:cstheme="minorHAnsi"/>
        </w:rPr>
        <w:t xml:space="preserve">3,5 mrd EUR izvoza. Slednje izvozijo kar 83 % celotnega izvoza predelovalne panoge. </w:t>
      </w:r>
    </w:p>
    <w:tbl>
      <w:tblPr>
        <w:tblStyle w:val="Tabelaseznam4poudarek61"/>
        <w:tblW w:w="9068" w:type="dxa"/>
        <w:tblLook w:val="04A0" w:firstRow="1" w:lastRow="0" w:firstColumn="1" w:lastColumn="0" w:noHBand="0" w:noVBand="1"/>
      </w:tblPr>
      <w:tblGrid>
        <w:gridCol w:w="1838"/>
        <w:gridCol w:w="1134"/>
        <w:gridCol w:w="1276"/>
        <w:gridCol w:w="1271"/>
        <w:gridCol w:w="1135"/>
        <w:gridCol w:w="1138"/>
        <w:gridCol w:w="1276"/>
      </w:tblGrid>
      <w:tr w:rsidR="009B538E" w:rsidRPr="00C13E3C" w14:paraId="18821E71" w14:textId="77777777" w:rsidTr="00865CE9">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71E1BC87" w14:textId="77777777" w:rsidR="007C7F66" w:rsidRPr="0049147B" w:rsidRDefault="007C7F66" w:rsidP="00BF7D3C">
            <w:pPr>
              <w:rPr>
                <w:b w:val="0"/>
              </w:rPr>
            </w:pPr>
            <w:r w:rsidRPr="0049147B">
              <w:t xml:space="preserve">Prihodek </w:t>
            </w:r>
          </w:p>
          <w:p w14:paraId="7C0A81D9" w14:textId="77777777" w:rsidR="007C7F66" w:rsidRPr="0049147B" w:rsidRDefault="007C7F66" w:rsidP="00BF7D3C">
            <w:r w:rsidRPr="0049147B">
              <w:t>na tujem trgu</w:t>
            </w:r>
          </w:p>
        </w:tc>
        <w:tc>
          <w:tcPr>
            <w:tcW w:w="1134" w:type="dxa"/>
            <w:vAlign w:val="center"/>
          </w:tcPr>
          <w:p w14:paraId="3A2456F2"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pPr>
            <w:r w:rsidRPr="0049147B">
              <w:t>2018,</w:t>
            </w:r>
          </w:p>
          <w:p w14:paraId="1F285829"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mio EUR</w:t>
            </w:r>
          </w:p>
        </w:tc>
        <w:tc>
          <w:tcPr>
            <w:tcW w:w="1276" w:type="dxa"/>
            <w:vAlign w:val="center"/>
          </w:tcPr>
          <w:p w14:paraId="69CAD2FE"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Ø 2008-2018,</w:t>
            </w:r>
          </w:p>
          <w:p w14:paraId="250D39A9"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mio EUR</w:t>
            </w:r>
          </w:p>
        </w:tc>
        <w:tc>
          <w:tcPr>
            <w:tcW w:w="1271" w:type="dxa"/>
            <w:vAlign w:val="center"/>
          </w:tcPr>
          <w:p w14:paraId="0769C4A4"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2018-2008,</w:t>
            </w:r>
          </w:p>
          <w:p w14:paraId="7FA97C8D"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pPr>
            <w:r w:rsidRPr="0049147B">
              <w:t>mio EUR</w:t>
            </w:r>
          </w:p>
        </w:tc>
        <w:tc>
          <w:tcPr>
            <w:tcW w:w="1135" w:type="dxa"/>
            <w:vAlign w:val="center"/>
          </w:tcPr>
          <w:p w14:paraId="241C172C"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Sprem. v %</w:t>
            </w:r>
          </w:p>
          <w:p w14:paraId="64B1C6D4"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2018/2008</w:t>
            </w:r>
          </w:p>
        </w:tc>
        <w:tc>
          <w:tcPr>
            <w:tcW w:w="1138" w:type="dxa"/>
            <w:vAlign w:val="center"/>
          </w:tcPr>
          <w:p w14:paraId="132596AC"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Ø 2014-2018,</w:t>
            </w:r>
          </w:p>
          <w:p w14:paraId="24120E4A"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mio EUR</w:t>
            </w:r>
          </w:p>
        </w:tc>
        <w:tc>
          <w:tcPr>
            <w:tcW w:w="1276" w:type="dxa"/>
            <w:vAlign w:val="center"/>
          </w:tcPr>
          <w:p w14:paraId="63BB0380" w14:textId="77777777" w:rsidR="007C7F66" w:rsidRPr="0049147B" w:rsidRDefault="00865CE9"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CAGR</w:t>
            </w:r>
            <w:r w:rsidRPr="0049147B">
              <w:rPr>
                <w:rStyle w:val="Sprotnaopomba-sklic"/>
              </w:rPr>
              <w:footnoteReference w:id="35"/>
            </w:r>
            <w:r w:rsidRPr="0049147B">
              <w:t xml:space="preserve"> v obdobju 2014-2018</w:t>
            </w:r>
            <w:r w:rsidR="007C7F66" w:rsidRPr="0049147B">
              <w:t>)</w:t>
            </w:r>
          </w:p>
        </w:tc>
      </w:tr>
      <w:tr w:rsidR="009B538E" w:rsidRPr="00C13E3C" w14:paraId="48C2F059" w14:textId="77777777" w:rsidTr="00D65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noWrap/>
            <w:vAlign w:val="bottom"/>
            <w:hideMark/>
          </w:tcPr>
          <w:p w14:paraId="52D69FD4" w14:textId="77777777" w:rsidR="004D19BE" w:rsidRPr="00F5643D" w:rsidRDefault="004D19BE" w:rsidP="004D19BE">
            <w:pPr>
              <w:rPr>
                <w:rFonts w:ascii="Trebuchet MS" w:hAnsi="Trebuchet MS"/>
                <w:b w:val="0"/>
                <w:color w:val="000000"/>
              </w:rPr>
            </w:pPr>
            <w:r w:rsidRPr="00F5643D">
              <w:rPr>
                <w:rFonts w:ascii="Trebuchet MS" w:hAnsi="Trebuchet MS"/>
                <w:color w:val="000000"/>
              </w:rPr>
              <w:t>PREDEL. DEJ. SKUPAJ</w:t>
            </w:r>
          </w:p>
        </w:tc>
        <w:tc>
          <w:tcPr>
            <w:tcW w:w="1134" w:type="dxa"/>
            <w:vAlign w:val="center"/>
          </w:tcPr>
          <w:p w14:paraId="0EBE6C7F"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21.764</w:t>
            </w:r>
          </w:p>
        </w:tc>
        <w:tc>
          <w:tcPr>
            <w:tcW w:w="1276" w:type="dxa"/>
            <w:vAlign w:val="center"/>
          </w:tcPr>
          <w:p w14:paraId="3A550DDE"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16.406</w:t>
            </w:r>
          </w:p>
        </w:tc>
        <w:tc>
          <w:tcPr>
            <w:tcW w:w="1271" w:type="dxa"/>
            <w:vAlign w:val="center"/>
          </w:tcPr>
          <w:p w14:paraId="6C01CD4B"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6.634</w:t>
            </w:r>
          </w:p>
        </w:tc>
        <w:tc>
          <w:tcPr>
            <w:tcW w:w="1135" w:type="dxa"/>
            <w:vAlign w:val="center"/>
          </w:tcPr>
          <w:p w14:paraId="1C2DB9AC"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43,8%</w:t>
            </w:r>
          </w:p>
        </w:tc>
        <w:tc>
          <w:tcPr>
            <w:tcW w:w="1138" w:type="dxa"/>
            <w:vAlign w:val="center"/>
          </w:tcPr>
          <w:p w14:paraId="2138C60A"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18.627</w:t>
            </w:r>
          </w:p>
        </w:tc>
        <w:tc>
          <w:tcPr>
            <w:tcW w:w="1276" w:type="dxa"/>
            <w:vAlign w:val="center"/>
          </w:tcPr>
          <w:p w14:paraId="1A123D36"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7,3%</w:t>
            </w:r>
          </w:p>
        </w:tc>
      </w:tr>
      <w:tr w:rsidR="004D19BE" w:rsidRPr="00C13E3C" w14:paraId="5C6193AF" w14:textId="77777777" w:rsidTr="002C098B">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798B54DB" w14:textId="77777777" w:rsidR="004D19BE" w:rsidRPr="00F5643D" w:rsidRDefault="004D19BE" w:rsidP="004D19BE">
            <w:pPr>
              <w:rPr>
                <w:rFonts w:ascii="Trebuchet MS" w:hAnsi="Trebuchet MS"/>
                <w:color w:val="000000"/>
              </w:rPr>
            </w:pPr>
            <w:r w:rsidRPr="00F5643D">
              <w:rPr>
                <w:rFonts w:ascii="Trebuchet MS" w:hAnsi="Trebuchet MS"/>
                <w:color w:val="000000"/>
              </w:rPr>
              <w:t>Prehrambna</w:t>
            </w:r>
          </w:p>
        </w:tc>
        <w:tc>
          <w:tcPr>
            <w:tcW w:w="1134" w:type="dxa"/>
            <w:noWrap/>
            <w:vAlign w:val="center"/>
          </w:tcPr>
          <w:p w14:paraId="71433D2F"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630</w:t>
            </w:r>
          </w:p>
        </w:tc>
        <w:tc>
          <w:tcPr>
            <w:tcW w:w="1276" w:type="dxa"/>
            <w:noWrap/>
            <w:vAlign w:val="center"/>
          </w:tcPr>
          <w:p w14:paraId="3B8F160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470</w:t>
            </w:r>
          </w:p>
        </w:tc>
        <w:tc>
          <w:tcPr>
            <w:tcW w:w="1271" w:type="dxa"/>
            <w:noWrap/>
            <w:vAlign w:val="center"/>
          </w:tcPr>
          <w:p w14:paraId="7B4C0DC9"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243</w:t>
            </w:r>
          </w:p>
        </w:tc>
        <w:tc>
          <w:tcPr>
            <w:tcW w:w="1135" w:type="dxa"/>
            <w:noWrap/>
            <w:vAlign w:val="center"/>
          </w:tcPr>
          <w:p w14:paraId="2FB9C7AA"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62,7%</w:t>
            </w:r>
          </w:p>
        </w:tc>
        <w:tc>
          <w:tcPr>
            <w:tcW w:w="1138" w:type="dxa"/>
            <w:noWrap/>
            <w:vAlign w:val="center"/>
          </w:tcPr>
          <w:p w14:paraId="052D911D"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548</w:t>
            </w:r>
          </w:p>
        </w:tc>
        <w:tc>
          <w:tcPr>
            <w:tcW w:w="1276" w:type="dxa"/>
            <w:noWrap/>
            <w:vAlign w:val="center"/>
          </w:tcPr>
          <w:p w14:paraId="4024BC88"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7,4%</w:t>
            </w:r>
          </w:p>
        </w:tc>
      </w:tr>
      <w:tr w:rsidR="009B538E" w:rsidRPr="00C13E3C" w14:paraId="43A1FD7C" w14:textId="77777777" w:rsidTr="00D65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266B7818" w14:textId="77777777" w:rsidR="004D19BE" w:rsidRPr="00F5643D" w:rsidRDefault="004D19BE" w:rsidP="004D19BE">
            <w:pPr>
              <w:rPr>
                <w:rFonts w:ascii="Trebuchet MS" w:hAnsi="Trebuchet MS"/>
                <w:color w:val="000000"/>
              </w:rPr>
            </w:pPr>
            <w:r w:rsidRPr="00F5643D">
              <w:rPr>
                <w:rFonts w:ascii="Trebuchet MS" w:hAnsi="Trebuchet MS"/>
                <w:color w:val="000000"/>
              </w:rPr>
              <w:t>Tekstilna</w:t>
            </w:r>
          </w:p>
        </w:tc>
        <w:tc>
          <w:tcPr>
            <w:tcW w:w="1134" w:type="dxa"/>
            <w:noWrap/>
            <w:vAlign w:val="center"/>
          </w:tcPr>
          <w:p w14:paraId="03EAEA3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661</w:t>
            </w:r>
          </w:p>
        </w:tc>
        <w:tc>
          <w:tcPr>
            <w:tcW w:w="1276" w:type="dxa"/>
            <w:noWrap/>
            <w:vAlign w:val="center"/>
          </w:tcPr>
          <w:p w14:paraId="6627197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581</w:t>
            </w:r>
          </w:p>
        </w:tc>
        <w:tc>
          <w:tcPr>
            <w:tcW w:w="1271" w:type="dxa"/>
            <w:noWrap/>
            <w:vAlign w:val="center"/>
          </w:tcPr>
          <w:p w14:paraId="0509B96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-21</w:t>
            </w:r>
          </w:p>
        </w:tc>
        <w:tc>
          <w:tcPr>
            <w:tcW w:w="1135" w:type="dxa"/>
            <w:noWrap/>
            <w:vAlign w:val="center"/>
          </w:tcPr>
          <w:p w14:paraId="6119D0CC"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-3,1%</w:t>
            </w:r>
          </w:p>
        </w:tc>
        <w:tc>
          <w:tcPr>
            <w:tcW w:w="1138" w:type="dxa"/>
            <w:noWrap/>
            <w:vAlign w:val="center"/>
          </w:tcPr>
          <w:p w14:paraId="366C070A"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578</w:t>
            </w:r>
          </w:p>
        </w:tc>
        <w:tc>
          <w:tcPr>
            <w:tcW w:w="1276" w:type="dxa"/>
            <w:noWrap/>
            <w:vAlign w:val="center"/>
          </w:tcPr>
          <w:p w14:paraId="6956D7CF"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2,9%</w:t>
            </w:r>
          </w:p>
        </w:tc>
      </w:tr>
      <w:tr w:rsidR="004D19BE" w:rsidRPr="00C13E3C" w14:paraId="260F9F49" w14:textId="77777777" w:rsidTr="002C098B">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38865D5B" w14:textId="77777777" w:rsidR="004D19BE" w:rsidRPr="00F5643D" w:rsidRDefault="004D19BE" w:rsidP="004D19BE">
            <w:pPr>
              <w:rPr>
                <w:rFonts w:ascii="Trebuchet MS" w:hAnsi="Trebuchet MS"/>
                <w:color w:val="000000"/>
              </w:rPr>
            </w:pPr>
            <w:r w:rsidRPr="00F5643D">
              <w:rPr>
                <w:rFonts w:ascii="Trebuchet MS" w:hAnsi="Trebuchet MS"/>
                <w:color w:val="000000"/>
              </w:rPr>
              <w:t>Lesna</w:t>
            </w:r>
          </w:p>
        </w:tc>
        <w:tc>
          <w:tcPr>
            <w:tcW w:w="1134" w:type="dxa"/>
            <w:noWrap/>
            <w:vAlign w:val="center"/>
          </w:tcPr>
          <w:p w14:paraId="15B847B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777</w:t>
            </w:r>
          </w:p>
        </w:tc>
        <w:tc>
          <w:tcPr>
            <w:tcW w:w="1276" w:type="dxa"/>
            <w:noWrap/>
            <w:vAlign w:val="center"/>
          </w:tcPr>
          <w:p w14:paraId="59A3571F"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571</w:t>
            </w:r>
          </w:p>
        </w:tc>
        <w:tc>
          <w:tcPr>
            <w:tcW w:w="1271" w:type="dxa"/>
            <w:noWrap/>
            <w:vAlign w:val="center"/>
          </w:tcPr>
          <w:p w14:paraId="6A5229D5"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203</w:t>
            </w:r>
          </w:p>
        </w:tc>
        <w:tc>
          <w:tcPr>
            <w:tcW w:w="1135" w:type="dxa"/>
            <w:noWrap/>
            <w:vAlign w:val="center"/>
          </w:tcPr>
          <w:p w14:paraId="6D1BCDF5"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35,3%</w:t>
            </w:r>
          </w:p>
        </w:tc>
        <w:tc>
          <w:tcPr>
            <w:tcW w:w="1138" w:type="dxa"/>
            <w:noWrap/>
            <w:vAlign w:val="center"/>
          </w:tcPr>
          <w:p w14:paraId="5EB91A5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652</w:t>
            </w:r>
          </w:p>
        </w:tc>
        <w:tc>
          <w:tcPr>
            <w:tcW w:w="1276" w:type="dxa"/>
            <w:noWrap/>
            <w:vAlign w:val="center"/>
          </w:tcPr>
          <w:p w14:paraId="7E33D8C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9,6%</w:t>
            </w:r>
          </w:p>
        </w:tc>
      </w:tr>
      <w:tr w:rsidR="009B538E" w:rsidRPr="00C13E3C" w14:paraId="053C001C" w14:textId="77777777" w:rsidTr="00D65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405E8378" w14:textId="77777777" w:rsidR="004D19BE" w:rsidRPr="00F5643D" w:rsidRDefault="004D19BE" w:rsidP="004D19BE">
            <w:pPr>
              <w:rPr>
                <w:rFonts w:ascii="Trebuchet MS" w:hAnsi="Trebuchet MS"/>
                <w:color w:val="000000"/>
              </w:rPr>
            </w:pPr>
            <w:r w:rsidRPr="00F5643D">
              <w:rPr>
                <w:rFonts w:ascii="Trebuchet MS" w:hAnsi="Trebuchet MS"/>
                <w:color w:val="000000"/>
              </w:rPr>
              <w:t>Papirna</w:t>
            </w:r>
          </w:p>
        </w:tc>
        <w:tc>
          <w:tcPr>
            <w:tcW w:w="1134" w:type="dxa"/>
            <w:noWrap/>
            <w:vAlign w:val="center"/>
          </w:tcPr>
          <w:p w14:paraId="04E6652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743</w:t>
            </w:r>
          </w:p>
        </w:tc>
        <w:tc>
          <w:tcPr>
            <w:tcW w:w="1276" w:type="dxa"/>
            <w:noWrap/>
            <w:vAlign w:val="center"/>
          </w:tcPr>
          <w:p w14:paraId="15C3DC8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629</w:t>
            </w:r>
          </w:p>
        </w:tc>
        <w:tc>
          <w:tcPr>
            <w:tcW w:w="1271" w:type="dxa"/>
            <w:noWrap/>
            <w:vAlign w:val="center"/>
          </w:tcPr>
          <w:p w14:paraId="15F083A2"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197</w:t>
            </w:r>
          </w:p>
        </w:tc>
        <w:tc>
          <w:tcPr>
            <w:tcW w:w="1135" w:type="dxa"/>
            <w:noWrap/>
            <w:vAlign w:val="center"/>
          </w:tcPr>
          <w:p w14:paraId="46F6AE1A"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36,1%</w:t>
            </w:r>
          </w:p>
        </w:tc>
        <w:tc>
          <w:tcPr>
            <w:tcW w:w="1138" w:type="dxa"/>
            <w:noWrap/>
            <w:vAlign w:val="center"/>
          </w:tcPr>
          <w:p w14:paraId="0081E388"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696</w:t>
            </w:r>
          </w:p>
        </w:tc>
        <w:tc>
          <w:tcPr>
            <w:tcW w:w="1276" w:type="dxa"/>
            <w:noWrap/>
            <w:vAlign w:val="center"/>
          </w:tcPr>
          <w:p w14:paraId="120281D8"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3,8%</w:t>
            </w:r>
          </w:p>
        </w:tc>
      </w:tr>
      <w:tr w:rsidR="004D19BE" w:rsidRPr="00C13E3C" w14:paraId="1346D892" w14:textId="77777777" w:rsidTr="002C098B">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69DCD978" w14:textId="77777777" w:rsidR="004D19BE" w:rsidRPr="00F5643D" w:rsidRDefault="004D19BE" w:rsidP="004D19BE">
            <w:pPr>
              <w:rPr>
                <w:rFonts w:ascii="Trebuchet MS" w:hAnsi="Trebuchet MS"/>
                <w:color w:val="000000"/>
              </w:rPr>
            </w:pPr>
            <w:r w:rsidRPr="00F5643D">
              <w:rPr>
                <w:rFonts w:ascii="Trebuchet MS" w:hAnsi="Trebuchet MS"/>
                <w:color w:val="000000"/>
              </w:rPr>
              <w:t>Kemična</w:t>
            </w:r>
          </w:p>
        </w:tc>
        <w:tc>
          <w:tcPr>
            <w:tcW w:w="1134" w:type="dxa"/>
            <w:noWrap/>
            <w:vAlign w:val="center"/>
          </w:tcPr>
          <w:p w14:paraId="588FC7FE"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4.762</w:t>
            </w:r>
          </w:p>
        </w:tc>
        <w:tc>
          <w:tcPr>
            <w:tcW w:w="1276" w:type="dxa"/>
            <w:noWrap/>
            <w:vAlign w:val="center"/>
          </w:tcPr>
          <w:p w14:paraId="1EF832F1"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3.861</w:t>
            </w:r>
          </w:p>
        </w:tc>
        <w:tc>
          <w:tcPr>
            <w:tcW w:w="1271" w:type="dxa"/>
            <w:noWrap/>
            <w:vAlign w:val="center"/>
          </w:tcPr>
          <w:p w14:paraId="32C70EF5"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1.391</w:t>
            </w:r>
          </w:p>
        </w:tc>
        <w:tc>
          <w:tcPr>
            <w:tcW w:w="1135" w:type="dxa"/>
            <w:noWrap/>
            <w:vAlign w:val="center"/>
          </w:tcPr>
          <w:p w14:paraId="1995AAD1"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41,3%</w:t>
            </w:r>
          </w:p>
        </w:tc>
        <w:tc>
          <w:tcPr>
            <w:tcW w:w="1138" w:type="dxa"/>
            <w:noWrap/>
            <w:vAlign w:val="center"/>
          </w:tcPr>
          <w:p w14:paraId="1DC6D74A"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4.322</w:t>
            </w:r>
          </w:p>
        </w:tc>
        <w:tc>
          <w:tcPr>
            <w:tcW w:w="1276" w:type="dxa"/>
            <w:noWrap/>
            <w:vAlign w:val="center"/>
          </w:tcPr>
          <w:p w14:paraId="703DF0AC"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3,9%</w:t>
            </w:r>
          </w:p>
        </w:tc>
      </w:tr>
      <w:tr w:rsidR="009B538E" w:rsidRPr="00C13E3C" w14:paraId="10C7DBB7" w14:textId="77777777" w:rsidTr="00D65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1FEF03AD" w14:textId="77777777" w:rsidR="004D19BE" w:rsidRPr="00F5643D" w:rsidRDefault="004D19BE" w:rsidP="004D19BE">
            <w:pPr>
              <w:rPr>
                <w:rFonts w:ascii="Trebuchet MS" w:hAnsi="Trebuchet MS"/>
                <w:color w:val="000000"/>
              </w:rPr>
            </w:pPr>
            <w:r w:rsidRPr="00F5643D">
              <w:rPr>
                <w:rFonts w:ascii="Trebuchet MS" w:hAnsi="Trebuchet MS"/>
                <w:color w:val="000000"/>
              </w:rPr>
              <w:t>Nekovinska</w:t>
            </w:r>
          </w:p>
        </w:tc>
        <w:tc>
          <w:tcPr>
            <w:tcW w:w="1134" w:type="dxa"/>
            <w:noWrap/>
            <w:vAlign w:val="center"/>
          </w:tcPr>
          <w:p w14:paraId="2F6CC4E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589</w:t>
            </w:r>
          </w:p>
        </w:tc>
        <w:tc>
          <w:tcPr>
            <w:tcW w:w="1276" w:type="dxa"/>
            <w:noWrap/>
            <w:vAlign w:val="center"/>
          </w:tcPr>
          <w:p w14:paraId="7ACA056A"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459</w:t>
            </w:r>
          </w:p>
        </w:tc>
        <w:tc>
          <w:tcPr>
            <w:tcW w:w="1271" w:type="dxa"/>
            <w:noWrap/>
            <w:vAlign w:val="center"/>
          </w:tcPr>
          <w:p w14:paraId="333EA24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181</w:t>
            </w:r>
          </w:p>
        </w:tc>
        <w:tc>
          <w:tcPr>
            <w:tcW w:w="1135" w:type="dxa"/>
            <w:noWrap/>
            <w:vAlign w:val="center"/>
          </w:tcPr>
          <w:p w14:paraId="04E35D1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44,4%</w:t>
            </w:r>
          </w:p>
        </w:tc>
        <w:tc>
          <w:tcPr>
            <w:tcW w:w="1138" w:type="dxa"/>
            <w:noWrap/>
            <w:vAlign w:val="center"/>
          </w:tcPr>
          <w:p w14:paraId="217663FE"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532</w:t>
            </w:r>
          </w:p>
        </w:tc>
        <w:tc>
          <w:tcPr>
            <w:tcW w:w="1276" w:type="dxa"/>
            <w:noWrap/>
            <w:vAlign w:val="center"/>
          </w:tcPr>
          <w:p w14:paraId="55E6C2B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5,4%</w:t>
            </w:r>
          </w:p>
        </w:tc>
      </w:tr>
      <w:tr w:rsidR="004D19BE" w:rsidRPr="00C13E3C" w14:paraId="3C3298B6" w14:textId="77777777" w:rsidTr="002C098B">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5E44C608" w14:textId="77777777" w:rsidR="004D19BE" w:rsidRPr="00F5643D" w:rsidRDefault="004D19BE" w:rsidP="004D19BE">
            <w:pPr>
              <w:rPr>
                <w:rFonts w:ascii="Trebuchet MS" w:hAnsi="Trebuchet MS"/>
                <w:color w:val="000000"/>
              </w:rPr>
            </w:pPr>
            <w:r w:rsidRPr="00F5643D">
              <w:rPr>
                <w:rFonts w:ascii="Trebuchet MS" w:hAnsi="Trebuchet MS"/>
                <w:color w:val="000000"/>
              </w:rPr>
              <w:t>Kovinska</w:t>
            </w:r>
          </w:p>
        </w:tc>
        <w:tc>
          <w:tcPr>
            <w:tcW w:w="1134" w:type="dxa"/>
            <w:noWrap/>
            <w:vAlign w:val="center"/>
          </w:tcPr>
          <w:p w14:paraId="0F6E16D9"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4.293</w:t>
            </w:r>
          </w:p>
        </w:tc>
        <w:tc>
          <w:tcPr>
            <w:tcW w:w="1276" w:type="dxa"/>
            <w:noWrap/>
            <w:vAlign w:val="center"/>
          </w:tcPr>
          <w:p w14:paraId="0D6F3291"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3.010</w:t>
            </w:r>
          </w:p>
        </w:tc>
        <w:tc>
          <w:tcPr>
            <w:tcW w:w="1271" w:type="dxa"/>
            <w:noWrap/>
            <w:vAlign w:val="center"/>
          </w:tcPr>
          <w:p w14:paraId="7DF38CD5"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1.427</w:t>
            </w:r>
          </w:p>
        </w:tc>
        <w:tc>
          <w:tcPr>
            <w:tcW w:w="1135" w:type="dxa"/>
            <w:noWrap/>
            <w:vAlign w:val="center"/>
          </w:tcPr>
          <w:p w14:paraId="036ED55F"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49,8%</w:t>
            </w:r>
          </w:p>
        </w:tc>
        <w:tc>
          <w:tcPr>
            <w:tcW w:w="1138" w:type="dxa"/>
            <w:noWrap/>
            <w:vAlign w:val="center"/>
          </w:tcPr>
          <w:p w14:paraId="4DFC5914"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3.582</w:t>
            </w:r>
          </w:p>
        </w:tc>
        <w:tc>
          <w:tcPr>
            <w:tcW w:w="1276" w:type="dxa"/>
            <w:noWrap/>
            <w:vAlign w:val="center"/>
          </w:tcPr>
          <w:p w14:paraId="64F23D9D"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9,4%</w:t>
            </w:r>
          </w:p>
        </w:tc>
      </w:tr>
      <w:tr w:rsidR="009B538E" w:rsidRPr="00C13E3C" w14:paraId="23E9508C" w14:textId="77777777" w:rsidTr="00D65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7C194E70" w14:textId="77777777" w:rsidR="004D19BE" w:rsidRPr="00F5643D" w:rsidRDefault="004D19BE" w:rsidP="004D19BE">
            <w:pPr>
              <w:rPr>
                <w:rFonts w:ascii="Trebuchet MS" w:hAnsi="Trebuchet MS"/>
                <w:color w:val="000000"/>
              </w:rPr>
            </w:pPr>
            <w:r w:rsidRPr="00F5643D">
              <w:rPr>
                <w:rFonts w:ascii="Trebuchet MS" w:hAnsi="Trebuchet MS"/>
                <w:color w:val="000000"/>
              </w:rPr>
              <w:t>Elektro</w:t>
            </w:r>
          </w:p>
        </w:tc>
        <w:tc>
          <w:tcPr>
            <w:tcW w:w="1134" w:type="dxa"/>
            <w:noWrap/>
            <w:vAlign w:val="center"/>
          </w:tcPr>
          <w:p w14:paraId="71E31419"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3.525</w:t>
            </w:r>
          </w:p>
        </w:tc>
        <w:tc>
          <w:tcPr>
            <w:tcW w:w="1276" w:type="dxa"/>
            <w:noWrap/>
            <w:vAlign w:val="center"/>
          </w:tcPr>
          <w:p w14:paraId="2F86F53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2.534</w:t>
            </w:r>
          </w:p>
        </w:tc>
        <w:tc>
          <w:tcPr>
            <w:tcW w:w="1271" w:type="dxa"/>
            <w:noWrap/>
            <w:vAlign w:val="center"/>
          </w:tcPr>
          <w:p w14:paraId="67797194"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1.266</w:t>
            </w:r>
          </w:p>
        </w:tc>
        <w:tc>
          <w:tcPr>
            <w:tcW w:w="1135" w:type="dxa"/>
            <w:noWrap/>
            <w:vAlign w:val="center"/>
          </w:tcPr>
          <w:p w14:paraId="3907229E"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56,0%</w:t>
            </w:r>
          </w:p>
        </w:tc>
        <w:tc>
          <w:tcPr>
            <w:tcW w:w="1138" w:type="dxa"/>
            <w:noWrap/>
            <w:vAlign w:val="center"/>
          </w:tcPr>
          <w:p w14:paraId="61C7D7C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2.953</w:t>
            </w:r>
          </w:p>
        </w:tc>
        <w:tc>
          <w:tcPr>
            <w:tcW w:w="1276" w:type="dxa"/>
            <w:noWrap/>
            <w:vAlign w:val="center"/>
          </w:tcPr>
          <w:p w14:paraId="4AAE8320"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8,9%</w:t>
            </w:r>
          </w:p>
        </w:tc>
      </w:tr>
      <w:tr w:rsidR="004D19BE" w:rsidRPr="00C13E3C" w14:paraId="3E60A4F4" w14:textId="77777777" w:rsidTr="002C098B">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48C3D03E" w14:textId="77777777" w:rsidR="004D19BE" w:rsidRPr="00F5643D" w:rsidRDefault="004D19BE" w:rsidP="004D19BE">
            <w:pPr>
              <w:rPr>
                <w:rFonts w:ascii="Trebuchet MS" w:hAnsi="Trebuchet MS"/>
                <w:color w:val="000000"/>
              </w:rPr>
            </w:pPr>
            <w:r w:rsidRPr="00F5643D">
              <w:rPr>
                <w:rFonts w:ascii="Trebuchet MS" w:hAnsi="Trebuchet MS"/>
                <w:color w:val="000000"/>
              </w:rPr>
              <w:t>Strojna</w:t>
            </w:r>
          </w:p>
        </w:tc>
        <w:tc>
          <w:tcPr>
            <w:tcW w:w="1134" w:type="dxa"/>
            <w:noWrap/>
            <w:vAlign w:val="center"/>
          </w:tcPr>
          <w:p w14:paraId="1B18BC0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5.479</w:t>
            </w:r>
          </w:p>
        </w:tc>
        <w:tc>
          <w:tcPr>
            <w:tcW w:w="1276" w:type="dxa"/>
            <w:noWrap/>
            <w:vAlign w:val="center"/>
          </w:tcPr>
          <w:p w14:paraId="1EF15845"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4.089</w:t>
            </w:r>
          </w:p>
        </w:tc>
        <w:tc>
          <w:tcPr>
            <w:tcW w:w="1271" w:type="dxa"/>
            <w:noWrap/>
            <w:vAlign w:val="center"/>
          </w:tcPr>
          <w:p w14:paraId="2BD403BE"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1.603</w:t>
            </w:r>
          </w:p>
        </w:tc>
        <w:tc>
          <w:tcPr>
            <w:tcW w:w="1135" w:type="dxa"/>
            <w:noWrap/>
            <w:vAlign w:val="center"/>
          </w:tcPr>
          <w:p w14:paraId="7FA05E18"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41,4%</w:t>
            </w:r>
          </w:p>
        </w:tc>
        <w:tc>
          <w:tcPr>
            <w:tcW w:w="1138" w:type="dxa"/>
            <w:noWrap/>
            <w:vAlign w:val="center"/>
          </w:tcPr>
          <w:p w14:paraId="4646C94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4.512</w:t>
            </w:r>
          </w:p>
        </w:tc>
        <w:tc>
          <w:tcPr>
            <w:tcW w:w="1276" w:type="dxa"/>
            <w:noWrap/>
            <w:vAlign w:val="center"/>
          </w:tcPr>
          <w:p w14:paraId="24A3E3A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8,8%</w:t>
            </w:r>
          </w:p>
        </w:tc>
      </w:tr>
      <w:tr w:rsidR="009B538E" w:rsidRPr="00C13E3C" w14:paraId="25C78BE4" w14:textId="77777777" w:rsidTr="00D65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1CA4FC16" w14:textId="77777777" w:rsidR="004D19BE" w:rsidRPr="00F5643D" w:rsidRDefault="004D19BE" w:rsidP="004D19BE">
            <w:pPr>
              <w:rPr>
                <w:rFonts w:ascii="Trebuchet MS" w:hAnsi="Trebuchet MS"/>
                <w:color w:val="000000"/>
              </w:rPr>
            </w:pPr>
            <w:r w:rsidRPr="00F5643D">
              <w:rPr>
                <w:rFonts w:ascii="Trebuchet MS" w:hAnsi="Trebuchet MS"/>
                <w:color w:val="000000"/>
              </w:rPr>
              <w:t>Druge</w:t>
            </w:r>
          </w:p>
        </w:tc>
        <w:tc>
          <w:tcPr>
            <w:tcW w:w="1134" w:type="dxa"/>
            <w:noWrap/>
            <w:vAlign w:val="center"/>
          </w:tcPr>
          <w:p w14:paraId="00678A80"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304</w:t>
            </w:r>
          </w:p>
        </w:tc>
        <w:tc>
          <w:tcPr>
            <w:tcW w:w="1276" w:type="dxa"/>
            <w:noWrap/>
            <w:vAlign w:val="center"/>
          </w:tcPr>
          <w:p w14:paraId="1F38EDF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201</w:t>
            </w:r>
          </w:p>
        </w:tc>
        <w:tc>
          <w:tcPr>
            <w:tcW w:w="1271" w:type="dxa"/>
            <w:noWrap/>
            <w:vAlign w:val="center"/>
          </w:tcPr>
          <w:p w14:paraId="660D458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143</w:t>
            </w:r>
          </w:p>
        </w:tc>
        <w:tc>
          <w:tcPr>
            <w:tcW w:w="1135" w:type="dxa"/>
            <w:noWrap/>
            <w:vAlign w:val="center"/>
          </w:tcPr>
          <w:p w14:paraId="2630B0B2"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89,1%</w:t>
            </w:r>
          </w:p>
        </w:tc>
        <w:tc>
          <w:tcPr>
            <w:tcW w:w="1138" w:type="dxa"/>
            <w:noWrap/>
            <w:vAlign w:val="center"/>
          </w:tcPr>
          <w:p w14:paraId="34F76B0A"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253</w:t>
            </w:r>
          </w:p>
        </w:tc>
        <w:tc>
          <w:tcPr>
            <w:tcW w:w="1276" w:type="dxa"/>
            <w:noWrap/>
            <w:vAlign w:val="center"/>
          </w:tcPr>
          <w:p w14:paraId="12D2385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9,9%</w:t>
            </w:r>
          </w:p>
        </w:tc>
      </w:tr>
    </w:tbl>
    <w:p w14:paraId="734E6518" w14:textId="77777777" w:rsidR="003372D7" w:rsidRPr="009B538E" w:rsidRDefault="003372D7" w:rsidP="003372D7">
      <w:pPr>
        <w:spacing w:before="20"/>
        <w:jc w:val="both"/>
        <w:rPr>
          <w:i/>
        </w:rPr>
      </w:pPr>
      <w:r w:rsidRPr="009B538E">
        <w:rPr>
          <w:i/>
        </w:rPr>
        <w:t>Vir: SURS, strukturna statistika podjetij, preračuni Analitika GZS</w:t>
      </w:r>
    </w:p>
    <w:p w14:paraId="21893D8F" w14:textId="427976E9" w:rsidR="007C7F66" w:rsidRPr="00964361" w:rsidRDefault="007C7F66" w:rsidP="007C7F66">
      <w:pPr>
        <w:pStyle w:val="DZnavaden"/>
        <w:spacing w:after="120"/>
        <w:rPr>
          <w:rFonts w:asciiTheme="minorHAnsi" w:hAnsiTheme="minorHAnsi" w:cstheme="minorHAnsi"/>
          <w:sz w:val="20"/>
        </w:rPr>
      </w:pPr>
      <w:r w:rsidRPr="00964361">
        <w:rPr>
          <w:rFonts w:asciiTheme="minorHAnsi" w:hAnsiTheme="minorHAnsi" w:cstheme="minorHAnsi"/>
          <w:sz w:val="20"/>
        </w:rPr>
        <w:t>Podjetja v predelovalnih dejavnostih so v 2018 dosegl</w:t>
      </w:r>
      <w:r w:rsidR="00D958AC">
        <w:rPr>
          <w:rFonts w:asciiTheme="minorHAnsi" w:hAnsiTheme="minorHAnsi" w:cstheme="minorHAnsi"/>
          <w:sz w:val="20"/>
        </w:rPr>
        <w:t>a</w:t>
      </w:r>
      <w:r w:rsidRPr="00964361">
        <w:rPr>
          <w:rFonts w:asciiTheme="minorHAnsi" w:hAnsiTheme="minorHAnsi" w:cstheme="minorHAnsi"/>
          <w:sz w:val="20"/>
        </w:rPr>
        <w:t xml:space="preserve"> </w:t>
      </w:r>
      <w:r w:rsidRPr="00964361">
        <w:rPr>
          <w:rFonts w:asciiTheme="minorHAnsi" w:hAnsiTheme="minorHAnsi" w:cstheme="minorHAnsi"/>
          <w:bCs/>
          <w:sz w:val="20"/>
        </w:rPr>
        <w:t>70-odstotni</w:t>
      </w:r>
      <w:r w:rsidRPr="00964361">
        <w:rPr>
          <w:rFonts w:asciiTheme="minorHAnsi" w:hAnsiTheme="minorHAnsi" w:cstheme="minorHAnsi"/>
          <w:sz w:val="20"/>
        </w:rPr>
        <w:t xml:space="preserve"> delež prihodkov na tujih trgih v prihodkih od prodaje predelovalnih </w:t>
      </w:r>
      <w:r w:rsidRPr="00FD4C45">
        <w:rPr>
          <w:rFonts w:asciiTheme="minorHAnsi" w:hAnsiTheme="minorHAnsi" w:cstheme="minorHAnsi"/>
          <w:sz w:val="20"/>
        </w:rPr>
        <w:t>dejavnosti.</w:t>
      </w:r>
      <w:r w:rsidRPr="00964361">
        <w:rPr>
          <w:rFonts w:asciiTheme="minorHAnsi" w:hAnsiTheme="minorHAnsi" w:cstheme="minorHAnsi"/>
          <w:sz w:val="20"/>
        </w:rPr>
        <w:t xml:space="preserve"> Tako so z aktivnejšim povezovanjem in iskanjem novih trgov predelovalne dejavnosti delež izvoza v prihodkih zvišale </w:t>
      </w:r>
      <w:r w:rsidRPr="00FD4C45">
        <w:rPr>
          <w:rFonts w:asciiTheme="minorHAnsi" w:hAnsiTheme="minorHAnsi" w:cstheme="minorHAnsi"/>
          <w:sz w:val="20"/>
        </w:rPr>
        <w:t>z</w:t>
      </w:r>
      <w:r w:rsidRPr="00964361">
        <w:rPr>
          <w:rFonts w:asciiTheme="minorHAnsi" w:hAnsiTheme="minorHAnsi" w:cstheme="minorHAnsi"/>
          <w:sz w:val="20"/>
        </w:rPr>
        <w:t xml:space="preserve"> 59 % v 2008. Najbolj </w:t>
      </w:r>
      <w:r w:rsidRPr="00964361">
        <w:rPr>
          <w:rStyle w:val="DZnavadenbold"/>
          <w:rFonts w:asciiTheme="minorHAnsi" w:hAnsiTheme="minorHAnsi" w:cstheme="minorHAnsi"/>
          <w:bCs/>
          <w:sz w:val="20"/>
        </w:rPr>
        <w:t>izvozno usmerjen</w:t>
      </w:r>
      <w:r w:rsidR="00D958AC">
        <w:rPr>
          <w:rStyle w:val="DZnavadenbold"/>
          <w:rFonts w:asciiTheme="minorHAnsi" w:hAnsiTheme="minorHAnsi" w:cstheme="minorHAnsi"/>
          <w:bCs/>
          <w:sz w:val="20"/>
        </w:rPr>
        <w:t>a</w:t>
      </w:r>
      <w:r w:rsidRPr="00964361">
        <w:rPr>
          <w:rFonts w:asciiTheme="minorHAnsi" w:hAnsiTheme="minorHAnsi" w:cstheme="minorHAnsi"/>
          <w:sz w:val="20"/>
        </w:rPr>
        <w:t xml:space="preserve"> </w:t>
      </w:r>
      <w:r w:rsidR="00D958AC">
        <w:rPr>
          <w:rFonts w:asciiTheme="minorHAnsi" w:hAnsiTheme="minorHAnsi" w:cstheme="minorHAnsi"/>
          <w:sz w:val="20"/>
        </w:rPr>
        <w:t>je</w:t>
      </w:r>
      <w:r w:rsidRPr="00964361">
        <w:rPr>
          <w:rFonts w:asciiTheme="minorHAnsi" w:hAnsiTheme="minorHAnsi" w:cstheme="minorHAnsi"/>
          <w:sz w:val="20"/>
        </w:rPr>
        <w:t xml:space="preserve"> </w:t>
      </w:r>
      <w:r w:rsidRPr="00FD4C45">
        <w:rPr>
          <w:rFonts w:asciiTheme="minorHAnsi" w:hAnsiTheme="minorHAnsi" w:cstheme="minorHAnsi"/>
          <w:sz w:val="20"/>
        </w:rPr>
        <w:t>bil</w:t>
      </w:r>
      <w:r w:rsidR="00D958AC">
        <w:rPr>
          <w:rFonts w:asciiTheme="minorHAnsi" w:hAnsiTheme="minorHAnsi" w:cstheme="minorHAnsi"/>
          <w:sz w:val="20"/>
        </w:rPr>
        <w:t>a</w:t>
      </w:r>
      <w:r w:rsidRPr="00964361">
        <w:rPr>
          <w:rFonts w:asciiTheme="minorHAnsi" w:hAnsiTheme="minorHAnsi" w:cstheme="minorHAnsi"/>
          <w:sz w:val="20"/>
        </w:rPr>
        <w:t xml:space="preserve"> v 2018 elektro industrija (z ustvarjenim 80-odstotnim deležem izvoza), </w:t>
      </w:r>
      <w:r w:rsidR="00D958AC">
        <w:rPr>
          <w:rFonts w:asciiTheme="minorHAnsi" w:hAnsiTheme="minorHAnsi" w:cstheme="minorHAnsi"/>
          <w:sz w:val="20"/>
        </w:rPr>
        <w:t xml:space="preserve">ki ji </w:t>
      </w:r>
      <w:r w:rsidRPr="00964361">
        <w:rPr>
          <w:rFonts w:asciiTheme="minorHAnsi" w:hAnsiTheme="minorHAnsi" w:cstheme="minorHAnsi"/>
          <w:sz w:val="20"/>
        </w:rPr>
        <w:t>sledi</w:t>
      </w:r>
      <w:r w:rsidR="00C6180E">
        <w:rPr>
          <w:rFonts w:asciiTheme="minorHAnsi" w:hAnsiTheme="minorHAnsi" w:cstheme="minorHAnsi"/>
          <w:sz w:val="20"/>
        </w:rPr>
        <w:t>jo</w:t>
      </w:r>
      <w:r w:rsidRPr="00964361">
        <w:rPr>
          <w:rFonts w:asciiTheme="minorHAnsi" w:hAnsiTheme="minorHAnsi" w:cstheme="minorHAnsi"/>
          <w:sz w:val="20"/>
        </w:rPr>
        <w:t xml:space="preserve"> kemi</w:t>
      </w:r>
      <w:r w:rsidR="00744759">
        <w:rPr>
          <w:rFonts w:asciiTheme="minorHAnsi" w:hAnsiTheme="minorHAnsi" w:cstheme="minorHAnsi"/>
          <w:sz w:val="20"/>
        </w:rPr>
        <w:t>čn</w:t>
      </w:r>
      <w:r w:rsidRPr="00964361">
        <w:rPr>
          <w:rFonts w:asciiTheme="minorHAnsi" w:hAnsiTheme="minorHAnsi" w:cstheme="minorHAnsi"/>
          <w:sz w:val="20"/>
        </w:rPr>
        <w:t>a (79 %), strojna (78 %)</w:t>
      </w:r>
      <w:r w:rsidR="00C6180E">
        <w:rPr>
          <w:rFonts w:asciiTheme="minorHAnsi" w:hAnsiTheme="minorHAnsi" w:cstheme="minorHAnsi"/>
          <w:sz w:val="20"/>
        </w:rPr>
        <w:t xml:space="preserve"> in</w:t>
      </w:r>
      <w:r w:rsidRPr="00964361">
        <w:rPr>
          <w:rFonts w:asciiTheme="minorHAnsi" w:hAnsiTheme="minorHAnsi" w:cstheme="minorHAnsi"/>
          <w:sz w:val="20"/>
        </w:rPr>
        <w:t xml:space="preserve"> tekstilna industrija (74 %). Najmanj izvozno </w:t>
      </w:r>
      <w:r w:rsidRPr="00FD4C45">
        <w:rPr>
          <w:rFonts w:asciiTheme="minorHAnsi" w:hAnsiTheme="minorHAnsi" w:cstheme="minorHAnsi"/>
          <w:sz w:val="20"/>
        </w:rPr>
        <w:t>usmerjen</w:t>
      </w:r>
      <w:r w:rsidR="00836332">
        <w:rPr>
          <w:rFonts w:asciiTheme="minorHAnsi" w:hAnsiTheme="minorHAnsi" w:cstheme="minorHAnsi"/>
          <w:sz w:val="20"/>
        </w:rPr>
        <w:t>a</w:t>
      </w:r>
      <w:r w:rsidRPr="00964361">
        <w:rPr>
          <w:rStyle w:val="DZnavadenbold"/>
          <w:rFonts w:asciiTheme="minorHAnsi" w:hAnsiTheme="minorHAnsi" w:cstheme="minorHAnsi"/>
          <w:sz w:val="20"/>
        </w:rPr>
        <w:t xml:space="preserve"> </w:t>
      </w:r>
      <w:r w:rsidRPr="00964361">
        <w:rPr>
          <w:rFonts w:asciiTheme="minorHAnsi" w:hAnsiTheme="minorHAnsi" w:cstheme="minorHAnsi"/>
          <w:sz w:val="20"/>
        </w:rPr>
        <w:t>pa je prehrambna industrija (26 %).</w:t>
      </w:r>
    </w:p>
    <w:p w14:paraId="290B69E6" w14:textId="77777777" w:rsidR="007C7F66" w:rsidRPr="007041AF" w:rsidRDefault="007C7F66" w:rsidP="00A347B2">
      <w:pPr>
        <w:pStyle w:val="DZnavaden"/>
        <w:spacing w:after="0"/>
        <w:rPr>
          <w:rFonts w:asciiTheme="minorHAnsi" w:hAnsiTheme="minorHAnsi" w:cstheme="minorHAnsi"/>
          <w:sz w:val="20"/>
        </w:rPr>
      </w:pPr>
      <w:r w:rsidRPr="007041AF">
        <w:rPr>
          <w:rFonts w:asciiTheme="minorHAnsi" w:hAnsiTheme="minorHAnsi" w:cstheme="minorHAnsi"/>
          <w:noProof/>
          <w:sz w:val="20"/>
        </w:rPr>
        <w:lastRenderedPageBreak/>
        <w:drawing>
          <wp:inline distT="0" distB="0" distL="0" distR="0" wp14:anchorId="7B498FA7" wp14:editId="5018E5F1">
            <wp:extent cx="4577603" cy="2637545"/>
            <wp:effectExtent l="0" t="0" r="0" b="0"/>
            <wp:docPr id="18" name="Grafikon 1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13676CA-403C-4DE9-B6AC-38798C2DE0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5EA52F4" w14:textId="77777777" w:rsidR="003372D7" w:rsidRPr="009B538E" w:rsidRDefault="003372D7" w:rsidP="003372D7">
      <w:pPr>
        <w:spacing w:before="20"/>
        <w:jc w:val="both"/>
        <w:rPr>
          <w:i/>
        </w:rPr>
      </w:pPr>
      <w:r w:rsidRPr="009B538E">
        <w:rPr>
          <w:i/>
        </w:rPr>
        <w:t>Vir: SURS, strukturna statistika podjetij, preračuni Analitika GZS</w:t>
      </w:r>
    </w:p>
    <w:p w14:paraId="797D2F88" w14:textId="2128A521" w:rsidR="007C7F66" w:rsidRPr="00964361" w:rsidRDefault="007C7F66" w:rsidP="00405849">
      <w:pPr>
        <w:jc w:val="both"/>
        <w:rPr>
          <w:rFonts w:cstheme="minorHAnsi"/>
        </w:rPr>
      </w:pPr>
      <w:r w:rsidRPr="00964361">
        <w:rPr>
          <w:rFonts w:cstheme="minorHAnsi"/>
          <w:b/>
          <w:bCs/>
        </w:rPr>
        <w:t>Prodaja na tujih trgih EU</w:t>
      </w:r>
      <w:r w:rsidRPr="00964361">
        <w:rPr>
          <w:rFonts w:cstheme="minorHAnsi"/>
        </w:rPr>
        <w:t xml:space="preserve"> (kjer zajemamo le podatek družb in </w:t>
      </w:r>
      <w:proofErr w:type="spellStart"/>
      <w:r w:rsidRPr="00964361">
        <w:rPr>
          <w:rFonts w:cstheme="minorHAnsi"/>
        </w:rPr>
        <w:t>s.p</w:t>
      </w:r>
      <w:proofErr w:type="spellEnd"/>
      <w:r w:rsidR="00A73A4F">
        <w:rPr>
          <w:rFonts w:cstheme="minorHAnsi"/>
        </w:rPr>
        <w:t>-jev</w:t>
      </w:r>
      <w:r w:rsidRPr="00964361">
        <w:rPr>
          <w:rFonts w:cstheme="minorHAnsi"/>
        </w:rPr>
        <w:t>, ki sicer predstavljajo večino izvoza) je za predelovalne dejavnosti najpomembnejš</w:t>
      </w:r>
      <w:r w:rsidR="00A73A4F">
        <w:rPr>
          <w:rFonts w:cstheme="minorHAnsi"/>
        </w:rPr>
        <w:t>a</w:t>
      </w:r>
      <w:r w:rsidRPr="00964361">
        <w:rPr>
          <w:rFonts w:cstheme="minorHAnsi"/>
        </w:rPr>
        <w:t>, saj so na tem trgu v 2018 ustvarili kar 80 % celotnega izvoza oz</w:t>
      </w:r>
      <w:r w:rsidR="00A73A4F">
        <w:rPr>
          <w:rFonts w:cstheme="minorHAnsi"/>
        </w:rPr>
        <w:t>iroma</w:t>
      </w:r>
      <w:r w:rsidR="00A73A4F" w:rsidRPr="00964361">
        <w:rPr>
          <w:rFonts w:cstheme="minorHAnsi"/>
        </w:rPr>
        <w:t xml:space="preserve"> </w:t>
      </w:r>
      <w:r w:rsidRPr="00964361">
        <w:rPr>
          <w:rFonts w:cstheme="minorHAnsi"/>
        </w:rPr>
        <w:t xml:space="preserve">17,2 mrd EUR izvoza blaga in storitev. Izvozni trg EU je najpomembnejši za strojno industrijo, saj </w:t>
      </w:r>
      <w:r w:rsidR="009E47FF">
        <w:rPr>
          <w:rFonts w:cstheme="minorHAnsi"/>
        </w:rPr>
        <w:t>je ta</w:t>
      </w:r>
      <w:r w:rsidRPr="00964361">
        <w:rPr>
          <w:rFonts w:cstheme="minorHAnsi"/>
        </w:rPr>
        <w:t xml:space="preserve"> v 2018, med predelovalnimi dejavnostmi, izvozil</w:t>
      </w:r>
      <w:r w:rsidR="009E47FF">
        <w:rPr>
          <w:rFonts w:cstheme="minorHAnsi"/>
        </w:rPr>
        <w:t>a</w:t>
      </w:r>
      <w:r w:rsidRPr="00964361">
        <w:rPr>
          <w:rFonts w:cstheme="minorHAnsi"/>
        </w:rPr>
        <w:t xml:space="preserve"> v EU 29 % celotnega izvoza EU, sledi</w:t>
      </w:r>
      <w:r w:rsidR="006A4DFB">
        <w:rPr>
          <w:rFonts w:cstheme="minorHAnsi"/>
        </w:rPr>
        <w:t>jo</w:t>
      </w:r>
      <w:r w:rsidRPr="00964361">
        <w:rPr>
          <w:rFonts w:cstheme="minorHAnsi"/>
        </w:rPr>
        <w:t xml:space="preserve"> kovinska (21 %), kemi</w:t>
      </w:r>
      <w:r w:rsidR="00A73A4F">
        <w:rPr>
          <w:rFonts w:cstheme="minorHAnsi"/>
        </w:rPr>
        <w:t>čn</w:t>
      </w:r>
      <w:r w:rsidRPr="00964361">
        <w:rPr>
          <w:rFonts w:cstheme="minorHAnsi"/>
        </w:rPr>
        <w:t>a  (19 %), elektro industrija (15 % oz</w:t>
      </w:r>
      <w:r w:rsidR="00A73A4F">
        <w:rPr>
          <w:rFonts w:cstheme="minorHAnsi"/>
        </w:rPr>
        <w:t>iroma</w:t>
      </w:r>
      <w:r w:rsidR="00A73A4F" w:rsidRPr="00964361">
        <w:rPr>
          <w:rFonts w:cstheme="minorHAnsi"/>
        </w:rPr>
        <w:t xml:space="preserve"> </w:t>
      </w:r>
      <w:r w:rsidRPr="00964361">
        <w:rPr>
          <w:rFonts w:cstheme="minorHAnsi"/>
        </w:rPr>
        <w:t xml:space="preserve">4,9 mrd EUR izvoza), medtem ko papirna, tekstilna in prehrambna </w:t>
      </w:r>
      <w:r w:rsidR="00A73A4F">
        <w:rPr>
          <w:rFonts w:cstheme="minorHAnsi"/>
        </w:rPr>
        <w:t xml:space="preserve">industrija </w:t>
      </w:r>
      <w:r w:rsidRPr="00964361">
        <w:rPr>
          <w:rFonts w:cstheme="minorHAnsi"/>
        </w:rPr>
        <w:t xml:space="preserve">v EU izvozijo med 3,5-2,5 % celotnega izvoza </w:t>
      </w:r>
      <w:r w:rsidR="00A73A4F" w:rsidRPr="00964361">
        <w:rPr>
          <w:rFonts w:cstheme="minorHAnsi"/>
        </w:rPr>
        <w:t xml:space="preserve">predelovalnih dejavnosti </w:t>
      </w:r>
      <w:r w:rsidRPr="00964361">
        <w:rPr>
          <w:rFonts w:cstheme="minorHAnsi"/>
        </w:rPr>
        <w:t>v EU.</w:t>
      </w:r>
    </w:p>
    <w:p w14:paraId="52956CE4" w14:textId="77777777" w:rsidR="007C7F66" w:rsidRPr="007041AF" w:rsidRDefault="007C7F66" w:rsidP="00A347B2">
      <w:pPr>
        <w:spacing w:after="0"/>
        <w:rPr>
          <w:rFonts w:cstheme="minorHAnsi"/>
        </w:rPr>
      </w:pPr>
      <w:r w:rsidRPr="007041AF">
        <w:rPr>
          <w:rFonts w:cstheme="minorHAnsi"/>
          <w:noProof/>
          <w:lang w:eastAsia="sl-SI"/>
        </w:rPr>
        <w:drawing>
          <wp:inline distT="0" distB="0" distL="0" distR="0" wp14:anchorId="663A2B16" wp14:editId="6093D158">
            <wp:extent cx="4320896" cy="2579187"/>
            <wp:effectExtent l="0" t="0" r="0" b="0"/>
            <wp:docPr id="33" name="Grafikon 3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BB78DDF-6A54-4290-83D0-BB6E2A54BF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97F43AA" w14:textId="77777777" w:rsidR="003372D7" w:rsidRPr="009B538E" w:rsidRDefault="003372D7" w:rsidP="003372D7">
      <w:pPr>
        <w:spacing w:before="20"/>
        <w:jc w:val="both"/>
        <w:rPr>
          <w:i/>
        </w:rPr>
      </w:pPr>
      <w:r w:rsidRPr="009B538E">
        <w:rPr>
          <w:i/>
        </w:rPr>
        <w:t>Vir: SURS, strukturna statistika podjetij, preračuni Analitika GZS</w:t>
      </w:r>
    </w:p>
    <w:p w14:paraId="3253AC9F" w14:textId="1D082B12" w:rsidR="007C7F66" w:rsidRPr="00964361" w:rsidRDefault="007C7F66" w:rsidP="00405849">
      <w:pPr>
        <w:jc w:val="both"/>
        <w:rPr>
          <w:rFonts w:cstheme="minorHAnsi"/>
        </w:rPr>
      </w:pPr>
      <w:r w:rsidRPr="00964361">
        <w:rPr>
          <w:rFonts w:cstheme="minorHAnsi"/>
        </w:rPr>
        <w:t xml:space="preserve">Prihodki od prodaje na trgu EU so se v zadnjih </w:t>
      </w:r>
      <w:r w:rsidR="00C2502E">
        <w:rPr>
          <w:rFonts w:cstheme="minorHAnsi"/>
        </w:rPr>
        <w:t>desetih</w:t>
      </w:r>
      <w:r w:rsidR="00C2502E" w:rsidRPr="00964361">
        <w:rPr>
          <w:rFonts w:cstheme="minorHAnsi"/>
        </w:rPr>
        <w:t xml:space="preserve"> </w:t>
      </w:r>
      <w:r w:rsidRPr="00964361">
        <w:rPr>
          <w:rFonts w:cstheme="minorHAnsi"/>
        </w:rPr>
        <w:t>letih zvišali v povprečju za 4,5 % na leto. V letu 2008 so prihodki od prodaje na trgih EU znašali 11,1 mrd EUR (izvoz na Hrvaško</w:t>
      </w:r>
      <w:r w:rsidR="00A73A4F" w:rsidRPr="00A73A4F">
        <w:rPr>
          <w:rFonts w:cstheme="minorHAnsi"/>
        </w:rPr>
        <w:t xml:space="preserve"> </w:t>
      </w:r>
      <w:r w:rsidR="00A73A4F" w:rsidRPr="00964361">
        <w:rPr>
          <w:rFonts w:cstheme="minorHAnsi"/>
        </w:rPr>
        <w:t>še ni bil vključen</w:t>
      </w:r>
      <w:r w:rsidRPr="00964361">
        <w:rPr>
          <w:rFonts w:cstheme="minorHAnsi"/>
        </w:rPr>
        <w:t xml:space="preserve">) in v 2009 upadli na 9 mrd EUR, leta 2011 presegli nivo </w:t>
      </w:r>
      <w:proofErr w:type="spellStart"/>
      <w:r w:rsidRPr="00FD4C45">
        <w:rPr>
          <w:rFonts w:cstheme="minorHAnsi"/>
        </w:rPr>
        <w:t>pred</w:t>
      </w:r>
      <w:r w:rsidR="000C0BFB">
        <w:rPr>
          <w:rFonts w:cstheme="minorHAnsi"/>
        </w:rPr>
        <w:t>k</w:t>
      </w:r>
      <w:r w:rsidRPr="00FD4C45">
        <w:rPr>
          <w:rFonts w:cstheme="minorHAnsi"/>
        </w:rPr>
        <w:t>riznega</w:t>
      </w:r>
      <w:proofErr w:type="spellEnd"/>
      <w:r w:rsidRPr="00964361">
        <w:rPr>
          <w:rFonts w:cstheme="minorHAnsi"/>
        </w:rPr>
        <w:t xml:space="preserve"> leta</w:t>
      </w:r>
      <w:r w:rsidR="002B0C41">
        <w:rPr>
          <w:rFonts w:cstheme="minorHAnsi"/>
        </w:rPr>
        <w:t>,</w:t>
      </w:r>
      <w:r w:rsidRPr="00964361">
        <w:rPr>
          <w:rFonts w:cstheme="minorHAnsi"/>
        </w:rPr>
        <w:t xml:space="preserve"> nato</w:t>
      </w:r>
      <w:r w:rsidR="002B0C41">
        <w:rPr>
          <w:rFonts w:cstheme="minorHAnsi"/>
        </w:rPr>
        <w:t xml:space="preserve"> pa smo</w:t>
      </w:r>
      <w:r w:rsidRPr="00964361">
        <w:rPr>
          <w:rFonts w:cstheme="minorHAnsi"/>
        </w:rPr>
        <w:t xml:space="preserve">, ob ugodnih ekonomijah EU, pospešeno izvažali na te trge. V zadnjih </w:t>
      </w:r>
      <w:r w:rsidR="00C2502E">
        <w:rPr>
          <w:rFonts w:cstheme="minorHAnsi"/>
        </w:rPr>
        <w:t>petih</w:t>
      </w:r>
      <w:r w:rsidRPr="00964361">
        <w:rPr>
          <w:rFonts w:cstheme="minorHAnsi"/>
        </w:rPr>
        <w:t xml:space="preserve"> letih so predelovalne dejavnosti na trgih EU v povprečju ustvarile 14,6 mrd EUR prihodkov od prodaje. V zadnjih </w:t>
      </w:r>
      <w:r w:rsidR="00C2502E">
        <w:rPr>
          <w:rFonts w:cstheme="minorHAnsi"/>
        </w:rPr>
        <w:t>petih</w:t>
      </w:r>
      <w:r w:rsidRPr="00964361">
        <w:rPr>
          <w:rFonts w:cstheme="minorHAnsi"/>
        </w:rPr>
        <w:t xml:space="preserve"> letih (2018/2014) so se prihodki na trgu EU med predelovalnimi dejavnostmi v povprečju zvišali za 8,5 % na leto, relativno najbolj v prehrambni industriji </w:t>
      </w:r>
      <w:r w:rsidR="00A73A4F">
        <w:rPr>
          <w:rFonts w:cstheme="minorHAnsi"/>
        </w:rPr>
        <w:t>(</w:t>
      </w:r>
      <w:r w:rsidRPr="00964361">
        <w:rPr>
          <w:rFonts w:cstheme="minorHAnsi"/>
        </w:rPr>
        <w:t>13,6 % na leto</w:t>
      </w:r>
      <w:r w:rsidR="00A73A4F">
        <w:rPr>
          <w:rFonts w:cstheme="minorHAnsi"/>
        </w:rPr>
        <w:t>)</w:t>
      </w:r>
      <w:r w:rsidRPr="00964361">
        <w:rPr>
          <w:rFonts w:cstheme="minorHAnsi"/>
        </w:rPr>
        <w:t xml:space="preserve">, ki </w:t>
      </w:r>
      <w:r w:rsidR="000C0BFB">
        <w:rPr>
          <w:rFonts w:cstheme="minorHAnsi"/>
        </w:rPr>
        <w:t xml:space="preserve">je </w:t>
      </w:r>
      <w:r w:rsidRPr="00964361">
        <w:rPr>
          <w:rFonts w:cstheme="minorHAnsi"/>
        </w:rPr>
        <w:t xml:space="preserve">sicer med vsemi predelovalnimi dejavnostmi med najmanj izvozno </w:t>
      </w:r>
      <w:r w:rsidRPr="00FD4C45">
        <w:rPr>
          <w:rFonts w:cstheme="minorHAnsi"/>
        </w:rPr>
        <w:t>usmerjen</w:t>
      </w:r>
      <w:r w:rsidR="000C0BFB">
        <w:rPr>
          <w:rFonts w:cstheme="minorHAnsi"/>
        </w:rPr>
        <w:t>imi</w:t>
      </w:r>
      <w:r w:rsidRPr="00964361">
        <w:rPr>
          <w:rFonts w:cstheme="minorHAnsi"/>
        </w:rPr>
        <w:t>. Po rasti v zadnjih petih letih sledi</w:t>
      </w:r>
      <w:r w:rsidR="00C2502E">
        <w:rPr>
          <w:rFonts w:cstheme="minorHAnsi"/>
        </w:rPr>
        <w:t>jo</w:t>
      </w:r>
      <w:r w:rsidRPr="00964361">
        <w:rPr>
          <w:rFonts w:cstheme="minorHAnsi"/>
        </w:rPr>
        <w:t xml:space="preserve"> še lesna (v povprečju 11,8 % na leto), elektro, strojna in kovinska industrija (10 % na leto).   </w:t>
      </w:r>
    </w:p>
    <w:p w14:paraId="4F121DC3" w14:textId="1F271959" w:rsidR="007C7F66" w:rsidRPr="00964361" w:rsidRDefault="007C7F66" w:rsidP="00405849">
      <w:pPr>
        <w:jc w:val="both"/>
        <w:rPr>
          <w:rFonts w:cstheme="minorHAnsi"/>
        </w:rPr>
      </w:pPr>
      <w:r w:rsidRPr="00964361">
        <w:rPr>
          <w:rFonts w:cstheme="minorHAnsi"/>
          <w:b/>
          <w:bCs/>
        </w:rPr>
        <w:lastRenderedPageBreak/>
        <w:t>Čisti prihodki od prodaje na trgih izven EU</w:t>
      </w:r>
      <w:r w:rsidRPr="00964361">
        <w:rPr>
          <w:rFonts w:cstheme="minorHAnsi"/>
        </w:rPr>
        <w:t xml:space="preserve"> (kjer zajemamo le podatek družb in s.p</w:t>
      </w:r>
      <w:r w:rsidR="003B5A27">
        <w:rPr>
          <w:rFonts w:cstheme="minorHAnsi"/>
        </w:rPr>
        <w:t>.</w:t>
      </w:r>
      <w:r w:rsidR="00A73A4F">
        <w:rPr>
          <w:rFonts w:cstheme="minorHAnsi"/>
        </w:rPr>
        <w:t>-jev</w:t>
      </w:r>
      <w:r w:rsidRPr="00FD4C45">
        <w:rPr>
          <w:rFonts w:cstheme="minorHAnsi"/>
        </w:rPr>
        <w:t>)</w:t>
      </w:r>
      <w:r w:rsidRPr="00964361">
        <w:rPr>
          <w:rFonts w:cstheme="minorHAnsi"/>
        </w:rPr>
        <w:t xml:space="preserve"> je za predelovalne dejavnosti manj pomemben kot EU, se</w:t>
      </w:r>
      <w:r w:rsidRPr="00FD4C45">
        <w:rPr>
          <w:rFonts w:cstheme="minorHAnsi"/>
        </w:rPr>
        <w:t xml:space="preserve"> </w:t>
      </w:r>
      <w:r w:rsidR="003B5A27">
        <w:rPr>
          <w:rFonts w:cstheme="minorHAnsi"/>
        </w:rPr>
        <w:t>pa</w:t>
      </w:r>
      <w:r w:rsidRPr="00964361">
        <w:rPr>
          <w:rFonts w:cstheme="minorHAnsi"/>
        </w:rPr>
        <w:t xml:space="preserve"> delež izvoza na trge izven EU</w:t>
      </w:r>
      <w:r w:rsidR="00C2502E" w:rsidRPr="00964361">
        <w:rPr>
          <w:rFonts w:cstheme="minorHAnsi"/>
        </w:rPr>
        <w:t xml:space="preserve"> z leti krepi</w:t>
      </w:r>
      <w:r w:rsidRPr="00964361">
        <w:rPr>
          <w:rFonts w:cstheme="minorHAnsi"/>
        </w:rPr>
        <w:t>. V 2018 so predelovalne dejavnosti izvozile na trge izven EU 20 % celotnega izvoza oz</w:t>
      </w:r>
      <w:r w:rsidR="00D040F3">
        <w:rPr>
          <w:rFonts w:cstheme="minorHAnsi"/>
        </w:rPr>
        <w:t>iroma</w:t>
      </w:r>
      <w:r w:rsidRPr="00964361">
        <w:rPr>
          <w:rFonts w:cstheme="minorHAnsi"/>
        </w:rPr>
        <w:t xml:space="preserve"> 1,5 mrd EUR izvoza blaga in storitev. V 2018 so največji izvozniki na trge izven EU v kemi</w:t>
      </w:r>
      <w:r w:rsidR="00D014D1">
        <w:rPr>
          <w:rFonts w:cstheme="minorHAnsi"/>
        </w:rPr>
        <w:t>čn</w:t>
      </w:r>
      <w:r w:rsidRPr="00964361">
        <w:rPr>
          <w:rFonts w:cstheme="minorHAnsi"/>
        </w:rPr>
        <w:t>i industriji, ki dosegajo 1,5 mrd EUR izvoza oz</w:t>
      </w:r>
      <w:r w:rsidR="00D014D1">
        <w:rPr>
          <w:rFonts w:cstheme="minorHAnsi"/>
        </w:rPr>
        <w:t>iroma</w:t>
      </w:r>
      <w:r w:rsidRPr="00964361">
        <w:rPr>
          <w:rFonts w:cstheme="minorHAnsi"/>
        </w:rPr>
        <w:t xml:space="preserve"> 34 % izvoza celotne predelovalne panoge izven EU, sledijo še elektro (20-odstotni delež), kovinska (15-odstotni delež) in strojna industrija (12-odstotni delež). V obdobju zadnjih </w:t>
      </w:r>
      <w:r w:rsidR="003B5A27">
        <w:rPr>
          <w:rFonts w:cstheme="minorHAnsi"/>
        </w:rPr>
        <w:t>petih</w:t>
      </w:r>
      <w:r w:rsidR="003B5A27" w:rsidRPr="00FD4C45">
        <w:rPr>
          <w:rFonts w:cstheme="minorHAnsi"/>
        </w:rPr>
        <w:t xml:space="preserve"> </w:t>
      </w:r>
      <w:r w:rsidRPr="00FD4C45">
        <w:rPr>
          <w:rFonts w:cstheme="minorHAnsi"/>
        </w:rPr>
        <w:t>let</w:t>
      </w:r>
      <w:r w:rsidRPr="00964361">
        <w:rPr>
          <w:rFonts w:cstheme="minorHAnsi"/>
        </w:rPr>
        <w:t xml:space="preserve"> (2014-2018) so prihodki z izvozom na trge izven EU v predelovalni dejavnosti vsako leto v povprečju porasli za 3,1 % letno. Med predelovalnimi </w:t>
      </w:r>
      <w:r w:rsidRPr="00FD4C45">
        <w:rPr>
          <w:rFonts w:cstheme="minorHAnsi"/>
        </w:rPr>
        <w:t>dejavnost</w:t>
      </w:r>
      <w:r w:rsidR="003B5A27">
        <w:rPr>
          <w:rFonts w:cstheme="minorHAnsi"/>
        </w:rPr>
        <w:t>m</w:t>
      </w:r>
      <w:r w:rsidRPr="00FD4C45">
        <w:rPr>
          <w:rFonts w:cstheme="minorHAnsi"/>
        </w:rPr>
        <w:t>i</w:t>
      </w:r>
      <w:r w:rsidRPr="00964361">
        <w:rPr>
          <w:rFonts w:cstheme="minorHAnsi"/>
        </w:rPr>
        <w:t xml:space="preserve"> je izvoz na trg</w:t>
      </w:r>
      <w:r w:rsidR="00D014D1">
        <w:rPr>
          <w:rFonts w:cstheme="minorHAnsi"/>
        </w:rPr>
        <w:t>e</w:t>
      </w:r>
      <w:r w:rsidRPr="00964361">
        <w:rPr>
          <w:rFonts w:cstheme="minorHAnsi"/>
        </w:rPr>
        <w:t xml:space="preserve"> izven EU v povprečju najbolj </w:t>
      </w:r>
      <w:r w:rsidRPr="00FD4C45">
        <w:rPr>
          <w:rFonts w:cstheme="minorHAnsi"/>
        </w:rPr>
        <w:t>poras</w:t>
      </w:r>
      <w:r w:rsidR="003B5A27">
        <w:rPr>
          <w:rFonts w:cstheme="minorHAnsi"/>
        </w:rPr>
        <w:t>e</w:t>
      </w:r>
      <w:r w:rsidRPr="00FD4C45">
        <w:rPr>
          <w:rFonts w:cstheme="minorHAnsi"/>
        </w:rPr>
        <w:t>l</w:t>
      </w:r>
      <w:r w:rsidRPr="00964361">
        <w:rPr>
          <w:rFonts w:cstheme="minorHAnsi"/>
        </w:rPr>
        <w:t xml:space="preserve"> v drugih predelovalnih dejavnostih (14 % letno), tekstilni </w:t>
      </w:r>
      <w:r w:rsidR="00D014D1">
        <w:rPr>
          <w:rFonts w:cstheme="minorHAnsi"/>
        </w:rPr>
        <w:t>(</w:t>
      </w:r>
      <w:r w:rsidRPr="00964361">
        <w:rPr>
          <w:rFonts w:cstheme="minorHAnsi"/>
        </w:rPr>
        <w:t>za 9 % letno</w:t>
      </w:r>
      <w:r w:rsidR="00D014D1">
        <w:rPr>
          <w:rFonts w:cstheme="minorHAnsi"/>
        </w:rPr>
        <w:t>)</w:t>
      </w:r>
      <w:r w:rsidRPr="00964361">
        <w:rPr>
          <w:rFonts w:cstheme="minorHAnsi"/>
        </w:rPr>
        <w:t xml:space="preserve">, kovinski </w:t>
      </w:r>
      <w:r w:rsidR="00D014D1">
        <w:rPr>
          <w:rFonts w:cstheme="minorHAnsi"/>
        </w:rPr>
        <w:t>(</w:t>
      </w:r>
      <w:r w:rsidRPr="00964361">
        <w:rPr>
          <w:rFonts w:cstheme="minorHAnsi"/>
        </w:rPr>
        <w:t>8,7 % letno</w:t>
      </w:r>
      <w:r w:rsidR="00C2502E">
        <w:rPr>
          <w:rFonts w:cstheme="minorHAnsi"/>
        </w:rPr>
        <w:t>)</w:t>
      </w:r>
      <w:r w:rsidRPr="00964361">
        <w:rPr>
          <w:rFonts w:cstheme="minorHAnsi"/>
        </w:rPr>
        <w:t xml:space="preserve">, elektro industriji </w:t>
      </w:r>
      <w:r w:rsidR="00D014D1">
        <w:rPr>
          <w:rFonts w:cstheme="minorHAnsi"/>
        </w:rPr>
        <w:t>(</w:t>
      </w:r>
      <w:r w:rsidRPr="00964361">
        <w:rPr>
          <w:rFonts w:cstheme="minorHAnsi"/>
        </w:rPr>
        <w:t>za 5,4 % letno</w:t>
      </w:r>
      <w:r w:rsidR="00D014D1">
        <w:rPr>
          <w:rFonts w:cstheme="minorHAnsi"/>
        </w:rPr>
        <w:t>)</w:t>
      </w:r>
      <w:r w:rsidRPr="00964361">
        <w:rPr>
          <w:rFonts w:cstheme="minorHAnsi"/>
        </w:rPr>
        <w:t>, upadel pa v papirni, lesni in prehrambni industriji (od 3</w:t>
      </w:r>
      <w:r w:rsidR="003F2538">
        <w:rPr>
          <w:rFonts w:cstheme="minorHAnsi"/>
        </w:rPr>
        <w:t xml:space="preserve"> v lesni</w:t>
      </w:r>
      <w:r w:rsidRPr="00964361">
        <w:rPr>
          <w:rFonts w:cstheme="minorHAnsi"/>
        </w:rPr>
        <w:t xml:space="preserve"> do 1,5 % na leto</w:t>
      </w:r>
      <w:r w:rsidR="003F2538">
        <w:rPr>
          <w:rFonts w:cstheme="minorHAnsi"/>
        </w:rPr>
        <w:t xml:space="preserve"> prehrambni industriji</w:t>
      </w:r>
      <w:r w:rsidRPr="00964361">
        <w:rPr>
          <w:rFonts w:cstheme="minorHAnsi"/>
        </w:rPr>
        <w:t>).</w:t>
      </w:r>
    </w:p>
    <w:p w14:paraId="050C9F0E" w14:textId="77777777" w:rsidR="008B2ACA" w:rsidRPr="007041AF" w:rsidRDefault="00B3183D" w:rsidP="00A347B2">
      <w:pPr>
        <w:spacing w:after="0"/>
        <w:rPr>
          <w:rFonts w:cstheme="minorHAnsi"/>
          <w:color w:val="8AB833" w:themeColor="accent2"/>
        </w:rPr>
      </w:pPr>
      <w:r>
        <w:rPr>
          <w:noProof/>
          <w:lang w:eastAsia="sl-SI"/>
        </w:rPr>
        <w:drawing>
          <wp:inline distT="0" distB="0" distL="0" distR="0" wp14:anchorId="21D2FB75" wp14:editId="36056CDB">
            <wp:extent cx="4320896" cy="2579187"/>
            <wp:effectExtent l="0" t="0" r="0" b="0"/>
            <wp:docPr id="24" name="Grafikon 2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371693F-BF38-4C16-B9B1-E9EEEDFE1C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03E8E10" w14:textId="77777777" w:rsidR="003372D7" w:rsidRPr="009B538E" w:rsidRDefault="003372D7" w:rsidP="003372D7">
      <w:pPr>
        <w:spacing w:before="20"/>
        <w:jc w:val="both"/>
        <w:rPr>
          <w:i/>
        </w:rPr>
      </w:pPr>
      <w:r w:rsidRPr="009B538E">
        <w:rPr>
          <w:i/>
        </w:rPr>
        <w:t>Vir: SURS, strukturna statistika podjetij, preračuni Analitika GZS</w:t>
      </w:r>
    </w:p>
    <w:tbl>
      <w:tblPr>
        <w:tblStyle w:val="Tabelaseznam4poudarek61"/>
        <w:tblW w:w="5000" w:type="pct"/>
        <w:tblLook w:val="04A0" w:firstRow="1" w:lastRow="0" w:firstColumn="1" w:lastColumn="0" w:noHBand="0" w:noVBand="1"/>
      </w:tblPr>
      <w:tblGrid>
        <w:gridCol w:w="2251"/>
        <w:gridCol w:w="1170"/>
        <w:gridCol w:w="1173"/>
        <w:gridCol w:w="1173"/>
        <w:gridCol w:w="1173"/>
        <w:gridCol w:w="1173"/>
        <w:gridCol w:w="1175"/>
      </w:tblGrid>
      <w:tr w:rsidR="00711392" w:rsidRPr="00C13E3C" w14:paraId="1F48ACE3" w14:textId="77777777" w:rsidTr="00865CE9">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129" w:type="pct"/>
            <w:vAlign w:val="center"/>
            <w:hideMark/>
          </w:tcPr>
          <w:p w14:paraId="0ADCDB93" w14:textId="77777777" w:rsidR="007C7F66" w:rsidRPr="0049147B" w:rsidRDefault="007C7F66" w:rsidP="00BF7D3C">
            <w:pPr>
              <w:rPr>
                <w:b w:val="0"/>
              </w:rPr>
            </w:pPr>
            <w:r w:rsidRPr="0049147B">
              <w:t xml:space="preserve">Prihodek </w:t>
            </w:r>
          </w:p>
          <w:p w14:paraId="55E04F1F" w14:textId="77777777" w:rsidR="007C7F66" w:rsidRPr="0049147B" w:rsidRDefault="007C7F66" w:rsidP="00BF7D3C">
            <w:r w:rsidRPr="0049147B">
              <w:t>na tujem trgu</w:t>
            </w:r>
          </w:p>
        </w:tc>
        <w:tc>
          <w:tcPr>
            <w:tcW w:w="644" w:type="pct"/>
            <w:vAlign w:val="center"/>
          </w:tcPr>
          <w:p w14:paraId="1948455C" w14:textId="77777777" w:rsidR="007C7F66" w:rsidRPr="0049147B" w:rsidRDefault="007C7F66" w:rsidP="00405849">
            <w:pPr>
              <w:jc w:val="center"/>
              <w:cnfStyle w:val="100000000000" w:firstRow="1" w:lastRow="0" w:firstColumn="0" w:lastColumn="0" w:oddVBand="0" w:evenVBand="0" w:oddHBand="0" w:evenHBand="0" w:firstRowFirstColumn="0" w:firstRowLastColumn="0" w:lastRowFirstColumn="0" w:lastRowLastColumn="0"/>
              <w:rPr>
                <w:b w:val="0"/>
              </w:rPr>
            </w:pPr>
            <w:r w:rsidRPr="0049147B">
              <w:t>2018,</w:t>
            </w:r>
          </w:p>
          <w:p w14:paraId="04999FE2" w14:textId="77777777" w:rsidR="007C7F66" w:rsidRPr="0049147B" w:rsidRDefault="007C7F66" w:rsidP="00405849">
            <w:pPr>
              <w:jc w:val="center"/>
              <w:cnfStyle w:val="100000000000" w:firstRow="1" w:lastRow="0" w:firstColumn="0" w:lastColumn="0" w:oddVBand="0" w:evenVBand="0" w:oddHBand="0" w:evenHBand="0" w:firstRowFirstColumn="0" w:firstRowLastColumn="0" w:lastRowFirstColumn="0" w:lastRowLastColumn="0"/>
              <w:rPr>
                <w:b w:val="0"/>
              </w:rPr>
            </w:pPr>
            <w:r w:rsidRPr="0049147B">
              <w:t>mio EUR</w:t>
            </w:r>
          </w:p>
          <w:p w14:paraId="14976331" w14:textId="77777777" w:rsidR="007C7F66" w:rsidRPr="0049147B" w:rsidRDefault="007C7F66" w:rsidP="00405849">
            <w:pPr>
              <w:jc w:val="center"/>
              <w:cnfStyle w:val="100000000000" w:firstRow="1" w:lastRow="0" w:firstColumn="0" w:lastColumn="0" w:oddVBand="0" w:evenVBand="0" w:oddHBand="0" w:evenHBand="0" w:firstRowFirstColumn="0" w:firstRowLastColumn="0" w:lastRowFirstColumn="0" w:lastRowLastColumn="0"/>
              <w:rPr>
                <w:b w:val="0"/>
              </w:rPr>
            </w:pPr>
            <w:r w:rsidRPr="0049147B">
              <w:t>trg EU</w:t>
            </w:r>
          </w:p>
          <w:p w14:paraId="0EC50A39" w14:textId="77777777" w:rsidR="007C7F66" w:rsidRPr="0049147B" w:rsidRDefault="007C7F66" w:rsidP="00405849">
            <w:pPr>
              <w:jc w:val="center"/>
              <w:cnfStyle w:val="100000000000" w:firstRow="1" w:lastRow="0" w:firstColumn="0" w:lastColumn="0" w:oddVBand="0" w:evenVBand="0" w:oddHBand="0" w:evenHBand="0" w:firstRowFirstColumn="0" w:firstRowLastColumn="0" w:lastRowFirstColumn="0" w:lastRowLastColumn="0"/>
              <w:rPr>
                <w:b w:val="0"/>
              </w:rPr>
            </w:pPr>
          </w:p>
        </w:tc>
        <w:tc>
          <w:tcPr>
            <w:tcW w:w="645" w:type="pct"/>
            <w:vAlign w:val="center"/>
          </w:tcPr>
          <w:p w14:paraId="3825E1C2" w14:textId="77777777" w:rsidR="007C7F66" w:rsidRPr="0049147B" w:rsidRDefault="007C7F66" w:rsidP="00405849">
            <w:pPr>
              <w:jc w:val="center"/>
              <w:cnfStyle w:val="100000000000" w:firstRow="1" w:lastRow="0" w:firstColumn="0" w:lastColumn="0" w:oddVBand="0" w:evenVBand="0" w:oddHBand="0" w:evenHBand="0" w:firstRowFirstColumn="0" w:firstRowLastColumn="0" w:lastRowFirstColumn="0" w:lastRowLastColumn="0"/>
              <w:rPr>
                <w:b w:val="0"/>
              </w:rPr>
            </w:pPr>
            <w:r w:rsidRPr="0049147B">
              <w:t>Ø 2004-2018,</w:t>
            </w:r>
          </w:p>
          <w:p w14:paraId="20529A08" w14:textId="77777777" w:rsidR="007C7F66" w:rsidRPr="0049147B" w:rsidRDefault="007C7F66" w:rsidP="00405849">
            <w:pPr>
              <w:jc w:val="center"/>
              <w:cnfStyle w:val="100000000000" w:firstRow="1" w:lastRow="0" w:firstColumn="0" w:lastColumn="0" w:oddVBand="0" w:evenVBand="0" w:oddHBand="0" w:evenHBand="0" w:firstRowFirstColumn="0" w:firstRowLastColumn="0" w:lastRowFirstColumn="0" w:lastRowLastColumn="0"/>
              <w:rPr>
                <w:b w:val="0"/>
              </w:rPr>
            </w:pPr>
            <w:r w:rsidRPr="0049147B">
              <w:t>mio EUR</w:t>
            </w:r>
          </w:p>
          <w:p w14:paraId="1BEBF47C" w14:textId="77777777" w:rsidR="007C7F66" w:rsidRPr="0049147B" w:rsidRDefault="007C7F66" w:rsidP="00405849">
            <w:pPr>
              <w:jc w:val="center"/>
              <w:cnfStyle w:val="100000000000" w:firstRow="1" w:lastRow="0" w:firstColumn="0" w:lastColumn="0" w:oddVBand="0" w:evenVBand="0" w:oddHBand="0" w:evenHBand="0" w:firstRowFirstColumn="0" w:firstRowLastColumn="0" w:lastRowFirstColumn="0" w:lastRowLastColumn="0"/>
              <w:rPr>
                <w:b w:val="0"/>
              </w:rPr>
            </w:pPr>
            <w:r w:rsidRPr="0049147B">
              <w:t>trg EU</w:t>
            </w:r>
          </w:p>
          <w:p w14:paraId="460EE8C7" w14:textId="77777777" w:rsidR="007C7F66" w:rsidRPr="0049147B" w:rsidRDefault="007C7F66" w:rsidP="00405849">
            <w:pPr>
              <w:jc w:val="center"/>
              <w:cnfStyle w:val="100000000000" w:firstRow="1" w:lastRow="0" w:firstColumn="0" w:lastColumn="0" w:oddVBand="0" w:evenVBand="0" w:oddHBand="0" w:evenHBand="0" w:firstRowFirstColumn="0" w:firstRowLastColumn="0" w:lastRowFirstColumn="0" w:lastRowLastColumn="0"/>
              <w:rPr>
                <w:b w:val="0"/>
              </w:rPr>
            </w:pPr>
          </w:p>
        </w:tc>
        <w:tc>
          <w:tcPr>
            <w:tcW w:w="645" w:type="pct"/>
            <w:vAlign w:val="center"/>
          </w:tcPr>
          <w:p w14:paraId="4504E8D1" w14:textId="77777777" w:rsidR="007C7F66" w:rsidRPr="0049147B" w:rsidRDefault="007C7F66" w:rsidP="00405849">
            <w:pPr>
              <w:ind w:left="-107"/>
              <w:jc w:val="center"/>
              <w:cnfStyle w:val="100000000000" w:firstRow="1" w:lastRow="0" w:firstColumn="0" w:lastColumn="0" w:oddVBand="0" w:evenVBand="0" w:oddHBand="0" w:evenHBand="0" w:firstRowFirstColumn="0" w:firstRowLastColumn="0" w:lastRowFirstColumn="0" w:lastRowLastColumn="0"/>
              <w:rPr>
                <w:b w:val="0"/>
              </w:rPr>
            </w:pPr>
            <w:r w:rsidRPr="0049147B">
              <w:t>Ø Sprem.</w:t>
            </w:r>
          </w:p>
          <w:p w14:paraId="6864818D" w14:textId="77777777" w:rsidR="007C7F66" w:rsidRPr="0049147B" w:rsidRDefault="007C7F66" w:rsidP="00405849">
            <w:pPr>
              <w:jc w:val="center"/>
              <w:cnfStyle w:val="100000000000" w:firstRow="1" w:lastRow="0" w:firstColumn="0" w:lastColumn="0" w:oddVBand="0" w:evenVBand="0" w:oddHBand="0" w:evenHBand="0" w:firstRowFirstColumn="0" w:firstRowLastColumn="0" w:lastRowFirstColumn="0" w:lastRowLastColumn="0"/>
              <w:rPr>
                <w:b w:val="0"/>
              </w:rPr>
            </w:pPr>
            <w:r w:rsidRPr="0049147B">
              <w:t>v %/ leto</w:t>
            </w:r>
          </w:p>
          <w:p w14:paraId="72CAE014" w14:textId="77777777" w:rsidR="007C7F66" w:rsidRPr="0049147B" w:rsidRDefault="007C7F66" w:rsidP="00405849">
            <w:pPr>
              <w:jc w:val="center"/>
              <w:cnfStyle w:val="100000000000" w:firstRow="1" w:lastRow="0" w:firstColumn="0" w:lastColumn="0" w:oddVBand="0" w:evenVBand="0" w:oddHBand="0" w:evenHBand="0" w:firstRowFirstColumn="0" w:firstRowLastColumn="0" w:lastRowFirstColumn="0" w:lastRowLastColumn="0"/>
              <w:rPr>
                <w:b w:val="0"/>
              </w:rPr>
            </w:pPr>
            <w:r w:rsidRPr="0049147B">
              <w:t>(2014-2018)</w:t>
            </w:r>
          </w:p>
          <w:p w14:paraId="6C0341A5" w14:textId="77777777" w:rsidR="007C7F66" w:rsidRPr="0049147B" w:rsidRDefault="007C7F66" w:rsidP="00405849">
            <w:pPr>
              <w:jc w:val="center"/>
              <w:cnfStyle w:val="100000000000" w:firstRow="1" w:lastRow="0" w:firstColumn="0" w:lastColumn="0" w:oddVBand="0" w:evenVBand="0" w:oddHBand="0" w:evenHBand="0" w:firstRowFirstColumn="0" w:firstRowLastColumn="0" w:lastRowFirstColumn="0" w:lastRowLastColumn="0"/>
              <w:rPr>
                <w:b w:val="0"/>
              </w:rPr>
            </w:pPr>
            <w:r w:rsidRPr="0049147B">
              <w:t>trg EU</w:t>
            </w:r>
          </w:p>
        </w:tc>
        <w:tc>
          <w:tcPr>
            <w:tcW w:w="645" w:type="pct"/>
            <w:vAlign w:val="center"/>
          </w:tcPr>
          <w:p w14:paraId="53FA43D0" w14:textId="77777777" w:rsidR="007C7F66" w:rsidRPr="0049147B" w:rsidRDefault="007C7F66" w:rsidP="00405849">
            <w:pPr>
              <w:jc w:val="center"/>
              <w:cnfStyle w:val="100000000000" w:firstRow="1" w:lastRow="0" w:firstColumn="0" w:lastColumn="0" w:oddVBand="0" w:evenVBand="0" w:oddHBand="0" w:evenHBand="0" w:firstRowFirstColumn="0" w:firstRowLastColumn="0" w:lastRowFirstColumn="0" w:lastRowLastColumn="0"/>
              <w:rPr>
                <w:b w:val="0"/>
              </w:rPr>
            </w:pPr>
            <w:r w:rsidRPr="0049147B">
              <w:t>2018,</w:t>
            </w:r>
          </w:p>
          <w:p w14:paraId="4308598E" w14:textId="77777777" w:rsidR="007C7F66" w:rsidRPr="0049147B" w:rsidRDefault="007C7F66" w:rsidP="00405849">
            <w:pPr>
              <w:jc w:val="center"/>
              <w:cnfStyle w:val="100000000000" w:firstRow="1" w:lastRow="0" w:firstColumn="0" w:lastColumn="0" w:oddVBand="0" w:evenVBand="0" w:oddHBand="0" w:evenHBand="0" w:firstRowFirstColumn="0" w:firstRowLastColumn="0" w:lastRowFirstColumn="0" w:lastRowLastColumn="0"/>
              <w:rPr>
                <w:b w:val="0"/>
              </w:rPr>
            </w:pPr>
            <w:r w:rsidRPr="0049147B">
              <w:t>mio EUR</w:t>
            </w:r>
          </w:p>
          <w:p w14:paraId="32607201" w14:textId="77777777" w:rsidR="007C7F66" w:rsidRPr="0049147B" w:rsidRDefault="007C7F66" w:rsidP="00405849">
            <w:pPr>
              <w:jc w:val="center"/>
              <w:cnfStyle w:val="100000000000" w:firstRow="1" w:lastRow="0" w:firstColumn="0" w:lastColumn="0" w:oddVBand="0" w:evenVBand="0" w:oddHBand="0" w:evenHBand="0" w:firstRowFirstColumn="0" w:firstRowLastColumn="0" w:lastRowFirstColumn="0" w:lastRowLastColumn="0"/>
              <w:rPr>
                <w:b w:val="0"/>
              </w:rPr>
            </w:pPr>
            <w:r w:rsidRPr="0049147B">
              <w:t>trg izven EU</w:t>
            </w:r>
          </w:p>
          <w:p w14:paraId="39026CE7" w14:textId="77777777" w:rsidR="007C7F66" w:rsidRPr="0049147B" w:rsidRDefault="007C7F66" w:rsidP="00405849">
            <w:pPr>
              <w:jc w:val="center"/>
              <w:cnfStyle w:val="100000000000" w:firstRow="1" w:lastRow="0" w:firstColumn="0" w:lastColumn="0" w:oddVBand="0" w:evenVBand="0" w:oddHBand="0" w:evenHBand="0" w:firstRowFirstColumn="0" w:firstRowLastColumn="0" w:lastRowFirstColumn="0" w:lastRowLastColumn="0"/>
              <w:rPr>
                <w:b w:val="0"/>
              </w:rPr>
            </w:pPr>
          </w:p>
        </w:tc>
        <w:tc>
          <w:tcPr>
            <w:tcW w:w="645" w:type="pct"/>
            <w:vAlign w:val="center"/>
          </w:tcPr>
          <w:p w14:paraId="2D1899E9" w14:textId="77777777" w:rsidR="007C7F66" w:rsidRPr="0049147B" w:rsidRDefault="007C7F66" w:rsidP="00405849">
            <w:pPr>
              <w:jc w:val="center"/>
              <w:cnfStyle w:val="100000000000" w:firstRow="1" w:lastRow="0" w:firstColumn="0" w:lastColumn="0" w:oddVBand="0" w:evenVBand="0" w:oddHBand="0" w:evenHBand="0" w:firstRowFirstColumn="0" w:firstRowLastColumn="0" w:lastRowFirstColumn="0" w:lastRowLastColumn="0"/>
              <w:rPr>
                <w:b w:val="0"/>
              </w:rPr>
            </w:pPr>
            <w:r w:rsidRPr="0049147B">
              <w:t>Ø 2004-2018,</w:t>
            </w:r>
          </w:p>
          <w:p w14:paraId="23D537C5" w14:textId="77777777" w:rsidR="007C7F66" w:rsidRPr="0049147B" w:rsidRDefault="007C7F66" w:rsidP="00405849">
            <w:pPr>
              <w:jc w:val="center"/>
              <w:cnfStyle w:val="100000000000" w:firstRow="1" w:lastRow="0" w:firstColumn="0" w:lastColumn="0" w:oddVBand="0" w:evenVBand="0" w:oddHBand="0" w:evenHBand="0" w:firstRowFirstColumn="0" w:firstRowLastColumn="0" w:lastRowFirstColumn="0" w:lastRowLastColumn="0"/>
              <w:rPr>
                <w:b w:val="0"/>
              </w:rPr>
            </w:pPr>
            <w:r w:rsidRPr="0049147B">
              <w:t>mio EUR</w:t>
            </w:r>
          </w:p>
          <w:p w14:paraId="45C935EA" w14:textId="77777777" w:rsidR="007C7F66" w:rsidRPr="0049147B" w:rsidRDefault="007C7F66" w:rsidP="00405849">
            <w:pPr>
              <w:jc w:val="center"/>
              <w:cnfStyle w:val="100000000000" w:firstRow="1" w:lastRow="0" w:firstColumn="0" w:lastColumn="0" w:oddVBand="0" w:evenVBand="0" w:oddHBand="0" w:evenHBand="0" w:firstRowFirstColumn="0" w:firstRowLastColumn="0" w:lastRowFirstColumn="0" w:lastRowLastColumn="0"/>
              <w:rPr>
                <w:b w:val="0"/>
              </w:rPr>
            </w:pPr>
            <w:r w:rsidRPr="0049147B">
              <w:t>trg izven EU</w:t>
            </w:r>
          </w:p>
          <w:p w14:paraId="5326386F" w14:textId="77777777" w:rsidR="007C7F66" w:rsidRPr="0049147B" w:rsidRDefault="007C7F66" w:rsidP="00405849">
            <w:pPr>
              <w:jc w:val="center"/>
              <w:cnfStyle w:val="100000000000" w:firstRow="1" w:lastRow="0" w:firstColumn="0" w:lastColumn="0" w:oddVBand="0" w:evenVBand="0" w:oddHBand="0" w:evenHBand="0" w:firstRowFirstColumn="0" w:firstRowLastColumn="0" w:lastRowFirstColumn="0" w:lastRowLastColumn="0"/>
              <w:rPr>
                <w:b w:val="0"/>
              </w:rPr>
            </w:pPr>
          </w:p>
        </w:tc>
        <w:tc>
          <w:tcPr>
            <w:tcW w:w="646" w:type="pct"/>
            <w:vAlign w:val="center"/>
          </w:tcPr>
          <w:p w14:paraId="7C4FDFC6" w14:textId="77777777" w:rsidR="007C7F66" w:rsidRPr="0049147B" w:rsidRDefault="00865CE9" w:rsidP="00405849">
            <w:pPr>
              <w:jc w:val="center"/>
              <w:cnfStyle w:val="100000000000" w:firstRow="1" w:lastRow="0" w:firstColumn="0" w:lastColumn="0" w:oddVBand="0" w:evenVBand="0" w:oddHBand="0" w:evenHBand="0" w:firstRowFirstColumn="0" w:firstRowLastColumn="0" w:lastRowFirstColumn="0" w:lastRowLastColumn="0"/>
            </w:pPr>
            <w:r w:rsidRPr="0049147B">
              <w:t>CAGR</w:t>
            </w:r>
            <w:r w:rsidRPr="0049147B">
              <w:rPr>
                <w:rStyle w:val="Sprotnaopomba-sklic"/>
              </w:rPr>
              <w:footnoteReference w:id="36"/>
            </w:r>
            <w:r w:rsidRPr="0049147B">
              <w:t xml:space="preserve"> v obdobju 2014-2018</w:t>
            </w:r>
          </w:p>
        </w:tc>
      </w:tr>
      <w:tr w:rsidR="00711392" w:rsidRPr="00C13E3C" w14:paraId="66252F2A" w14:textId="77777777" w:rsidTr="0086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pct"/>
            <w:noWrap/>
            <w:vAlign w:val="bottom"/>
            <w:hideMark/>
          </w:tcPr>
          <w:p w14:paraId="421D40FA" w14:textId="77777777" w:rsidR="004D19BE" w:rsidRPr="00F5643D" w:rsidRDefault="004D19BE" w:rsidP="004D19BE">
            <w:pPr>
              <w:rPr>
                <w:rFonts w:ascii="Trebuchet MS" w:hAnsi="Trebuchet MS"/>
                <w:b w:val="0"/>
                <w:color w:val="000000"/>
              </w:rPr>
            </w:pPr>
            <w:r w:rsidRPr="00F5643D">
              <w:rPr>
                <w:rFonts w:ascii="Trebuchet MS" w:hAnsi="Trebuchet MS"/>
                <w:color w:val="000000"/>
              </w:rPr>
              <w:t>PREDEL. DEJ. SKUPAJ</w:t>
            </w:r>
          </w:p>
        </w:tc>
        <w:tc>
          <w:tcPr>
            <w:tcW w:w="644" w:type="pct"/>
            <w:vAlign w:val="center"/>
          </w:tcPr>
          <w:p w14:paraId="77529FB8"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17.239</w:t>
            </w:r>
          </w:p>
        </w:tc>
        <w:tc>
          <w:tcPr>
            <w:tcW w:w="645" w:type="pct"/>
            <w:vAlign w:val="center"/>
          </w:tcPr>
          <w:p w14:paraId="37C63B13"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color w:val="000000"/>
              </w:rPr>
            </w:pPr>
            <w:r w:rsidRPr="0049147B">
              <w:rPr>
                <w:b/>
                <w:color w:val="000000"/>
              </w:rPr>
              <w:t>14.595</w:t>
            </w:r>
          </w:p>
        </w:tc>
        <w:tc>
          <w:tcPr>
            <w:tcW w:w="645" w:type="pct"/>
            <w:vAlign w:val="center"/>
          </w:tcPr>
          <w:p w14:paraId="4AD50AAA"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8,5%</w:t>
            </w:r>
          </w:p>
        </w:tc>
        <w:tc>
          <w:tcPr>
            <w:tcW w:w="645" w:type="pct"/>
            <w:vAlign w:val="center"/>
          </w:tcPr>
          <w:p w14:paraId="6A06EF87"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4.526</w:t>
            </w:r>
          </w:p>
        </w:tc>
        <w:tc>
          <w:tcPr>
            <w:tcW w:w="645" w:type="pct"/>
            <w:vAlign w:val="center"/>
          </w:tcPr>
          <w:p w14:paraId="271FEABB"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color w:val="000000"/>
              </w:rPr>
            </w:pPr>
            <w:r w:rsidRPr="0049147B">
              <w:rPr>
                <w:b/>
                <w:color w:val="000000"/>
              </w:rPr>
              <w:t>4.031</w:t>
            </w:r>
          </w:p>
        </w:tc>
        <w:tc>
          <w:tcPr>
            <w:tcW w:w="646" w:type="pct"/>
            <w:vAlign w:val="center"/>
          </w:tcPr>
          <w:p w14:paraId="0E7CD5DD"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3,1%</w:t>
            </w:r>
          </w:p>
        </w:tc>
      </w:tr>
      <w:tr w:rsidR="004D19BE" w:rsidRPr="00C13E3C" w14:paraId="384011CA" w14:textId="77777777" w:rsidTr="002C098B">
        <w:tc>
          <w:tcPr>
            <w:cnfStyle w:val="001000000000" w:firstRow="0" w:lastRow="0" w:firstColumn="1" w:lastColumn="0" w:oddVBand="0" w:evenVBand="0" w:oddHBand="0" w:evenHBand="0" w:firstRowFirstColumn="0" w:firstRowLastColumn="0" w:lastRowFirstColumn="0" w:lastRowLastColumn="0"/>
            <w:tcW w:w="1129" w:type="pct"/>
            <w:noWrap/>
            <w:vAlign w:val="center"/>
            <w:hideMark/>
          </w:tcPr>
          <w:p w14:paraId="3B8F3AB8" w14:textId="77777777" w:rsidR="004D19BE" w:rsidRPr="00F5643D" w:rsidRDefault="004D19BE" w:rsidP="004D19BE">
            <w:pPr>
              <w:rPr>
                <w:rFonts w:ascii="Trebuchet MS" w:hAnsi="Trebuchet MS"/>
                <w:color w:val="000000"/>
              </w:rPr>
            </w:pPr>
            <w:r w:rsidRPr="00F5643D">
              <w:rPr>
                <w:rFonts w:ascii="Trebuchet MS" w:hAnsi="Trebuchet MS"/>
                <w:color w:val="000000"/>
              </w:rPr>
              <w:t>Prehrambna</w:t>
            </w:r>
          </w:p>
        </w:tc>
        <w:tc>
          <w:tcPr>
            <w:tcW w:w="644" w:type="pct"/>
            <w:noWrap/>
            <w:vAlign w:val="center"/>
          </w:tcPr>
          <w:p w14:paraId="00CC843B"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431</w:t>
            </w:r>
          </w:p>
        </w:tc>
        <w:tc>
          <w:tcPr>
            <w:tcW w:w="645" w:type="pct"/>
            <w:noWrap/>
            <w:vAlign w:val="center"/>
          </w:tcPr>
          <w:p w14:paraId="40F987AD"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358</w:t>
            </w:r>
          </w:p>
        </w:tc>
        <w:tc>
          <w:tcPr>
            <w:tcW w:w="645" w:type="pct"/>
            <w:noWrap/>
            <w:vAlign w:val="center"/>
          </w:tcPr>
          <w:p w14:paraId="3FD6D330"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13,6%</w:t>
            </w:r>
          </w:p>
        </w:tc>
        <w:tc>
          <w:tcPr>
            <w:tcW w:w="645" w:type="pct"/>
            <w:noWrap/>
            <w:vAlign w:val="center"/>
          </w:tcPr>
          <w:p w14:paraId="2F70A77D"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199</w:t>
            </w:r>
          </w:p>
        </w:tc>
        <w:tc>
          <w:tcPr>
            <w:tcW w:w="645" w:type="pct"/>
            <w:vAlign w:val="center"/>
          </w:tcPr>
          <w:p w14:paraId="0FD63217"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189</w:t>
            </w:r>
          </w:p>
        </w:tc>
        <w:tc>
          <w:tcPr>
            <w:tcW w:w="646" w:type="pct"/>
            <w:noWrap/>
            <w:vAlign w:val="center"/>
          </w:tcPr>
          <w:p w14:paraId="274C615E"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-1,4%</w:t>
            </w:r>
          </w:p>
        </w:tc>
      </w:tr>
      <w:tr w:rsidR="00711392" w:rsidRPr="00C13E3C" w14:paraId="2F97AEED" w14:textId="77777777" w:rsidTr="0086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pct"/>
            <w:noWrap/>
            <w:vAlign w:val="center"/>
            <w:hideMark/>
          </w:tcPr>
          <w:p w14:paraId="0CF74688" w14:textId="77777777" w:rsidR="004D19BE" w:rsidRPr="00F5643D" w:rsidRDefault="004D19BE" w:rsidP="004D19BE">
            <w:pPr>
              <w:rPr>
                <w:rFonts w:ascii="Trebuchet MS" w:hAnsi="Trebuchet MS"/>
                <w:color w:val="000000"/>
              </w:rPr>
            </w:pPr>
            <w:r w:rsidRPr="00F5643D">
              <w:rPr>
                <w:rFonts w:ascii="Trebuchet MS" w:hAnsi="Trebuchet MS"/>
                <w:color w:val="000000"/>
              </w:rPr>
              <w:t>Tekstilna</w:t>
            </w:r>
          </w:p>
        </w:tc>
        <w:tc>
          <w:tcPr>
            <w:tcW w:w="644" w:type="pct"/>
            <w:noWrap/>
            <w:vAlign w:val="center"/>
          </w:tcPr>
          <w:p w14:paraId="05598236"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498</w:t>
            </w:r>
          </w:p>
        </w:tc>
        <w:tc>
          <w:tcPr>
            <w:tcW w:w="645" w:type="pct"/>
            <w:noWrap/>
            <w:vAlign w:val="center"/>
          </w:tcPr>
          <w:p w14:paraId="55E50AF0"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456</w:t>
            </w:r>
          </w:p>
        </w:tc>
        <w:tc>
          <w:tcPr>
            <w:tcW w:w="645" w:type="pct"/>
            <w:noWrap/>
            <w:vAlign w:val="center"/>
          </w:tcPr>
          <w:p w14:paraId="4EE1714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1,3%</w:t>
            </w:r>
          </w:p>
        </w:tc>
        <w:tc>
          <w:tcPr>
            <w:tcW w:w="645" w:type="pct"/>
            <w:noWrap/>
            <w:vAlign w:val="center"/>
          </w:tcPr>
          <w:p w14:paraId="39C4883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164</w:t>
            </w:r>
          </w:p>
        </w:tc>
        <w:tc>
          <w:tcPr>
            <w:tcW w:w="645" w:type="pct"/>
            <w:vAlign w:val="center"/>
          </w:tcPr>
          <w:p w14:paraId="43A984E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122</w:t>
            </w:r>
          </w:p>
        </w:tc>
        <w:tc>
          <w:tcPr>
            <w:tcW w:w="646" w:type="pct"/>
            <w:noWrap/>
            <w:vAlign w:val="center"/>
          </w:tcPr>
          <w:p w14:paraId="595BBE12"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9,0%</w:t>
            </w:r>
          </w:p>
        </w:tc>
      </w:tr>
      <w:tr w:rsidR="004D19BE" w:rsidRPr="00C13E3C" w14:paraId="24DAAC7A" w14:textId="77777777" w:rsidTr="002C098B">
        <w:tc>
          <w:tcPr>
            <w:cnfStyle w:val="001000000000" w:firstRow="0" w:lastRow="0" w:firstColumn="1" w:lastColumn="0" w:oddVBand="0" w:evenVBand="0" w:oddHBand="0" w:evenHBand="0" w:firstRowFirstColumn="0" w:firstRowLastColumn="0" w:lastRowFirstColumn="0" w:lastRowLastColumn="0"/>
            <w:tcW w:w="1129" w:type="pct"/>
            <w:noWrap/>
            <w:vAlign w:val="center"/>
            <w:hideMark/>
          </w:tcPr>
          <w:p w14:paraId="691E93A3" w14:textId="77777777" w:rsidR="004D19BE" w:rsidRPr="00F5643D" w:rsidRDefault="004D19BE" w:rsidP="004D19BE">
            <w:pPr>
              <w:rPr>
                <w:rFonts w:ascii="Trebuchet MS" w:hAnsi="Trebuchet MS"/>
                <w:color w:val="000000"/>
              </w:rPr>
            </w:pPr>
            <w:r w:rsidRPr="00F5643D">
              <w:rPr>
                <w:rFonts w:ascii="Trebuchet MS" w:hAnsi="Trebuchet MS"/>
                <w:color w:val="000000"/>
              </w:rPr>
              <w:t>Lesna</w:t>
            </w:r>
          </w:p>
        </w:tc>
        <w:tc>
          <w:tcPr>
            <w:tcW w:w="644" w:type="pct"/>
            <w:noWrap/>
            <w:vAlign w:val="center"/>
          </w:tcPr>
          <w:p w14:paraId="5512B060"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687</w:t>
            </w:r>
          </w:p>
        </w:tc>
        <w:tc>
          <w:tcPr>
            <w:tcW w:w="645" w:type="pct"/>
            <w:noWrap/>
            <w:vAlign w:val="center"/>
          </w:tcPr>
          <w:p w14:paraId="49053CC0"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563</w:t>
            </w:r>
          </w:p>
        </w:tc>
        <w:tc>
          <w:tcPr>
            <w:tcW w:w="645" w:type="pct"/>
            <w:noWrap/>
            <w:vAlign w:val="center"/>
          </w:tcPr>
          <w:p w14:paraId="68F85E79"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11,8%</w:t>
            </w:r>
          </w:p>
        </w:tc>
        <w:tc>
          <w:tcPr>
            <w:tcW w:w="645" w:type="pct"/>
            <w:noWrap/>
            <w:vAlign w:val="center"/>
          </w:tcPr>
          <w:p w14:paraId="1B4D4829"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90</w:t>
            </w:r>
          </w:p>
        </w:tc>
        <w:tc>
          <w:tcPr>
            <w:tcW w:w="645" w:type="pct"/>
            <w:vAlign w:val="center"/>
          </w:tcPr>
          <w:p w14:paraId="7ED61E90"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89</w:t>
            </w:r>
          </w:p>
        </w:tc>
        <w:tc>
          <w:tcPr>
            <w:tcW w:w="646" w:type="pct"/>
            <w:noWrap/>
            <w:vAlign w:val="center"/>
          </w:tcPr>
          <w:p w14:paraId="775F7A10"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-1,9%</w:t>
            </w:r>
          </w:p>
        </w:tc>
      </w:tr>
      <w:tr w:rsidR="00711392" w:rsidRPr="00C13E3C" w14:paraId="3F6D4F00" w14:textId="77777777" w:rsidTr="0086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pct"/>
            <w:noWrap/>
            <w:vAlign w:val="center"/>
            <w:hideMark/>
          </w:tcPr>
          <w:p w14:paraId="7417971D" w14:textId="77777777" w:rsidR="004D19BE" w:rsidRPr="00F5643D" w:rsidRDefault="004D19BE" w:rsidP="004D19BE">
            <w:pPr>
              <w:rPr>
                <w:rFonts w:ascii="Trebuchet MS" w:hAnsi="Trebuchet MS"/>
                <w:color w:val="000000"/>
              </w:rPr>
            </w:pPr>
            <w:r w:rsidRPr="00F5643D">
              <w:rPr>
                <w:rFonts w:ascii="Trebuchet MS" w:hAnsi="Trebuchet MS"/>
                <w:color w:val="000000"/>
              </w:rPr>
              <w:t>Papirna</w:t>
            </w:r>
          </w:p>
        </w:tc>
        <w:tc>
          <w:tcPr>
            <w:tcW w:w="644" w:type="pct"/>
            <w:noWrap/>
            <w:vAlign w:val="center"/>
          </w:tcPr>
          <w:p w14:paraId="480D28B9"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601</w:t>
            </w:r>
          </w:p>
        </w:tc>
        <w:tc>
          <w:tcPr>
            <w:tcW w:w="645" w:type="pct"/>
            <w:noWrap/>
            <w:vAlign w:val="center"/>
          </w:tcPr>
          <w:p w14:paraId="3BE01E58"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542</w:t>
            </w:r>
          </w:p>
        </w:tc>
        <w:tc>
          <w:tcPr>
            <w:tcW w:w="645" w:type="pct"/>
            <w:noWrap/>
            <w:vAlign w:val="center"/>
          </w:tcPr>
          <w:p w14:paraId="1FF8E758"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5,9%</w:t>
            </w:r>
          </w:p>
        </w:tc>
        <w:tc>
          <w:tcPr>
            <w:tcW w:w="645" w:type="pct"/>
            <w:noWrap/>
            <w:vAlign w:val="center"/>
          </w:tcPr>
          <w:p w14:paraId="2ACFD87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142</w:t>
            </w:r>
          </w:p>
        </w:tc>
        <w:tc>
          <w:tcPr>
            <w:tcW w:w="645" w:type="pct"/>
            <w:vAlign w:val="center"/>
          </w:tcPr>
          <w:p w14:paraId="02B0EBC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154</w:t>
            </w:r>
          </w:p>
        </w:tc>
        <w:tc>
          <w:tcPr>
            <w:tcW w:w="646" w:type="pct"/>
            <w:noWrap/>
            <w:vAlign w:val="center"/>
          </w:tcPr>
          <w:p w14:paraId="58513BB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-2,9%</w:t>
            </w:r>
          </w:p>
        </w:tc>
      </w:tr>
      <w:tr w:rsidR="004D19BE" w:rsidRPr="00C13E3C" w14:paraId="3945BFF0" w14:textId="77777777" w:rsidTr="002C098B">
        <w:tc>
          <w:tcPr>
            <w:cnfStyle w:val="001000000000" w:firstRow="0" w:lastRow="0" w:firstColumn="1" w:lastColumn="0" w:oddVBand="0" w:evenVBand="0" w:oddHBand="0" w:evenHBand="0" w:firstRowFirstColumn="0" w:firstRowLastColumn="0" w:lastRowFirstColumn="0" w:lastRowLastColumn="0"/>
            <w:tcW w:w="1129" w:type="pct"/>
            <w:noWrap/>
            <w:vAlign w:val="center"/>
            <w:hideMark/>
          </w:tcPr>
          <w:p w14:paraId="5F7C8A37" w14:textId="77777777" w:rsidR="004D19BE" w:rsidRPr="00F5643D" w:rsidRDefault="004D19BE" w:rsidP="004D19BE">
            <w:pPr>
              <w:rPr>
                <w:rFonts w:ascii="Trebuchet MS" w:hAnsi="Trebuchet MS"/>
                <w:color w:val="000000"/>
              </w:rPr>
            </w:pPr>
            <w:r w:rsidRPr="00F5643D">
              <w:rPr>
                <w:rFonts w:ascii="Trebuchet MS" w:hAnsi="Trebuchet MS"/>
                <w:color w:val="000000"/>
              </w:rPr>
              <w:t>Kemična</w:t>
            </w:r>
          </w:p>
        </w:tc>
        <w:tc>
          <w:tcPr>
            <w:tcW w:w="644" w:type="pct"/>
            <w:noWrap/>
            <w:vAlign w:val="center"/>
          </w:tcPr>
          <w:p w14:paraId="47CF4A4E"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3.216</w:t>
            </w:r>
          </w:p>
        </w:tc>
        <w:tc>
          <w:tcPr>
            <w:tcW w:w="645" w:type="pct"/>
            <w:noWrap/>
            <w:vAlign w:val="center"/>
          </w:tcPr>
          <w:p w14:paraId="7662628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2.896</w:t>
            </w:r>
          </w:p>
        </w:tc>
        <w:tc>
          <w:tcPr>
            <w:tcW w:w="645" w:type="pct"/>
            <w:noWrap/>
            <w:vAlign w:val="center"/>
          </w:tcPr>
          <w:p w14:paraId="3769FCB4"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5,5%</w:t>
            </w:r>
          </w:p>
        </w:tc>
        <w:tc>
          <w:tcPr>
            <w:tcW w:w="645" w:type="pct"/>
            <w:noWrap/>
            <w:vAlign w:val="center"/>
          </w:tcPr>
          <w:p w14:paraId="7810596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1.547</w:t>
            </w:r>
          </w:p>
        </w:tc>
        <w:tc>
          <w:tcPr>
            <w:tcW w:w="645" w:type="pct"/>
            <w:vAlign w:val="center"/>
          </w:tcPr>
          <w:p w14:paraId="2641F63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1.427</w:t>
            </w:r>
          </w:p>
        </w:tc>
        <w:tc>
          <w:tcPr>
            <w:tcW w:w="646" w:type="pct"/>
            <w:noWrap/>
            <w:vAlign w:val="center"/>
          </w:tcPr>
          <w:p w14:paraId="4B8E9DBA"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0,9%</w:t>
            </w:r>
          </w:p>
        </w:tc>
      </w:tr>
      <w:tr w:rsidR="00711392" w:rsidRPr="00C13E3C" w14:paraId="66C06B05" w14:textId="77777777" w:rsidTr="0086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pct"/>
            <w:noWrap/>
            <w:vAlign w:val="center"/>
            <w:hideMark/>
          </w:tcPr>
          <w:p w14:paraId="43E12C16" w14:textId="77777777" w:rsidR="004D19BE" w:rsidRPr="00F5643D" w:rsidRDefault="004D19BE" w:rsidP="004D19BE">
            <w:pPr>
              <w:rPr>
                <w:rFonts w:ascii="Trebuchet MS" w:hAnsi="Trebuchet MS"/>
                <w:color w:val="000000"/>
              </w:rPr>
            </w:pPr>
            <w:r w:rsidRPr="00F5643D">
              <w:rPr>
                <w:rFonts w:ascii="Trebuchet MS" w:hAnsi="Trebuchet MS"/>
                <w:color w:val="000000"/>
              </w:rPr>
              <w:t>Nekovinska</w:t>
            </w:r>
          </w:p>
        </w:tc>
        <w:tc>
          <w:tcPr>
            <w:tcW w:w="644" w:type="pct"/>
            <w:noWrap/>
            <w:vAlign w:val="center"/>
          </w:tcPr>
          <w:p w14:paraId="30650FE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462</w:t>
            </w:r>
          </w:p>
        </w:tc>
        <w:tc>
          <w:tcPr>
            <w:tcW w:w="645" w:type="pct"/>
            <w:noWrap/>
            <w:vAlign w:val="center"/>
          </w:tcPr>
          <w:p w14:paraId="3020B8F6"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409</w:t>
            </w:r>
          </w:p>
        </w:tc>
        <w:tc>
          <w:tcPr>
            <w:tcW w:w="645" w:type="pct"/>
            <w:noWrap/>
            <w:vAlign w:val="center"/>
          </w:tcPr>
          <w:p w14:paraId="7264823E"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6,3%</w:t>
            </w:r>
          </w:p>
        </w:tc>
        <w:tc>
          <w:tcPr>
            <w:tcW w:w="645" w:type="pct"/>
            <w:noWrap/>
            <w:vAlign w:val="center"/>
          </w:tcPr>
          <w:p w14:paraId="14E56C4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127</w:t>
            </w:r>
          </w:p>
        </w:tc>
        <w:tc>
          <w:tcPr>
            <w:tcW w:w="645" w:type="pct"/>
            <w:vAlign w:val="center"/>
          </w:tcPr>
          <w:p w14:paraId="40788F7A"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123</w:t>
            </w:r>
          </w:p>
        </w:tc>
        <w:tc>
          <w:tcPr>
            <w:tcW w:w="646" w:type="pct"/>
            <w:noWrap/>
            <w:vAlign w:val="center"/>
          </w:tcPr>
          <w:p w14:paraId="6C251C6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2,5%</w:t>
            </w:r>
          </w:p>
        </w:tc>
      </w:tr>
      <w:tr w:rsidR="004D19BE" w:rsidRPr="00C13E3C" w14:paraId="49B81870" w14:textId="77777777" w:rsidTr="002C098B">
        <w:tc>
          <w:tcPr>
            <w:cnfStyle w:val="001000000000" w:firstRow="0" w:lastRow="0" w:firstColumn="1" w:lastColumn="0" w:oddVBand="0" w:evenVBand="0" w:oddHBand="0" w:evenHBand="0" w:firstRowFirstColumn="0" w:firstRowLastColumn="0" w:lastRowFirstColumn="0" w:lastRowLastColumn="0"/>
            <w:tcW w:w="1129" w:type="pct"/>
            <w:noWrap/>
            <w:vAlign w:val="center"/>
            <w:hideMark/>
          </w:tcPr>
          <w:p w14:paraId="7ED68E88" w14:textId="77777777" w:rsidR="004D19BE" w:rsidRPr="00F5643D" w:rsidRDefault="004D19BE" w:rsidP="004D19BE">
            <w:pPr>
              <w:rPr>
                <w:rFonts w:ascii="Trebuchet MS" w:hAnsi="Trebuchet MS"/>
                <w:color w:val="000000"/>
              </w:rPr>
            </w:pPr>
            <w:r w:rsidRPr="00F5643D">
              <w:rPr>
                <w:rFonts w:ascii="Trebuchet MS" w:hAnsi="Trebuchet MS"/>
                <w:color w:val="000000"/>
              </w:rPr>
              <w:t>Kovinska</w:t>
            </w:r>
          </w:p>
        </w:tc>
        <w:tc>
          <w:tcPr>
            <w:tcW w:w="644" w:type="pct"/>
            <w:noWrap/>
            <w:vAlign w:val="center"/>
          </w:tcPr>
          <w:p w14:paraId="0826F0F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3.625</w:t>
            </w:r>
          </w:p>
        </w:tc>
        <w:tc>
          <w:tcPr>
            <w:tcW w:w="645" w:type="pct"/>
            <w:noWrap/>
            <w:vAlign w:val="center"/>
          </w:tcPr>
          <w:p w14:paraId="58F61901"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3.047</w:t>
            </w:r>
          </w:p>
        </w:tc>
        <w:tc>
          <w:tcPr>
            <w:tcW w:w="645" w:type="pct"/>
            <w:noWrap/>
            <w:vAlign w:val="center"/>
          </w:tcPr>
          <w:p w14:paraId="742A11D4"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9,6%</w:t>
            </w:r>
          </w:p>
        </w:tc>
        <w:tc>
          <w:tcPr>
            <w:tcW w:w="645" w:type="pct"/>
            <w:noWrap/>
            <w:vAlign w:val="center"/>
          </w:tcPr>
          <w:p w14:paraId="0CFAE36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668</w:t>
            </w:r>
          </w:p>
        </w:tc>
        <w:tc>
          <w:tcPr>
            <w:tcW w:w="645" w:type="pct"/>
            <w:vAlign w:val="center"/>
          </w:tcPr>
          <w:p w14:paraId="0FF1F9B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535</w:t>
            </w:r>
          </w:p>
        </w:tc>
        <w:tc>
          <w:tcPr>
            <w:tcW w:w="646" w:type="pct"/>
            <w:noWrap/>
            <w:vAlign w:val="center"/>
          </w:tcPr>
          <w:p w14:paraId="51050C5C"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8,7%</w:t>
            </w:r>
          </w:p>
        </w:tc>
      </w:tr>
      <w:tr w:rsidR="00711392" w:rsidRPr="00C13E3C" w14:paraId="5F5B71A1" w14:textId="77777777" w:rsidTr="0086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pct"/>
            <w:noWrap/>
            <w:vAlign w:val="center"/>
            <w:hideMark/>
          </w:tcPr>
          <w:p w14:paraId="368E538F" w14:textId="77777777" w:rsidR="004D19BE" w:rsidRPr="00F5643D" w:rsidRDefault="004D19BE" w:rsidP="004D19BE">
            <w:pPr>
              <w:rPr>
                <w:rFonts w:ascii="Trebuchet MS" w:hAnsi="Trebuchet MS"/>
                <w:color w:val="000000"/>
              </w:rPr>
            </w:pPr>
            <w:r w:rsidRPr="00F5643D">
              <w:rPr>
                <w:rFonts w:ascii="Trebuchet MS" w:hAnsi="Trebuchet MS"/>
                <w:color w:val="000000"/>
              </w:rPr>
              <w:t>Elektro</w:t>
            </w:r>
          </w:p>
        </w:tc>
        <w:tc>
          <w:tcPr>
            <w:tcW w:w="644" w:type="pct"/>
            <w:noWrap/>
            <w:vAlign w:val="center"/>
          </w:tcPr>
          <w:p w14:paraId="0D286ABF"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2.625</w:t>
            </w:r>
          </w:p>
        </w:tc>
        <w:tc>
          <w:tcPr>
            <w:tcW w:w="645" w:type="pct"/>
            <w:noWrap/>
            <w:vAlign w:val="center"/>
          </w:tcPr>
          <w:p w14:paraId="6293D409"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2.172</w:t>
            </w:r>
          </w:p>
        </w:tc>
        <w:tc>
          <w:tcPr>
            <w:tcW w:w="645" w:type="pct"/>
            <w:noWrap/>
            <w:vAlign w:val="center"/>
          </w:tcPr>
          <w:p w14:paraId="5C3A556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10,2%</w:t>
            </w:r>
          </w:p>
        </w:tc>
        <w:tc>
          <w:tcPr>
            <w:tcW w:w="645" w:type="pct"/>
            <w:noWrap/>
            <w:vAlign w:val="center"/>
          </w:tcPr>
          <w:p w14:paraId="44EA4A99"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901</w:t>
            </w:r>
          </w:p>
        </w:tc>
        <w:tc>
          <w:tcPr>
            <w:tcW w:w="645" w:type="pct"/>
            <w:vAlign w:val="center"/>
          </w:tcPr>
          <w:p w14:paraId="6B3C99AF"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781</w:t>
            </w:r>
          </w:p>
        </w:tc>
        <w:tc>
          <w:tcPr>
            <w:tcW w:w="646" w:type="pct"/>
            <w:noWrap/>
            <w:vAlign w:val="center"/>
          </w:tcPr>
          <w:p w14:paraId="0EE0C11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5,4%</w:t>
            </w:r>
          </w:p>
        </w:tc>
      </w:tr>
      <w:tr w:rsidR="004D19BE" w:rsidRPr="00C13E3C" w14:paraId="115748D9" w14:textId="77777777" w:rsidTr="002C098B">
        <w:tc>
          <w:tcPr>
            <w:cnfStyle w:val="001000000000" w:firstRow="0" w:lastRow="0" w:firstColumn="1" w:lastColumn="0" w:oddVBand="0" w:evenVBand="0" w:oddHBand="0" w:evenHBand="0" w:firstRowFirstColumn="0" w:firstRowLastColumn="0" w:lastRowFirstColumn="0" w:lastRowLastColumn="0"/>
            <w:tcW w:w="1129" w:type="pct"/>
            <w:noWrap/>
            <w:vAlign w:val="center"/>
            <w:hideMark/>
          </w:tcPr>
          <w:p w14:paraId="52232021" w14:textId="77777777" w:rsidR="004D19BE" w:rsidRPr="00F5643D" w:rsidRDefault="004D19BE" w:rsidP="004D19BE">
            <w:pPr>
              <w:rPr>
                <w:rFonts w:ascii="Trebuchet MS" w:hAnsi="Trebuchet MS"/>
                <w:color w:val="000000"/>
              </w:rPr>
            </w:pPr>
            <w:r w:rsidRPr="00F5643D">
              <w:rPr>
                <w:rFonts w:ascii="Trebuchet MS" w:hAnsi="Trebuchet MS"/>
                <w:color w:val="000000"/>
              </w:rPr>
              <w:t>Strojna</w:t>
            </w:r>
          </w:p>
        </w:tc>
        <w:tc>
          <w:tcPr>
            <w:tcW w:w="644" w:type="pct"/>
            <w:noWrap/>
            <w:vAlign w:val="center"/>
          </w:tcPr>
          <w:p w14:paraId="2894686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4.920</w:t>
            </w:r>
          </w:p>
        </w:tc>
        <w:tc>
          <w:tcPr>
            <w:tcW w:w="645" w:type="pct"/>
            <w:noWrap/>
            <w:vAlign w:val="center"/>
          </w:tcPr>
          <w:p w14:paraId="60753BA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4.000</w:t>
            </w:r>
          </w:p>
        </w:tc>
        <w:tc>
          <w:tcPr>
            <w:tcW w:w="645" w:type="pct"/>
            <w:noWrap/>
            <w:vAlign w:val="center"/>
          </w:tcPr>
          <w:p w14:paraId="0C7DB35C"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9,8%</w:t>
            </w:r>
          </w:p>
        </w:tc>
        <w:tc>
          <w:tcPr>
            <w:tcW w:w="645" w:type="pct"/>
            <w:noWrap/>
            <w:vAlign w:val="center"/>
          </w:tcPr>
          <w:p w14:paraId="4D568D6A"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559</w:t>
            </w:r>
          </w:p>
        </w:tc>
        <w:tc>
          <w:tcPr>
            <w:tcW w:w="645" w:type="pct"/>
            <w:vAlign w:val="center"/>
          </w:tcPr>
          <w:p w14:paraId="0C7BEFCE"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512</w:t>
            </w:r>
          </w:p>
        </w:tc>
        <w:tc>
          <w:tcPr>
            <w:tcW w:w="646" w:type="pct"/>
            <w:noWrap/>
            <w:vAlign w:val="center"/>
          </w:tcPr>
          <w:p w14:paraId="09AB7294"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2,1%</w:t>
            </w:r>
          </w:p>
        </w:tc>
      </w:tr>
      <w:tr w:rsidR="00711392" w:rsidRPr="00C13E3C" w14:paraId="1C5EACE3" w14:textId="77777777" w:rsidTr="0086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pct"/>
            <w:noWrap/>
            <w:vAlign w:val="center"/>
            <w:hideMark/>
          </w:tcPr>
          <w:p w14:paraId="5C925F55" w14:textId="77777777" w:rsidR="004D19BE" w:rsidRPr="00F5643D" w:rsidRDefault="004D19BE" w:rsidP="004D19BE">
            <w:pPr>
              <w:rPr>
                <w:rFonts w:ascii="Trebuchet MS" w:hAnsi="Trebuchet MS"/>
                <w:color w:val="000000"/>
              </w:rPr>
            </w:pPr>
            <w:r w:rsidRPr="00F5643D">
              <w:rPr>
                <w:rFonts w:ascii="Trebuchet MS" w:hAnsi="Trebuchet MS"/>
                <w:color w:val="000000"/>
              </w:rPr>
              <w:t>Druge</w:t>
            </w:r>
          </w:p>
        </w:tc>
        <w:tc>
          <w:tcPr>
            <w:tcW w:w="644" w:type="pct"/>
            <w:noWrap/>
            <w:vAlign w:val="center"/>
          </w:tcPr>
          <w:p w14:paraId="76602A0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174</w:t>
            </w:r>
          </w:p>
        </w:tc>
        <w:tc>
          <w:tcPr>
            <w:tcW w:w="645" w:type="pct"/>
            <w:noWrap/>
            <w:vAlign w:val="center"/>
          </w:tcPr>
          <w:p w14:paraId="623A1D52"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153</w:t>
            </w:r>
          </w:p>
        </w:tc>
        <w:tc>
          <w:tcPr>
            <w:tcW w:w="645" w:type="pct"/>
            <w:noWrap/>
            <w:vAlign w:val="center"/>
          </w:tcPr>
          <w:p w14:paraId="6A83C28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7,3%</w:t>
            </w:r>
          </w:p>
        </w:tc>
        <w:tc>
          <w:tcPr>
            <w:tcW w:w="645" w:type="pct"/>
            <w:noWrap/>
            <w:vAlign w:val="center"/>
          </w:tcPr>
          <w:p w14:paraId="5BC9C865"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130</w:t>
            </w:r>
          </w:p>
        </w:tc>
        <w:tc>
          <w:tcPr>
            <w:tcW w:w="645" w:type="pct"/>
            <w:vAlign w:val="center"/>
          </w:tcPr>
          <w:p w14:paraId="6719BC5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100</w:t>
            </w:r>
          </w:p>
        </w:tc>
        <w:tc>
          <w:tcPr>
            <w:tcW w:w="646" w:type="pct"/>
            <w:noWrap/>
            <w:vAlign w:val="center"/>
          </w:tcPr>
          <w:p w14:paraId="615BDDF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14,0%</w:t>
            </w:r>
          </w:p>
        </w:tc>
      </w:tr>
    </w:tbl>
    <w:p w14:paraId="771B52BC" w14:textId="77777777" w:rsidR="003372D7" w:rsidRPr="009B538E" w:rsidRDefault="003372D7" w:rsidP="003372D7">
      <w:pPr>
        <w:spacing w:before="20"/>
        <w:jc w:val="both"/>
        <w:rPr>
          <w:i/>
        </w:rPr>
      </w:pPr>
      <w:r w:rsidRPr="009B538E">
        <w:rPr>
          <w:i/>
        </w:rPr>
        <w:t>Vir: SURS, strukturna statistika podjetij, preračuni Analitika GZS</w:t>
      </w:r>
    </w:p>
    <w:p w14:paraId="6E41E111" w14:textId="77777777" w:rsidR="007C7F66" w:rsidRPr="00964361" w:rsidRDefault="007C7F66" w:rsidP="002C7476">
      <w:pPr>
        <w:pStyle w:val="Odstavekseznama"/>
        <w:numPr>
          <w:ilvl w:val="0"/>
          <w:numId w:val="15"/>
        </w:numPr>
        <w:spacing w:before="0" w:after="160" w:line="259" w:lineRule="auto"/>
        <w:jc w:val="both"/>
        <w:rPr>
          <w:rFonts w:cstheme="minorHAnsi"/>
          <w:b/>
          <w:bCs/>
        </w:rPr>
      </w:pPr>
      <w:r w:rsidRPr="00964361">
        <w:rPr>
          <w:rFonts w:cstheme="minorHAnsi"/>
          <w:b/>
          <w:bCs/>
        </w:rPr>
        <w:t>Število zaposlenih</w:t>
      </w:r>
    </w:p>
    <w:p w14:paraId="7064433B" w14:textId="77BCC5E7" w:rsidR="007C7F66" w:rsidRPr="00964361" w:rsidRDefault="006521A6" w:rsidP="00964361">
      <w:pPr>
        <w:jc w:val="both"/>
        <w:rPr>
          <w:rFonts w:cstheme="minorHAnsi"/>
        </w:rPr>
      </w:pPr>
      <w:r w:rsidRPr="006521A6">
        <w:rPr>
          <w:rFonts w:cstheme="minorHAnsi"/>
        </w:rPr>
        <w:t xml:space="preserve">V 2018 je bilo v predelovalnih dejavnostih 202.000 zaposlenih oseb, ki delajo pri delodajalcu (pri pravnih osebah, samostojnih podjetnikih ali drugih registriranih fizičnih osebah), ki so prejemali </w:t>
      </w:r>
      <w:r w:rsidRPr="006521A6">
        <w:rPr>
          <w:rFonts w:cstheme="minorHAnsi"/>
        </w:rPr>
        <w:lastRenderedPageBreak/>
        <w:t>plačo ter so bili na podlagi pogodbe o zaposlitvi obvezno socialno zavarovani, kar je za 20.000 oseb oziroma za 8,9 % manj kot leta 2008.</w:t>
      </w:r>
      <w:r>
        <w:rPr>
          <w:rFonts w:cstheme="minorHAnsi"/>
        </w:rPr>
        <w:t xml:space="preserve"> </w:t>
      </w:r>
      <w:r w:rsidR="007C7F66" w:rsidRPr="00964361">
        <w:rPr>
          <w:rFonts w:cstheme="minorHAnsi"/>
        </w:rPr>
        <w:t xml:space="preserve">V tem času je število zaposlenih najbolj poraslo v </w:t>
      </w:r>
      <w:r w:rsidR="00E95B29" w:rsidRPr="00964361">
        <w:rPr>
          <w:rFonts w:cstheme="minorHAnsi"/>
        </w:rPr>
        <w:t>kemi</w:t>
      </w:r>
      <w:r w:rsidR="002C3AC8">
        <w:rPr>
          <w:rFonts w:cstheme="minorHAnsi"/>
        </w:rPr>
        <w:t>čn</w:t>
      </w:r>
      <w:r w:rsidR="00E95B29" w:rsidRPr="00964361">
        <w:rPr>
          <w:rFonts w:cstheme="minorHAnsi"/>
        </w:rPr>
        <w:t xml:space="preserve">i (+5.081 zaposlenih), </w:t>
      </w:r>
      <w:r w:rsidR="007C7F66" w:rsidRPr="00964361">
        <w:rPr>
          <w:rFonts w:cstheme="minorHAnsi"/>
        </w:rPr>
        <w:t>strojni (+2.0</w:t>
      </w:r>
      <w:r w:rsidR="00E95B29" w:rsidRPr="00964361">
        <w:rPr>
          <w:rFonts w:cstheme="minorHAnsi"/>
        </w:rPr>
        <w:t>66</w:t>
      </w:r>
      <w:r w:rsidR="007C7F66" w:rsidRPr="00964361">
        <w:rPr>
          <w:rFonts w:cstheme="minorHAnsi"/>
        </w:rPr>
        <w:t xml:space="preserve"> zaposlenih</w:t>
      </w:r>
      <w:r w:rsidR="002C3AC8">
        <w:rPr>
          <w:rFonts w:cstheme="minorHAnsi"/>
        </w:rPr>
        <w:t>.</w:t>
      </w:r>
      <w:r w:rsidR="002C3AC8" w:rsidRPr="00964361">
        <w:rPr>
          <w:rFonts w:cstheme="minorHAnsi"/>
        </w:rPr>
        <w:t xml:space="preserve"> </w:t>
      </w:r>
      <w:r w:rsidR="007C7F66" w:rsidRPr="00964361">
        <w:rPr>
          <w:rFonts w:cstheme="minorHAnsi"/>
        </w:rPr>
        <w:t>predvsem v popravilih in montaži strojev in naprav) in elektro industriji (+84</w:t>
      </w:r>
      <w:r w:rsidR="00E95B29" w:rsidRPr="00964361">
        <w:rPr>
          <w:rFonts w:cstheme="minorHAnsi"/>
        </w:rPr>
        <w:t>7</w:t>
      </w:r>
      <w:r w:rsidR="007C7F66" w:rsidRPr="00964361">
        <w:rPr>
          <w:rFonts w:cstheme="minorHAnsi"/>
        </w:rPr>
        <w:t xml:space="preserve"> zaposlenih), zmanjšanje pa so beležili predvsem v tekstilni (-11.7</w:t>
      </w:r>
      <w:r w:rsidR="00E95B29" w:rsidRPr="00964361">
        <w:rPr>
          <w:rFonts w:cstheme="minorHAnsi"/>
        </w:rPr>
        <w:t>31</w:t>
      </w:r>
      <w:r w:rsidR="007C7F66" w:rsidRPr="00964361">
        <w:rPr>
          <w:rFonts w:cstheme="minorHAnsi"/>
        </w:rPr>
        <w:t xml:space="preserve"> oseb), lesni (-</w:t>
      </w:r>
      <w:r w:rsidR="00E95B29" w:rsidRPr="00964361">
        <w:rPr>
          <w:rFonts w:cstheme="minorHAnsi"/>
        </w:rPr>
        <w:t>9.219</w:t>
      </w:r>
      <w:r w:rsidR="007C7F66" w:rsidRPr="00964361">
        <w:rPr>
          <w:rFonts w:cstheme="minorHAnsi"/>
        </w:rPr>
        <w:t xml:space="preserve"> zaposlenih)</w:t>
      </w:r>
      <w:r w:rsidR="002C3AC8">
        <w:rPr>
          <w:rFonts w:cstheme="minorHAnsi"/>
        </w:rPr>
        <w:t>,</w:t>
      </w:r>
      <w:r w:rsidR="007C7F66" w:rsidRPr="00964361">
        <w:rPr>
          <w:rFonts w:cstheme="minorHAnsi"/>
        </w:rPr>
        <w:t xml:space="preserve"> papirni industriji (-</w:t>
      </w:r>
      <w:r w:rsidR="00E95B29" w:rsidRPr="00964361">
        <w:rPr>
          <w:rFonts w:cstheme="minorHAnsi"/>
        </w:rPr>
        <w:t>3.337</w:t>
      </w:r>
      <w:r w:rsidR="007C7F66" w:rsidRPr="00964361">
        <w:rPr>
          <w:rFonts w:cstheme="minorHAnsi"/>
        </w:rPr>
        <w:t xml:space="preserve"> zaposlenih). V zadnjih </w:t>
      </w:r>
      <w:r w:rsidR="00F76808">
        <w:rPr>
          <w:rFonts w:cstheme="minorHAnsi"/>
        </w:rPr>
        <w:t>enajstih</w:t>
      </w:r>
      <w:r w:rsidR="00F76808" w:rsidRPr="00964361">
        <w:rPr>
          <w:rFonts w:cstheme="minorHAnsi"/>
        </w:rPr>
        <w:t xml:space="preserve"> </w:t>
      </w:r>
      <w:r w:rsidR="007C7F66" w:rsidRPr="00964361">
        <w:rPr>
          <w:rFonts w:cstheme="minorHAnsi"/>
        </w:rPr>
        <w:t>letih (2008-2018) je bilo v povprečju 189.</w:t>
      </w:r>
      <w:r w:rsidR="00E95B29" w:rsidRPr="00964361">
        <w:rPr>
          <w:rFonts w:cstheme="minorHAnsi"/>
        </w:rPr>
        <w:t>708</w:t>
      </w:r>
      <w:r w:rsidR="007C7F66" w:rsidRPr="00964361">
        <w:rPr>
          <w:rFonts w:cstheme="minorHAnsi"/>
        </w:rPr>
        <w:t xml:space="preserve"> zaposlenih, v zadnjih </w:t>
      </w:r>
      <w:r w:rsidR="00F76808">
        <w:rPr>
          <w:rFonts w:cstheme="minorHAnsi"/>
        </w:rPr>
        <w:t>petih</w:t>
      </w:r>
      <w:r w:rsidR="00F76808" w:rsidRPr="00964361">
        <w:rPr>
          <w:rFonts w:cstheme="minorHAnsi"/>
        </w:rPr>
        <w:t xml:space="preserve"> </w:t>
      </w:r>
      <w:r w:rsidR="007C7F66" w:rsidRPr="00964361">
        <w:rPr>
          <w:rFonts w:cstheme="minorHAnsi"/>
        </w:rPr>
        <w:t>letih (2014-2018) pa 187.</w:t>
      </w:r>
      <w:r w:rsidR="00E95B29" w:rsidRPr="00964361">
        <w:rPr>
          <w:rFonts w:cstheme="minorHAnsi"/>
        </w:rPr>
        <w:t>546</w:t>
      </w:r>
      <w:r w:rsidR="007C7F66" w:rsidRPr="00964361">
        <w:rPr>
          <w:rFonts w:cstheme="minorHAnsi"/>
        </w:rPr>
        <w:t xml:space="preserve">. V zadnjih </w:t>
      </w:r>
      <w:r w:rsidR="006F459A">
        <w:rPr>
          <w:rFonts w:cstheme="minorHAnsi"/>
        </w:rPr>
        <w:t>petih</w:t>
      </w:r>
      <w:r w:rsidR="006F459A" w:rsidRPr="00964361">
        <w:rPr>
          <w:rFonts w:cstheme="minorHAnsi"/>
        </w:rPr>
        <w:t xml:space="preserve"> </w:t>
      </w:r>
      <w:r w:rsidR="007C7F66" w:rsidRPr="00964361">
        <w:rPr>
          <w:rFonts w:cstheme="minorHAnsi"/>
        </w:rPr>
        <w:t xml:space="preserve">letih se je število zaposlenih povečalo za 2,6 % na leto, najbolj v </w:t>
      </w:r>
      <w:r w:rsidR="00E95B29" w:rsidRPr="00964361">
        <w:rPr>
          <w:rFonts w:cstheme="minorHAnsi"/>
        </w:rPr>
        <w:t>kemi</w:t>
      </w:r>
      <w:r w:rsidR="002C3AC8">
        <w:rPr>
          <w:rFonts w:cstheme="minorHAnsi"/>
        </w:rPr>
        <w:t>čn</w:t>
      </w:r>
      <w:r w:rsidR="00E95B29" w:rsidRPr="00964361">
        <w:rPr>
          <w:rFonts w:cstheme="minorHAnsi"/>
        </w:rPr>
        <w:t xml:space="preserve">i, </w:t>
      </w:r>
      <w:r w:rsidR="007C7F66" w:rsidRPr="00964361">
        <w:rPr>
          <w:rFonts w:cstheme="minorHAnsi"/>
        </w:rPr>
        <w:t xml:space="preserve">kovinski in strojni industriji, največje zmanjšanje pa </w:t>
      </w:r>
      <w:r w:rsidR="00E95B29" w:rsidRPr="00964361">
        <w:rPr>
          <w:rFonts w:cstheme="minorHAnsi"/>
        </w:rPr>
        <w:t>so</w:t>
      </w:r>
      <w:r w:rsidR="007C7F66" w:rsidRPr="00964361">
        <w:rPr>
          <w:rFonts w:cstheme="minorHAnsi"/>
        </w:rPr>
        <w:t xml:space="preserve"> doživeli v </w:t>
      </w:r>
      <w:r w:rsidR="007C7F66" w:rsidRPr="00FD4C45">
        <w:rPr>
          <w:rFonts w:cstheme="minorHAnsi"/>
        </w:rPr>
        <w:t>papirn</w:t>
      </w:r>
      <w:r w:rsidR="00196ED9">
        <w:rPr>
          <w:rFonts w:cstheme="minorHAnsi"/>
        </w:rPr>
        <w:t xml:space="preserve">i, </w:t>
      </w:r>
      <w:r w:rsidR="002C098B">
        <w:rPr>
          <w:rFonts w:cstheme="minorHAnsi"/>
        </w:rPr>
        <w:t>pa</w:t>
      </w:r>
      <w:r w:rsidR="00E95B29" w:rsidRPr="00964361">
        <w:rPr>
          <w:rFonts w:cstheme="minorHAnsi"/>
        </w:rPr>
        <w:t xml:space="preserve"> tudi </w:t>
      </w:r>
      <w:r w:rsidR="007C7F66" w:rsidRPr="00964361">
        <w:rPr>
          <w:rFonts w:cstheme="minorHAnsi"/>
        </w:rPr>
        <w:t>tekstiln</w:t>
      </w:r>
      <w:r w:rsidR="00E95B29" w:rsidRPr="00964361">
        <w:rPr>
          <w:rFonts w:cstheme="minorHAnsi"/>
        </w:rPr>
        <w:t>i</w:t>
      </w:r>
      <w:r w:rsidR="007C7F66" w:rsidRPr="00964361">
        <w:rPr>
          <w:rFonts w:cstheme="minorHAnsi"/>
        </w:rPr>
        <w:t xml:space="preserve"> </w:t>
      </w:r>
      <w:r w:rsidR="00E95B29" w:rsidRPr="00964361">
        <w:rPr>
          <w:rFonts w:cstheme="minorHAnsi"/>
        </w:rPr>
        <w:t xml:space="preserve">ter </w:t>
      </w:r>
      <w:r w:rsidR="00E46EB5" w:rsidRPr="00964361">
        <w:rPr>
          <w:rFonts w:cstheme="minorHAnsi"/>
        </w:rPr>
        <w:t>nekovinski industriji</w:t>
      </w:r>
      <w:r w:rsidR="007C7F66" w:rsidRPr="00964361">
        <w:rPr>
          <w:rFonts w:cstheme="minorHAnsi"/>
        </w:rPr>
        <w:t>.</w:t>
      </w:r>
    </w:p>
    <w:p w14:paraId="51742A97" w14:textId="77777777" w:rsidR="007C7F66" w:rsidRPr="007041AF" w:rsidRDefault="00E46EB5" w:rsidP="00A347B2">
      <w:pPr>
        <w:spacing w:after="0"/>
        <w:rPr>
          <w:rFonts w:cstheme="minorHAnsi"/>
        </w:rPr>
      </w:pPr>
      <w:r>
        <w:rPr>
          <w:noProof/>
          <w:lang w:eastAsia="sl-SI"/>
        </w:rPr>
        <w:drawing>
          <wp:inline distT="0" distB="0" distL="0" distR="0" wp14:anchorId="092DCDA0" wp14:editId="3D363237">
            <wp:extent cx="3609975" cy="2367915"/>
            <wp:effectExtent l="0" t="0" r="0" b="0"/>
            <wp:docPr id="19" name="Grafikon 1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01F2909-1C25-43C4-B693-BC1BA1EC58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092BBF1" w14:textId="77777777" w:rsidR="003372D7" w:rsidRPr="009B538E" w:rsidRDefault="003372D7" w:rsidP="003372D7">
      <w:pPr>
        <w:spacing w:before="20"/>
        <w:jc w:val="both"/>
        <w:rPr>
          <w:i/>
        </w:rPr>
      </w:pPr>
      <w:r w:rsidRPr="009B538E">
        <w:rPr>
          <w:i/>
        </w:rPr>
        <w:t>Vir: SURS, strukturna statistika podjetij, preračuni Analitika GZS</w:t>
      </w:r>
    </w:p>
    <w:p w14:paraId="48410BA1" w14:textId="77777777" w:rsidR="00170A15" w:rsidRPr="009B538E" w:rsidRDefault="00170A15" w:rsidP="003372D7">
      <w:pPr>
        <w:spacing w:before="20"/>
        <w:jc w:val="both"/>
        <w:rPr>
          <w:i/>
        </w:rPr>
      </w:pPr>
    </w:p>
    <w:tbl>
      <w:tblPr>
        <w:tblStyle w:val="Tabelaseznam4poudarek61"/>
        <w:tblW w:w="5000" w:type="pct"/>
        <w:tblLook w:val="04A0" w:firstRow="1" w:lastRow="0" w:firstColumn="1" w:lastColumn="0" w:noHBand="0" w:noVBand="1"/>
      </w:tblPr>
      <w:tblGrid>
        <w:gridCol w:w="2308"/>
        <w:gridCol w:w="1161"/>
        <w:gridCol w:w="1163"/>
        <w:gridCol w:w="1163"/>
        <w:gridCol w:w="1163"/>
        <w:gridCol w:w="1163"/>
        <w:gridCol w:w="1167"/>
      </w:tblGrid>
      <w:tr w:rsidR="009B538E" w:rsidRPr="00C13E3C" w14:paraId="2977CF3D" w14:textId="77777777" w:rsidTr="002C098B">
        <w:trPr>
          <w:cnfStyle w:val="100000000000" w:firstRow="1" w:lastRow="0" w:firstColumn="0" w:lastColumn="0" w:oddVBand="0" w:evenVBand="0" w:oddHBand="0"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242" w:type="pct"/>
            <w:vAlign w:val="center"/>
            <w:hideMark/>
          </w:tcPr>
          <w:p w14:paraId="0267FBBB" w14:textId="77777777" w:rsidR="007C7F66" w:rsidRPr="0049147B" w:rsidRDefault="007C7F66" w:rsidP="00BF7D3C">
            <w:pPr>
              <w:rPr>
                <w:b w:val="0"/>
              </w:rPr>
            </w:pPr>
            <w:r w:rsidRPr="0049147B">
              <w:t xml:space="preserve">Število </w:t>
            </w:r>
          </w:p>
          <w:p w14:paraId="6A30D90C" w14:textId="77777777" w:rsidR="007C7F66" w:rsidRPr="0049147B" w:rsidRDefault="007C7F66" w:rsidP="00BF7D3C">
            <w:r w:rsidRPr="0049147B">
              <w:t>zaposlenih</w:t>
            </w:r>
          </w:p>
        </w:tc>
        <w:tc>
          <w:tcPr>
            <w:tcW w:w="625" w:type="pct"/>
            <w:vAlign w:val="center"/>
          </w:tcPr>
          <w:p w14:paraId="6F039054"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pPr>
            <w:r w:rsidRPr="0049147B">
              <w:t>Vred.</w:t>
            </w:r>
          </w:p>
          <w:p w14:paraId="76C4D7BB"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2018,</w:t>
            </w:r>
          </w:p>
          <w:p w14:paraId="78950C74"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mio EUR</w:t>
            </w:r>
          </w:p>
        </w:tc>
        <w:tc>
          <w:tcPr>
            <w:tcW w:w="626" w:type="pct"/>
            <w:vAlign w:val="center"/>
          </w:tcPr>
          <w:p w14:paraId="090BB129"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Ø Vred. 2008-2018,</w:t>
            </w:r>
          </w:p>
          <w:p w14:paraId="20981E7B"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mio EUR</w:t>
            </w:r>
          </w:p>
        </w:tc>
        <w:tc>
          <w:tcPr>
            <w:tcW w:w="626" w:type="pct"/>
            <w:vAlign w:val="center"/>
          </w:tcPr>
          <w:p w14:paraId="06D60B16"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Vred. razlika</w:t>
            </w:r>
          </w:p>
          <w:p w14:paraId="5C73F985"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2018-2008,</w:t>
            </w:r>
          </w:p>
          <w:p w14:paraId="68385BCD"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pPr>
            <w:r w:rsidRPr="0049147B">
              <w:t>mio EUR</w:t>
            </w:r>
          </w:p>
        </w:tc>
        <w:tc>
          <w:tcPr>
            <w:tcW w:w="626" w:type="pct"/>
            <w:vAlign w:val="center"/>
          </w:tcPr>
          <w:p w14:paraId="5526A44F"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Sprem. v %</w:t>
            </w:r>
          </w:p>
          <w:p w14:paraId="467A4690"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2018/2008</w:t>
            </w:r>
          </w:p>
        </w:tc>
        <w:tc>
          <w:tcPr>
            <w:tcW w:w="626" w:type="pct"/>
            <w:vAlign w:val="center"/>
          </w:tcPr>
          <w:p w14:paraId="5BF1D050"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Ø Vred.</w:t>
            </w:r>
          </w:p>
          <w:p w14:paraId="66D16A45"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2014-2018,</w:t>
            </w:r>
          </w:p>
          <w:p w14:paraId="0AE6D7C6"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mio EUR</w:t>
            </w:r>
          </w:p>
        </w:tc>
        <w:tc>
          <w:tcPr>
            <w:tcW w:w="628" w:type="pct"/>
            <w:vAlign w:val="center"/>
          </w:tcPr>
          <w:p w14:paraId="54F08053" w14:textId="77777777" w:rsidR="007C7F66" w:rsidRPr="0049147B" w:rsidRDefault="00865CE9"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CAGR</w:t>
            </w:r>
            <w:r w:rsidRPr="0049147B">
              <w:rPr>
                <w:rStyle w:val="Sprotnaopomba-sklic"/>
              </w:rPr>
              <w:footnoteReference w:id="37"/>
            </w:r>
            <w:r w:rsidRPr="0049147B">
              <w:t xml:space="preserve"> v obdobju 2014-2018</w:t>
            </w:r>
          </w:p>
        </w:tc>
      </w:tr>
      <w:tr w:rsidR="009B538E" w:rsidRPr="00C13E3C" w14:paraId="01EA35ED" w14:textId="77777777" w:rsidTr="002C0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pct"/>
            <w:noWrap/>
            <w:vAlign w:val="bottom"/>
            <w:hideMark/>
          </w:tcPr>
          <w:p w14:paraId="74561DE4" w14:textId="77777777" w:rsidR="004D19BE" w:rsidRPr="00F5643D" w:rsidRDefault="004D19BE" w:rsidP="004D19BE">
            <w:pPr>
              <w:rPr>
                <w:rFonts w:ascii="Trebuchet MS" w:hAnsi="Trebuchet MS"/>
                <w:b w:val="0"/>
                <w:color w:val="000000"/>
              </w:rPr>
            </w:pPr>
            <w:r w:rsidRPr="00F5643D">
              <w:rPr>
                <w:rFonts w:ascii="Trebuchet MS" w:hAnsi="Trebuchet MS"/>
                <w:color w:val="000000"/>
              </w:rPr>
              <w:t>PREDEL. DEJ. SKUPAJ</w:t>
            </w:r>
          </w:p>
        </w:tc>
        <w:tc>
          <w:tcPr>
            <w:tcW w:w="625" w:type="pct"/>
            <w:vAlign w:val="center"/>
          </w:tcPr>
          <w:p w14:paraId="26C59FA7"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201.896</w:t>
            </w:r>
          </w:p>
        </w:tc>
        <w:tc>
          <w:tcPr>
            <w:tcW w:w="626" w:type="pct"/>
            <w:vAlign w:val="center"/>
          </w:tcPr>
          <w:p w14:paraId="068A8BD5"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189.724</w:t>
            </w:r>
          </w:p>
        </w:tc>
        <w:tc>
          <w:tcPr>
            <w:tcW w:w="626" w:type="pct"/>
            <w:vAlign w:val="center"/>
          </w:tcPr>
          <w:p w14:paraId="0C232CC5"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-19.586</w:t>
            </w:r>
          </w:p>
        </w:tc>
        <w:tc>
          <w:tcPr>
            <w:tcW w:w="626" w:type="pct"/>
            <w:vAlign w:val="center"/>
          </w:tcPr>
          <w:p w14:paraId="3C79327F"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-8,8%</w:t>
            </w:r>
          </w:p>
        </w:tc>
        <w:tc>
          <w:tcPr>
            <w:tcW w:w="626" w:type="pct"/>
            <w:vAlign w:val="center"/>
          </w:tcPr>
          <w:p w14:paraId="1092FD11"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187.581</w:t>
            </w:r>
          </w:p>
        </w:tc>
        <w:tc>
          <w:tcPr>
            <w:tcW w:w="628" w:type="pct"/>
            <w:vAlign w:val="center"/>
          </w:tcPr>
          <w:p w14:paraId="7203413A"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2,6%</w:t>
            </w:r>
          </w:p>
        </w:tc>
      </w:tr>
      <w:tr w:rsidR="004D19BE" w:rsidRPr="00C13E3C" w14:paraId="7F98E846" w14:textId="77777777" w:rsidTr="002C098B">
        <w:tc>
          <w:tcPr>
            <w:cnfStyle w:val="001000000000" w:firstRow="0" w:lastRow="0" w:firstColumn="1" w:lastColumn="0" w:oddVBand="0" w:evenVBand="0" w:oddHBand="0" w:evenHBand="0" w:firstRowFirstColumn="0" w:firstRowLastColumn="0" w:lastRowFirstColumn="0" w:lastRowLastColumn="0"/>
            <w:tcW w:w="1242" w:type="pct"/>
            <w:noWrap/>
            <w:vAlign w:val="center"/>
            <w:hideMark/>
          </w:tcPr>
          <w:p w14:paraId="11236F49" w14:textId="77777777" w:rsidR="004D19BE" w:rsidRPr="00F5643D" w:rsidRDefault="004D19BE" w:rsidP="004D19BE">
            <w:pPr>
              <w:rPr>
                <w:rFonts w:ascii="Trebuchet MS" w:hAnsi="Trebuchet MS"/>
                <w:color w:val="000000"/>
              </w:rPr>
            </w:pPr>
            <w:r w:rsidRPr="00F5643D">
              <w:rPr>
                <w:rFonts w:ascii="Trebuchet MS" w:hAnsi="Trebuchet MS"/>
                <w:color w:val="000000"/>
              </w:rPr>
              <w:t>Prehrambna</w:t>
            </w:r>
          </w:p>
        </w:tc>
        <w:tc>
          <w:tcPr>
            <w:tcW w:w="625" w:type="pct"/>
            <w:noWrap/>
            <w:vAlign w:val="bottom"/>
          </w:tcPr>
          <w:p w14:paraId="1771011E"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16.247</w:t>
            </w:r>
          </w:p>
        </w:tc>
        <w:tc>
          <w:tcPr>
            <w:tcW w:w="626" w:type="pct"/>
            <w:noWrap/>
            <w:vAlign w:val="center"/>
          </w:tcPr>
          <w:p w14:paraId="65448BDA"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15.565</w:t>
            </w:r>
          </w:p>
        </w:tc>
        <w:tc>
          <w:tcPr>
            <w:tcW w:w="626" w:type="pct"/>
            <w:noWrap/>
            <w:vAlign w:val="center"/>
          </w:tcPr>
          <w:p w14:paraId="11B60DA1"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-1.054</w:t>
            </w:r>
          </w:p>
        </w:tc>
        <w:tc>
          <w:tcPr>
            <w:tcW w:w="626" w:type="pct"/>
            <w:noWrap/>
            <w:vAlign w:val="center"/>
          </w:tcPr>
          <w:p w14:paraId="10358E64"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-6,1%</w:t>
            </w:r>
          </w:p>
        </w:tc>
        <w:tc>
          <w:tcPr>
            <w:tcW w:w="626" w:type="pct"/>
            <w:vAlign w:val="center"/>
          </w:tcPr>
          <w:p w14:paraId="71A44EF1"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15.288</w:t>
            </w:r>
          </w:p>
        </w:tc>
        <w:tc>
          <w:tcPr>
            <w:tcW w:w="628" w:type="pct"/>
            <w:noWrap/>
            <w:vAlign w:val="center"/>
          </w:tcPr>
          <w:p w14:paraId="477571BB"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2,1%</w:t>
            </w:r>
          </w:p>
        </w:tc>
      </w:tr>
      <w:tr w:rsidR="009B538E" w:rsidRPr="00C13E3C" w14:paraId="4384B197" w14:textId="77777777" w:rsidTr="002C0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pct"/>
            <w:noWrap/>
            <w:vAlign w:val="center"/>
            <w:hideMark/>
          </w:tcPr>
          <w:p w14:paraId="2813C15D" w14:textId="77777777" w:rsidR="004D19BE" w:rsidRPr="00F5643D" w:rsidRDefault="004D19BE" w:rsidP="004D19BE">
            <w:pPr>
              <w:rPr>
                <w:rFonts w:ascii="Trebuchet MS" w:hAnsi="Trebuchet MS"/>
                <w:color w:val="000000"/>
              </w:rPr>
            </w:pPr>
            <w:r w:rsidRPr="00F5643D">
              <w:rPr>
                <w:rFonts w:ascii="Trebuchet MS" w:hAnsi="Trebuchet MS"/>
                <w:color w:val="000000"/>
              </w:rPr>
              <w:t>Tekstilna</w:t>
            </w:r>
          </w:p>
        </w:tc>
        <w:tc>
          <w:tcPr>
            <w:tcW w:w="625" w:type="pct"/>
            <w:noWrap/>
            <w:vAlign w:val="bottom"/>
          </w:tcPr>
          <w:p w14:paraId="18EDD10C"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9.166</w:t>
            </w:r>
          </w:p>
        </w:tc>
        <w:tc>
          <w:tcPr>
            <w:tcW w:w="626" w:type="pct"/>
            <w:noWrap/>
            <w:vAlign w:val="center"/>
          </w:tcPr>
          <w:p w14:paraId="76797F0A"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12.142</w:t>
            </w:r>
          </w:p>
        </w:tc>
        <w:tc>
          <w:tcPr>
            <w:tcW w:w="626" w:type="pct"/>
            <w:noWrap/>
            <w:vAlign w:val="center"/>
          </w:tcPr>
          <w:p w14:paraId="2E0B9FF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-11.728</w:t>
            </w:r>
          </w:p>
        </w:tc>
        <w:tc>
          <w:tcPr>
            <w:tcW w:w="626" w:type="pct"/>
            <w:noWrap/>
            <w:vAlign w:val="center"/>
          </w:tcPr>
          <w:p w14:paraId="0F058268"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-56,1%</w:t>
            </w:r>
          </w:p>
        </w:tc>
        <w:tc>
          <w:tcPr>
            <w:tcW w:w="626" w:type="pct"/>
            <w:vAlign w:val="center"/>
          </w:tcPr>
          <w:p w14:paraId="61688CEC"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9.325</w:t>
            </w:r>
          </w:p>
        </w:tc>
        <w:tc>
          <w:tcPr>
            <w:tcW w:w="628" w:type="pct"/>
            <w:noWrap/>
            <w:vAlign w:val="center"/>
          </w:tcPr>
          <w:p w14:paraId="02F31BF8"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-2,5%</w:t>
            </w:r>
          </w:p>
        </w:tc>
      </w:tr>
      <w:tr w:rsidR="004D19BE" w:rsidRPr="00C13E3C" w14:paraId="7D0B101D" w14:textId="77777777" w:rsidTr="002C098B">
        <w:tc>
          <w:tcPr>
            <w:cnfStyle w:val="001000000000" w:firstRow="0" w:lastRow="0" w:firstColumn="1" w:lastColumn="0" w:oddVBand="0" w:evenVBand="0" w:oddHBand="0" w:evenHBand="0" w:firstRowFirstColumn="0" w:firstRowLastColumn="0" w:lastRowFirstColumn="0" w:lastRowLastColumn="0"/>
            <w:tcW w:w="1242" w:type="pct"/>
            <w:noWrap/>
            <w:vAlign w:val="center"/>
            <w:hideMark/>
          </w:tcPr>
          <w:p w14:paraId="549DC60C" w14:textId="77777777" w:rsidR="004D19BE" w:rsidRPr="00F5643D" w:rsidRDefault="004D19BE" w:rsidP="004D19BE">
            <w:pPr>
              <w:rPr>
                <w:rFonts w:ascii="Trebuchet MS" w:hAnsi="Trebuchet MS"/>
                <w:color w:val="000000"/>
              </w:rPr>
            </w:pPr>
            <w:r w:rsidRPr="00F5643D">
              <w:rPr>
                <w:rFonts w:ascii="Trebuchet MS" w:hAnsi="Trebuchet MS"/>
                <w:color w:val="000000"/>
              </w:rPr>
              <w:t>Lesna</w:t>
            </w:r>
          </w:p>
        </w:tc>
        <w:tc>
          <w:tcPr>
            <w:tcW w:w="625" w:type="pct"/>
            <w:noWrap/>
            <w:vAlign w:val="bottom"/>
          </w:tcPr>
          <w:p w14:paraId="43C3A32F"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13.169</w:t>
            </w:r>
          </w:p>
        </w:tc>
        <w:tc>
          <w:tcPr>
            <w:tcW w:w="626" w:type="pct"/>
            <w:noWrap/>
            <w:vAlign w:val="center"/>
          </w:tcPr>
          <w:p w14:paraId="43582056"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14.536</w:t>
            </w:r>
          </w:p>
        </w:tc>
        <w:tc>
          <w:tcPr>
            <w:tcW w:w="626" w:type="pct"/>
            <w:noWrap/>
            <w:vAlign w:val="center"/>
          </w:tcPr>
          <w:p w14:paraId="26DD4A0D"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-8.858</w:t>
            </w:r>
          </w:p>
        </w:tc>
        <w:tc>
          <w:tcPr>
            <w:tcW w:w="626" w:type="pct"/>
            <w:noWrap/>
            <w:vAlign w:val="center"/>
          </w:tcPr>
          <w:p w14:paraId="126EA127"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-40,2%</w:t>
            </w:r>
          </w:p>
        </w:tc>
        <w:tc>
          <w:tcPr>
            <w:tcW w:w="626" w:type="pct"/>
            <w:vAlign w:val="center"/>
          </w:tcPr>
          <w:p w14:paraId="3929132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12.398</w:t>
            </w:r>
          </w:p>
        </w:tc>
        <w:tc>
          <w:tcPr>
            <w:tcW w:w="628" w:type="pct"/>
            <w:noWrap/>
            <w:vAlign w:val="center"/>
          </w:tcPr>
          <w:p w14:paraId="77CFE181"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1,6%</w:t>
            </w:r>
          </w:p>
        </w:tc>
      </w:tr>
      <w:tr w:rsidR="009B538E" w:rsidRPr="00C13E3C" w14:paraId="0CDD8F74" w14:textId="77777777" w:rsidTr="002C0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pct"/>
            <w:noWrap/>
            <w:vAlign w:val="center"/>
            <w:hideMark/>
          </w:tcPr>
          <w:p w14:paraId="2C762B49" w14:textId="77777777" w:rsidR="004D19BE" w:rsidRPr="00F5643D" w:rsidRDefault="004D19BE" w:rsidP="004D19BE">
            <w:pPr>
              <w:rPr>
                <w:rFonts w:ascii="Trebuchet MS" w:hAnsi="Trebuchet MS"/>
                <w:color w:val="000000"/>
              </w:rPr>
            </w:pPr>
            <w:r w:rsidRPr="00F5643D">
              <w:rPr>
                <w:rFonts w:ascii="Trebuchet MS" w:hAnsi="Trebuchet MS"/>
                <w:color w:val="000000"/>
              </w:rPr>
              <w:t>Papirna</w:t>
            </w:r>
          </w:p>
        </w:tc>
        <w:tc>
          <w:tcPr>
            <w:tcW w:w="625" w:type="pct"/>
            <w:noWrap/>
            <w:vAlign w:val="bottom"/>
          </w:tcPr>
          <w:p w14:paraId="4C676802"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5.705</w:t>
            </w:r>
          </w:p>
        </w:tc>
        <w:tc>
          <w:tcPr>
            <w:tcW w:w="626" w:type="pct"/>
            <w:noWrap/>
            <w:vAlign w:val="center"/>
          </w:tcPr>
          <w:p w14:paraId="360E026C"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8.467</w:t>
            </w:r>
          </w:p>
        </w:tc>
        <w:tc>
          <w:tcPr>
            <w:tcW w:w="626" w:type="pct"/>
            <w:noWrap/>
            <w:vAlign w:val="center"/>
          </w:tcPr>
          <w:p w14:paraId="527FC01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-5.840</w:t>
            </w:r>
          </w:p>
        </w:tc>
        <w:tc>
          <w:tcPr>
            <w:tcW w:w="626" w:type="pct"/>
            <w:noWrap/>
            <w:vAlign w:val="center"/>
          </w:tcPr>
          <w:p w14:paraId="09F886C0"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-50,6%</w:t>
            </w:r>
          </w:p>
        </w:tc>
        <w:tc>
          <w:tcPr>
            <w:tcW w:w="626" w:type="pct"/>
            <w:vAlign w:val="center"/>
          </w:tcPr>
          <w:p w14:paraId="1E56322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7.495</w:t>
            </w:r>
          </w:p>
        </w:tc>
        <w:tc>
          <w:tcPr>
            <w:tcW w:w="628" w:type="pct"/>
            <w:noWrap/>
            <w:vAlign w:val="center"/>
          </w:tcPr>
          <w:p w14:paraId="6BCF5ADC"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-7,3%</w:t>
            </w:r>
          </w:p>
        </w:tc>
      </w:tr>
      <w:tr w:rsidR="004D19BE" w:rsidRPr="00C13E3C" w14:paraId="6A444955" w14:textId="77777777" w:rsidTr="002C098B">
        <w:tc>
          <w:tcPr>
            <w:cnfStyle w:val="001000000000" w:firstRow="0" w:lastRow="0" w:firstColumn="1" w:lastColumn="0" w:oddVBand="0" w:evenVBand="0" w:oddHBand="0" w:evenHBand="0" w:firstRowFirstColumn="0" w:firstRowLastColumn="0" w:lastRowFirstColumn="0" w:lastRowLastColumn="0"/>
            <w:tcW w:w="1242" w:type="pct"/>
            <w:noWrap/>
            <w:vAlign w:val="center"/>
            <w:hideMark/>
          </w:tcPr>
          <w:p w14:paraId="2AD50D6A" w14:textId="77777777" w:rsidR="004D19BE" w:rsidRPr="00F5643D" w:rsidRDefault="004D19BE" w:rsidP="004D19BE">
            <w:pPr>
              <w:rPr>
                <w:rFonts w:ascii="Trebuchet MS" w:hAnsi="Trebuchet MS"/>
                <w:color w:val="000000"/>
              </w:rPr>
            </w:pPr>
            <w:r w:rsidRPr="00F5643D">
              <w:rPr>
                <w:rFonts w:ascii="Trebuchet MS" w:hAnsi="Trebuchet MS"/>
                <w:color w:val="000000"/>
              </w:rPr>
              <w:t>Kemična</w:t>
            </w:r>
          </w:p>
        </w:tc>
        <w:tc>
          <w:tcPr>
            <w:tcW w:w="625" w:type="pct"/>
            <w:noWrap/>
            <w:vAlign w:val="bottom"/>
          </w:tcPr>
          <w:p w14:paraId="4A705ECB"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24.712</w:t>
            </w:r>
          </w:p>
        </w:tc>
        <w:tc>
          <w:tcPr>
            <w:tcW w:w="626" w:type="pct"/>
            <w:noWrap/>
            <w:vAlign w:val="center"/>
          </w:tcPr>
          <w:p w14:paraId="53F16FEE"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23.804</w:t>
            </w:r>
          </w:p>
        </w:tc>
        <w:tc>
          <w:tcPr>
            <w:tcW w:w="626" w:type="pct"/>
            <w:noWrap/>
            <w:vAlign w:val="center"/>
          </w:tcPr>
          <w:p w14:paraId="705FE3A9"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-2.194</w:t>
            </w:r>
          </w:p>
        </w:tc>
        <w:tc>
          <w:tcPr>
            <w:tcW w:w="626" w:type="pct"/>
            <w:noWrap/>
            <w:vAlign w:val="center"/>
          </w:tcPr>
          <w:p w14:paraId="29ADC14F"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-8,2%</w:t>
            </w:r>
          </w:p>
        </w:tc>
        <w:tc>
          <w:tcPr>
            <w:tcW w:w="626" w:type="pct"/>
            <w:vAlign w:val="center"/>
          </w:tcPr>
          <w:p w14:paraId="09DDB15E"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22.752</w:t>
            </w:r>
          </w:p>
        </w:tc>
        <w:tc>
          <w:tcPr>
            <w:tcW w:w="628" w:type="pct"/>
            <w:noWrap/>
            <w:vAlign w:val="center"/>
          </w:tcPr>
          <w:p w14:paraId="18EA296F"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1,7%</w:t>
            </w:r>
          </w:p>
        </w:tc>
      </w:tr>
      <w:tr w:rsidR="009B538E" w:rsidRPr="00C13E3C" w14:paraId="0F3BDC22" w14:textId="77777777" w:rsidTr="002C0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pct"/>
            <w:noWrap/>
            <w:vAlign w:val="center"/>
            <w:hideMark/>
          </w:tcPr>
          <w:p w14:paraId="58BE430E" w14:textId="77777777" w:rsidR="004D19BE" w:rsidRPr="00F5643D" w:rsidRDefault="004D19BE" w:rsidP="004D19BE">
            <w:pPr>
              <w:rPr>
                <w:rFonts w:ascii="Trebuchet MS" w:hAnsi="Trebuchet MS"/>
                <w:color w:val="000000"/>
              </w:rPr>
            </w:pPr>
            <w:r w:rsidRPr="00F5643D">
              <w:rPr>
                <w:rFonts w:ascii="Trebuchet MS" w:hAnsi="Trebuchet MS"/>
                <w:color w:val="000000"/>
              </w:rPr>
              <w:t>Nekovinska</w:t>
            </w:r>
          </w:p>
        </w:tc>
        <w:tc>
          <w:tcPr>
            <w:tcW w:w="625" w:type="pct"/>
            <w:noWrap/>
            <w:vAlign w:val="bottom"/>
          </w:tcPr>
          <w:p w14:paraId="161F4F9F"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6.967</w:t>
            </w:r>
          </w:p>
        </w:tc>
        <w:tc>
          <w:tcPr>
            <w:tcW w:w="626" w:type="pct"/>
            <w:noWrap/>
            <w:vAlign w:val="center"/>
          </w:tcPr>
          <w:p w14:paraId="4A3E50F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7.459</w:t>
            </w:r>
          </w:p>
        </w:tc>
        <w:tc>
          <w:tcPr>
            <w:tcW w:w="626" w:type="pct"/>
            <w:noWrap/>
            <w:vAlign w:val="center"/>
          </w:tcPr>
          <w:p w14:paraId="53B400A5"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-1.958</w:t>
            </w:r>
          </w:p>
        </w:tc>
        <w:tc>
          <w:tcPr>
            <w:tcW w:w="626" w:type="pct"/>
            <w:noWrap/>
            <w:vAlign w:val="center"/>
          </w:tcPr>
          <w:p w14:paraId="3B89A4A4"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-21,9%</w:t>
            </w:r>
          </w:p>
        </w:tc>
        <w:tc>
          <w:tcPr>
            <w:tcW w:w="626" w:type="pct"/>
            <w:vAlign w:val="center"/>
          </w:tcPr>
          <w:p w14:paraId="2A7DF43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6.840</w:t>
            </w:r>
          </w:p>
        </w:tc>
        <w:tc>
          <w:tcPr>
            <w:tcW w:w="628" w:type="pct"/>
            <w:noWrap/>
            <w:vAlign w:val="center"/>
          </w:tcPr>
          <w:p w14:paraId="3D0F4E4E"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-0,4%</w:t>
            </w:r>
          </w:p>
        </w:tc>
      </w:tr>
      <w:tr w:rsidR="004D19BE" w:rsidRPr="00C13E3C" w14:paraId="46E81F83" w14:textId="77777777" w:rsidTr="002C098B">
        <w:tc>
          <w:tcPr>
            <w:cnfStyle w:val="001000000000" w:firstRow="0" w:lastRow="0" w:firstColumn="1" w:lastColumn="0" w:oddVBand="0" w:evenVBand="0" w:oddHBand="0" w:evenHBand="0" w:firstRowFirstColumn="0" w:firstRowLastColumn="0" w:lastRowFirstColumn="0" w:lastRowLastColumn="0"/>
            <w:tcW w:w="1242" w:type="pct"/>
            <w:noWrap/>
            <w:vAlign w:val="center"/>
            <w:hideMark/>
          </w:tcPr>
          <w:p w14:paraId="0678B702" w14:textId="77777777" w:rsidR="004D19BE" w:rsidRPr="00F5643D" w:rsidRDefault="004D19BE" w:rsidP="004D19BE">
            <w:pPr>
              <w:rPr>
                <w:rFonts w:ascii="Trebuchet MS" w:hAnsi="Trebuchet MS"/>
                <w:color w:val="000000"/>
              </w:rPr>
            </w:pPr>
            <w:r w:rsidRPr="00F5643D">
              <w:rPr>
                <w:rFonts w:ascii="Trebuchet MS" w:hAnsi="Trebuchet MS"/>
                <w:color w:val="000000"/>
              </w:rPr>
              <w:t>Kovinska</w:t>
            </w:r>
          </w:p>
        </w:tc>
        <w:tc>
          <w:tcPr>
            <w:tcW w:w="625" w:type="pct"/>
            <w:noWrap/>
            <w:vAlign w:val="bottom"/>
          </w:tcPr>
          <w:p w14:paraId="6011731C"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42.712</w:t>
            </w:r>
          </w:p>
        </w:tc>
        <w:tc>
          <w:tcPr>
            <w:tcW w:w="626" w:type="pct"/>
            <w:noWrap/>
            <w:vAlign w:val="center"/>
          </w:tcPr>
          <w:p w14:paraId="1879D988"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38.378</w:t>
            </w:r>
          </w:p>
        </w:tc>
        <w:tc>
          <w:tcPr>
            <w:tcW w:w="626" w:type="pct"/>
            <w:noWrap/>
            <w:vAlign w:val="center"/>
          </w:tcPr>
          <w:p w14:paraId="159B008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-79</w:t>
            </w:r>
          </w:p>
        </w:tc>
        <w:tc>
          <w:tcPr>
            <w:tcW w:w="626" w:type="pct"/>
            <w:noWrap/>
            <w:vAlign w:val="center"/>
          </w:tcPr>
          <w:p w14:paraId="766F6DB7"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-0,2%</w:t>
            </w:r>
          </w:p>
        </w:tc>
        <w:tc>
          <w:tcPr>
            <w:tcW w:w="626" w:type="pct"/>
            <w:vAlign w:val="center"/>
          </w:tcPr>
          <w:p w14:paraId="2BD0F44D"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39.496</w:t>
            </w:r>
          </w:p>
        </w:tc>
        <w:tc>
          <w:tcPr>
            <w:tcW w:w="628" w:type="pct"/>
            <w:noWrap/>
            <w:vAlign w:val="center"/>
          </w:tcPr>
          <w:p w14:paraId="0A38FA54"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3,7%</w:t>
            </w:r>
          </w:p>
        </w:tc>
      </w:tr>
      <w:tr w:rsidR="009B538E" w:rsidRPr="00C13E3C" w14:paraId="372C8AD1" w14:textId="77777777" w:rsidTr="002C0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pct"/>
            <w:noWrap/>
            <w:vAlign w:val="center"/>
            <w:hideMark/>
          </w:tcPr>
          <w:p w14:paraId="520DCADE" w14:textId="77777777" w:rsidR="004D19BE" w:rsidRPr="00F5643D" w:rsidRDefault="004D19BE" w:rsidP="004D19BE">
            <w:pPr>
              <w:rPr>
                <w:rFonts w:ascii="Trebuchet MS" w:hAnsi="Trebuchet MS"/>
                <w:color w:val="000000"/>
              </w:rPr>
            </w:pPr>
            <w:r w:rsidRPr="00F5643D">
              <w:rPr>
                <w:rFonts w:ascii="Trebuchet MS" w:hAnsi="Trebuchet MS"/>
                <w:color w:val="000000"/>
              </w:rPr>
              <w:t>Elektro</w:t>
            </w:r>
          </w:p>
        </w:tc>
        <w:tc>
          <w:tcPr>
            <w:tcW w:w="625" w:type="pct"/>
            <w:noWrap/>
            <w:vAlign w:val="bottom"/>
          </w:tcPr>
          <w:p w14:paraId="762C7E29"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28.024</w:t>
            </w:r>
          </w:p>
        </w:tc>
        <w:tc>
          <w:tcPr>
            <w:tcW w:w="626" w:type="pct"/>
            <w:noWrap/>
            <w:vAlign w:val="center"/>
          </w:tcPr>
          <w:p w14:paraId="23F0F118"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25.965</w:t>
            </w:r>
          </w:p>
        </w:tc>
        <w:tc>
          <w:tcPr>
            <w:tcW w:w="626" w:type="pct"/>
            <w:noWrap/>
            <w:vAlign w:val="center"/>
          </w:tcPr>
          <w:p w14:paraId="6D5DE57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848</w:t>
            </w:r>
          </w:p>
        </w:tc>
        <w:tc>
          <w:tcPr>
            <w:tcW w:w="626" w:type="pct"/>
            <w:noWrap/>
            <w:vAlign w:val="center"/>
          </w:tcPr>
          <w:p w14:paraId="46398FA0"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3,1%</w:t>
            </w:r>
          </w:p>
        </w:tc>
        <w:tc>
          <w:tcPr>
            <w:tcW w:w="626" w:type="pct"/>
            <w:vAlign w:val="center"/>
          </w:tcPr>
          <w:p w14:paraId="2947D55A"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26.115</w:t>
            </w:r>
          </w:p>
        </w:tc>
        <w:tc>
          <w:tcPr>
            <w:tcW w:w="628" w:type="pct"/>
            <w:noWrap/>
            <w:vAlign w:val="center"/>
          </w:tcPr>
          <w:p w14:paraId="43D0AA92"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2,2%</w:t>
            </w:r>
          </w:p>
        </w:tc>
      </w:tr>
      <w:tr w:rsidR="004D19BE" w:rsidRPr="00C13E3C" w14:paraId="071B1C54" w14:textId="77777777" w:rsidTr="002C098B">
        <w:tc>
          <w:tcPr>
            <w:cnfStyle w:val="001000000000" w:firstRow="0" w:lastRow="0" w:firstColumn="1" w:lastColumn="0" w:oddVBand="0" w:evenVBand="0" w:oddHBand="0" w:evenHBand="0" w:firstRowFirstColumn="0" w:firstRowLastColumn="0" w:lastRowFirstColumn="0" w:lastRowLastColumn="0"/>
            <w:tcW w:w="1242" w:type="pct"/>
            <w:noWrap/>
            <w:vAlign w:val="center"/>
            <w:hideMark/>
          </w:tcPr>
          <w:p w14:paraId="42D63D5B" w14:textId="77777777" w:rsidR="004D19BE" w:rsidRPr="00F5643D" w:rsidRDefault="004D19BE" w:rsidP="004D19BE">
            <w:pPr>
              <w:rPr>
                <w:rFonts w:ascii="Trebuchet MS" w:hAnsi="Trebuchet MS"/>
                <w:color w:val="000000"/>
              </w:rPr>
            </w:pPr>
            <w:r w:rsidRPr="00F5643D">
              <w:rPr>
                <w:rFonts w:ascii="Trebuchet MS" w:hAnsi="Trebuchet MS"/>
                <w:color w:val="000000"/>
              </w:rPr>
              <w:t>Strojna</w:t>
            </w:r>
          </w:p>
        </w:tc>
        <w:tc>
          <w:tcPr>
            <w:tcW w:w="625" w:type="pct"/>
            <w:noWrap/>
            <w:vAlign w:val="bottom"/>
          </w:tcPr>
          <w:p w14:paraId="2FFCA63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41.193</w:t>
            </w:r>
          </w:p>
        </w:tc>
        <w:tc>
          <w:tcPr>
            <w:tcW w:w="626" w:type="pct"/>
            <w:noWrap/>
            <w:vAlign w:val="center"/>
          </w:tcPr>
          <w:p w14:paraId="0A80B9B6"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35.704</w:t>
            </w:r>
          </w:p>
        </w:tc>
        <w:tc>
          <w:tcPr>
            <w:tcW w:w="626" w:type="pct"/>
            <w:noWrap/>
            <w:vAlign w:val="center"/>
          </w:tcPr>
          <w:p w14:paraId="07614407"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2.074</w:t>
            </w:r>
          </w:p>
        </w:tc>
        <w:tc>
          <w:tcPr>
            <w:tcW w:w="626" w:type="pct"/>
            <w:noWrap/>
            <w:vAlign w:val="center"/>
          </w:tcPr>
          <w:p w14:paraId="397B69E7"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5,3%</w:t>
            </w:r>
          </w:p>
        </w:tc>
        <w:tc>
          <w:tcPr>
            <w:tcW w:w="626" w:type="pct"/>
            <w:vAlign w:val="center"/>
          </w:tcPr>
          <w:p w14:paraId="4E9AA6F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37.161</w:t>
            </w:r>
          </w:p>
        </w:tc>
        <w:tc>
          <w:tcPr>
            <w:tcW w:w="628" w:type="pct"/>
            <w:noWrap/>
            <w:vAlign w:val="center"/>
          </w:tcPr>
          <w:p w14:paraId="1E037E90"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3,6%</w:t>
            </w:r>
          </w:p>
        </w:tc>
      </w:tr>
      <w:tr w:rsidR="009B538E" w:rsidRPr="00C13E3C" w14:paraId="749D5571" w14:textId="77777777" w:rsidTr="002C0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pct"/>
            <w:noWrap/>
            <w:vAlign w:val="center"/>
            <w:hideMark/>
          </w:tcPr>
          <w:p w14:paraId="361A76F7" w14:textId="77777777" w:rsidR="004D19BE" w:rsidRPr="00F5643D" w:rsidRDefault="004D19BE" w:rsidP="004D19BE">
            <w:pPr>
              <w:rPr>
                <w:rFonts w:ascii="Trebuchet MS" w:hAnsi="Trebuchet MS"/>
                <w:color w:val="000000"/>
              </w:rPr>
            </w:pPr>
            <w:r w:rsidRPr="00F5643D">
              <w:rPr>
                <w:rFonts w:ascii="Trebuchet MS" w:hAnsi="Trebuchet MS"/>
                <w:color w:val="000000"/>
              </w:rPr>
              <w:t>Druge</w:t>
            </w:r>
          </w:p>
        </w:tc>
        <w:tc>
          <w:tcPr>
            <w:tcW w:w="625" w:type="pct"/>
            <w:noWrap/>
            <w:vAlign w:val="bottom"/>
          </w:tcPr>
          <w:p w14:paraId="3052C144"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4.315</w:t>
            </w:r>
          </w:p>
        </w:tc>
        <w:tc>
          <w:tcPr>
            <w:tcW w:w="626" w:type="pct"/>
            <w:noWrap/>
            <w:vAlign w:val="center"/>
          </w:tcPr>
          <w:p w14:paraId="71CD17E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4.149</w:t>
            </w:r>
          </w:p>
        </w:tc>
        <w:tc>
          <w:tcPr>
            <w:tcW w:w="626" w:type="pct"/>
            <w:noWrap/>
            <w:vAlign w:val="center"/>
          </w:tcPr>
          <w:p w14:paraId="641A0C32"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-484</w:t>
            </w:r>
          </w:p>
        </w:tc>
        <w:tc>
          <w:tcPr>
            <w:tcW w:w="626" w:type="pct"/>
            <w:noWrap/>
            <w:vAlign w:val="center"/>
          </w:tcPr>
          <w:p w14:paraId="5652C4F0"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-10,1%</w:t>
            </w:r>
          </w:p>
        </w:tc>
        <w:tc>
          <w:tcPr>
            <w:tcW w:w="626" w:type="pct"/>
            <w:vAlign w:val="center"/>
          </w:tcPr>
          <w:p w14:paraId="4059FECF"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4.099</w:t>
            </w:r>
          </w:p>
        </w:tc>
        <w:tc>
          <w:tcPr>
            <w:tcW w:w="628" w:type="pct"/>
            <w:noWrap/>
            <w:vAlign w:val="center"/>
          </w:tcPr>
          <w:p w14:paraId="579119F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2,6%</w:t>
            </w:r>
          </w:p>
        </w:tc>
      </w:tr>
    </w:tbl>
    <w:p w14:paraId="52E3CBE8" w14:textId="77777777" w:rsidR="003372D7" w:rsidRPr="009B538E" w:rsidRDefault="003372D7" w:rsidP="003372D7">
      <w:pPr>
        <w:spacing w:before="20"/>
        <w:jc w:val="both"/>
        <w:rPr>
          <w:i/>
        </w:rPr>
      </w:pPr>
      <w:r w:rsidRPr="009B538E">
        <w:rPr>
          <w:i/>
        </w:rPr>
        <w:t>Vir: SURS, strukturna statistika podjetij, preračuni Analitika GZS</w:t>
      </w:r>
    </w:p>
    <w:p w14:paraId="081266DD" w14:textId="77777777" w:rsidR="007C7F66" w:rsidRPr="007041AF" w:rsidRDefault="007C7F66" w:rsidP="00A347B2">
      <w:pPr>
        <w:spacing w:after="0" w:line="360" w:lineRule="auto"/>
        <w:rPr>
          <w:rFonts w:cstheme="minorHAnsi"/>
        </w:rPr>
      </w:pPr>
      <w:r w:rsidRPr="007041AF">
        <w:rPr>
          <w:rFonts w:cstheme="minorHAnsi"/>
          <w:noProof/>
          <w:lang w:eastAsia="sl-SI"/>
        </w:rPr>
        <w:lastRenderedPageBreak/>
        <w:drawing>
          <wp:inline distT="0" distB="0" distL="0" distR="0" wp14:anchorId="63313F92" wp14:editId="7360AAD6">
            <wp:extent cx="4503964" cy="2715986"/>
            <wp:effectExtent l="0" t="0" r="0" b="8255"/>
            <wp:docPr id="37" name="Grafikon 3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88C4446-63E9-428D-9D57-50424D978C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500EF1F" w14:textId="77777777" w:rsidR="003372D7" w:rsidRPr="009B538E" w:rsidRDefault="003372D7" w:rsidP="003372D7">
      <w:pPr>
        <w:spacing w:before="20"/>
        <w:jc w:val="both"/>
        <w:rPr>
          <w:i/>
        </w:rPr>
      </w:pPr>
      <w:r w:rsidRPr="009B538E">
        <w:rPr>
          <w:i/>
        </w:rPr>
        <w:t>Vir: SURS, strukturna statistika podjetij, preračuni Analitika GZS</w:t>
      </w:r>
    </w:p>
    <w:p w14:paraId="4FE25300" w14:textId="77777777" w:rsidR="007C7F66" w:rsidRPr="00964361" w:rsidRDefault="007C7F66" w:rsidP="002C7476">
      <w:pPr>
        <w:pStyle w:val="Odstavekseznama"/>
        <w:numPr>
          <w:ilvl w:val="0"/>
          <w:numId w:val="16"/>
        </w:numPr>
        <w:spacing w:before="0" w:after="160" w:line="259" w:lineRule="auto"/>
        <w:rPr>
          <w:rFonts w:cstheme="minorHAnsi"/>
          <w:b/>
          <w:bCs/>
        </w:rPr>
      </w:pPr>
      <w:r w:rsidRPr="00964361">
        <w:rPr>
          <w:rFonts w:cstheme="minorHAnsi"/>
          <w:b/>
          <w:bCs/>
        </w:rPr>
        <w:t>Dodana vrednost in bruto marža</w:t>
      </w:r>
    </w:p>
    <w:p w14:paraId="3896FF91" w14:textId="34E7E551" w:rsidR="007C7F66" w:rsidRPr="00964361" w:rsidRDefault="007C7F66" w:rsidP="00405849">
      <w:pPr>
        <w:jc w:val="both"/>
        <w:rPr>
          <w:rFonts w:cstheme="minorHAnsi"/>
        </w:rPr>
      </w:pPr>
      <w:r w:rsidRPr="00964361">
        <w:rPr>
          <w:rFonts w:cstheme="minorHAnsi"/>
        </w:rPr>
        <w:t xml:space="preserve">Dodana vrednost v stroških faktorjev je </w:t>
      </w:r>
      <w:r w:rsidR="009E47FF">
        <w:rPr>
          <w:rFonts w:cstheme="minorHAnsi"/>
        </w:rPr>
        <w:t xml:space="preserve">enako </w:t>
      </w:r>
      <w:r w:rsidRPr="00964361">
        <w:rPr>
          <w:rFonts w:cstheme="minorHAnsi"/>
        </w:rPr>
        <w:t>kot bruto prihodek iz poslovnih dejavnosti po popravkih za subvencije za poslovanje in posredne davke. Ustvarjena dodana vrednost, ki predstavlja razliko med prodajnimi prihodki ter nekaterimi drugimi poslovnimi prihodki (kosmati donos iz poslovanja) ter stroški blaga, materiala in storitev in drugimi poslovnimi odhodki, je v 2018 v predelovalnih dejavnostih  znašala 8,8 mrd EUR, kar je bilo za 2,1 mrd EUR oz</w:t>
      </w:r>
      <w:r w:rsidR="00DF29F1">
        <w:rPr>
          <w:rFonts w:cstheme="minorHAnsi"/>
        </w:rPr>
        <w:t>iroma</w:t>
      </w:r>
      <w:r w:rsidR="00DF29F1" w:rsidRPr="00964361">
        <w:rPr>
          <w:rFonts w:cstheme="minorHAnsi"/>
        </w:rPr>
        <w:t xml:space="preserve"> </w:t>
      </w:r>
      <w:r w:rsidRPr="00964361">
        <w:rPr>
          <w:rFonts w:cstheme="minorHAnsi"/>
        </w:rPr>
        <w:t xml:space="preserve">za 30,7 % več kot v letu 2008. V zadnjih </w:t>
      </w:r>
      <w:r w:rsidR="00042190">
        <w:rPr>
          <w:rFonts w:cstheme="minorHAnsi"/>
        </w:rPr>
        <w:t>enajst</w:t>
      </w:r>
      <w:r w:rsidRPr="00964361">
        <w:rPr>
          <w:rFonts w:cstheme="minorHAnsi"/>
        </w:rPr>
        <w:t xml:space="preserve">ih letih je dodana vrednost v predelovalnih dejavnostih v povprečju letno znašala 6,9 mrd EUR. Večji upad dodane </w:t>
      </w:r>
      <w:r w:rsidRPr="00FD4C45">
        <w:rPr>
          <w:rFonts w:cstheme="minorHAnsi"/>
        </w:rPr>
        <w:t>vrednost</w:t>
      </w:r>
      <w:r w:rsidR="00782B19">
        <w:rPr>
          <w:rFonts w:cstheme="minorHAnsi"/>
        </w:rPr>
        <w:t>i</w:t>
      </w:r>
      <w:r w:rsidRPr="00964361">
        <w:rPr>
          <w:rFonts w:cstheme="minorHAnsi"/>
        </w:rPr>
        <w:t xml:space="preserve"> so predelovalne dejavnosti beležile v letu 2009  ter </w:t>
      </w:r>
      <w:r w:rsidRPr="00FD4C45">
        <w:rPr>
          <w:rFonts w:cstheme="minorHAnsi"/>
        </w:rPr>
        <w:t>nižj</w:t>
      </w:r>
      <w:r w:rsidR="00782B19">
        <w:rPr>
          <w:rFonts w:cstheme="minorHAnsi"/>
        </w:rPr>
        <w:t>o</w:t>
      </w:r>
      <w:r w:rsidRPr="00964361">
        <w:rPr>
          <w:rFonts w:cstheme="minorHAnsi"/>
        </w:rPr>
        <w:t xml:space="preserve"> leta 2012, v povprečju pa je v zadnjih </w:t>
      </w:r>
      <w:r w:rsidR="00042190">
        <w:rPr>
          <w:rFonts w:cstheme="minorHAnsi"/>
        </w:rPr>
        <w:t>desetih</w:t>
      </w:r>
      <w:r w:rsidR="00042190" w:rsidRPr="00964361">
        <w:rPr>
          <w:rFonts w:cstheme="minorHAnsi"/>
        </w:rPr>
        <w:t xml:space="preserve"> </w:t>
      </w:r>
      <w:r w:rsidRPr="00964361">
        <w:rPr>
          <w:rFonts w:cstheme="minorHAnsi"/>
        </w:rPr>
        <w:t xml:space="preserve">letih </w:t>
      </w:r>
      <w:r w:rsidR="00DF29F1" w:rsidRPr="00964361">
        <w:rPr>
          <w:rFonts w:cstheme="minorHAnsi"/>
        </w:rPr>
        <w:t xml:space="preserve">letno </w:t>
      </w:r>
      <w:r w:rsidRPr="00964361">
        <w:rPr>
          <w:rFonts w:cstheme="minorHAnsi"/>
        </w:rPr>
        <w:t>beležila 2,7</w:t>
      </w:r>
      <w:r w:rsidR="00DF29F1">
        <w:rPr>
          <w:rFonts w:cstheme="minorHAnsi"/>
        </w:rPr>
        <w:t>-odstotno</w:t>
      </w:r>
      <w:r w:rsidRPr="00964361">
        <w:rPr>
          <w:rFonts w:cstheme="minorHAnsi"/>
        </w:rPr>
        <w:t xml:space="preserve"> rast. </w:t>
      </w:r>
    </w:p>
    <w:p w14:paraId="13D72BFB" w14:textId="77777777" w:rsidR="007C7F66" w:rsidRPr="007041AF" w:rsidRDefault="007C7F66" w:rsidP="007C7F66">
      <w:pPr>
        <w:rPr>
          <w:rFonts w:cstheme="minorHAnsi"/>
        </w:rPr>
      </w:pPr>
    </w:p>
    <w:p w14:paraId="40BEE88B" w14:textId="77777777" w:rsidR="007C7F66" w:rsidRPr="007041AF" w:rsidRDefault="007C7F66" w:rsidP="007C7F66">
      <w:pPr>
        <w:rPr>
          <w:rFonts w:cstheme="minorHAnsi"/>
        </w:rPr>
      </w:pPr>
      <w:r w:rsidRPr="007041AF">
        <w:rPr>
          <w:rFonts w:cstheme="minorHAnsi"/>
          <w:noProof/>
          <w:lang w:eastAsia="sl-SI"/>
        </w:rPr>
        <w:drawing>
          <wp:inline distT="0" distB="0" distL="0" distR="0" wp14:anchorId="5E86DC09" wp14:editId="76B42EB1">
            <wp:extent cx="3937659" cy="2359797"/>
            <wp:effectExtent l="0" t="0" r="5715" b="2540"/>
            <wp:docPr id="39" name="Grafikon 3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1395ABC-3EE7-4EF7-AEDF-AD879FBA3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6EBE459" w14:textId="77777777" w:rsidR="003372D7" w:rsidRPr="009B538E" w:rsidRDefault="003372D7" w:rsidP="003372D7">
      <w:pPr>
        <w:spacing w:before="20"/>
        <w:jc w:val="both"/>
        <w:rPr>
          <w:i/>
        </w:rPr>
      </w:pPr>
      <w:r w:rsidRPr="009B538E">
        <w:rPr>
          <w:i/>
        </w:rPr>
        <w:t>Vir: SURS, strukturna statistika podjetij, preračuni Analitika GZS</w:t>
      </w:r>
    </w:p>
    <w:p w14:paraId="52A431F4" w14:textId="0B038CF4" w:rsidR="00A6166B" w:rsidRPr="00964361" w:rsidRDefault="00A6166B" w:rsidP="00405849">
      <w:pPr>
        <w:jc w:val="both"/>
        <w:rPr>
          <w:rFonts w:cstheme="minorHAnsi"/>
        </w:rPr>
      </w:pPr>
      <w:r w:rsidRPr="00964361">
        <w:rPr>
          <w:rFonts w:cstheme="minorHAnsi"/>
        </w:rPr>
        <w:t xml:space="preserve">V strukturi dodane vrednosti vseh predelovalnih dejavnosti </w:t>
      </w:r>
      <w:r w:rsidR="00A337E5">
        <w:rPr>
          <w:rFonts w:cstheme="minorHAnsi"/>
        </w:rPr>
        <w:t xml:space="preserve">je </w:t>
      </w:r>
      <w:r w:rsidRPr="00964361">
        <w:rPr>
          <w:rFonts w:cstheme="minorHAnsi"/>
        </w:rPr>
        <w:t>v 2018 največ dodane vrednosti ustvari</w:t>
      </w:r>
      <w:r w:rsidR="00A337E5">
        <w:rPr>
          <w:rFonts w:cstheme="minorHAnsi"/>
        </w:rPr>
        <w:t>la</w:t>
      </w:r>
      <w:r w:rsidRPr="00964361">
        <w:rPr>
          <w:rFonts w:cstheme="minorHAnsi"/>
        </w:rPr>
        <w:t xml:space="preserve"> kemi</w:t>
      </w:r>
      <w:r w:rsidR="00DF29F1">
        <w:rPr>
          <w:rFonts w:cstheme="minorHAnsi"/>
        </w:rPr>
        <w:t>čn</w:t>
      </w:r>
      <w:r w:rsidRPr="00964361">
        <w:rPr>
          <w:rFonts w:cstheme="minorHAnsi"/>
        </w:rPr>
        <w:t>a industrija (23</w:t>
      </w:r>
      <w:r w:rsidRPr="00FD4C45">
        <w:rPr>
          <w:rFonts w:cstheme="minorHAnsi"/>
        </w:rPr>
        <w:t>-</w:t>
      </w:r>
      <w:r w:rsidRPr="00964361">
        <w:rPr>
          <w:rFonts w:cstheme="minorHAnsi"/>
        </w:rPr>
        <w:t>odstotni delež</w:t>
      </w:r>
      <w:r w:rsidRPr="00FD4C45">
        <w:rPr>
          <w:rFonts w:cstheme="minorHAnsi"/>
        </w:rPr>
        <w:t>)</w:t>
      </w:r>
      <w:r w:rsidR="00782B19">
        <w:rPr>
          <w:rFonts w:cstheme="minorHAnsi"/>
        </w:rPr>
        <w:t>,</w:t>
      </w:r>
      <w:r w:rsidRPr="00964361">
        <w:rPr>
          <w:rFonts w:cstheme="minorHAnsi"/>
        </w:rPr>
        <w:t xml:space="preserve"> sledijo ji strojna (20,4%), kovinska (19,8 %), prehrambna (6,7 %)</w:t>
      </w:r>
      <w:r w:rsidR="00A337E5">
        <w:rPr>
          <w:rFonts w:cstheme="minorHAnsi"/>
        </w:rPr>
        <w:t xml:space="preserve"> in</w:t>
      </w:r>
      <w:r w:rsidRPr="00964361">
        <w:rPr>
          <w:rFonts w:cstheme="minorHAnsi"/>
        </w:rPr>
        <w:t xml:space="preserve"> lesna industrija (5 %). </w:t>
      </w:r>
    </w:p>
    <w:p w14:paraId="001D2ECB" w14:textId="77777777" w:rsidR="00A6166B" w:rsidRDefault="00A6166B" w:rsidP="00A347B2">
      <w:pPr>
        <w:spacing w:after="0"/>
        <w:rPr>
          <w:rFonts w:cstheme="minorHAnsi"/>
        </w:rPr>
      </w:pPr>
      <w:r>
        <w:rPr>
          <w:noProof/>
          <w:lang w:eastAsia="sl-SI"/>
        </w:rPr>
        <w:lastRenderedPageBreak/>
        <w:drawing>
          <wp:inline distT="0" distB="0" distL="0" distR="0" wp14:anchorId="79702BF1" wp14:editId="5F52AF44">
            <wp:extent cx="4076700" cy="2398395"/>
            <wp:effectExtent l="0" t="0" r="0" b="0"/>
            <wp:docPr id="13" name="Grafikon 1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EB037BE-C0A9-4BEB-B279-BDB38A80D6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A98CA5B" w14:textId="77777777" w:rsidR="00A6166B" w:rsidRPr="009B538E" w:rsidRDefault="00A6166B" w:rsidP="00A6166B">
      <w:pPr>
        <w:spacing w:before="20"/>
        <w:jc w:val="both"/>
        <w:rPr>
          <w:i/>
        </w:rPr>
      </w:pPr>
      <w:r w:rsidRPr="009B538E">
        <w:rPr>
          <w:i/>
        </w:rPr>
        <w:t>Vir: SURS, strukturna statistika podjetij, preračuni Analitika GZS</w:t>
      </w:r>
    </w:p>
    <w:p w14:paraId="5297F022" w14:textId="57D03110" w:rsidR="007C7F66" w:rsidRPr="00964361" w:rsidRDefault="007C7F66" w:rsidP="00405849">
      <w:pPr>
        <w:jc w:val="both"/>
        <w:rPr>
          <w:rFonts w:cstheme="minorHAnsi"/>
        </w:rPr>
      </w:pPr>
      <w:r w:rsidRPr="00964361">
        <w:rPr>
          <w:rFonts w:cstheme="minorHAnsi"/>
        </w:rPr>
        <w:t xml:space="preserve">V zadnjih </w:t>
      </w:r>
      <w:r w:rsidR="007D1ABE">
        <w:rPr>
          <w:rFonts w:cstheme="minorHAnsi"/>
        </w:rPr>
        <w:t>desetih</w:t>
      </w:r>
      <w:r w:rsidR="007D1ABE" w:rsidRPr="00964361">
        <w:rPr>
          <w:rFonts w:cstheme="minorHAnsi"/>
        </w:rPr>
        <w:t xml:space="preserve"> </w:t>
      </w:r>
      <w:r w:rsidRPr="00964361">
        <w:rPr>
          <w:rFonts w:cstheme="minorHAnsi"/>
        </w:rPr>
        <w:t xml:space="preserve">letih (2018/2008) </w:t>
      </w:r>
      <w:r w:rsidRPr="00FD4C45">
        <w:rPr>
          <w:rFonts w:cstheme="minorHAnsi"/>
        </w:rPr>
        <w:t>s</w:t>
      </w:r>
      <w:r w:rsidR="00782B19">
        <w:rPr>
          <w:rFonts w:cstheme="minorHAnsi"/>
        </w:rPr>
        <w:t>e</w:t>
      </w:r>
      <w:r w:rsidRPr="00964361">
        <w:rPr>
          <w:rFonts w:cstheme="minorHAnsi"/>
        </w:rPr>
        <w:t xml:space="preserve"> je med predelovalnimi dejavnostmi dodana vrednost najbolj zvišala v strojni in kemični industriji (5</w:t>
      </w:r>
      <w:r w:rsidR="00FA0CF0" w:rsidRPr="00964361">
        <w:rPr>
          <w:rFonts w:cstheme="minorHAnsi"/>
        </w:rPr>
        <w:t>98</w:t>
      </w:r>
      <w:r w:rsidRPr="00964361">
        <w:rPr>
          <w:rFonts w:cstheme="minorHAnsi"/>
        </w:rPr>
        <w:t xml:space="preserve"> mio EUR), kovinski (456 mio EUR), elektro (330 mio EUR) ter prehrambni industriji (124 mio EUR). Tekstilna, papirna in lesna industrija v 2018 še niso ustvarile nivoja dodane vrednosti iz leta 2008.</w:t>
      </w:r>
    </w:p>
    <w:p w14:paraId="29E41FF2" w14:textId="77777777" w:rsidR="007C7F66" w:rsidRPr="007041AF" w:rsidRDefault="007C7F66" w:rsidP="00A347B2">
      <w:pPr>
        <w:spacing w:after="0"/>
        <w:rPr>
          <w:rFonts w:cstheme="minorHAnsi"/>
        </w:rPr>
      </w:pPr>
      <w:r w:rsidRPr="007041AF">
        <w:rPr>
          <w:rFonts w:cstheme="minorHAnsi"/>
          <w:noProof/>
          <w:lang w:eastAsia="sl-SI"/>
        </w:rPr>
        <w:drawing>
          <wp:inline distT="0" distB="0" distL="0" distR="0" wp14:anchorId="021AA125" wp14:editId="52A4A8F6">
            <wp:extent cx="5322794" cy="2830446"/>
            <wp:effectExtent l="0" t="0" r="0" b="8255"/>
            <wp:docPr id="41" name="Grafikon 4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2FAADE1-0F88-449A-8878-8FFB2D59E0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7041AF">
        <w:rPr>
          <w:rFonts w:cstheme="minorHAnsi"/>
        </w:rPr>
        <w:t xml:space="preserve"> </w:t>
      </w:r>
    </w:p>
    <w:p w14:paraId="2FAA475B" w14:textId="77777777" w:rsidR="003372D7" w:rsidRPr="009B538E" w:rsidRDefault="003372D7" w:rsidP="003372D7">
      <w:pPr>
        <w:spacing w:before="20"/>
        <w:jc w:val="both"/>
        <w:rPr>
          <w:i/>
        </w:rPr>
      </w:pPr>
      <w:r w:rsidRPr="009B538E">
        <w:rPr>
          <w:i/>
        </w:rPr>
        <w:t>Vir: SURS, strukturna statistika podjetij, preračuni Analitika GZS</w:t>
      </w:r>
    </w:p>
    <w:p w14:paraId="328029A1" w14:textId="3E76818D" w:rsidR="007C7F66" w:rsidRPr="00964361" w:rsidRDefault="007C7F66" w:rsidP="00405849">
      <w:pPr>
        <w:jc w:val="both"/>
        <w:rPr>
          <w:rFonts w:cstheme="minorHAnsi"/>
        </w:rPr>
      </w:pPr>
      <w:r w:rsidRPr="00964361">
        <w:rPr>
          <w:rFonts w:cstheme="minorHAnsi"/>
        </w:rPr>
        <w:t xml:space="preserve">V zadnjih petih letih (2014-2018) je dodana vrednost v predelovalnih dejavnostih v povprečju porasla za 7 % letno ter beležila v povprečju 7,8 mrd EUR dodane vrednosti. Med predelovalnimi </w:t>
      </w:r>
      <w:r w:rsidRPr="00FD4C45">
        <w:rPr>
          <w:rFonts w:cstheme="minorHAnsi"/>
        </w:rPr>
        <w:t>dejavnost</w:t>
      </w:r>
      <w:r w:rsidR="00782B19">
        <w:rPr>
          <w:rFonts w:cstheme="minorHAnsi"/>
        </w:rPr>
        <w:t>m</w:t>
      </w:r>
      <w:r w:rsidRPr="00FD4C45">
        <w:rPr>
          <w:rFonts w:cstheme="minorHAnsi"/>
        </w:rPr>
        <w:t>i</w:t>
      </w:r>
      <w:r w:rsidRPr="00964361">
        <w:rPr>
          <w:rFonts w:cstheme="minorHAnsi"/>
        </w:rPr>
        <w:t xml:space="preserve"> je dodana vrednost na leto najbolj porasla v drugih predelovalnih dejavnostih (9,8 %</w:t>
      </w:r>
      <w:r w:rsidR="00714141">
        <w:rPr>
          <w:rFonts w:cstheme="minorHAnsi"/>
        </w:rPr>
        <w:t xml:space="preserve">  </w:t>
      </w:r>
      <w:r w:rsidRPr="00964361">
        <w:rPr>
          <w:rFonts w:cstheme="minorHAnsi"/>
        </w:rPr>
        <w:t xml:space="preserve">letno), </w:t>
      </w:r>
      <w:r w:rsidR="00714141">
        <w:rPr>
          <w:rFonts w:cstheme="minorHAnsi"/>
        </w:rPr>
        <w:t xml:space="preserve">v </w:t>
      </w:r>
      <w:r w:rsidRPr="00964361">
        <w:rPr>
          <w:rFonts w:cstheme="minorHAnsi"/>
        </w:rPr>
        <w:t>kovinski industriji za 9 % letno, lesni za 8,</w:t>
      </w:r>
      <w:r w:rsidR="00FA0CF0" w:rsidRPr="00964361">
        <w:rPr>
          <w:rFonts w:cstheme="minorHAnsi"/>
        </w:rPr>
        <w:t>7</w:t>
      </w:r>
      <w:r w:rsidRPr="00964361">
        <w:rPr>
          <w:rFonts w:cstheme="minorHAnsi"/>
        </w:rPr>
        <w:t xml:space="preserve"> % letno</w:t>
      </w:r>
      <w:r w:rsidR="0045588D">
        <w:rPr>
          <w:rFonts w:cstheme="minorHAnsi"/>
        </w:rPr>
        <w:t xml:space="preserve"> in</w:t>
      </w:r>
      <w:r w:rsidRPr="00964361">
        <w:rPr>
          <w:rFonts w:cstheme="minorHAnsi"/>
        </w:rPr>
        <w:t xml:space="preserve"> strojni industriji za 8,2 % letno.</w:t>
      </w:r>
    </w:p>
    <w:tbl>
      <w:tblPr>
        <w:tblStyle w:val="Tabelaseznam4poudarek61"/>
        <w:tblW w:w="5000" w:type="pct"/>
        <w:tblLook w:val="04A0" w:firstRow="1" w:lastRow="0" w:firstColumn="1" w:lastColumn="0" w:noHBand="0" w:noVBand="1"/>
      </w:tblPr>
      <w:tblGrid>
        <w:gridCol w:w="2251"/>
        <w:gridCol w:w="1172"/>
        <w:gridCol w:w="1172"/>
        <w:gridCol w:w="1172"/>
        <w:gridCol w:w="1173"/>
        <w:gridCol w:w="1173"/>
        <w:gridCol w:w="1175"/>
      </w:tblGrid>
      <w:tr w:rsidR="009B538E" w:rsidRPr="00C13E3C" w14:paraId="237AE858" w14:textId="77777777" w:rsidTr="00865CE9">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129" w:type="pct"/>
            <w:vAlign w:val="center"/>
            <w:hideMark/>
          </w:tcPr>
          <w:p w14:paraId="79C9C879" w14:textId="77777777" w:rsidR="007C7F66" w:rsidRPr="0049147B" w:rsidRDefault="007C7F66" w:rsidP="00BF7D3C">
            <w:r w:rsidRPr="0049147B">
              <w:t>Dodana vrednost</w:t>
            </w:r>
            <w:r w:rsidR="00B10EEF" w:rsidRPr="0049147B">
              <w:t xml:space="preserve"> </w:t>
            </w:r>
            <w:r w:rsidR="00B10EEF" w:rsidRPr="0049147B">
              <w:rPr>
                <w:rStyle w:val="Sprotnaopomba-sklic"/>
              </w:rPr>
              <w:footnoteReference w:id="38"/>
            </w:r>
          </w:p>
        </w:tc>
        <w:tc>
          <w:tcPr>
            <w:tcW w:w="645" w:type="pct"/>
            <w:vAlign w:val="center"/>
          </w:tcPr>
          <w:p w14:paraId="4D1CB2A2"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pPr>
            <w:r w:rsidRPr="0049147B">
              <w:t>Vred.</w:t>
            </w:r>
          </w:p>
          <w:p w14:paraId="60FDC13F"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2018,</w:t>
            </w:r>
          </w:p>
          <w:p w14:paraId="01EB8A46"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mio EUR</w:t>
            </w:r>
          </w:p>
        </w:tc>
        <w:tc>
          <w:tcPr>
            <w:tcW w:w="645" w:type="pct"/>
            <w:vAlign w:val="center"/>
          </w:tcPr>
          <w:p w14:paraId="4424409F"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Ø Vred. 2008-2018,</w:t>
            </w:r>
          </w:p>
          <w:p w14:paraId="3DCFFF83"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mio EUR</w:t>
            </w:r>
          </w:p>
        </w:tc>
        <w:tc>
          <w:tcPr>
            <w:tcW w:w="645" w:type="pct"/>
            <w:vAlign w:val="center"/>
          </w:tcPr>
          <w:p w14:paraId="6F8A16B5"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Vred. razlika</w:t>
            </w:r>
          </w:p>
          <w:p w14:paraId="1F9620F5"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2018-2008,</w:t>
            </w:r>
          </w:p>
          <w:p w14:paraId="5D7B0C93"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pPr>
            <w:r w:rsidRPr="0049147B">
              <w:t>mio EUR</w:t>
            </w:r>
          </w:p>
        </w:tc>
        <w:tc>
          <w:tcPr>
            <w:tcW w:w="645" w:type="pct"/>
            <w:vAlign w:val="center"/>
          </w:tcPr>
          <w:p w14:paraId="549E5EBC"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Sprem. v %</w:t>
            </w:r>
          </w:p>
          <w:p w14:paraId="5AA52B63"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2018/2008</w:t>
            </w:r>
          </w:p>
        </w:tc>
        <w:tc>
          <w:tcPr>
            <w:tcW w:w="645" w:type="pct"/>
            <w:vAlign w:val="center"/>
          </w:tcPr>
          <w:p w14:paraId="0D7E4DAF"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Ø Vred.</w:t>
            </w:r>
          </w:p>
          <w:p w14:paraId="4176E873"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2014-2018,</w:t>
            </w:r>
          </w:p>
          <w:p w14:paraId="09C04E42" w14:textId="77777777" w:rsidR="007C7F66" w:rsidRPr="0049147B" w:rsidRDefault="007C7F66"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mio EUR</w:t>
            </w:r>
          </w:p>
        </w:tc>
        <w:tc>
          <w:tcPr>
            <w:tcW w:w="646" w:type="pct"/>
            <w:vAlign w:val="center"/>
          </w:tcPr>
          <w:p w14:paraId="31870295" w14:textId="77777777" w:rsidR="007C7F66" w:rsidRPr="0049147B" w:rsidRDefault="00865CE9" w:rsidP="00865CE9">
            <w:pPr>
              <w:jc w:val="center"/>
              <w:cnfStyle w:val="100000000000" w:firstRow="1" w:lastRow="0" w:firstColumn="0" w:lastColumn="0" w:oddVBand="0" w:evenVBand="0" w:oddHBand="0" w:evenHBand="0" w:firstRowFirstColumn="0" w:firstRowLastColumn="0" w:lastRowFirstColumn="0" w:lastRowLastColumn="0"/>
              <w:rPr>
                <w:b w:val="0"/>
              </w:rPr>
            </w:pPr>
            <w:r w:rsidRPr="0049147B">
              <w:t>CAGR</w:t>
            </w:r>
            <w:r w:rsidRPr="0049147B">
              <w:rPr>
                <w:rStyle w:val="Sprotnaopomba-sklic"/>
              </w:rPr>
              <w:footnoteReference w:id="39"/>
            </w:r>
            <w:r w:rsidRPr="0049147B">
              <w:t xml:space="preserve"> v obdobju 2014-2018</w:t>
            </w:r>
          </w:p>
        </w:tc>
      </w:tr>
      <w:tr w:rsidR="009B538E" w:rsidRPr="00C13E3C" w14:paraId="23058C08" w14:textId="77777777" w:rsidTr="0086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pct"/>
            <w:noWrap/>
            <w:vAlign w:val="bottom"/>
            <w:hideMark/>
          </w:tcPr>
          <w:p w14:paraId="3D30461F" w14:textId="77777777" w:rsidR="004D19BE" w:rsidRPr="00F5643D" w:rsidRDefault="004D19BE" w:rsidP="004D19BE">
            <w:pPr>
              <w:rPr>
                <w:rFonts w:ascii="Trebuchet MS" w:hAnsi="Trebuchet MS"/>
                <w:b w:val="0"/>
                <w:color w:val="000000"/>
              </w:rPr>
            </w:pPr>
            <w:r w:rsidRPr="00F5643D">
              <w:rPr>
                <w:rFonts w:ascii="Trebuchet MS" w:hAnsi="Trebuchet MS"/>
                <w:color w:val="000000"/>
              </w:rPr>
              <w:lastRenderedPageBreak/>
              <w:t>PREDEL. DEJ. SKUPAJ</w:t>
            </w:r>
          </w:p>
        </w:tc>
        <w:tc>
          <w:tcPr>
            <w:tcW w:w="645" w:type="pct"/>
            <w:vAlign w:val="center"/>
          </w:tcPr>
          <w:p w14:paraId="7FFED80B"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color w:val="000000"/>
              </w:rPr>
            </w:pPr>
            <w:r w:rsidRPr="0049147B">
              <w:rPr>
                <w:color w:val="000000"/>
              </w:rPr>
              <w:t>8.812</w:t>
            </w:r>
          </w:p>
        </w:tc>
        <w:tc>
          <w:tcPr>
            <w:tcW w:w="645" w:type="pct"/>
            <w:vAlign w:val="bottom"/>
          </w:tcPr>
          <w:p w14:paraId="6EB31475"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color w:val="000000"/>
              </w:rPr>
            </w:pPr>
            <w:r w:rsidRPr="0049147B">
              <w:rPr>
                <w:color w:val="000000"/>
              </w:rPr>
              <w:t>6.901</w:t>
            </w:r>
          </w:p>
        </w:tc>
        <w:tc>
          <w:tcPr>
            <w:tcW w:w="645" w:type="pct"/>
            <w:vAlign w:val="bottom"/>
          </w:tcPr>
          <w:p w14:paraId="6724AD16"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color w:val="000000"/>
              </w:rPr>
            </w:pPr>
            <w:r w:rsidRPr="0049147B">
              <w:rPr>
                <w:color w:val="000000"/>
              </w:rPr>
              <w:t>2.068</w:t>
            </w:r>
          </w:p>
        </w:tc>
        <w:tc>
          <w:tcPr>
            <w:tcW w:w="645" w:type="pct"/>
            <w:vAlign w:val="center"/>
          </w:tcPr>
          <w:p w14:paraId="05110415"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color w:val="333F4F"/>
              </w:rPr>
            </w:pPr>
            <w:r w:rsidRPr="0049147B">
              <w:rPr>
                <w:color w:val="333F4F"/>
              </w:rPr>
              <w:t>30,7%</w:t>
            </w:r>
          </w:p>
        </w:tc>
        <w:tc>
          <w:tcPr>
            <w:tcW w:w="645" w:type="pct"/>
            <w:vAlign w:val="bottom"/>
          </w:tcPr>
          <w:p w14:paraId="78D639FF"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color w:val="000000"/>
              </w:rPr>
            </w:pPr>
            <w:r w:rsidRPr="0049147B">
              <w:rPr>
                <w:color w:val="000000"/>
              </w:rPr>
              <w:t>7.775</w:t>
            </w:r>
          </w:p>
        </w:tc>
        <w:tc>
          <w:tcPr>
            <w:tcW w:w="646" w:type="pct"/>
            <w:vAlign w:val="center"/>
          </w:tcPr>
          <w:p w14:paraId="4D7BD775"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pPr>
            <w:r w:rsidRPr="0049147B">
              <w:t>7,0%</w:t>
            </w:r>
          </w:p>
        </w:tc>
      </w:tr>
      <w:tr w:rsidR="004D19BE" w:rsidRPr="00C13E3C" w14:paraId="78F8C924" w14:textId="77777777" w:rsidTr="002C098B">
        <w:tc>
          <w:tcPr>
            <w:cnfStyle w:val="001000000000" w:firstRow="0" w:lastRow="0" w:firstColumn="1" w:lastColumn="0" w:oddVBand="0" w:evenVBand="0" w:oddHBand="0" w:evenHBand="0" w:firstRowFirstColumn="0" w:firstRowLastColumn="0" w:lastRowFirstColumn="0" w:lastRowLastColumn="0"/>
            <w:tcW w:w="1129" w:type="pct"/>
            <w:noWrap/>
            <w:vAlign w:val="center"/>
            <w:hideMark/>
          </w:tcPr>
          <w:p w14:paraId="26D9D14B" w14:textId="77777777" w:rsidR="004D19BE" w:rsidRPr="00F5643D" w:rsidRDefault="004D19BE" w:rsidP="004D19BE">
            <w:pPr>
              <w:rPr>
                <w:rFonts w:ascii="Trebuchet MS" w:hAnsi="Trebuchet MS"/>
                <w:color w:val="000000"/>
              </w:rPr>
            </w:pPr>
            <w:r w:rsidRPr="00F5643D">
              <w:rPr>
                <w:rFonts w:ascii="Trebuchet MS" w:hAnsi="Trebuchet MS"/>
                <w:color w:val="000000"/>
              </w:rPr>
              <w:t>Prehrambna</w:t>
            </w:r>
          </w:p>
        </w:tc>
        <w:tc>
          <w:tcPr>
            <w:tcW w:w="645" w:type="pct"/>
            <w:noWrap/>
            <w:vAlign w:val="center"/>
          </w:tcPr>
          <w:p w14:paraId="0D3F018A"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593</w:t>
            </w:r>
          </w:p>
        </w:tc>
        <w:tc>
          <w:tcPr>
            <w:tcW w:w="645" w:type="pct"/>
            <w:noWrap/>
            <w:vAlign w:val="bottom"/>
          </w:tcPr>
          <w:p w14:paraId="452AD610"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490</w:t>
            </w:r>
          </w:p>
        </w:tc>
        <w:tc>
          <w:tcPr>
            <w:tcW w:w="645" w:type="pct"/>
            <w:noWrap/>
            <w:vAlign w:val="bottom"/>
          </w:tcPr>
          <w:p w14:paraId="1762EFDE"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124</w:t>
            </w:r>
          </w:p>
        </w:tc>
        <w:tc>
          <w:tcPr>
            <w:tcW w:w="645" w:type="pct"/>
            <w:noWrap/>
            <w:vAlign w:val="center"/>
          </w:tcPr>
          <w:p w14:paraId="4998D92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333F4F"/>
              </w:rPr>
            </w:pPr>
            <w:r w:rsidRPr="00F5643D">
              <w:rPr>
                <w:rFonts w:ascii="Trebuchet MS" w:hAnsi="Trebuchet MS"/>
                <w:color w:val="333F4F"/>
              </w:rPr>
              <w:t>26,5%</w:t>
            </w:r>
          </w:p>
        </w:tc>
        <w:tc>
          <w:tcPr>
            <w:tcW w:w="645" w:type="pct"/>
            <w:noWrap/>
            <w:vAlign w:val="bottom"/>
          </w:tcPr>
          <w:p w14:paraId="07CEE41E"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527</w:t>
            </w:r>
          </w:p>
        </w:tc>
        <w:tc>
          <w:tcPr>
            <w:tcW w:w="646" w:type="pct"/>
            <w:noWrap/>
            <w:vAlign w:val="center"/>
          </w:tcPr>
          <w:p w14:paraId="2712028E"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6,2%</w:t>
            </w:r>
          </w:p>
        </w:tc>
      </w:tr>
      <w:tr w:rsidR="009B538E" w:rsidRPr="00C13E3C" w14:paraId="727982D0" w14:textId="77777777" w:rsidTr="0086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pct"/>
            <w:noWrap/>
            <w:vAlign w:val="center"/>
            <w:hideMark/>
          </w:tcPr>
          <w:p w14:paraId="7B4955D2" w14:textId="77777777" w:rsidR="004D19BE" w:rsidRPr="00F5643D" w:rsidRDefault="004D19BE" w:rsidP="004D19BE">
            <w:pPr>
              <w:rPr>
                <w:rFonts w:ascii="Trebuchet MS" w:hAnsi="Trebuchet MS"/>
                <w:color w:val="000000"/>
              </w:rPr>
            </w:pPr>
            <w:r w:rsidRPr="00F5643D">
              <w:rPr>
                <w:rFonts w:ascii="Trebuchet MS" w:hAnsi="Trebuchet MS"/>
                <w:color w:val="000000"/>
              </w:rPr>
              <w:t>Tekstilna</w:t>
            </w:r>
          </w:p>
        </w:tc>
        <w:tc>
          <w:tcPr>
            <w:tcW w:w="645" w:type="pct"/>
            <w:noWrap/>
            <w:vAlign w:val="center"/>
          </w:tcPr>
          <w:p w14:paraId="476E6149"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263</w:t>
            </w:r>
          </w:p>
        </w:tc>
        <w:tc>
          <w:tcPr>
            <w:tcW w:w="645" w:type="pct"/>
            <w:noWrap/>
            <w:vAlign w:val="bottom"/>
          </w:tcPr>
          <w:p w14:paraId="7096FB1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250</w:t>
            </w:r>
          </w:p>
        </w:tc>
        <w:tc>
          <w:tcPr>
            <w:tcW w:w="645" w:type="pct"/>
            <w:noWrap/>
            <w:vAlign w:val="bottom"/>
          </w:tcPr>
          <w:p w14:paraId="6B2ABB4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-51</w:t>
            </w:r>
          </w:p>
        </w:tc>
        <w:tc>
          <w:tcPr>
            <w:tcW w:w="645" w:type="pct"/>
            <w:noWrap/>
            <w:vAlign w:val="center"/>
          </w:tcPr>
          <w:p w14:paraId="61606A30"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333F4F"/>
              </w:rPr>
            </w:pPr>
            <w:r w:rsidRPr="00F5643D">
              <w:rPr>
                <w:rFonts w:ascii="Trebuchet MS" w:hAnsi="Trebuchet MS"/>
                <w:color w:val="333F4F"/>
              </w:rPr>
              <w:t>-16,3%</w:t>
            </w:r>
          </w:p>
        </w:tc>
        <w:tc>
          <w:tcPr>
            <w:tcW w:w="645" w:type="pct"/>
            <w:noWrap/>
            <w:vAlign w:val="bottom"/>
          </w:tcPr>
          <w:p w14:paraId="4AD69EF6"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240</w:t>
            </w:r>
          </w:p>
        </w:tc>
        <w:tc>
          <w:tcPr>
            <w:tcW w:w="646" w:type="pct"/>
            <w:noWrap/>
            <w:vAlign w:val="center"/>
          </w:tcPr>
          <w:p w14:paraId="269D0FF2"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4,3%</w:t>
            </w:r>
          </w:p>
        </w:tc>
      </w:tr>
      <w:tr w:rsidR="004D19BE" w:rsidRPr="00C13E3C" w14:paraId="6550F8AD" w14:textId="77777777" w:rsidTr="002C098B">
        <w:tc>
          <w:tcPr>
            <w:cnfStyle w:val="001000000000" w:firstRow="0" w:lastRow="0" w:firstColumn="1" w:lastColumn="0" w:oddVBand="0" w:evenVBand="0" w:oddHBand="0" w:evenHBand="0" w:firstRowFirstColumn="0" w:firstRowLastColumn="0" w:lastRowFirstColumn="0" w:lastRowLastColumn="0"/>
            <w:tcW w:w="1129" w:type="pct"/>
            <w:noWrap/>
            <w:vAlign w:val="center"/>
            <w:hideMark/>
          </w:tcPr>
          <w:p w14:paraId="3A9C65D7" w14:textId="77777777" w:rsidR="004D19BE" w:rsidRPr="00F5643D" w:rsidRDefault="004D19BE" w:rsidP="004D19BE">
            <w:pPr>
              <w:rPr>
                <w:rFonts w:ascii="Trebuchet MS" w:hAnsi="Trebuchet MS"/>
                <w:color w:val="000000"/>
              </w:rPr>
            </w:pPr>
            <w:r w:rsidRPr="00F5643D">
              <w:rPr>
                <w:rFonts w:ascii="Trebuchet MS" w:hAnsi="Trebuchet MS"/>
                <w:color w:val="000000"/>
              </w:rPr>
              <w:t>Lesna</w:t>
            </w:r>
          </w:p>
        </w:tc>
        <w:tc>
          <w:tcPr>
            <w:tcW w:w="645" w:type="pct"/>
            <w:noWrap/>
            <w:vAlign w:val="center"/>
          </w:tcPr>
          <w:p w14:paraId="1CFBC1C0"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439</w:t>
            </w:r>
          </w:p>
        </w:tc>
        <w:tc>
          <w:tcPr>
            <w:tcW w:w="645" w:type="pct"/>
            <w:noWrap/>
            <w:vAlign w:val="bottom"/>
          </w:tcPr>
          <w:p w14:paraId="014491A9"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350</w:t>
            </w:r>
          </w:p>
        </w:tc>
        <w:tc>
          <w:tcPr>
            <w:tcW w:w="645" w:type="pct"/>
            <w:noWrap/>
            <w:vAlign w:val="bottom"/>
          </w:tcPr>
          <w:p w14:paraId="3E94A8A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-1</w:t>
            </w:r>
          </w:p>
        </w:tc>
        <w:tc>
          <w:tcPr>
            <w:tcW w:w="645" w:type="pct"/>
            <w:noWrap/>
            <w:vAlign w:val="center"/>
          </w:tcPr>
          <w:p w14:paraId="68161715"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333F4F"/>
              </w:rPr>
            </w:pPr>
            <w:r w:rsidRPr="00F5643D">
              <w:rPr>
                <w:rFonts w:ascii="Trebuchet MS" w:hAnsi="Trebuchet MS"/>
                <w:color w:val="333F4F"/>
              </w:rPr>
              <w:t>-0,3%</w:t>
            </w:r>
          </w:p>
        </w:tc>
        <w:tc>
          <w:tcPr>
            <w:tcW w:w="645" w:type="pct"/>
            <w:noWrap/>
            <w:vAlign w:val="bottom"/>
          </w:tcPr>
          <w:p w14:paraId="328069D4"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373</w:t>
            </w:r>
          </w:p>
        </w:tc>
        <w:tc>
          <w:tcPr>
            <w:tcW w:w="646" w:type="pct"/>
            <w:noWrap/>
            <w:vAlign w:val="center"/>
          </w:tcPr>
          <w:p w14:paraId="0368C4C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8,8%</w:t>
            </w:r>
          </w:p>
        </w:tc>
      </w:tr>
      <w:tr w:rsidR="009B538E" w:rsidRPr="00C13E3C" w14:paraId="4C869464" w14:textId="77777777" w:rsidTr="0086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pct"/>
            <w:noWrap/>
            <w:vAlign w:val="center"/>
            <w:hideMark/>
          </w:tcPr>
          <w:p w14:paraId="6E60F982" w14:textId="77777777" w:rsidR="004D19BE" w:rsidRPr="00F5643D" w:rsidRDefault="004D19BE" w:rsidP="004D19BE">
            <w:pPr>
              <w:rPr>
                <w:rFonts w:ascii="Trebuchet MS" w:hAnsi="Trebuchet MS"/>
                <w:color w:val="000000"/>
              </w:rPr>
            </w:pPr>
            <w:r w:rsidRPr="00F5643D">
              <w:rPr>
                <w:rFonts w:ascii="Trebuchet MS" w:hAnsi="Trebuchet MS"/>
                <w:color w:val="000000"/>
              </w:rPr>
              <w:t>Papirna</w:t>
            </w:r>
          </w:p>
        </w:tc>
        <w:tc>
          <w:tcPr>
            <w:tcW w:w="645" w:type="pct"/>
            <w:noWrap/>
            <w:vAlign w:val="center"/>
          </w:tcPr>
          <w:p w14:paraId="1950E950"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300</w:t>
            </w:r>
          </w:p>
        </w:tc>
        <w:tc>
          <w:tcPr>
            <w:tcW w:w="645" w:type="pct"/>
            <w:noWrap/>
            <w:vAlign w:val="bottom"/>
          </w:tcPr>
          <w:p w14:paraId="501369E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301</w:t>
            </w:r>
          </w:p>
        </w:tc>
        <w:tc>
          <w:tcPr>
            <w:tcW w:w="645" w:type="pct"/>
            <w:noWrap/>
            <w:vAlign w:val="bottom"/>
          </w:tcPr>
          <w:p w14:paraId="13D33DA2"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-26</w:t>
            </w:r>
          </w:p>
        </w:tc>
        <w:tc>
          <w:tcPr>
            <w:tcW w:w="645" w:type="pct"/>
            <w:noWrap/>
            <w:vAlign w:val="center"/>
          </w:tcPr>
          <w:p w14:paraId="29F01A7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333F4F"/>
              </w:rPr>
            </w:pPr>
            <w:r w:rsidRPr="00F5643D">
              <w:rPr>
                <w:rFonts w:ascii="Trebuchet MS" w:hAnsi="Trebuchet MS"/>
                <w:color w:val="333F4F"/>
              </w:rPr>
              <w:t>-8,1%</w:t>
            </w:r>
          </w:p>
        </w:tc>
        <w:tc>
          <w:tcPr>
            <w:tcW w:w="645" w:type="pct"/>
            <w:noWrap/>
            <w:vAlign w:val="bottom"/>
          </w:tcPr>
          <w:p w14:paraId="7B34EE72"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307</w:t>
            </w:r>
          </w:p>
        </w:tc>
        <w:tc>
          <w:tcPr>
            <w:tcW w:w="646" w:type="pct"/>
            <w:noWrap/>
            <w:vAlign w:val="center"/>
          </w:tcPr>
          <w:p w14:paraId="38AC7EB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0,5%</w:t>
            </w:r>
          </w:p>
        </w:tc>
      </w:tr>
      <w:tr w:rsidR="004D19BE" w:rsidRPr="00C13E3C" w14:paraId="23D36ED1" w14:textId="77777777" w:rsidTr="002C098B">
        <w:tc>
          <w:tcPr>
            <w:cnfStyle w:val="001000000000" w:firstRow="0" w:lastRow="0" w:firstColumn="1" w:lastColumn="0" w:oddVBand="0" w:evenVBand="0" w:oddHBand="0" w:evenHBand="0" w:firstRowFirstColumn="0" w:firstRowLastColumn="0" w:lastRowFirstColumn="0" w:lastRowLastColumn="0"/>
            <w:tcW w:w="1129" w:type="pct"/>
            <w:noWrap/>
            <w:vAlign w:val="center"/>
            <w:hideMark/>
          </w:tcPr>
          <w:p w14:paraId="61F78C9A" w14:textId="77777777" w:rsidR="004D19BE" w:rsidRPr="00F5643D" w:rsidRDefault="004D19BE" w:rsidP="004D19BE">
            <w:pPr>
              <w:rPr>
                <w:rFonts w:ascii="Trebuchet MS" w:hAnsi="Trebuchet MS"/>
                <w:color w:val="000000"/>
              </w:rPr>
            </w:pPr>
            <w:r w:rsidRPr="00F5643D">
              <w:rPr>
                <w:rFonts w:ascii="Trebuchet MS" w:hAnsi="Trebuchet MS"/>
                <w:color w:val="000000"/>
              </w:rPr>
              <w:t>Kemična</w:t>
            </w:r>
          </w:p>
        </w:tc>
        <w:tc>
          <w:tcPr>
            <w:tcW w:w="645" w:type="pct"/>
            <w:noWrap/>
            <w:vAlign w:val="center"/>
          </w:tcPr>
          <w:p w14:paraId="70D9ECB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2.022</w:t>
            </w:r>
          </w:p>
        </w:tc>
        <w:tc>
          <w:tcPr>
            <w:tcW w:w="645" w:type="pct"/>
            <w:noWrap/>
            <w:vAlign w:val="bottom"/>
          </w:tcPr>
          <w:p w14:paraId="735A796C"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1.583</w:t>
            </w:r>
          </w:p>
        </w:tc>
        <w:tc>
          <w:tcPr>
            <w:tcW w:w="645" w:type="pct"/>
            <w:noWrap/>
            <w:vAlign w:val="bottom"/>
          </w:tcPr>
          <w:p w14:paraId="70F121BD"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570</w:t>
            </w:r>
          </w:p>
        </w:tc>
        <w:tc>
          <w:tcPr>
            <w:tcW w:w="645" w:type="pct"/>
            <w:noWrap/>
            <w:vAlign w:val="center"/>
          </w:tcPr>
          <w:p w14:paraId="6DA83316"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333F4F"/>
              </w:rPr>
            </w:pPr>
            <w:r w:rsidRPr="00F5643D">
              <w:rPr>
                <w:rFonts w:ascii="Trebuchet MS" w:hAnsi="Trebuchet MS"/>
                <w:color w:val="333F4F"/>
              </w:rPr>
              <w:t>39,2%</w:t>
            </w:r>
          </w:p>
        </w:tc>
        <w:tc>
          <w:tcPr>
            <w:tcW w:w="645" w:type="pct"/>
            <w:noWrap/>
            <w:vAlign w:val="bottom"/>
          </w:tcPr>
          <w:p w14:paraId="68BCD4B1"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1.776</w:t>
            </w:r>
          </w:p>
        </w:tc>
        <w:tc>
          <w:tcPr>
            <w:tcW w:w="646" w:type="pct"/>
            <w:noWrap/>
            <w:vAlign w:val="center"/>
          </w:tcPr>
          <w:p w14:paraId="2F38745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5,8%</w:t>
            </w:r>
          </w:p>
        </w:tc>
      </w:tr>
      <w:tr w:rsidR="009B538E" w:rsidRPr="00C13E3C" w14:paraId="5F8A289A" w14:textId="77777777" w:rsidTr="0086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pct"/>
            <w:noWrap/>
            <w:vAlign w:val="center"/>
            <w:hideMark/>
          </w:tcPr>
          <w:p w14:paraId="014F1987" w14:textId="77777777" w:rsidR="004D19BE" w:rsidRPr="00F5643D" w:rsidRDefault="004D19BE" w:rsidP="004D19BE">
            <w:pPr>
              <w:rPr>
                <w:rFonts w:ascii="Trebuchet MS" w:hAnsi="Trebuchet MS"/>
                <w:color w:val="000000"/>
              </w:rPr>
            </w:pPr>
            <w:r w:rsidRPr="00F5643D">
              <w:rPr>
                <w:rFonts w:ascii="Trebuchet MS" w:hAnsi="Trebuchet MS"/>
                <w:color w:val="000000"/>
              </w:rPr>
              <w:t>Nekovinska</w:t>
            </w:r>
          </w:p>
        </w:tc>
        <w:tc>
          <w:tcPr>
            <w:tcW w:w="645" w:type="pct"/>
            <w:noWrap/>
            <w:vAlign w:val="center"/>
          </w:tcPr>
          <w:p w14:paraId="5292FC1A"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337</w:t>
            </w:r>
          </w:p>
        </w:tc>
        <w:tc>
          <w:tcPr>
            <w:tcW w:w="645" w:type="pct"/>
            <w:noWrap/>
            <w:vAlign w:val="bottom"/>
          </w:tcPr>
          <w:p w14:paraId="6BDE43CA"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274</w:t>
            </w:r>
          </w:p>
        </w:tc>
        <w:tc>
          <w:tcPr>
            <w:tcW w:w="645" w:type="pct"/>
            <w:noWrap/>
            <w:vAlign w:val="bottom"/>
          </w:tcPr>
          <w:p w14:paraId="48DB9996"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27</w:t>
            </w:r>
          </w:p>
        </w:tc>
        <w:tc>
          <w:tcPr>
            <w:tcW w:w="645" w:type="pct"/>
            <w:noWrap/>
            <w:vAlign w:val="center"/>
          </w:tcPr>
          <w:p w14:paraId="2B9FFD6A"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333F4F"/>
              </w:rPr>
            </w:pPr>
            <w:r w:rsidRPr="00F5643D">
              <w:rPr>
                <w:rFonts w:ascii="Trebuchet MS" w:hAnsi="Trebuchet MS"/>
                <w:color w:val="333F4F"/>
              </w:rPr>
              <w:t>8,6%</w:t>
            </w:r>
          </w:p>
        </w:tc>
        <w:tc>
          <w:tcPr>
            <w:tcW w:w="645" w:type="pct"/>
            <w:noWrap/>
            <w:vAlign w:val="bottom"/>
          </w:tcPr>
          <w:p w14:paraId="33C990E4"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294</w:t>
            </w:r>
          </w:p>
        </w:tc>
        <w:tc>
          <w:tcPr>
            <w:tcW w:w="646" w:type="pct"/>
            <w:noWrap/>
            <w:vAlign w:val="center"/>
          </w:tcPr>
          <w:p w14:paraId="56C85C4F"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6,2%</w:t>
            </w:r>
          </w:p>
        </w:tc>
      </w:tr>
      <w:tr w:rsidR="004D19BE" w:rsidRPr="00C13E3C" w14:paraId="0061ACBE" w14:textId="77777777" w:rsidTr="002C098B">
        <w:tc>
          <w:tcPr>
            <w:cnfStyle w:val="001000000000" w:firstRow="0" w:lastRow="0" w:firstColumn="1" w:lastColumn="0" w:oddVBand="0" w:evenVBand="0" w:oddHBand="0" w:evenHBand="0" w:firstRowFirstColumn="0" w:firstRowLastColumn="0" w:lastRowFirstColumn="0" w:lastRowLastColumn="0"/>
            <w:tcW w:w="1129" w:type="pct"/>
            <w:noWrap/>
            <w:vAlign w:val="center"/>
            <w:hideMark/>
          </w:tcPr>
          <w:p w14:paraId="524476FB" w14:textId="77777777" w:rsidR="004D19BE" w:rsidRPr="00F5643D" w:rsidRDefault="004D19BE" w:rsidP="004D19BE">
            <w:pPr>
              <w:rPr>
                <w:rFonts w:ascii="Trebuchet MS" w:hAnsi="Trebuchet MS"/>
                <w:color w:val="000000"/>
              </w:rPr>
            </w:pPr>
            <w:r w:rsidRPr="00F5643D">
              <w:rPr>
                <w:rFonts w:ascii="Trebuchet MS" w:hAnsi="Trebuchet MS"/>
                <w:color w:val="000000"/>
              </w:rPr>
              <w:t>Kovinska</w:t>
            </w:r>
          </w:p>
        </w:tc>
        <w:tc>
          <w:tcPr>
            <w:tcW w:w="645" w:type="pct"/>
            <w:noWrap/>
            <w:vAlign w:val="center"/>
          </w:tcPr>
          <w:p w14:paraId="27956FA0"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1.748</w:t>
            </w:r>
          </w:p>
        </w:tc>
        <w:tc>
          <w:tcPr>
            <w:tcW w:w="645" w:type="pct"/>
            <w:noWrap/>
            <w:vAlign w:val="bottom"/>
          </w:tcPr>
          <w:p w14:paraId="2AE80AF1"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1.301</w:t>
            </w:r>
          </w:p>
        </w:tc>
        <w:tc>
          <w:tcPr>
            <w:tcW w:w="645" w:type="pct"/>
            <w:noWrap/>
            <w:vAlign w:val="bottom"/>
          </w:tcPr>
          <w:p w14:paraId="22F893C6"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456</w:t>
            </w:r>
          </w:p>
        </w:tc>
        <w:tc>
          <w:tcPr>
            <w:tcW w:w="645" w:type="pct"/>
            <w:noWrap/>
            <w:vAlign w:val="center"/>
          </w:tcPr>
          <w:p w14:paraId="3549CCB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333F4F"/>
              </w:rPr>
            </w:pPr>
            <w:r w:rsidRPr="00F5643D">
              <w:rPr>
                <w:rFonts w:ascii="Trebuchet MS" w:hAnsi="Trebuchet MS"/>
                <w:color w:val="333F4F"/>
              </w:rPr>
              <w:t>35,3%</w:t>
            </w:r>
          </w:p>
        </w:tc>
        <w:tc>
          <w:tcPr>
            <w:tcW w:w="645" w:type="pct"/>
            <w:noWrap/>
            <w:vAlign w:val="bottom"/>
          </w:tcPr>
          <w:p w14:paraId="6B3ECA96"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1.550</w:t>
            </w:r>
          </w:p>
        </w:tc>
        <w:tc>
          <w:tcPr>
            <w:tcW w:w="646" w:type="pct"/>
            <w:noWrap/>
            <w:vAlign w:val="center"/>
          </w:tcPr>
          <w:p w14:paraId="62EEDB58"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9,0%</w:t>
            </w:r>
          </w:p>
        </w:tc>
      </w:tr>
      <w:tr w:rsidR="009B538E" w:rsidRPr="00C13E3C" w14:paraId="55FCF32A" w14:textId="77777777" w:rsidTr="0086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pct"/>
            <w:noWrap/>
            <w:vAlign w:val="center"/>
            <w:hideMark/>
          </w:tcPr>
          <w:p w14:paraId="3E2CAC79" w14:textId="77777777" w:rsidR="004D19BE" w:rsidRPr="00F5643D" w:rsidRDefault="004D19BE" w:rsidP="004D19BE">
            <w:pPr>
              <w:rPr>
                <w:rFonts w:ascii="Trebuchet MS" w:hAnsi="Trebuchet MS"/>
                <w:color w:val="000000"/>
              </w:rPr>
            </w:pPr>
            <w:r w:rsidRPr="00F5643D">
              <w:rPr>
                <w:rFonts w:ascii="Trebuchet MS" w:hAnsi="Trebuchet MS"/>
                <w:color w:val="000000"/>
              </w:rPr>
              <w:t>Elektro</w:t>
            </w:r>
          </w:p>
        </w:tc>
        <w:tc>
          <w:tcPr>
            <w:tcW w:w="645" w:type="pct"/>
            <w:noWrap/>
            <w:vAlign w:val="center"/>
          </w:tcPr>
          <w:p w14:paraId="52E1615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1.115</w:t>
            </w:r>
          </w:p>
        </w:tc>
        <w:tc>
          <w:tcPr>
            <w:tcW w:w="645" w:type="pct"/>
            <w:noWrap/>
            <w:vAlign w:val="bottom"/>
          </w:tcPr>
          <w:p w14:paraId="2B5F53F7"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901</w:t>
            </w:r>
          </w:p>
        </w:tc>
        <w:tc>
          <w:tcPr>
            <w:tcW w:w="645" w:type="pct"/>
            <w:noWrap/>
            <w:vAlign w:val="bottom"/>
          </w:tcPr>
          <w:p w14:paraId="03250805"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330</w:t>
            </w:r>
          </w:p>
        </w:tc>
        <w:tc>
          <w:tcPr>
            <w:tcW w:w="645" w:type="pct"/>
            <w:noWrap/>
            <w:vAlign w:val="center"/>
          </w:tcPr>
          <w:p w14:paraId="3EB160C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333F4F"/>
              </w:rPr>
            </w:pPr>
            <w:r w:rsidRPr="00F5643D">
              <w:rPr>
                <w:rFonts w:ascii="Trebuchet MS" w:hAnsi="Trebuchet MS"/>
                <w:color w:val="333F4F"/>
              </w:rPr>
              <w:t>42,1%</w:t>
            </w:r>
          </w:p>
        </w:tc>
        <w:tc>
          <w:tcPr>
            <w:tcW w:w="645" w:type="pct"/>
            <w:noWrap/>
            <w:vAlign w:val="bottom"/>
          </w:tcPr>
          <w:p w14:paraId="35D9F47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1.021</w:t>
            </w:r>
          </w:p>
        </w:tc>
        <w:tc>
          <w:tcPr>
            <w:tcW w:w="646" w:type="pct"/>
            <w:noWrap/>
            <w:vAlign w:val="center"/>
          </w:tcPr>
          <w:p w14:paraId="0584E2C9"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6,1%</w:t>
            </w:r>
          </w:p>
        </w:tc>
      </w:tr>
      <w:tr w:rsidR="004D19BE" w:rsidRPr="00C13E3C" w14:paraId="7B198C60" w14:textId="77777777" w:rsidTr="002C098B">
        <w:tc>
          <w:tcPr>
            <w:cnfStyle w:val="001000000000" w:firstRow="0" w:lastRow="0" w:firstColumn="1" w:lastColumn="0" w:oddVBand="0" w:evenVBand="0" w:oddHBand="0" w:evenHBand="0" w:firstRowFirstColumn="0" w:firstRowLastColumn="0" w:lastRowFirstColumn="0" w:lastRowLastColumn="0"/>
            <w:tcW w:w="1129" w:type="pct"/>
            <w:noWrap/>
            <w:vAlign w:val="center"/>
            <w:hideMark/>
          </w:tcPr>
          <w:p w14:paraId="64096A4C" w14:textId="77777777" w:rsidR="004D19BE" w:rsidRPr="00F5643D" w:rsidRDefault="004D19BE" w:rsidP="004D19BE">
            <w:pPr>
              <w:rPr>
                <w:rFonts w:ascii="Trebuchet MS" w:hAnsi="Trebuchet MS"/>
                <w:color w:val="000000"/>
              </w:rPr>
            </w:pPr>
            <w:r w:rsidRPr="00F5643D">
              <w:rPr>
                <w:rFonts w:ascii="Trebuchet MS" w:hAnsi="Trebuchet MS"/>
                <w:color w:val="000000"/>
              </w:rPr>
              <w:t>Strojna</w:t>
            </w:r>
          </w:p>
        </w:tc>
        <w:tc>
          <w:tcPr>
            <w:tcW w:w="645" w:type="pct"/>
            <w:noWrap/>
            <w:vAlign w:val="center"/>
          </w:tcPr>
          <w:p w14:paraId="583FCFDB"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1.795</w:t>
            </w:r>
          </w:p>
        </w:tc>
        <w:tc>
          <w:tcPr>
            <w:tcW w:w="645" w:type="pct"/>
            <w:noWrap/>
            <w:vAlign w:val="bottom"/>
          </w:tcPr>
          <w:p w14:paraId="2315F421"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1.322</w:t>
            </w:r>
          </w:p>
        </w:tc>
        <w:tc>
          <w:tcPr>
            <w:tcW w:w="645" w:type="pct"/>
            <w:noWrap/>
            <w:vAlign w:val="bottom"/>
          </w:tcPr>
          <w:p w14:paraId="1C435B39"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570</w:t>
            </w:r>
          </w:p>
        </w:tc>
        <w:tc>
          <w:tcPr>
            <w:tcW w:w="645" w:type="pct"/>
            <w:noWrap/>
            <w:vAlign w:val="center"/>
          </w:tcPr>
          <w:p w14:paraId="5F0F6D40"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333F4F"/>
              </w:rPr>
            </w:pPr>
            <w:r w:rsidRPr="00F5643D">
              <w:rPr>
                <w:rFonts w:ascii="Trebuchet MS" w:hAnsi="Trebuchet MS"/>
                <w:color w:val="333F4F"/>
              </w:rPr>
              <w:t>46,5%</w:t>
            </w:r>
          </w:p>
        </w:tc>
        <w:tc>
          <w:tcPr>
            <w:tcW w:w="645" w:type="pct"/>
            <w:noWrap/>
            <w:vAlign w:val="bottom"/>
          </w:tcPr>
          <w:p w14:paraId="6DDF1E64"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1.534</w:t>
            </w:r>
          </w:p>
        </w:tc>
        <w:tc>
          <w:tcPr>
            <w:tcW w:w="646" w:type="pct"/>
            <w:noWrap/>
            <w:vAlign w:val="center"/>
          </w:tcPr>
          <w:p w14:paraId="239DE2FB"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8,2%</w:t>
            </w:r>
          </w:p>
        </w:tc>
      </w:tr>
      <w:tr w:rsidR="009B538E" w:rsidRPr="00C13E3C" w14:paraId="3AC688C5" w14:textId="77777777" w:rsidTr="0086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pct"/>
            <w:noWrap/>
            <w:vAlign w:val="center"/>
            <w:hideMark/>
          </w:tcPr>
          <w:p w14:paraId="1E2B2CDF" w14:textId="77777777" w:rsidR="004D19BE" w:rsidRPr="00F5643D" w:rsidRDefault="004D19BE" w:rsidP="004D19BE">
            <w:pPr>
              <w:rPr>
                <w:rFonts w:ascii="Trebuchet MS" w:hAnsi="Trebuchet MS"/>
                <w:color w:val="000000"/>
              </w:rPr>
            </w:pPr>
            <w:r w:rsidRPr="00F5643D">
              <w:rPr>
                <w:rFonts w:ascii="Trebuchet MS" w:hAnsi="Trebuchet MS"/>
                <w:color w:val="000000"/>
              </w:rPr>
              <w:t>Druge</w:t>
            </w:r>
          </w:p>
        </w:tc>
        <w:tc>
          <w:tcPr>
            <w:tcW w:w="645" w:type="pct"/>
            <w:noWrap/>
            <w:vAlign w:val="center"/>
          </w:tcPr>
          <w:p w14:paraId="7965335C"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170</w:t>
            </w:r>
          </w:p>
        </w:tc>
        <w:tc>
          <w:tcPr>
            <w:tcW w:w="645" w:type="pct"/>
            <w:noWrap/>
            <w:vAlign w:val="bottom"/>
          </w:tcPr>
          <w:p w14:paraId="3A705426"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129</w:t>
            </w:r>
          </w:p>
        </w:tc>
        <w:tc>
          <w:tcPr>
            <w:tcW w:w="645" w:type="pct"/>
            <w:noWrap/>
            <w:vAlign w:val="bottom"/>
          </w:tcPr>
          <w:p w14:paraId="0258F5DF"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42</w:t>
            </w:r>
          </w:p>
        </w:tc>
        <w:tc>
          <w:tcPr>
            <w:tcW w:w="645" w:type="pct"/>
            <w:noWrap/>
            <w:vAlign w:val="center"/>
          </w:tcPr>
          <w:p w14:paraId="29DD2B1A"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333F4F"/>
              </w:rPr>
            </w:pPr>
            <w:r w:rsidRPr="00F5643D">
              <w:rPr>
                <w:rFonts w:ascii="Trebuchet MS" w:hAnsi="Trebuchet MS"/>
                <w:color w:val="333F4F"/>
              </w:rPr>
              <w:t>33,1%</w:t>
            </w:r>
          </w:p>
        </w:tc>
        <w:tc>
          <w:tcPr>
            <w:tcW w:w="645" w:type="pct"/>
            <w:noWrap/>
            <w:vAlign w:val="bottom"/>
          </w:tcPr>
          <w:p w14:paraId="24CB5C0A"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149</w:t>
            </w:r>
          </w:p>
        </w:tc>
        <w:tc>
          <w:tcPr>
            <w:tcW w:w="646" w:type="pct"/>
            <w:noWrap/>
            <w:vAlign w:val="center"/>
          </w:tcPr>
          <w:p w14:paraId="2896C31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9,8%</w:t>
            </w:r>
          </w:p>
        </w:tc>
      </w:tr>
    </w:tbl>
    <w:p w14:paraId="6D79B160" w14:textId="77777777" w:rsidR="003372D7" w:rsidRPr="009B538E" w:rsidRDefault="003372D7" w:rsidP="003372D7">
      <w:pPr>
        <w:spacing w:before="20"/>
        <w:jc w:val="both"/>
        <w:rPr>
          <w:i/>
        </w:rPr>
      </w:pPr>
      <w:r w:rsidRPr="009B538E">
        <w:rPr>
          <w:i/>
        </w:rPr>
        <w:t>Vir: SURS, strukturna statistika podjetij, preračuni Analitika GZS</w:t>
      </w:r>
    </w:p>
    <w:p w14:paraId="70969879" w14:textId="3F20264C" w:rsidR="007C7F66" w:rsidRPr="00964361" w:rsidRDefault="007C7F66" w:rsidP="00405849">
      <w:pPr>
        <w:jc w:val="both"/>
        <w:rPr>
          <w:rFonts w:cstheme="minorHAnsi"/>
        </w:rPr>
      </w:pPr>
      <w:r w:rsidRPr="00964361">
        <w:rPr>
          <w:rFonts w:cstheme="minorHAnsi"/>
        </w:rPr>
        <w:t xml:space="preserve">Bruto marža (delež dodane vrednosti v prihodkih) se v zadnjih </w:t>
      </w:r>
      <w:r w:rsidR="00502C36">
        <w:rPr>
          <w:rFonts w:cstheme="minorHAnsi"/>
        </w:rPr>
        <w:t>petih</w:t>
      </w:r>
      <w:r w:rsidRPr="00964361">
        <w:rPr>
          <w:rFonts w:cstheme="minorHAnsi"/>
        </w:rPr>
        <w:t xml:space="preserve"> letih giblje na ravni med 28 in 29 %, kar pomeni, da na ravni prodanih proizvodov in storitev ni bilo narejenega kvalitativnega napredka, temveč je bila rast dodane vrednosti vezana predvsem na večjo proizvedeno količino proizvodov ali storitev.  V letu 2018 je v primerjavi z letom 2008 bruto marža </w:t>
      </w:r>
      <w:r w:rsidRPr="00FD4C45">
        <w:rPr>
          <w:rFonts w:cstheme="minorHAnsi"/>
        </w:rPr>
        <w:t>viš</w:t>
      </w:r>
      <w:r w:rsidR="007C0F20">
        <w:rPr>
          <w:rFonts w:cstheme="minorHAnsi"/>
        </w:rPr>
        <w:t>j</w:t>
      </w:r>
      <w:r w:rsidRPr="00FD4C45">
        <w:rPr>
          <w:rFonts w:cstheme="minorHAnsi"/>
        </w:rPr>
        <w:t>a</w:t>
      </w:r>
      <w:r w:rsidRPr="00964361">
        <w:rPr>
          <w:rFonts w:cstheme="minorHAnsi"/>
        </w:rPr>
        <w:t xml:space="preserve"> za 2,1 o.t. V tem času se je med predelovalnimi dejavnostmi bruto marža najbolj zvišala v prehrambni,  strojni </w:t>
      </w:r>
      <w:r w:rsidR="00FA0CF0" w:rsidRPr="00964361">
        <w:rPr>
          <w:rFonts w:cstheme="minorHAnsi"/>
        </w:rPr>
        <w:t xml:space="preserve"> in kemi</w:t>
      </w:r>
      <w:r w:rsidR="00714141">
        <w:rPr>
          <w:rFonts w:cstheme="minorHAnsi"/>
        </w:rPr>
        <w:t>čn</w:t>
      </w:r>
      <w:r w:rsidR="00FA0CF0" w:rsidRPr="00964361">
        <w:rPr>
          <w:rFonts w:cstheme="minorHAnsi"/>
        </w:rPr>
        <w:t xml:space="preserve">i </w:t>
      </w:r>
      <w:r w:rsidRPr="00964361">
        <w:rPr>
          <w:rFonts w:cstheme="minorHAnsi"/>
        </w:rPr>
        <w:t xml:space="preserve">industriji, kakor tudi v </w:t>
      </w:r>
      <w:r w:rsidRPr="00FD4C45">
        <w:rPr>
          <w:rFonts w:cstheme="minorHAnsi"/>
        </w:rPr>
        <w:t>kovinski</w:t>
      </w:r>
      <w:r w:rsidR="007C0F20">
        <w:rPr>
          <w:rFonts w:cstheme="minorHAnsi"/>
        </w:rPr>
        <w:t xml:space="preserve"> in</w:t>
      </w:r>
      <w:r w:rsidRPr="00964361">
        <w:rPr>
          <w:rFonts w:cstheme="minorHAnsi"/>
        </w:rPr>
        <w:t xml:space="preserve"> nekovinski</w:t>
      </w:r>
      <w:r w:rsidR="00FA0CF0" w:rsidRPr="00964361">
        <w:rPr>
          <w:rFonts w:cstheme="minorHAnsi"/>
        </w:rPr>
        <w:t xml:space="preserve"> industriji</w:t>
      </w:r>
      <w:r w:rsidRPr="00964361">
        <w:rPr>
          <w:rFonts w:cstheme="minorHAnsi"/>
        </w:rPr>
        <w:t>, znižala pa v tekstilni in papirni industriji.</w:t>
      </w:r>
    </w:p>
    <w:p w14:paraId="5C6449AC" w14:textId="23958476" w:rsidR="007C7F66" w:rsidRPr="00964361" w:rsidRDefault="007C7F66" w:rsidP="00405849">
      <w:pPr>
        <w:jc w:val="both"/>
        <w:rPr>
          <w:rFonts w:cstheme="minorHAnsi"/>
        </w:rPr>
      </w:pPr>
      <w:r w:rsidRPr="00964361">
        <w:rPr>
          <w:rFonts w:cstheme="minorHAnsi"/>
        </w:rPr>
        <w:t>Med vsemi predelovalnimi panogami so v 2018 beležili najvišjo bruto maržo v drugih predelovalnih dejavnostih (35 %), sledijo kemična</w:t>
      </w:r>
      <w:r w:rsidR="00FA0CF0" w:rsidRPr="00964361">
        <w:rPr>
          <w:rFonts w:cstheme="minorHAnsi"/>
        </w:rPr>
        <w:t xml:space="preserve"> (34 %),</w:t>
      </w:r>
      <w:r w:rsidRPr="00964361">
        <w:rPr>
          <w:rFonts w:cstheme="minorHAnsi"/>
        </w:rPr>
        <w:t xml:space="preserve"> nekovinska (33 %)</w:t>
      </w:r>
      <w:r w:rsidR="00714141">
        <w:rPr>
          <w:rFonts w:cstheme="minorHAnsi"/>
        </w:rPr>
        <w:t xml:space="preserve"> in</w:t>
      </w:r>
      <w:r w:rsidRPr="00964361">
        <w:rPr>
          <w:rFonts w:cstheme="minorHAnsi"/>
        </w:rPr>
        <w:t xml:space="preserve"> lesna industrija </w:t>
      </w:r>
      <w:r w:rsidR="00502C36">
        <w:rPr>
          <w:rFonts w:cstheme="minorHAnsi"/>
        </w:rPr>
        <w:t>(</w:t>
      </w:r>
      <w:r w:rsidRPr="00964361">
        <w:rPr>
          <w:rFonts w:cstheme="minorHAnsi"/>
        </w:rPr>
        <w:t>29 %</w:t>
      </w:r>
      <w:r w:rsidR="00502C36">
        <w:rPr>
          <w:rFonts w:cstheme="minorHAnsi"/>
        </w:rPr>
        <w:t>)</w:t>
      </w:r>
      <w:r w:rsidRPr="00964361">
        <w:rPr>
          <w:rFonts w:cstheme="minorHAnsi"/>
        </w:rPr>
        <w:t>, najnižjo pa ima</w:t>
      </w:r>
      <w:r w:rsidR="00714141">
        <w:rPr>
          <w:rFonts w:cstheme="minorHAnsi"/>
        </w:rPr>
        <w:t>ta</w:t>
      </w:r>
      <w:r w:rsidRPr="00964361">
        <w:rPr>
          <w:rFonts w:cstheme="minorHAnsi"/>
        </w:rPr>
        <w:t xml:space="preserve"> papirna in prehrambna industrija (2</w:t>
      </w:r>
      <w:r w:rsidR="00FA0CF0" w:rsidRPr="00964361">
        <w:rPr>
          <w:rFonts w:cstheme="minorHAnsi"/>
        </w:rPr>
        <w:t>5</w:t>
      </w:r>
      <w:r w:rsidRPr="00964361">
        <w:rPr>
          <w:rFonts w:cstheme="minorHAnsi"/>
        </w:rPr>
        <w:t xml:space="preserve"> %).  </w:t>
      </w:r>
    </w:p>
    <w:tbl>
      <w:tblPr>
        <w:tblStyle w:val="Tabelaseznam4poudarek61"/>
        <w:tblW w:w="8643" w:type="dxa"/>
        <w:tblLook w:val="04A0" w:firstRow="1" w:lastRow="0" w:firstColumn="1" w:lastColumn="0" w:noHBand="0" w:noVBand="1"/>
      </w:tblPr>
      <w:tblGrid>
        <w:gridCol w:w="2061"/>
        <w:gridCol w:w="1195"/>
        <w:gridCol w:w="1275"/>
        <w:gridCol w:w="1276"/>
        <w:gridCol w:w="1418"/>
        <w:gridCol w:w="1418"/>
      </w:tblGrid>
      <w:tr w:rsidR="00C817FA" w:rsidRPr="00C13E3C" w14:paraId="4AEF301B" w14:textId="77777777" w:rsidTr="00640727">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061" w:type="dxa"/>
            <w:vAlign w:val="center"/>
            <w:hideMark/>
          </w:tcPr>
          <w:p w14:paraId="0E6B4519" w14:textId="77777777" w:rsidR="00C817FA" w:rsidRPr="0049147B" w:rsidRDefault="00C817FA" w:rsidP="00C817FA">
            <w:r w:rsidRPr="0049147B">
              <w:t> Bruto marža</w:t>
            </w:r>
            <w:r w:rsidR="004D385A" w:rsidRPr="0049147B">
              <w:rPr>
                <w:rStyle w:val="Sprotnaopomba-sklic"/>
              </w:rPr>
              <w:footnoteReference w:id="40"/>
            </w:r>
            <w:r w:rsidRPr="0049147B">
              <w:t xml:space="preserve"> v %</w:t>
            </w:r>
          </w:p>
        </w:tc>
        <w:tc>
          <w:tcPr>
            <w:tcW w:w="1195" w:type="dxa"/>
            <w:vAlign w:val="center"/>
          </w:tcPr>
          <w:p w14:paraId="44467BFD" w14:textId="77777777" w:rsidR="00C817FA" w:rsidRPr="0049147B" w:rsidRDefault="00C817FA" w:rsidP="00640727">
            <w:pPr>
              <w:jc w:val="center"/>
              <w:cnfStyle w:val="100000000000" w:firstRow="1" w:lastRow="0" w:firstColumn="0" w:lastColumn="0" w:oddVBand="0" w:evenVBand="0" w:oddHBand="0" w:evenHBand="0" w:firstRowFirstColumn="0" w:firstRowLastColumn="0" w:lastRowFirstColumn="0" w:lastRowLastColumn="0"/>
            </w:pPr>
            <w:r w:rsidRPr="0049147B">
              <w:t>Vred. 2018,</w:t>
            </w:r>
          </w:p>
          <w:p w14:paraId="5F0F83AE" w14:textId="77777777" w:rsidR="00C817FA" w:rsidRPr="0049147B" w:rsidRDefault="00C817FA" w:rsidP="00640727">
            <w:pPr>
              <w:jc w:val="center"/>
              <w:cnfStyle w:val="100000000000" w:firstRow="1" w:lastRow="0" w:firstColumn="0" w:lastColumn="0" w:oddVBand="0" w:evenVBand="0" w:oddHBand="0" w:evenHBand="0" w:firstRowFirstColumn="0" w:firstRowLastColumn="0" w:lastRowFirstColumn="0" w:lastRowLastColumn="0"/>
            </w:pPr>
            <w:r w:rsidRPr="0049147B">
              <w:t>v %</w:t>
            </w:r>
          </w:p>
        </w:tc>
        <w:tc>
          <w:tcPr>
            <w:tcW w:w="1275" w:type="dxa"/>
            <w:vAlign w:val="center"/>
          </w:tcPr>
          <w:p w14:paraId="713BA431" w14:textId="77777777" w:rsidR="00C817FA" w:rsidRPr="0049147B" w:rsidRDefault="00C817FA" w:rsidP="00640727">
            <w:pPr>
              <w:jc w:val="center"/>
              <w:cnfStyle w:val="100000000000" w:firstRow="1" w:lastRow="0" w:firstColumn="0" w:lastColumn="0" w:oddVBand="0" w:evenVBand="0" w:oddHBand="0" w:evenHBand="0" w:firstRowFirstColumn="0" w:firstRowLastColumn="0" w:lastRowFirstColumn="0" w:lastRowLastColumn="0"/>
            </w:pPr>
            <w:r w:rsidRPr="0049147B">
              <w:t>Ø 2018-2018</w:t>
            </w:r>
          </w:p>
        </w:tc>
        <w:tc>
          <w:tcPr>
            <w:tcW w:w="1276" w:type="dxa"/>
            <w:vAlign w:val="center"/>
          </w:tcPr>
          <w:p w14:paraId="1816E0EB" w14:textId="77777777" w:rsidR="00C817FA" w:rsidRPr="0049147B" w:rsidRDefault="00C817FA" w:rsidP="00640727">
            <w:pPr>
              <w:jc w:val="center"/>
              <w:cnfStyle w:val="100000000000" w:firstRow="1" w:lastRow="0" w:firstColumn="0" w:lastColumn="0" w:oddVBand="0" w:evenVBand="0" w:oddHBand="0" w:evenHBand="0" w:firstRowFirstColumn="0" w:firstRowLastColumn="0" w:lastRowFirstColumn="0" w:lastRowLastColumn="0"/>
            </w:pPr>
            <w:r w:rsidRPr="0049147B">
              <w:t>Ø 2014-2018</w:t>
            </w:r>
          </w:p>
        </w:tc>
        <w:tc>
          <w:tcPr>
            <w:tcW w:w="1418" w:type="dxa"/>
            <w:vAlign w:val="center"/>
          </w:tcPr>
          <w:p w14:paraId="40BF4740" w14:textId="77777777" w:rsidR="00C817FA" w:rsidRPr="0049147B" w:rsidRDefault="00C817FA" w:rsidP="00640727">
            <w:pPr>
              <w:jc w:val="center"/>
              <w:cnfStyle w:val="100000000000" w:firstRow="1" w:lastRow="0" w:firstColumn="0" w:lastColumn="0" w:oddVBand="0" w:evenVBand="0" w:oddHBand="0" w:evenHBand="0" w:firstRowFirstColumn="0" w:firstRowLastColumn="0" w:lastRowFirstColumn="0" w:lastRowLastColumn="0"/>
            </w:pPr>
            <w:r w:rsidRPr="0049147B">
              <w:t>Razlika</w:t>
            </w:r>
          </w:p>
          <w:p w14:paraId="051D3EB7" w14:textId="77777777" w:rsidR="00C817FA" w:rsidRPr="0049147B" w:rsidRDefault="00C817FA" w:rsidP="00640727">
            <w:pPr>
              <w:jc w:val="center"/>
              <w:cnfStyle w:val="100000000000" w:firstRow="1" w:lastRow="0" w:firstColumn="0" w:lastColumn="0" w:oddVBand="0" w:evenVBand="0" w:oddHBand="0" w:evenHBand="0" w:firstRowFirstColumn="0" w:firstRowLastColumn="0" w:lastRowFirstColumn="0" w:lastRowLastColumn="0"/>
              <w:rPr>
                <w:b w:val="0"/>
              </w:rPr>
            </w:pPr>
            <w:r w:rsidRPr="0049147B">
              <w:t>2018-2008</w:t>
            </w:r>
          </w:p>
        </w:tc>
        <w:tc>
          <w:tcPr>
            <w:tcW w:w="1418" w:type="dxa"/>
            <w:vAlign w:val="center"/>
          </w:tcPr>
          <w:p w14:paraId="4DFBAB80" w14:textId="77777777" w:rsidR="00C817FA" w:rsidRPr="0049147B" w:rsidRDefault="00640727" w:rsidP="00640727">
            <w:pPr>
              <w:jc w:val="center"/>
              <w:cnfStyle w:val="100000000000" w:firstRow="1" w:lastRow="0" w:firstColumn="0" w:lastColumn="0" w:oddVBand="0" w:evenVBand="0" w:oddHBand="0" w:evenHBand="0" w:firstRowFirstColumn="0" w:firstRowLastColumn="0" w:lastRowFirstColumn="0" w:lastRowLastColumn="0"/>
              <w:rPr>
                <w:b w:val="0"/>
              </w:rPr>
            </w:pPr>
            <w:r w:rsidRPr="0049147B">
              <w:t>CAGR</w:t>
            </w:r>
            <w:r w:rsidRPr="0049147B">
              <w:rPr>
                <w:rStyle w:val="Sprotnaopomba-sklic"/>
              </w:rPr>
              <w:footnoteReference w:id="41"/>
            </w:r>
            <w:r w:rsidRPr="0049147B">
              <w:t xml:space="preserve"> v obdobju 2014-2018</w:t>
            </w:r>
          </w:p>
        </w:tc>
      </w:tr>
      <w:tr w:rsidR="00CD7D4F" w:rsidRPr="00C13E3C" w14:paraId="355C488C" w14:textId="77777777" w:rsidTr="00521D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dxa"/>
            <w:noWrap/>
            <w:vAlign w:val="bottom"/>
            <w:hideMark/>
          </w:tcPr>
          <w:p w14:paraId="55155725" w14:textId="77777777" w:rsidR="004D19BE" w:rsidRPr="00F5643D" w:rsidRDefault="004D19BE" w:rsidP="004D19BE">
            <w:pPr>
              <w:rPr>
                <w:rFonts w:ascii="Trebuchet MS" w:hAnsi="Trebuchet MS"/>
                <w:b w:val="0"/>
                <w:color w:val="000000"/>
              </w:rPr>
            </w:pPr>
            <w:r w:rsidRPr="00F5643D">
              <w:rPr>
                <w:rFonts w:ascii="Trebuchet MS" w:hAnsi="Trebuchet MS"/>
                <w:color w:val="000000"/>
              </w:rPr>
              <w:t>PREDEL. DEJ. SKUPAJ</w:t>
            </w:r>
          </w:p>
        </w:tc>
        <w:tc>
          <w:tcPr>
            <w:tcW w:w="1195" w:type="dxa"/>
            <w:vAlign w:val="center"/>
          </w:tcPr>
          <w:p w14:paraId="2EBD1064"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color w:val="000000"/>
              </w:rPr>
            </w:pPr>
            <w:r w:rsidRPr="0049147B">
              <w:rPr>
                <w:b/>
                <w:color w:val="000000"/>
              </w:rPr>
              <w:t>28,2%</w:t>
            </w:r>
          </w:p>
        </w:tc>
        <w:tc>
          <w:tcPr>
            <w:tcW w:w="1275" w:type="dxa"/>
            <w:vAlign w:val="center"/>
          </w:tcPr>
          <w:p w14:paraId="262AA006"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27,1%</w:t>
            </w:r>
          </w:p>
        </w:tc>
        <w:tc>
          <w:tcPr>
            <w:tcW w:w="1276" w:type="dxa"/>
            <w:vAlign w:val="center"/>
          </w:tcPr>
          <w:p w14:paraId="4C49DBE6"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28,3%</w:t>
            </w:r>
          </w:p>
        </w:tc>
        <w:tc>
          <w:tcPr>
            <w:tcW w:w="1418" w:type="dxa"/>
            <w:vAlign w:val="center"/>
          </w:tcPr>
          <w:p w14:paraId="4885D89A"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2,1 o.t.</w:t>
            </w:r>
          </w:p>
        </w:tc>
        <w:tc>
          <w:tcPr>
            <w:tcW w:w="1418" w:type="dxa"/>
            <w:vAlign w:val="center"/>
          </w:tcPr>
          <w:p w14:paraId="51D361D0"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1,3%</w:t>
            </w:r>
          </w:p>
        </w:tc>
      </w:tr>
      <w:tr w:rsidR="004D19BE" w:rsidRPr="00C13E3C" w14:paraId="7084CC9F" w14:textId="77777777" w:rsidTr="00A14AD0">
        <w:tc>
          <w:tcPr>
            <w:cnfStyle w:val="001000000000" w:firstRow="0" w:lastRow="0" w:firstColumn="1" w:lastColumn="0" w:oddVBand="0" w:evenVBand="0" w:oddHBand="0" w:evenHBand="0" w:firstRowFirstColumn="0" w:firstRowLastColumn="0" w:lastRowFirstColumn="0" w:lastRowLastColumn="0"/>
            <w:tcW w:w="2061" w:type="dxa"/>
            <w:noWrap/>
            <w:vAlign w:val="center"/>
            <w:hideMark/>
          </w:tcPr>
          <w:p w14:paraId="3057F07D" w14:textId="77777777" w:rsidR="004D19BE" w:rsidRPr="00F5643D" w:rsidRDefault="004D19BE" w:rsidP="004D19BE">
            <w:pPr>
              <w:rPr>
                <w:rFonts w:ascii="Trebuchet MS" w:hAnsi="Trebuchet MS"/>
                <w:color w:val="000000"/>
              </w:rPr>
            </w:pPr>
            <w:r w:rsidRPr="00F5643D">
              <w:rPr>
                <w:rFonts w:ascii="Trebuchet MS" w:hAnsi="Trebuchet MS"/>
                <w:color w:val="000000"/>
              </w:rPr>
              <w:t>Prehrambna</w:t>
            </w:r>
          </w:p>
        </w:tc>
        <w:tc>
          <w:tcPr>
            <w:tcW w:w="1195" w:type="dxa"/>
            <w:noWrap/>
            <w:vAlign w:val="center"/>
          </w:tcPr>
          <w:p w14:paraId="38B1A5C8"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24,9%</w:t>
            </w:r>
          </w:p>
        </w:tc>
        <w:tc>
          <w:tcPr>
            <w:tcW w:w="1275" w:type="dxa"/>
            <w:noWrap/>
            <w:vAlign w:val="center"/>
          </w:tcPr>
          <w:p w14:paraId="1231B03E"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22,3%</w:t>
            </w:r>
          </w:p>
        </w:tc>
        <w:tc>
          <w:tcPr>
            <w:tcW w:w="1276" w:type="dxa"/>
            <w:noWrap/>
            <w:vAlign w:val="center"/>
          </w:tcPr>
          <w:p w14:paraId="1742F20C"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23,3%</w:t>
            </w:r>
          </w:p>
        </w:tc>
        <w:tc>
          <w:tcPr>
            <w:tcW w:w="1418" w:type="dxa"/>
            <w:vAlign w:val="center"/>
          </w:tcPr>
          <w:p w14:paraId="7E4C80AF"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4,1 o.t.</w:t>
            </w:r>
          </w:p>
        </w:tc>
        <w:tc>
          <w:tcPr>
            <w:tcW w:w="1418" w:type="dxa"/>
            <w:vAlign w:val="center"/>
          </w:tcPr>
          <w:p w14:paraId="57F1C0F8"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3,9%</w:t>
            </w:r>
          </w:p>
        </w:tc>
      </w:tr>
      <w:tr w:rsidR="004D19BE" w:rsidRPr="00C13E3C" w14:paraId="4DF84BCB"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dxa"/>
            <w:noWrap/>
            <w:vAlign w:val="center"/>
            <w:hideMark/>
          </w:tcPr>
          <w:p w14:paraId="31AAEA7F" w14:textId="77777777" w:rsidR="004D19BE" w:rsidRPr="00F5643D" w:rsidRDefault="004D19BE" w:rsidP="004D19BE">
            <w:pPr>
              <w:rPr>
                <w:rFonts w:ascii="Trebuchet MS" w:hAnsi="Trebuchet MS"/>
                <w:color w:val="000000"/>
              </w:rPr>
            </w:pPr>
            <w:r w:rsidRPr="00F5643D">
              <w:rPr>
                <w:rFonts w:ascii="Trebuchet MS" w:hAnsi="Trebuchet MS"/>
                <w:color w:val="000000"/>
              </w:rPr>
              <w:t>Tekstilna</w:t>
            </w:r>
          </w:p>
        </w:tc>
        <w:tc>
          <w:tcPr>
            <w:tcW w:w="1195" w:type="dxa"/>
            <w:noWrap/>
            <w:vAlign w:val="center"/>
          </w:tcPr>
          <w:p w14:paraId="04F2D1FF"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29,4%</w:t>
            </w:r>
          </w:p>
        </w:tc>
        <w:tc>
          <w:tcPr>
            <w:tcW w:w="1275" w:type="dxa"/>
            <w:noWrap/>
            <w:vAlign w:val="center"/>
          </w:tcPr>
          <w:p w14:paraId="726EDE87"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29,6%</w:t>
            </w:r>
          </w:p>
        </w:tc>
        <w:tc>
          <w:tcPr>
            <w:tcW w:w="1276" w:type="dxa"/>
            <w:noWrap/>
            <w:vAlign w:val="center"/>
          </w:tcPr>
          <w:p w14:paraId="225BD868"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29,6%</w:t>
            </w:r>
          </w:p>
        </w:tc>
        <w:tc>
          <w:tcPr>
            <w:tcW w:w="1418" w:type="dxa"/>
            <w:vAlign w:val="center"/>
          </w:tcPr>
          <w:p w14:paraId="3889CEE5"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0,0 o.t.</w:t>
            </w:r>
          </w:p>
        </w:tc>
        <w:tc>
          <w:tcPr>
            <w:tcW w:w="1418" w:type="dxa"/>
            <w:vAlign w:val="center"/>
          </w:tcPr>
          <w:p w14:paraId="19D2FB1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1,3%</w:t>
            </w:r>
          </w:p>
        </w:tc>
      </w:tr>
      <w:tr w:rsidR="004D19BE" w:rsidRPr="00C13E3C" w14:paraId="7200AA51" w14:textId="77777777" w:rsidTr="00A14AD0">
        <w:tc>
          <w:tcPr>
            <w:cnfStyle w:val="001000000000" w:firstRow="0" w:lastRow="0" w:firstColumn="1" w:lastColumn="0" w:oddVBand="0" w:evenVBand="0" w:oddHBand="0" w:evenHBand="0" w:firstRowFirstColumn="0" w:firstRowLastColumn="0" w:lastRowFirstColumn="0" w:lastRowLastColumn="0"/>
            <w:tcW w:w="2061" w:type="dxa"/>
            <w:noWrap/>
            <w:vAlign w:val="center"/>
            <w:hideMark/>
          </w:tcPr>
          <w:p w14:paraId="498096CB" w14:textId="77777777" w:rsidR="004D19BE" w:rsidRPr="00F5643D" w:rsidRDefault="004D19BE" w:rsidP="004D19BE">
            <w:pPr>
              <w:rPr>
                <w:rFonts w:ascii="Trebuchet MS" w:hAnsi="Trebuchet MS"/>
                <w:color w:val="000000"/>
              </w:rPr>
            </w:pPr>
            <w:r w:rsidRPr="00F5643D">
              <w:rPr>
                <w:rFonts w:ascii="Trebuchet MS" w:hAnsi="Trebuchet MS"/>
                <w:color w:val="000000"/>
              </w:rPr>
              <w:t>Lesna</w:t>
            </w:r>
          </w:p>
        </w:tc>
        <w:tc>
          <w:tcPr>
            <w:tcW w:w="1195" w:type="dxa"/>
            <w:noWrap/>
            <w:vAlign w:val="center"/>
          </w:tcPr>
          <w:p w14:paraId="6525C0BC"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31,0%</w:t>
            </w:r>
          </w:p>
        </w:tc>
        <w:tc>
          <w:tcPr>
            <w:tcW w:w="1275" w:type="dxa"/>
            <w:noWrap/>
            <w:vAlign w:val="center"/>
          </w:tcPr>
          <w:p w14:paraId="745FE81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29,3%</w:t>
            </w:r>
          </w:p>
        </w:tc>
        <w:tc>
          <w:tcPr>
            <w:tcW w:w="1276" w:type="dxa"/>
            <w:noWrap/>
            <w:vAlign w:val="center"/>
          </w:tcPr>
          <w:p w14:paraId="1E5723CE"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29,9%</w:t>
            </w:r>
          </w:p>
        </w:tc>
        <w:tc>
          <w:tcPr>
            <w:tcW w:w="1418" w:type="dxa"/>
            <w:vAlign w:val="center"/>
          </w:tcPr>
          <w:p w14:paraId="100555E7"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1,1 o.t.</w:t>
            </w:r>
          </w:p>
        </w:tc>
        <w:tc>
          <w:tcPr>
            <w:tcW w:w="1418" w:type="dxa"/>
            <w:vAlign w:val="center"/>
          </w:tcPr>
          <w:p w14:paraId="37BD3E0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1,9%</w:t>
            </w:r>
          </w:p>
        </w:tc>
      </w:tr>
      <w:tr w:rsidR="004D19BE" w:rsidRPr="00C13E3C" w14:paraId="06FE19E2"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dxa"/>
            <w:noWrap/>
            <w:vAlign w:val="center"/>
            <w:hideMark/>
          </w:tcPr>
          <w:p w14:paraId="1E92CC3B" w14:textId="77777777" w:rsidR="004D19BE" w:rsidRPr="00F5643D" w:rsidRDefault="004D19BE" w:rsidP="004D19BE">
            <w:pPr>
              <w:rPr>
                <w:rFonts w:ascii="Trebuchet MS" w:hAnsi="Trebuchet MS"/>
                <w:color w:val="000000"/>
              </w:rPr>
            </w:pPr>
            <w:r w:rsidRPr="00F5643D">
              <w:rPr>
                <w:rFonts w:ascii="Trebuchet MS" w:hAnsi="Trebuchet MS"/>
                <w:color w:val="000000"/>
              </w:rPr>
              <w:t>Papirna</w:t>
            </w:r>
          </w:p>
        </w:tc>
        <w:tc>
          <w:tcPr>
            <w:tcW w:w="1195" w:type="dxa"/>
            <w:noWrap/>
            <w:vAlign w:val="center"/>
          </w:tcPr>
          <w:p w14:paraId="00B1AF0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23,1%</w:t>
            </w:r>
          </w:p>
        </w:tc>
        <w:tc>
          <w:tcPr>
            <w:tcW w:w="1275" w:type="dxa"/>
            <w:noWrap/>
            <w:vAlign w:val="center"/>
          </w:tcPr>
          <w:p w14:paraId="3B937C5A"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25,3%</w:t>
            </w:r>
          </w:p>
        </w:tc>
        <w:tc>
          <w:tcPr>
            <w:tcW w:w="1276" w:type="dxa"/>
            <w:noWrap/>
            <w:vAlign w:val="center"/>
          </w:tcPr>
          <w:p w14:paraId="24164B0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25,1%</w:t>
            </w:r>
          </w:p>
        </w:tc>
        <w:tc>
          <w:tcPr>
            <w:tcW w:w="1418" w:type="dxa"/>
            <w:vAlign w:val="center"/>
          </w:tcPr>
          <w:p w14:paraId="06486784"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-2,2 o.t.</w:t>
            </w:r>
          </w:p>
        </w:tc>
        <w:tc>
          <w:tcPr>
            <w:tcW w:w="1418" w:type="dxa"/>
            <w:vAlign w:val="center"/>
          </w:tcPr>
          <w:p w14:paraId="22B7F9F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-2,1%</w:t>
            </w:r>
          </w:p>
        </w:tc>
      </w:tr>
      <w:tr w:rsidR="004D19BE" w:rsidRPr="00C13E3C" w14:paraId="33198894" w14:textId="77777777" w:rsidTr="00A14AD0">
        <w:tc>
          <w:tcPr>
            <w:cnfStyle w:val="001000000000" w:firstRow="0" w:lastRow="0" w:firstColumn="1" w:lastColumn="0" w:oddVBand="0" w:evenVBand="0" w:oddHBand="0" w:evenHBand="0" w:firstRowFirstColumn="0" w:firstRowLastColumn="0" w:lastRowFirstColumn="0" w:lastRowLastColumn="0"/>
            <w:tcW w:w="2061" w:type="dxa"/>
            <w:noWrap/>
            <w:vAlign w:val="center"/>
            <w:hideMark/>
          </w:tcPr>
          <w:p w14:paraId="5D33A4B4" w14:textId="77777777" w:rsidR="004D19BE" w:rsidRPr="00F5643D" w:rsidRDefault="004D19BE" w:rsidP="004D19BE">
            <w:pPr>
              <w:rPr>
                <w:rFonts w:ascii="Trebuchet MS" w:hAnsi="Trebuchet MS"/>
                <w:color w:val="000000"/>
              </w:rPr>
            </w:pPr>
            <w:r w:rsidRPr="00F5643D">
              <w:rPr>
                <w:rFonts w:ascii="Trebuchet MS" w:hAnsi="Trebuchet MS"/>
                <w:color w:val="000000"/>
              </w:rPr>
              <w:t>Kemična</w:t>
            </w:r>
          </w:p>
        </w:tc>
        <w:tc>
          <w:tcPr>
            <w:tcW w:w="1195" w:type="dxa"/>
            <w:noWrap/>
            <w:vAlign w:val="center"/>
          </w:tcPr>
          <w:p w14:paraId="214270AC"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33,4%</w:t>
            </w:r>
          </w:p>
        </w:tc>
        <w:tc>
          <w:tcPr>
            <w:tcW w:w="1275" w:type="dxa"/>
            <w:noWrap/>
            <w:vAlign w:val="center"/>
          </w:tcPr>
          <w:p w14:paraId="0CE943D0"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31,5%</w:t>
            </w:r>
          </w:p>
        </w:tc>
        <w:tc>
          <w:tcPr>
            <w:tcW w:w="1276" w:type="dxa"/>
            <w:noWrap/>
            <w:vAlign w:val="center"/>
          </w:tcPr>
          <w:p w14:paraId="6BDB476B"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32,4%</w:t>
            </w:r>
          </w:p>
        </w:tc>
        <w:tc>
          <w:tcPr>
            <w:tcW w:w="1418" w:type="dxa"/>
            <w:vAlign w:val="center"/>
          </w:tcPr>
          <w:p w14:paraId="564FD14D"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2,4 o.t.</w:t>
            </w:r>
          </w:p>
        </w:tc>
        <w:tc>
          <w:tcPr>
            <w:tcW w:w="1418" w:type="dxa"/>
            <w:vAlign w:val="center"/>
          </w:tcPr>
          <w:p w14:paraId="4F1D538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2,1%</w:t>
            </w:r>
          </w:p>
        </w:tc>
      </w:tr>
      <w:tr w:rsidR="004D19BE" w:rsidRPr="00C13E3C" w14:paraId="7D973BBD"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dxa"/>
            <w:noWrap/>
            <w:vAlign w:val="center"/>
            <w:hideMark/>
          </w:tcPr>
          <w:p w14:paraId="7599743F" w14:textId="77777777" w:rsidR="004D19BE" w:rsidRPr="00F5643D" w:rsidRDefault="004D19BE" w:rsidP="004D19BE">
            <w:pPr>
              <w:rPr>
                <w:rFonts w:ascii="Trebuchet MS" w:hAnsi="Trebuchet MS"/>
                <w:color w:val="000000"/>
              </w:rPr>
            </w:pPr>
            <w:r w:rsidRPr="00F5643D">
              <w:rPr>
                <w:rFonts w:ascii="Trebuchet MS" w:hAnsi="Trebuchet MS"/>
                <w:color w:val="000000"/>
              </w:rPr>
              <w:t>Nekovinska</w:t>
            </w:r>
          </w:p>
        </w:tc>
        <w:tc>
          <w:tcPr>
            <w:tcW w:w="1195" w:type="dxa"/>
            <w:noWrap/>
            <w:vAlign w:val="center"/>
          </w:tcPr>
          <w:p w14:paraId="1B0D96F7"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33,2%</w:t>
            </w:r>
          </w:p>
        </w:tc>
        <w:tc>
          <w:tcPr>
            <w:tcW w:w="1275" w:type="dxa"/>
            <w:noWrap/>
            <w:vAlign w:val="center"/>
          </w:tcPr>
          <w:p w14:paraId="736541C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30,1%</w:t>
            </w:r>
          </w:p>
        </w:tc>
        <w:tc>
          <w:tcPr>
            <w:tcW w:w="1276" w:type="dxa"/>
            <w:noWrap/>
            <w:vAlign w:val="center"/>
          </w:tcPr>
          <w:p w14:paraId="0E99EE34"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32,0%</w:t>
            </w:r>
          </w:p>
        </w:tc>
        <w:tc>
          <w:tcPr>
            <w:tcW w:w="1418" w:type="dxa"/>
            <w:vAlign w:val="center"/>
          </w:tcPr>
          <w:p w14:paraId="4253F245"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2,4 o.t.</w:t>
            </w:r>
          </w:p>
        </w:tc>
        <w:tc>
          <w:tcPr>
            <w:tcW w:w="1418" w:type="dxa"/>
            <w:vAlign w:val="center"/>
          </w:tcPr>
          <w:p w14:paraId="29820F7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2,7%</w:t>
            </w:r>
          </w:p>
        </w:tc>
      </w:tr>
      <w:tr w:rsidR="004D19BE" w:rsidRPr="00C13E3C" w14:paraId="20FA8328" w14:textId="77777777" w:rsidTr="00A14AD0">
        <w:tc>
          <w:tcPr>
            <w:cnfStyle w:val="001000000000" w:firstRow="0" w:lastRow="0" w:firstColumn="1" w:lastColumn="0" w:oddVBand="0" w:evenVBand="0" w:oddHBand="0" w:evenHBand="0" w:firstRowFirstColumn="0" w:firstRowLastColumn="0" w:lastRowFirstColumn="0" w:lastRowLastColumn="0"/>
            <w:tcW w:w="2061" w:type="dxa"/>
            <w:noWrap/>
            <w:vAlign w:val="center"/>
            <w:hideMark/>
          </w:tcPr>
          <w:p w14:paraId="2DDBABC3" w14:textId="77777777" w:rsidR="004D19BE" w:rsidRPr="00F5643D" w:rsidRDefault="004D19BE" w:rsidP="004D19BE">
            <w:pPr>
              <w:rPr>
                <w:rFonts w:ascii="Trebuchet MS" w:hAnsi="Trebuchet MS"/>
                <w:color w:val="000000"/>
              </w:rPr>
            </w:pPr>
            <w:r w:rsidRPr="00F5643D">
              <w:rPr>
                <w:rFonts w:ascii="Trebuchet MS" w:hAnsi="Trebuchet MS"/>
                <w:color w:val="000000"/>
              </w:rPr>
              <w:t>Kovinska</w:t>
            </w:r>
          </w:p>
        </w:tc>
        <w:tc>
          <w:tcPr>
            <w:tcW w:w="1195" w:type="dxa"/>
            <w:noWrap/>
            <w:vAlign w:val="center"/>
          </w:tcPr>
          <w:p w14:paraId="5F59131B"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27,2%</w:t>
            </w:r>
          </w:p>
        </w:tc>
        <w:tc>
          <w:tcPr>
            <w:tcW w:w="1275" w:type="dxa"/>
            <w:noWrap/>
            <w:vAlign w:val="center"/>
          </w:tcPr>
          <w:p w14:paraId="773EE6A5"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26,1%</w:t>
            </w:r>
          </w:p>
        </w:tc>
        <w:tc>
          <w:tcPr>
            <w:tcW w:w="1276" w:type="dxa"/>
            <w:noWrap/>
            <w:vAlign w:val="center"/>
          </w:tcPr>
          <w:p w14:paraId="4323411A"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27,9%</w:t>
            </w:r>
          </w:p>
        </w:tc>
        <w:tc>
          <w:tcPr>
            <w:tcW w:w="1418" w:type="dxa"/>
            <w:vAlign w:val="center"/>
          </w:tcPr>
          <w:p w14:paraId="3A855158"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2,5 o.t.</w:t>
            </w:r>
          </w:p>
        </w:tc>
        <w:tc>
          <w:tcPr>
            <w:tcW w:w="1418" w:type="dxa"/>
            <w:vAlign w:val="center"/>
          </w:tcPr>
          <w:p w14:paraId="278E811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2,1%</w:t>
            </w:r>
          </w:p>
        </w:tc>
      </w:tr>
      <w:tr w:rsidR="004D19BE" w:rsidRPr="00C13E3C" w14:paraId="59D688CD"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dxa"/>
            <w:noWrap/>
            <w:vAlign w:val="center"/>
            <w:hideMark/>
          </w:tcPr>
          <w:p w14:paraId="4586536C" w14:textId="77777777" w:rsidR="004D19BE" w:rsidRPr="00F5643D" w:rsidRDefault="004D19BE" w:rsidP="004D19BE">
            <w:pPr>
              <w:rPr>
                <w:rFonts w:ascii="Trebuchet MS" w:hAnsi="Trebuchet MS"/>
                <w:color w:val="000000"/>
              </w:rPr>
            </w:pPr>
            <w:r w:rsidRPr="00F5643D">
              <w:rPr>
                <w:rFonts w:ascii="Trebuchet MS" w:hAnsi="Trebuchet MS"/>
                <w:color w:val="000000"/>
              </w:rPr>
              <w:t>Elektro</w:t>
            </w:r>
          </w:p>
        </w:tc>
        <w:tc>
          <w:tcPr>
            <w:tcW w:w="1195" w:type="dxa"/>
            <w:noWrap/>
            <w:vAlign w:val="center"/>
          </w:tcPr>
          <w:p w14:paraId="4D3B316C"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25,4%</w:t>
            </w:r>
          </w:p>
        </w:tc>
        <w:tc>
          <w:tcPr>
            <w:tcW w:w="1275" w:type="dxa"/>
            <w:noWrap/>
            <w:vAlign w:val="center"/>
          </w:tcPr>
          <w:p w14:paraId="72E3D83E"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26,1%</w:t>
            </w:r>
          </w:p>
        </w:tc>
        <w:tc>
          <w:tcPr>
            <w:tcW w:w="1276" w:type="dxa"/>
            <w:noWrap/>
            <w:vAlign w:val="center"/>
          </w:tcPr>
          <w:p w14:paraId="29EBC4D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26,4%</w:t>
            </w:r>
          </w:p>
        </w:tc>
        <w:tc>
          <w:tcPr>
            <w:tcW w:w="1418" w:type="dxa"/>
            <w:vAlign w:val="center"/>
          </w:tcPr>
          <w:p w14:paraId="54EAA7B2"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-0,3 o.t.</w:t>
            </w:r>
          </w:p>
        </w:tc>
        <w:tc>
          <w:tcPr>
            <w:tcW w:w="1418" w:type="dxa"/>
            <w:vAlign w:val="center"/>
          </w:tcPr>
          <w:p w14:paraId="493037B9"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-0,4%</w:t>
            </w:r>
          </w:p>
        </w:tc>
      </w:tr>
      <w:tr w:rsidR="004D19BE" w:rsidRPr="00C13E3C" w14:paraId="485CA9AA" w14:textId="77777777" w:rsidTr="00A14AD0">
        <w:tc>
          <w:tcPr>
            <w:cnfStyle w:val="001000000000" w:firstRow="0" w:lastRow="0" w:firstColumn="1" w:lastColumn="0" w:oddVBand="0" w:evenVBand="0" w:oddHBand="0" w:evenHBand="0" w:firstRowFirstColumn="0" w:firstRowLastColumn="0" w:lastRowFirstColumn="0" w:lastRowLastColumn="0"/>
            <w:tcW w:w="2061" w:type="dxa"/>
            <w:noWrap/>
            <w:vAlign w:val="center"/>
            <w:hideMark/>
          </w:tcPr>
          <w:p w14:paraId="164AFD16" w14:textId="77777777" w:rsidR="004D19BE" w:rsidRPr="00F5643D" w:rsidRDefault="004D19BE" w:rsidP="004D19BE">
            <w:pPr>
              <w:rPr>
                <w:rFonts w:ascii="Trebuchet MS" w:hAnsi="Trebuchet MS"/>
                <w:color w:val="000000"/>
              </w:rPr>
            </w:pPr>
            <w:r w:rsidRPr="00F5643D">
              <w:rPr>
                <w:rFonts w:ascii="Trebuchet MS" w:hAnsi="Trebuchet MS"/>
                <w:color w:val="000000"/>
              </w:rPr>
              <w:t>Strojna</w:t>
            </w:r>
          </w:p>
        </w:tc>
        <w:tc>
          <w:tcPr>
            <w:tcW w:w="1195" w:type="dxa"/>
            <w:noWrap/>
            <w:vAlign w:val="center"/>
          </w:tcPr>
          <w:p w14:paraId="55DBFBF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25,7%</w:t>
            </w:r>
          </w:p>
        </w:tc>
        <w:tc>
          <w:tcPr>
            <w:tcW w:w="1275" w:type="dxa"/>
            <w:noWrap/>
            <w:vAlign w:val="center"/>
          </w:tcPr>
          <w:p w14:paraId="735D73A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25,0%</w:t>
            </w:r>
          </w:p>
        </w:tc>
        <w:tc>
          <w:tcPr>
            <w:tcW w:w="1276" w:type="dxa"/>
            <w:noWrap/>
            <w:vAlign w:val="center"/>
          </w:tcPr>
          <w:p w14:paraId="632A36AA"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26,8%</w:t>
            </w:r>
          </w:p>
        </w:tc>
        <w:tc>
          <w:tcPr>
            <w:tcW w:w="1418" w:type="dxa"/>
            <w:vAlign w:val="center"/>
          </w:tcPr>
          <w:p w14:paraId="657FFABC"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3,0 o.t.</w:t>
            </w:r>
          </w:p>
        </w:tc>
        <w:tc>
          <w:tcPr>
            <w:tcW w:w="1418" w:type="dxa"/>
            <w:vAlign w:val="center"/>
          </w:tcPr>
          <w:p w14:paraId="79C2FC79"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-0,1%</w:t>
            </w:r>
          </w:p>
        </w:tc>
      </w:tr>
      <w:tr w:rsidR="004D19BE" w:rsidRPr="00C13E3C" w14:paraId="6F7DA6BD"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dxa"/>
            <w:noWrap/>
            <w:vAlign w:val="center"/>
            <w:hideMark/>
          </w:tcPr>
          <w:p w14:paraId="25E5B467" w14:textId="77777777" w:rsidR="004D19BE" w:rsidRPr="00F5643D" w:rsidRDefault="004D19BE" w:rsidP="004D19BE">
            <w:pPr>
              <w:rPr>
                <w:rFonts w:ascii="Trebuchet MS" w:hAnsi="Trebuchet MS"/>
                <w:color w:val="000000"/>
              </w:rPr>
            </w:pPr>
            <w:r w:rsidRPr="00F5643D">
              <w:rPr>
                <w:rFonts w:ascii="Trebuchet MS" w:hAnsi="Trebuchet MS"/>
                <w:color w:val="000000"/>
              </w:rPr>
              <w:t>Druge</w:t>
            </w:r>
          </w:p>
        </w:tc>
        <w:tc>
          <w:tcPr>
            <w:tcW w:w="1195" w:type="dxa"/>
            <w:noWrap/>
            <w:vAlign w:val="center"/>
          </w:tcPr>
          <w:p w14:paraId="78469E7E"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35,2%</w:t>
            </w:r>
          </w:p>
        </w:tc>
        <w:tc>
          <w:tcPr>
            <w:tcW w:w="1275" w:type="dxa"/>
            <w:noWrap/>
            <w:vAlign w:val="center"/>
          </w:tcPr>
          <w:p w14:paraId="483B4820"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33,6%</w:t>
            </w:r>
          </w:p>
        </w:tc>
        <w:tc>
          <w:tcPr>
            <w:tcW w:w="1276" w:type="dxa"/>
            <w:noWrap/>
            <w:vAlign w:val="center"/>
          </w:tcPr>
          <w:p w14:paraId="254AD34F"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35,4%</w:t>
            </w:r>
          </w:p>
        </w:tc>
        <w:tc>
          <w:tcPr>
            <w:tcW w:w="1418" w:type="dxa"/>
            <w:vAlign w:val="center"/>
          </w:tcPr>
          <w:p w14:paraId="429955D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0,5 o.t.</w:t>
            </w:r>
          </w:p>
        </w:tc>
        <w:tc>
          <w:tcPr>
            <w:tcW w:w="1418" w:type="dxa"/>
            <w:vAlign w:val="center"/>
          </w:tcPr>
          <w:p w14:paraId="0F7DFDC8"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1,8%</w:t>
            </w:r>
          </w:p>
        </w:tc>
      </w:tr>
    </w:tbl>
    <w:p w14:paraId="42728CA2" w14:textId="77777777" w:rsidR="003372D7" w:rsidRPr="009B538E" w:rsidRDefault="003372D7" w:rsidP="003372D7">
      <w:pPr>
        <w:spacing w:before="20"/>
        <w:jc w:val="both"/>
        <w:rPr>
          <w:i/>
        </w:rPr>
      </w:pPr>
      <w:r w:rsidRPr="009B538E">
        <w:rPr>
          <w:i/>
        </w:rPr>
        <w:t>Vir: SURS, strukturna statistika podjetij, preračuni Analitika GZS</w:t>
      </w:r>
    </w:p>
    <w:p w14:paraId="3F89F2F3" w14:textId="77777777" w:rsidR="007C7F66" w:rsidRPr="00964361" w:rsidRDefault="007C7F66" w:rsidP="002C7476">
      <w:pPr>
        <w:pStyle w:val="Odstavekseznama"/>
        <w:numPr>
          <w:ilvl w:val="0"/>
          <w:numId w:val="16"/>
        </w:numPr>
        <w:spacing w:before="0" w:after="160" w:line="259" w:lineRule="auto"/>
        <w:rPr>
          <w:rFonts w:cstheme="minorHAnsi"/>
          <w:b/>
          <w:bCs/>
        </w:rPr>
      </w:pPr>
      <w:r w:rsidRPr="00964361">
        <w:rPr>
          <w:rFonts w:cstheme="minorHAnsi"/>
          <w:b/>
          <w:bCs/>
        </w:rPr>
        <w:t>Dodana vrednost na zaposlenega</w:t>
      </w:r>
    </w:p>
    <w:p w14:paraId="2A3A34C9" w14:textId="61A32C5E" w:rsidR="007C7F66" w:rsidRPr="00964361" w:rsidRDefault="007C7F66" w:rsidP="00405849">
      <w:pPr>
        <w:jc w:val="both"/>
        <w:rPr>
          <w:rFonts w:cstheme="minorHAnsi"/>
        </w:rPr>
      </w:pPr>
      <w:r w:rsidRPr="00964361">
        <w:rPr>
          <w:rFonts w:cstheme="minorHAnsi"/>
        </w:rPr>
        <w:t>Dodana vrednost na zaposlenega je v 2018 v predelovalnih dejavnostih znašala 44</w:t>
      </w:r>
      <w:r w:rsidR="00BE3F15">
        <w:rPr>
          <w:rFonts w:cstheme="minorHAnsi"/>
        </w:rPr>
        <w:t>.000</w:t>
      </w:r>
      <w:r w:rsidRPr="00964361">
        <w:rPr>
          <w:rFonts w:cstheme="minorHAnsi"/>
        </w:rPr>
        <w:t xml:space="preserve"> EUR, kar je bilo za 43 % več kot v letu 2008. V zadnjih </w:t>
      </w:r>
      <w:r w:rsidR="00502C36">
        <w:rPr>
          <w:rFonts w:cstheme="minorHAnsi"/>
        </w:rPr>
        <w:t>enajst</w:t>
      </w:r>
      <w:r w:rsidRPr="00964361">
        <w:rPr>
          <w:rFonts w:cstheme="minorHAnsi"/>
        </w:rPr>
        <w:t>ih letih je dodana vrednost na zaposlenega v predelovalnih dejavnostih v povprečju letno znašala 36</w:t>
      </w:r>
      <w:r w:rsidR="00BE3F15">
        <w:rPr>
          <w:rFonts w:cstheme="minorHAnsi"/>
        </w:rPr>
        <w:t>.000</w:t>
      </w:r>
      <w:r w:rsidRPr="00964361">
        <w:rPr>
          <w:rFonts w:cstheme="minorHAnsi"/>
        </w:rPr>
        <w:t xml:space="preserve"> EUR. </w:t>
      </w:r>
      <w:r w:rsidR="008C797C">
        <w:rPr>
          <w:rFonts w:cstheme="minorHAnsi"/>
        </w:rPr>
        <w:t>V</w:t>
      </w:r>
      <w:r w:rsidRPr="00964361">
        <w:rPr>
          <w:rFonts w:cstheme="minorHAnsi"/>
        </w:rPr>
        <w:t xml:space="preserve">ečji upad dodane vrednosti na zaposlenega so predelovalne dejavnosti beležile </w:t>
      </w:r>
      <w:r w:rsidR="008C797C">
        <w:rPr>
          <w:rFonts w:cstheme="minorHAnsi"/>
        </w:rPr>
        <w:t>p</w:t>
      </w:r>
      <w:r w:rsidR="008C797C" w:rsidRPr="00964361">
        <w:rPr>
          <w:rFonts w:cstheme="minorHAnsi"/>
        </w:rPr>
        <w:t xml:space="preserve">redvsem </w:t>
      </w:r>
      <w:r w:rsidRPr="00964361">
        <w:rPr>
          <w:rFonts w:cstheme="minorHAnsi"/>
        </w:rPr>
        <w:t xml:space="preserve">v letu 2009 (-12 %), v povprečju pa je v zadnjih </w:t>
      </w:r>
      <w:r w:rsidR="00502C36">
        <w:rPr>
          <w:rFonts w:cstheme="minorHAnsi"/>
        </w:rPr>
        <w:t>desetih</w:t>
      </w:r>
      <w:r w:rsidR="00502C36" w:rsidRPr="00964361">
        <w:rPr>
          <w:rFonts w:cstheme="minorHAnsi"/>
        </w:rPr>
        <w:t xml:space="preserve"> </w:t>
      </w:r>
      <w:r w:rsidRPr="00964361">
        <w:rPr>
          <w:rFonts w:cstheme="minorHAnsi"/>
        </w:rPr>
        <w:t>letih beležila 3,7</w:t>
      </w:r>
      <w:r w:rsidR="008C797C">
        <w:rPr>
          <w:rFonts w:cstheme="minorHAnsi"/>
        </w:rPr>
        <w:t>-odstotno</w:t>
      </w:r>
      <w:r w:rsidRPr="00964361">
        <w:rPr>
          <w:rFonts w:cstheme="minorHAnsi"/>
        </w:rPr>
        <w:t xml:space="preserve"> </w:t>
      </w:r>
      <w:r w:rsidR="008C797C" w:rsidRPr="00964361">
        <w:rPr>
          <w:rFonts w:cstheme="minorHAnsi"/>
        </w:rPr>
        <w:t xml:space="preserve">letno </w:t>
      </w:r>
      <w:r w:rsidRPr="00964361">
        <w:rPr>
          <w:rFonts w:cstheme="minorHAnsi"/>
        </w:rPr>
        <w:t xml:space="preserve">rast. </w:t>
      </w:r>
    </w:p>
    <w:p w14:paraId="1607DB10" w14:textId="77777777" w:rsidR="007C7F66" w:rsidRDefault="007C7F66" w:rsidP="00A347B2">
      <w:pPr>
        <w:spacing w:after="0"/>
        <w:rPr>
          <w:rFonts w:cstheme="minorHAnsi"/>
          <w:sz w:val="22"/>
          <w:szCs w:val="22"/>
        </w:rPr>
      </w:pPr>
      <w:r>
        <w:rPr>
          <w:noProof/>
          <w:lang w:eastAsia="sl-SI"/>
        </w:rPr>
        <w:lastRenderedPageBreak/>
        <w:drawing>
          <wp:inline distT="0" distB="0" distL="0" distR="0" wp14:anchorId="11F2B8C5" wp14:editId="27A7080D">
            <wp:extent cx="4537495" cy="2674189"/>
            <wp:effectExtent l="0" t="0" r="0" b="0"/>
            <wp:docPr id="43" name="Grafikon 4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B8145D8-BAC5-49E7-8401-0A8AF39B49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66BB8B3" w14:textId="77777777" w:rsidR="003372D7" w:rsidRPr="009B538E" w:rsidRDefault="003372D7" w:rsidP="003372D7">
      <w:pPr>
        <w:spacing w:before="20"/>
        <w:jc w:val="both"/>
        <w:rPr>
          <w:i/>
        </w:rPr>
      </w:pPr>
      <w:r w:rsidRPr="009B538E">
        <w:rPr>
          <w:i/>
        </w:rPr>
        <w:t>Vir: SURS, strukturna statistika podjetij, preračuni Analitika GZS</w:t>
      </w:r>
    </w:p>
    <w:p w14:paraId="2D99743C" w14:textId="77777777" w:rsidR="00B758D5" w:rsidRDefault="00B758D5"/>
    <w:tbl>
      <w:tblPr>
        <w:tblStyle w:val="Tabelaseznam4poudarek61"/>
        <w:tblW w:w="5000" w:type="pct"/>
        <w:tblLayout w:type="fixed"/>
        <w:tblLook w:val="04A0" w:firstRow="1" w:lastRow="0" w:firstColumn="1" w:lastColumn="0" w:noHBand="0" w:noVBand="1"/>
      </w:tblPr>
      <w:tblGrid>
        <w:gridCol w:w="2323"/>
        <w:gridCol w:w="1393"/>
        <w:gridCol w:w="1393"/>
        <w:gridCol w:w="1393"/>
        <w:gridCol w:w="1393"/>
        <w:gridCol w:w="1393"/>
      </w:tblGrid>
      <w:tr w:rsidR="007C7F66" w:rsidRPr="00663E6D" w14:paraId="2C120174" w14:textId="77777777" w:rsidTr="00B758D5">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250" w:type="pct"/>
            <w:vAlign w:val="center"/>
            <w:hideMark/>
          </w:tcPr>
          <w:p w14:paraId="730CE707" w14:textId="77777777" w:rsidR="007C7F66" w:rsidRPr="0049147B" w:rsidRDefault="007C7F66" w:rsidP="00BF7D3C">
            <w:r w:rsidRPr="0049147B">
              <w:t>Dodana vrednost na zaposlenega</w:t>
            </w:r>
            <w:r w:rsidR="00674ABC" w:rsidRPr="0049147B">
              <w:rPr>
                <w:rStyle w:val="Sprotnaopomba-sklic"/>
              </w:rPr>
              <w:footnoteReference w:id="42"/>
            </w:r>
          </w:p>
        </w:tc>
        <w:tc>
          <w:tcPr>
            <w:tcW w:w="750" w:type="pct"/>
            <w:vAlign w:val="center"/>
          </w:tcPr>
          <w:p w14:paraId="5107F173" w14:textId="77777777" w:rsidR="007C7F66" w:rsidRPr="0049147B" w:rsidRDefault="007C7F66" w:rsidP="00640727">
            <w:pPr>
              <w:jc w:val="center"/>
              <w:cnfStyle w:val="100000000000" w:firstRow="1" w:lastRow="0" w:firstColumn="0" w:lastColumn="0" w:oddVBand="0" w:evenVBand="0" w:oddHBand="0" w:evenHBand="0" w:firstRowFirstColumn="0" w:firstRowLastColumn="0" w:lastRowFirstColumn="0" w:lastRowLastColumn="0"/>
              <w:rPr>
                <w:b w:val="0"/>
              </w:rPr>
            </w:pPr>
            <w:r w:rsidRPr="0049147B">
              <w:t>Vred. 2018,</w:t>
            </w:r>
          </w:p>
          <w:p w14:paraId="38C6B6FF" w14:textId="77777777" w:rsidR="007C7F66" w:rsidRPr="0049147B" w:rsidRDefault="007C7F66" w:rsidP="00640727">
            <w:pPr>
              <w:jc w:val="center"/>
              <w:cnfStyle w:val="100000000000" w:firstRow="1" w:lastRow="0" w:firstColumn="0" w:lastColumn="0" w:oddVBand="0" w:evenVBand="0" w:oddHBand="0" w:evenHBand="0" w:firstRowFirstColumn="0" w:firstRowLastColumn="0" w:lastRowFirstColumn="0" w:lastRowLastColumn="0"/>
              <w:rPr>
                <w:b w:val="0"/>
              </w:rPr>
            </w:pPr>
            <w:r w:rsidRPr="0049147B">
              <w:t>EUR</w:t>
            </w:r>
          </w:p>
        </w:tc>
        <w:tc>
          <w:tcPr>
            <w:tcW w:w="750" w:type="pct"/>
            <w:vAlign w:val="center"/>
          </w:tcPr>
          <w:p w14:paraId="3A6735E5" w14:textId="77777777" w:rsidR="007C7F66" w:rsidRPr="0049147B" w:rsidRDefault="007C7F66" w:rsidP="00640727">
            <w:pPr>
              <w:jc w:val="center"/>
              <w:cnfStyle w:val="100000000000" w:firstRow="1" w:lastRow="0" w:firstColumn="0" w:lastColumn="0" w:oddVBand="0" w:evenVBand="0" w:oddHBand="0" w:evenHBand="0" w:firstRowFirstColumn="0" w:firstRowLastColumn="0" w:lastRowFirstColumn="0" w:lastRowLastColumn="0"/>
              <w:rPr>
                <w:b w:val="0"/>
              </w:rPr>
            </w:pPr>
            <w:r w:rsidRPr="0049147B">
              <w:t>Ø Vred. 2008-2018, mio EUR</w:t>
            </w:r>
          </w:p>
        </w:tc>
        <w:tc>
          <w:tcPr>
            <w:tcW w:w="750" w:type="pct"/>
            <w:vAlign w:val="center"/>
          </w:tcPr>
          <w:p w14:paraId="248B6331" w14:textId="77777777" w:rsidR="007C7F66" w:rsidRPr="0049147B" w:rsidRDefault="007C7F66" w:rsidP="00640727">
            <w:pPr>
              <w:jc w:val="center"/>
              <w:cnfStyle w:val="100000000000" w:firstRow="1" w:lastRow="0" w:firstColumn="0" w:lastColumn="0" w:oddVBand="0" w:evenVBand="0" w:oddHBand="0" w:evenHBand="0" w:firstRowFirstColumn="0" w:firstRowLastColumn="0" w:lastRowFirstColumn="0" w:lastRowLastColumn="0"/>
              <w:rPr>
                <w:b w:val="0"/>
              </w:rPr>
            </w:pPr>
            <w:r w:rsidRPr="0049147B">
              <w:t>Sprem. v %</w:t>
            </w:r>
          </w:p>
          <w:p w14:paraId="12690FD7" w14:textId="77777777" w:rsidR="007C7F66" w:rsidRPr="0049147B" w:rsidRDefault="007C7F66" w:rsidP="00640727">
            <w:pPr>
              <w:jc w:val="center"/>
              <w:cnfStyle w:val="100000000000" w:firstRow="1" w:lastRow="0" w:firstColumn="0" w:lastColumn="0" w:oddVBand="0" w:evenVBand="0" w:oddHBand="0" w:evenHBand="0" w:firstRowFirstColumn="0" w:firstRowLastColumn="0" w:lastRowFirstColumn="0" w:lastRowLastColumn="0"/>
              <w:rPr>
                <w:b w:val="0"/>
              </w:rPr>
            </w:pPr>
            <w:r w:rsidRPr="0049147B">
              <w:t>2018/2008</w:t>
            </w:r>
          </w:p>
        </w:tc>
        <w:tc>
          <w:tcPr>
            <w:tcW w:w="750" w:type="pct"/>
            <w:vAlign w:val="center"/>
          </w:tcPr>
          <w:p w14:paraId="6391780E" w14:textId="77777777" w:rsidR="007C7F66" w:rsidRPr="0049147B" w:rsidRDefault="007C7F66" w:rsidP="00640727">
            <w:pPr>
              <w:jc w:val="center"/>
              <w:cnfStyle w:val="100000000000" w:firstRow="1" w:lastRow="0" w:firstColumn="0" w:lastColumn="0" w:oddVBand="0" w:evenVBand="0" w:oddHBand="0" w:evenHBand="0" w:firstRowFirstColumn="0" w:firstRowLastColumn="0" w:lastRowFirstColumn="0" w:lastRowLastColumn="0"/>
            </w:pPr>
            <w:r w:rsidRPr="0049147B">
              <w:t>Ø Vred.</w:t>
            </w:r>
          </w:p>
          <w:p w14:paraId="5EB79FD4" w14:textId="77777777" w:rsidR="007C7F66" w:rsidRPr="0049147B" w:rsidRDefault="007C7F66" w:rsidP="00640727">
            <w:pPr>
              <w:jc w:val="center"/>
              <w:cnfStyle w:val="100000000000" w:firstRow="1" w:lastRow="0" w:firstColumn="0" w:lastColumn="0" w:oddVBand="0" w:evenVBand="0" w:oddHBand="0" w:evenHBand="0" w:firstRowFirstColumn="0" w:firstRowLastColumn="0" w:lastRowFirstColumn="0" w:lastRowLastColumn="0"/>
              <w:rPr>
                <w:b w:val="0"/>
              </w:rPr>
            </w:pPr>
            <w:r w:rsidRPr="0049147B">
              <w:t>2014-2018, mio EUR</w:t>
            </w:r>
          </w:p>
        </w:tc>
        <w:tc>
          <w:tcPr>
            <w:tcW w:w="750" w:type="pct"/>
            <w:vAlign w:val="center"/>
          </w:tcPr>
          <w:p w14:paraId="457B73B0" w14:textId="77777777" w:rsidR="007C7F66" w:rsidRPr="0049147B" w:rsidRDefault="00640727" w:rsidP="00640727">
            <w:pPr>
              <w:jc w:val="center"/>
              <w:cnfStyle w:val="100000000000" w:firstRow="1" w:lastRow="0" w:firstColumn="0" w:lastColumn="0" w:oddVBand="0" w:evenVBand="0" w:oddHBand="0" w:evenHBand="0" w:firstRowFirstColumn="0" w:firstRowLastColumn="0" w:lastRowFirstColumn="0" w:lastRowLastColumn="0"/>
              <w:rPr>
                <w:b w:val="0"/>
              </w:rPr>
            </w:pPr>
            <w:r w:rsidRPr="0049147B">
              <w:t>CAGR</w:t>
            </w:r>
            <w:r w:rsidRPr="0049147B">
              <w:rPr>
                <w:rStyle w:val="Sprotnaopomba-sklic"/>
              </w:rPr>
              <w:footnoteReference w:id="43"/>
            </w:r>
            <w:r w:rsidRPr="0049147B">
              <w:t xml:space="preserve"> v obdobju 2014-2018</w:t>
            </w:r>
          </w:p>
        </w:tc>
      </w:tr>
      <w:tr w:rsidR="00CD7D4F" w:rsidRPr="00663E6D" w14:paraId="6BB4BB2F" w14:textId="77777777" w:rsidTr="00B7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noWrap/>
            <w:vAlign w:val="bottom"/>
            <w:hideMark/>
          </w:tcPr>
          <w:p w14:paraId="49CE82CD" w14:textId="77777777" w:rsidR="004D19BE" w:rsidRPr="00F5643D" w:rsidRDefault="004D19BE" w:rsidP="004D19BE">
            <w:pPr>
              <w:rPr>
                <w:rFonts w:ascii="Trebuchet MS" w:hAnsi="Trebuchet MS"/>
                <w:b w:val="0"/>
              </w:rPr>
            </w:pPr>
            <w:r w:rsidRPr="00F5643D">
              <w:rPr>
                <w:rFonts w:ascii="Trebuchet MS" w:hAnsi="Trebuchet MS"/>
                <w:color w:val="000000"/>
              </w:rPr>
              <w:t>PREDEL. DEJ. SKUPAJ</w:t>
            </w:r>
          </w:p>
        </w:tc>
        <w:tc>
          <w:tcPr>
            <w:tcW w:w="750" w:type="pct"/>
            <w:vAlign w:val="bottom"/>
          </w:tcPr>
          <w:p w14:paraId="127CCD24"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43.645</w:t>
            </w:r>
          </w:p>
        </w:tc>
        <w:tc>
          <w:tcPr>
            <w:tcW w:w="750" w:type="pct"/>
            <w:vAlign w:val="center"/>
          </w:tcPr>
          <w:p w14:paraId="58D68950"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36.464</w:t>
            </w:r>
          </w:p>
        </w:tc>
        <w:tc>
          <w:tcPr>
            <w:tcW w:w="750" w:type="pct"/>
            <w:vAlign w:val="center"/>
          </w:tcPr>
          <w:p w14:paraId="395E947C"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43,3%</w:t>
            </w:r>
          </w:p>
        </w:tc>
        <w:tc>
          <w:tcPr>
            <w:tcW w:w="750" w:type="pct"/>
            <w:vAlign w:val="center"/>
          </w:tcPr>
          <w:p w14:paraId="7C732B64"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41.364</w:t>
            </w:r>
          </w:p>
        </w:tc>
        <w:tc>
          <w:tcPr>
            <w:tcW w:w="750" w:type="pct"/>
            <w:vAlign w:val="center"/>
          </w:tcPr>
          <w:p w14:paraId="69548D11"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4,3%</w:t>
            </w:r>
          </w:p>
        </w:tc>
      </w:tr>
      <w:tr w:rsidR="004D19BE" w:rsidRPr="00663E6D" w14:paraId="693E9609" w14:textId="77777777" w:rsidTr="00B758D5">
        <w:tc>
          <w:tcPr>
            <w:cnfStyle w:val="001000000000" w:firstRow="0" w:lastRow="0" w:firstColumn="1" w:lastColumn="0" w:oddVBand="0" w:evenVBand="0" w:oddHBand="0" w:evenHBand="0" w:firstRowFirstColumn="0" w:firstRowLastColumn="0" w:lastRowFirstColumn="0" w:lastRowLastColumn="0"/>
            <w:tcW w:w="1250" w:type="pct"/>
            <w:noWrap/>
            <w:vAlign w:val="center"/>
            <w:hideMark/>
          </w:tcPr>
          <w:p w14:paraId="0F7DFD80" w14:textId="77777777" w:rsidR="004D19BE" w:rsidRPr="00F5643D" w:rsidRDefault="004D19BE" w:rsidP="004D19BE">
            <w:pPr>
              <w:rPr>
                <w:rFonts w:ascii="Trebuchet MS" w:hAnsi="Trebuchet MS"/>
              </w:rPr>
            </w:pPr>
            <w:r w:rsidRPr="00F5643D">
              <w:rPr>
                <w:rFonts w:ascii="Trebuchet MS" w:hAnsi="Trebuchet MS"/>
                <w:color w:val="000000"/>
              </w:rPr>
              <w:t>Prehrambna</w:t>
            </w:r>
          </w:p>
        </w:tc>
        <w:tc>
          <w:tcPr>
            <w:tcW w:w="750" w:type="pct"/>
            <w:noWrap/>
            <w:vAlign w:val="bottom"/>
          </w:tcPr>
          <w:p w14:paraId="6F72E20D"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36.521</w:t>
            </w:r>
          </w:p>
        </w:tc>
        <w:tc>
          <w:tcPr>
            <w:tcW w:w="750" w:type="pct"/>
            <w:noWrap/>
            <w:vAlign w:val="center"/>
          </w:tcPr>
          <w:p w14:paraId="255702A9"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31.515</w:t>
            </w:r>
          </w:p>
        </w:tc>
        <w:tc>
          <w:tcPr>
            <w:tcW w:w="750" w:type="pct"/>
            <w:noWrap/>
            <w:vAlign w:val="center"/>
          </w:tcPr>
          <w:p w14:paraId="160DE3A4"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34,7%</w:t>
            </w:r>
          </w:p>
        </w:tc>
        <w:tc>
          <w:tcPr>
            <w:tcW w:w="750" w:type="pct"/>
            <w:noWrap/>
            <w:vAlign w:val="center"/>
          </w:tcPr>
          <w:p w14:paraId="2DE2C0AE"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34.454</w:t>
            </w:r>
          </w:p>
        </w:tc>
        <w:tc>
          <w:tcPr>
            <w:tcW w:w="750" w:type="pct"/>
            <w:noWrap/>
            <w:vAlign w:val="center"/>
          </w:tcPr>
          <w:p w14:paraId="6F068C3B"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4,0%</w:t>
            </w:r>
          </w:p>
        </w:tc>
      </w:tr>
      <w:tr w:rsidR="00CD7D4F" w:rsidRPr="00663E6D" w14:paraId="70D46626" w14:textId="77777777" w:rsidTr="00B7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noWrap/>
            <w:vAlign w:val="center"/>
            <w:hideMark/>
          </w:tcPr>
          <w:p w14:paraId="210ED8F9" w14:textId="77777777" w:rsidR="004D19BE" w:rsidRPr="00F5643D" w:rsidRDefault="004D19BE" w:rsidP="004D19BE">
            <w:pPr>
              <w:rPr>
                <w:rFonts w:ascii="Trebuchet MS" w:hAnsi="Trebuchet MS"/>
              </w:rPr>
            </w:pPr>
            <w:r w:rsidRPr="00F5643D">
              <w:rPr>
                <w:rFonts w:ascii="Trebuchet MS" w:hAnsi="Trebuchet MS"/>
                <w:color w:val="000000"/>
              </w:rPr>
              <w:t>Tekstilna</w:t>
            </w:r>
          </w:p>
        </w:tc>
        <w:tc>
          <w:tcPr>
            <w:tcW w:w="750" w:type="pct"/>
            <w:noWrap/>
            <w:vAlign w:val="bottom"/>
          </w:tcPr>
          <w:p w14:paraId="51A68C0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28.731</w:t>
            </w:r>
          </w:p>
        </w:tc>
        <w:tc>
          <w:tcPr>
            <w:tcW w:w="750" w:type="pct"/>
            <w:noWrap/>
            <w:vAlign w:val="center"/>
          </w:tcPr>
          <w:p w14:paraId="7D5755B0"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21.802</w:t>
            </w:r>
          </w:p>
        </w:tc>
        <w:tc>
          <w:tcPr>
            <w:tcW w:w="750" w:type="pct"/>
            <w:noWrap/>
            <w:vAlign w:val="center"/>
          </w:tcPr>
          <w:p w14:paraId="1A7F3D05"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90,7%</w:t>
            </w:r>
          </w:p>
        </w:tc>
        <w:tc>
          <w:tcPr>
            <w:tcW w:w="750" w:type="pct"/>
            <w:noWrap/>
            <w:vAlign w:val="center"/>
          </w:tcPr>
          <w:p w14:paraId="1E54BADE"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25.810</w:t>
            </w:r>
          </w:p>
        </w:tc>
        <w:tc>
          <w:tcPr>
            <w:tcW w:w="750" w:type="pct"/>
            <w:noWrap/>
            <w:vAlign w:val="center"/>
          </w:tcPr>
          <w:p w14:paraId="33918627"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6,9%</w:t>
            </w:r>
          </w:p>
        </w:tc>
      </w:tr>
      <w:tr w:rsidR="004D19BE" w:rsidRPr="00663E6D" w14:paraId="03021ABC" w14:textId="77777777" w:rsidTr="00B758D5">
        <w:tc>
          <w:tcPr>
            <w:cnfStyle w:val="001000000000" w:firstRow="0" w:lastRow="0" w:firstColumn="1" w:lastColumn="0" w:oddVBand="0" w:evenVBand="0" w:oddHBand="0" w:evenHBand="0" w:firstRowFirstColumn="0" w:firstRowLastColumn="0" w:lastRowFirstColumn="0" w:lastRowLastColumn="0"/>
            <w:tcW w:w="1250" w:type="pct"/>
            <w:noWrap/>
            <w:vAlign w:val="center"/>
            <w:hideMark/>
          </w:tcPr>
          <w:p w14:paraId="1F5FB3CC" w14:textId="77777777" w:rsidR="004D19BE" w:rsidRPr="00F5643D" w:rsidRDefault="004D19BE" w:rsidP="004D19BE">
            <w:pPr>
              <w:rPr>
                <w:rFonts w:ascii="Trebuchet MS" w:hAnsi="Trebuchet MS"/>
              </w:rPr>
            </w:pPr>
            <w:r w:rsidRPr="00F5643D">
              <w:rPr>
                <w:rFonts w:ascii="Trebuchet MS" w:hAnsi="Trebuchet MS"/>
                <w:color w:val="000000"/>
              </w:rPr>
              <w:t>Lesna</w:t>
            </w:r>
          </w:p>
        </w:tc>
        <w:tc>
          <w:tcPr>
            <w:tcW w:w="750" w:type="pct"/>
            <w:noWrap/>
            <w:vAlign w:val="bottom"/>
          </w:tcPr>
          <w:p w14:paraId="3581537B"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33.347</w:t>
            </w:r>
          </w:p>
        </w:tc>
        <w:tc>
          <w:tcPr>
            <w:tcW w:w="750" w:type="pct"/>
            <w:noWrap/>
            <w:vAlign w:val="center"/>
          </w:tcPr>
          <w:p w14:paraId="3D6C5C44"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24.818</w:t>
            </w:r>
          </w:p>
        </w:tc>
        <w:tc>
          <w:tcPr>
            <w:tcW w:w="750" w:type="pct"/>
            <w:noWrap/>
            <w:vAlign w:val="center"/>
          </w:tcPr>
          <w:p w14:paraId="011C7A98"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66,8%</w:t>
            </w:r>
          </w:p>
        </w:tc>
        <w:tc>
          <w:tcPr>
            <w:tcW w:w="750" w:type="pct"/>
            <w:noWrap/>
            <w:vAlign w:val="center"/>
          </w:tcPr>
          <w:p w14:paraId="3C97BD2F"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30.006</w:t>
            </w:r>
          </w:p>
        </w:tc>
        <w:tc>
          <w:tcPr>
            <w:tcW w:w="750" w:type="pct"/>
            <w:noWrap/>
            <w:vAlign w:val="center"/>
          </w:tcPr>
          <w:p w14:paraId="2441951C"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7,1%</w:t>
            </w:r>
          </w:p>
        </w:tc>
      </w:tr>
      <w:tr w:rsidR="00CD7D4F" w:rsidRPr="00663E6D" w14:paraId="406AE433" w14:textId="77777777" w:rsidTr="00B7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noWrap/>
            <w:vAlign w:val="center"/>
            <w:hideMark/>
          </w:tcPr>
          <w:p w14:paraId="02C83D52" w14:textId="77777777" w:rsidR="004D19BE" w:rsidRPr="00F5643D" w:rsidRDefault="004D19BE" w:rsidP="004D19BE">
            <w:pPr>
              <w:rPr>
                <w:rFonts w:ascii="Trebuchet MS" w:hAnsi="Trebuchet MS"/>
              </w:rPr>
            </w:pPr>
            <w:r w:rsidRPr="00F5643D">
              <w:rPr>
                <w:rFonts w:ascii="Trebuchet MS" w:hAnsi="Trebuchet MS"/>
                <w:color w:val="000000"/>
              </w:rPr>
              <w:t>Papirna</w:t>
            </w:r>
          </w:p>
        </w:tc>
        <w:tc>
          <w:tcPr>
            <w:tcW w:w="750" w:type="pct"/>
            <w:noWrap/>
            <w:vAlign w:val="bottom"/>
          </w:tcPr>
          <w:p w14:paraId="56E52DE9"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52.595</w:t>
            </w:r>
          </w:p>
        </w:tc>
        <w:tc>
          <w:tcPr>
            <w:tcW w:w="750" w:type="pct"/>
            <w:noWrap/>
            <w:vAlign w:val="center"/>
          </w:tcPr>
          <w:p w14:paraId="311F1A2F"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36.426</w:t>
            </w:r>
          </w:p>
        </w:tc>
        <w:tc>
          <w:tcPr>
            <w:tcW w:w="750" w:type="pct"/>
            <w:noWrap/>
            <w:vAlign w:val="center"/>
          </w:tcPr>
          <w:p w14:paraId="113C4768"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85,9%</w:t>
            </w:r>
          </w:p>
        </w:tc>
        <w:tc>
          <w:tcPr>
            <w:tcW w:w="750" w:type="pct"/>
            <w:noWrap/>
            <w:vAlign w:val="center"/>
          </w:tcPr>
          <w:p w14:paraId="508C1B7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41.636</w:t>
            </w:r>
          </w:p>
        </w:tc>
        <w:tc>
          <w:tcPr>
            <w:tcW w:w="750" w:type="pct"/>
            <w:noWrap/>
            <w:vAlign w:val="center"/>
          </w:tcPr>
          <w:p w14:paraId="2A05ED3C"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8,4%</w:t>
            </w:r>
          </w:p>
        </w:tc>
      </w:tr>
      <w:tr w:rsidR="004D19BE" w:rsidRPr="00663E6D" w14:paraId="5194806F" w14:textId="77777777" w:rsidTr="00B758D5">
        <w:tc>
          <w:tcPr>
            <w:cnfStyle w:val="001000000000" w:firstRow="0" w:lastRow="0" w:firstColumn="1" w:lastColumn="0" w:oddVBand="0" w:evenVBand="0" w:oddHBand="0" w:evenHBand="0" w:firstRowFirstColumn="0" w:firstRowLastColumn="0" w:lastRowFirstColumn="0" w:lastRowLastColumn="0"/>
            <w:tcW w:w="1250" w:type="pct"/>
            <w:noWrap/>
            <w:vAlign w:val="center"/>
            <w:hideMark/>
          </w:tcPr>
          <w:p w14:paraId="5FC1445A" w14:textId="77777777" w:rsidR="004D19BE" w:rsidRPr="00F5643D" w:rsidRDefault="004D19BE" w:rsidP="004D19BE">
            <w:pPr>
              <w:rPr>
                <w:rFonts w:ascii="Trebuchet MS" w:hAnsi="Trebuchet MS"/>
              </w:rPr>
            </w:pPr>
            <w:r w:rsidRPr="00F5643D">
              <w:rPr>
                <w:rFonts w:ascii="Trebuchet MS" w:hAnsi="Trebuchet MS"/>
                <w:color w:val="000000"/>
              </w:rPr>
              <w:t>Kemična</w:t>
            </w:r>
          </w:p>
        </w:tc>
        <w:tc>
          <w:tcPr>
            <w:tcW w:w="750" w:type="pct"/>
            <w:noWrap/>
            <w:vAlign w:val="bottom"/>
          </w:tcPr>
          <w:p w14:paraId="14682A0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81.840</w:t>
            </w:r>
          </w:p>
        </w:tc>
        <w:tc>
          <w:tcPr>
            <w:tcW w:w="750" w:type="pct"/>
            <w:noWrap/>
            <w:vAlign w:val="center"/>
          </w:tcPr>
          <w:p w14:paraId="7B20451F"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67.032</w:t>
            </w:r>
          </w:p>
        </w:tc>
        <w:tc>
          <w:tcPr>
            <w:tcW w:w="750" w:type="pct"/>
            <w:noWrap/>
            <w:vAlign w:val="center"/>
          </w:tcPr>
          <w:p w14:paraId="2008B185"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51,6%</w:t>
            </w:r>
          </w:p>
        </w:tc>
        <w:tc>
          <w:tcPr>
            <w:tcW w:w="750" w:type="pct"/>
            <w:noWrap/>
            <w:vAlign w:val="center"/>
          </w:tcPr>
          <w:p w14:paraId="088F0D84"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77.954</w:t>
            </w:r>
          </w:p>
        </w:tc>
        <w:tc>
          <w:tcPr>
            <w:tcW w:w="750" w:type="pct"/>
            <w:noWrap/>
            <w:vAlign w:val="center"/>
          </w:tcPr>
          <w:p w14:paraId="73063E64"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4,0%</w:t>
            </w:r>
          </w:p>
        </w:tc>
      </w:tr>
      <w:tr w:rsidR="00CD7D4F" w:rsidRPr="00663E6D" w14:paraId="30C4B0DF" w14:textId="77777777" w:rsidTr="00B7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noWrap/>
            <w:vAlign w:val="center"/>
            <w:hideMark/>
          </w:tcPr>
          <w:p w14:paraId="490FF0C6" w14:textId="77777777" w:rsidR="004D19BE" w:rsidRPr="00F5643D" w:rsidRDefault="004D19BE" w:rsidP="004D19BE">
            <w:pPr>
              <w:rPr>
                <w:rFonts w:ascii="Trebuchet MS" w:hAnsi="Trebuchet MS"/>
              </w:rPr>
            </w:pPr>
            <w:r w:rsidRPr="00F5643D">
              <w:rPr>
                <w:rFonts w:ascii="Trebuchet MS" w:hAnsi="Trebuchet MS"/>
                <w:color w:val="000000"/>
              </w:rPr>
              <w:t>Nekovinska</w:t>
            </w:r>
          </w:p>
        </w:tc>
        <w:tc>
          <w:tcPr>
            <w:tcW w:w="750" w:type="pct"/>
            <w:noWrap/>
            <w:vAlign w:val="bottom"/>
          </w:tcPr>
          <w:p w14:paraId="0394BC97"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48.323</w:t>
            </w:r>
          </w:p>
        </w:tc>
        <w:tc>
          <w:tcPr>
            <w:tcW w:w="750" w:type="pct"/>
            <w:noWrap/>
            <w:vAlign w:val="center"/>
          </w:tcPr>
          <w:p w14:paraId="7C13AC77"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37.119</w:t>
            </w:r>
          </w:p>
        </w:tc>
        <w:tc>
          <w:tcPr>
            <w:tcW w:w="750" w:type="pct"/>
            <w:noWrap/>
            <w:vAlign w:val="center"/>
          </w:tcPr>
          <w:p w14:paraId="19CC599A"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39,2%</w:t>
            </w:r>
          </w:p>
        </w:tc>
        <w:tc>
          <w:tcPr>
            <w:tcW w:w="750" w:type="pct"/>
            <w:noWrap/>
            <w:vAlign w:val="center"/>
          </w:tcPr>
          <w:p w14:paraId="4F9632E6"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43.026</w:t>
            </w:r>
          </w:p>
        </w:tc>
        <w:tc>
          <w:tcPr>
            <w:tcW w:w="750" w:type="pct"/>
            <w:noWrap/>
            <w:vAlign w:val="center"/>
          </w:tcPr>
          <w:p w14:paraId="502B861C"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6,6%</w:t>
            </w:r>
          </w:p>
        </w:tc>
      </w:tr>
      <w:tr w:rsidR="004D19BE" w:rsidRPr="00663E6D" w14:paraId="4681F409" w14:textId="77777777" w:rsidTr="00B758D5">
        <w:tc>
          <w:tcPr>
            <w:cnfStyle w:val="001000000000" w:firstRow="0" w:lastRow="0" w:firstColumn="1" w:lastColumn="0" w:oddVBand="0" w:evenVBand="0" w:oddHBand="0" w:evenHBand="0" w:firstRowFirstColumn="0" w:firstRowLastColumn="0" w:lastRowFirstColumn="0" w:lastRowLastColumn="0"/>
            <w:tcW w:w="1250" w:type="pct"/>
            <w:noWrap/>
            <w:vAlign w:val="center"/>
            <w:hideMark/>
          </w:tcPr>
          <w:p w14:paraId="04C2268B" w14:textId="77777777" w:rsidR="004D19BE" w:rsidRPr="00F5643D" w:rsidRDefault="004D19BE" w:rsidP="004D19BE">
            <w:pPr>
              <w:rPr>
                <w:rFonts w:ascii="Trebuchet MS" w:hAnsi="Trebuchet MS"/>
              </w:rPr>
            </w:pPr>
            <w:r w:rsidRPr="00F5643D">
              <w:rPr>
                <w:rFonts w:ascii="Trebuchet MS" w:hAnsi="Trebuchet MS"/>
                <w:color w:val="000000"/>
              </w:rPr>
              <w:t>Kovinska</w:t>
            </w:r>
          </w:p>
        </w:tc>
        <w:tc>
          <w:tcPr>
            <w:tcW w:w="750" w:type="pct"/>
            <w:noWrap/>
            <w:vAlign w:val="bottom"/>
          </w:tcPr>
          <w:p w14:paraId="274D599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40.920</w:t>
            </w:r>
          </w:p>
        </w:tc>
        <w:tc>
          <w:tcPr>
            <w:tcW w:w="750" w:type="pct"/>
            <w:noWrap/>
            <w:vAlign w:val="center"/>
          </w:tcPr>
          <w:p w14:paraId="5D71FCEB"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33.750</w:t>
            </w:r>
          </w:p>
        </w:tc>
        <w:tc>
          <w:tcPr>
            <w:tcW w:w="750" w:type="pct"/>
            <w:noWrap/>
            <w:vAlign w:val="center"/>
          </w:tcPr>
          <w:p w14:paraId="7900BD20"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35,5%</w:t>
            </w:r>
          </w:p>
        </w:tc>
        <w:tc>
          <w:tcPr>
            <w:tcW w:w="750" w:type="pct"/>
            <w:noWrap/>
            <w:vAlign w:val="center"/>
          </w:tcPr>
          <w:p w14:paraId="2C647B3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39.120</w:t>
            </w:r>
          </w:p>
        </w:tc>
        <w:tc>
          <w:tcPr>
            <w:tcW w:w="750" w:type="pct"/>
            <w:noWrap/>
            <w:vAlign w:val="center"/>
          </w:tcPr>
          <w:p w14:paraId="25D70FB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5,1%</w:t>
            </w:r>
          </w:p>
        </w:tc>
      </w:tr>
      <w:tr w:rsidR="00CD7D4F" w:rsidRPr="00663E6D" w14:paraId="3896CB26" w14:textId="77777777" w:rsidTr="00B7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noWrap/>
            <w:vAlign w:val="center"/>
            <w:hideMark/>
          </w:tcPr>
          <w:p w14:paraId="027BC4FB" w14:textId="77777777" w:rsidR="004D19BE" w:rsidRPr="00F5643D" w:rsidRDefault="004D19BE" w:rsidP="004D19BE">
            <w:pPr>
              <w:rPr>
                <w:rFonts w:ascii="Trebuchet MS" w:hAnsi="Trebuchet MS"/>
              </w:rPr>
            </w:pPr>
            <w:r w:rsidRPr="00F5643D">
              <w:rPr>
                <w:rFonts w:ascii="Trebuchet MS" w:hAnsi="Trebuchet MS"/>
                <w:color w:val="000000"/>
              </w:rPr>
              <w:t>Elektro</w:t>
            </w:r>
          </w:p>
        </w:tc>
        <w:tc>
          <w:tcPr>
            <w:tcW w:w="750" w:type="pct"/>
            <w:noWrap/>
            <w:vAlign w:val="bottom"/>
          </w:tcPr>
          <w:p w14:paraId="61407E24"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39.803</w:t>
            </w:r>
          </w:p>
        </w:tc>
        <w:tc>
          <w:tcPr>
            <w:tcW w:w="750" w:type="pct"/>
            <w:noWrap/>
            <w:vAlign w:val="center"/>
          </w:tcPr>
          <w:p w14:paraId="0234045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34.701</w:t>
            </w:r>
          </w:p>
        </w:tc>
        <w:tc>
          <w:tcPr>
            <w:tcW w:w="750" w:type="pct"/>
            <w:noWrap/>
            <w:vAlign w:val="center"/>
          </w:tcPr>
          <w:p w14:paraId="20969515"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37,8%</w:t>
            </w:r>
          </w:p>
        </w:tc>
        <w:tc>
          <w:tcPr>
            <w:tcW w:w="750" w:type="pct"/>
            <w:noWrap/>
            <w:vAlign w:val="center"/>
          </w:tcPr>
          <w:p w14:paraId="4BE2118F"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39.061</w:t>
            </w:r>
          </w:p>
        </w:tc>
        <w:tc>
          <w:tcPr>
            <w:tcW w:w="750" w:type="pct"/>
            <w:noWrap/>
            <w:vAlign w:val="center"/>
          </w:tcPr>
          <w:p w14:paraId="3AC87E0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3,8%</w:t>
            </w:r>
          </w:p>
        </w:tc>
      </w:tr>
      <w:tr w:rsidR="004D19BE" w:rsidRPr="00663E6D" w14:paraId="4D831099" w14:textId="77777777" w:rsidTr="00B758D5">
        <w:tc>
          <w:tcPr>
            <w:cnfStyle w:val="001000000000" w:firstRow="0" w:lastRow="0" w:firstColumn="1" w:lastColumn="0" w:oddVBand="0" w:evenVBand="0" w:oddHBand="0" w:evenHBand="0" w:firstRowFirstColumn="0" w:firstRowLastColumn="0" w:lastRowFirstColumn="0" w:lastRowLastColumn="0"/>
            <w:tcW w:w="1250" w:type="pct"/>
            <w:noWrap/>
            <w:vAlign w:val="center"/>
            <w:hideMark/>
          </w:tcPr>
          <w:p w14:paraId="0BFC4208" w14:textId="77777777" w:rsidR="004D19BE" w:rsidRPr="00F5643D" w:rsidRDefault="004D19BE" w:rsidP="004D19BE">
            <w:pPr>
              <w:rPr>
                <w:rFonts w:ascii="Trebuchet MS" w:hAnsi="Trebuchet MS"/>
              </w:rPr>
            </w:pPr>
            <w:r w:rsidRPr="00F5643D">
              <w:rPr>
                <w:rFonts w:ascii="Trebuchet MS" w:hAnsi="Trebuchet MS"/>
                <w:color w:val="000000"/>
              </w:rPr>
              <w:t>Strojna</w:t>
            </w:r>
          </w:p>
        </w:tc>
        <w:tc>
          <w:tcPr>
            <w:tcW w:w="750" w:type="pct"/>
            <w:noWrap/>
            <w:vAlign w:val="bottom"/>
          </w:tcPr>
          <w:p w14:paraId="677DDC7C"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43.571</w:t>
            </w:r>
          </w:p>
        </w:tc>
        <w:tc>
          <w:tcPr>
            <w:tcW w:w="750" w:type="pct"/>
            <w:noWrap/>
            <w:vAlign w:val="center"/>
          </w:tcPr>
          <w:p w14:paraId="628067FF"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36.860</w:t>
            </w:r>
          </w:p>
        </w:tc>
        <w:tc>
          <w:tcPr>
            <w:tcW w:w="750" w:type="pct"/>
            <w:noWrap/>
            <w:vAlign w:val="center"/>
          </w:tcPr>
          <w:p w14:paraId="73229180"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39,1%</w:t>
            </w:r>
          </w:p>
        </w:tc>
        <w:tc>
          <w:tcPr>
            <w:tcW w:w="750" w:type="pct"/>
            <w:noWrap/>
            <w:vAlign w:val="center"/>
          </w:tcPr>
          <w:p w14:paraId="1034E2F9"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41.144</w:t>
            </w:r>
          </w:p>
        </w:tc>
        <w:tc>
          <w:tcPr>
            <w:tcW w:w="750" w:type="pct"/>
            <w:noWrap/>
            <w:vAlign w:val="center"/>
          </w:tcPr>
          <w:p w14:paraId="57F42D84"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4,5%</w:t>
            </w:r>
          </w:p>
        </w:tc>
      </w:tr>
      <w:tr w:rsidR="00CD7D4F" w:rsidRPr="00663E6D" w14:paraId="5C67D58D" w14:textId="77777777" w:rsidTr="00B7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noWrap/>
            <w:vAlign w:val="center"/>
            <w:hideMark/>
          </w:tcPr>
          <w:p w14:paraId="382089C9" w14:textId="77777777" w:rsidR="004D19BE" w:rsidRPr="00F5643D" w:rsidRDefault="004D19BE" w:rsidP="004D19BE">
            <w:pPr>
              <w:rPr>
                <w:rFonts w:ascii="Trebuchet MS" w:hAnsi="Trebuchet MS"/>
              </w:rPr>
            </w:pPr>
            <w:r w:rsidRPr="00F5643D">
              <w:rPr>
                <w:rFonts w:ascii="Trebuchet MS" w:hAnsi="Trebuchet MS"/>
                <w:color w:val="000000"/>
              </w:rPr>
              <w:t>Druge</w:t>
            </w:r>
          </w:p>
        </w:tc>
        <w:tc>
          <w:tcPr>
            <w:tcW w:w="750" w:type="pct"/>
            <w:noWrap/>
            <w:vAlign w:val="bottom"/>
          </w:tcPr>
          <w:p w14:paraId="5352B37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39.434</w:t>
            </w:r>
          </w:p>
        </w:tc>
        <w:tc>
          <w:tcPr>
            <w:tcW w:w="750" w:type="pct"/>
            <w:noWrap/>
            <w:vAlign w:val="center"/>
          </w:tcPr>
          <w:p w14:paraId="26BAE492"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31.045</w:t>
            </w:r>
          </w:p>
        </w:tc>
        <w:tc>
          <w:tcPr>
            <w:tcW w:w="750" w:type="pct"/>
            <w:noWrap/>
            <w:vAlign w:val="center"/>
          </w:tcPr>
          <w:p w14:paraId="6ADF8BCE"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48,0%</w:t>
            </w:r>
          </w:p>
        </w:tc>
        <w:tc>
          <w:tcPr>
            <w:tcW w:w="750" w:type="pct"/>
            <w:noWrap/>
            <w:vAlign w:val="center"/>
          </w:tcPr>
          <w:p w14:paraId="1D0344B7"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36.272</w:t>
            </w:r>
          </w:p>
        </w:tc>
        <w:tc>
          <w:tcPr>
            <w:tcW w:w="750" w:type="pct"/>
            <w:noWrap/>
            <w:vAlign w:val="center"/>
          </w:tcPr>
          <w:p w14:paraId="216FE318"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7,0%</w:t>
            </w:r>
          </w:p>
        </w:tc>
      </w:tr>
    </w:tbl>
    <w:p w14:paraId="16786727" w14:textId="77777777" w:rsidR="003372D7" w:rsidRPr="009B538E" w:rsidRDefault="003372D7" w:rsidP="003372D7">
      <w:pPr>
        <w:spacing w:before="20"/>
        <w:jc w:val="both"/>
        <w:rPr>
          <w:i/>
        </w:rPr>
      </w:pPr>
      <w:r w:rsidRPr="009B538E">
        <w:rPr>
          <w:i/>
        </w:rPr>
        <w:t>Vir: SURS, strukturna statistika podjetij, preračuni Analitika GZS</w:t>
      </w:r>
    </w:p>
    <w:p w14:paraId="241A1059" w14:textId="471EFD7B" w:rsidR="007C7F66" w:rsidRPr="00964361" w:rsidRDefault="007C7F66" w:rsidP="00405849">
      <w:pPr>
        <w:jc w:val="both"/>
        <w:rPr>
          <w:rFonts w:cstheme="minorHAnsi"/>
        </w:rPr>
      </w:pPr>
      <w:r w:rsidRPr="00964361">
        <w:rPr>
          <w:rFonts w:cstheme="minorHAnsi"/>
        </w:rPr>
        <w:t xml:space="preserve">V zadnjih </w:t>
      </w:r>
      <w:r w:rsidR="00502C36">
        <w:rPr>
          <w:rFonts w:cstheme="minorHAnsi"/>
        </w:rPr>
        <w:t>desetih</w:t>
      </w:r>
      <w:r w:rsidR="00502C36" w:rsidRPr="00964361">
        <w:rPr>
          <w:rFonts w:cstheme="minorHAnsi"/>
        </w:rPr>
        <w:t xml:space="preserve"> </w:t>
      </w:r>
      <w:r w:rsidRPr="00964361">
        <w:rPr>
          <w:rFonts w:cstheme="minorHAnsi"/>
        </w:rPr>
        <w:t xml:space="preserve">letih (2018/2008) </w:t>
      </w:r>
      <w:r w:rsidR="00FA0CF0" w:rsidRPr="00964361">
        <w:rPr>
          <w:rFonts w:cstheme="minorHAnsi"/>
        </w:rPr>
        <w:t xml:space="preserve">se </w:t>
      </w:r>
      <w:r w:rsidRPr="00964361">
        <w:rPr>
          <w:rFonts w:cstheme="minorHAnsi"/>
        </w:rPr>
        <w:t xml:space="preserve">je med predelovalnimi dejavnostmi dodana vrednost na zaposlenega najbolj zvišala v </w:t>
      </w:r>
      <w:r w:rsidR="00FA0CF0" w:rsidRPr="00964361">
        <w:rPr>
          <w:rFonts w:cstheme="minorHAnsi"/>
        </w:rPr>
        <w:t>lesni in tekstilni</w:t>
      </w:r>
      <w:r w:rsidRPr="00964361">
        <w:rPr>
          <w:rFonts w:cstheme="minorHAnsi"/>
        </w:rPr>
        <w:t xml:space="preserve"> industriji (</w:t>
      </w:r>
      <w:r w:rsidR="00FA0CF0" w:rsidRPr="00964361">
        <w:rPr>
          <w:rFonts w:cstheme="minorHAnsi"/>
        </w:rPr>
        <w:t>14</w:t>
      </w:r>
      <w:r w:rsidR="008C797C">
        <w:rPr>
          <w:rFonts w:cstheme="minorHAnsi"/>
        </w:rPr>
        <w:t>.000</w:t>
      </w:r>
      <w:r w:rsidRPr="00964361">
        <w:rPr>
          <w:rFonts w:cstheme="minorHAnsi"/>
        </w:rPr>
        <w:t xml:space="preserve"> EUR), </w:t>
      </w:r>
      <w:r w:rsidR="002F39D7" w:rsidRPr="00964361">
        <w:rPr>
          <w:rFonts w:cstheme="minorHAnsi"/>
        </w:rPr>
        <w:t>nekovinski</w:t>
      </w:r>
      <w:r w:rsidRPr="00964361">
        <w:rPr>
          <w:rFonts w:cstheme="minorHAnsi"/>
        </w:rPr>
        <w:t xml:space="preserve"> industrij</w:t>
      </w:r>
      <w:r w:rsidR="002F39D7" w:rsidRPr="00964361">
        <w:rPr>
          <w:rFonts w:cstheme="minorHAnsi"/>
        </w:rPr>
        <w:t>i</w:t>
      </w:r>
      <w:r w:rsidRPr="00964361">
        <w:rPr>
          <w:rFonts w:cstheme="minorHAnsi"/>
        </w:rPr>
        <w:t xml:space="preserve"> (</w:t>
      </w:r>
      <w:r w:rsidR="002F39D7" w:rsidRPr="00964361">
        <w:rPr>
          <w:rFonts w:cstheme="minorHAnsi"/>
        </w:rPr>
        <w:t>13</w:t>
      </w:r>
      <w:r w:rsidR="008C797C">
        <w:rPr>
          <w:rFonts w:cstheme="minorHAnsi"/>
        </w:rPr>
        <w:t>.000</w:t>
      </w:r>
      <w:r w:rsidRPr="00964361">
        <w:rPr>
          <w:rFonts w:cstheme="minorHAnsi"/>
        </w:rPr>
        <w:t xml:space="preserve"> EUR), drug</w:t>
      </w:r>
      <w:r w:rsidR="002F39D7" w:rsidRPr="00964361">
        <w:rPr>
          <w:rFonts w:cstheme="minorHAnsi"/>
        </w:rPr>
        <w:t>ih</w:t>
      </w:r>
      <w:r w:rsidRPr="00964361">
        <w:rPr>
          <w:rFonts w:cstheme="minorHAnsi"/>
        </w:rPr>
        <w:t xml:space="preserve"> predelovaln</w:t>
      </w:r>
      <w:r w:rsidR="002F39D7" w:rsidRPr="00964361">
        <w:rPr>
          <w:rFonts w:cstheme="minorHAnsi"/>
        </w:rPr>
        <w:t>ih</w:t>
      </w:r>
      <w:r w:rsidRPr="00964361">
        <w:rPr>
          <w:rFonts w:cstheme="minorHAnsi"/>
        </w:rPr>
        <w:t xml:space="preserve"> dejavnosti</w:t>
      </w:r>
      <w:r w:rsidR="002F39D7" w:rsidRPr="00964361">
        <w:rPr>
          <w:rFonts w:cstheme="minorHAnsi"/>
        </w:rPr>
        <w:t>h</w:t>
      </w:r>
      <w:r w:rsidRPr="00964361">
        <w:rPr>
          <w:rFonts w:cstheme="minorHAnsi"/>
        </w:rPr>
        <w:t xml:space="preserve"> (13</w:t>
      </w:r>
      <w:r w:rsidR="008C797C">
        <w:rPr>
          <w:rFonts w:cstheme="minorHAnsi"/>
        </w:rPr>
        <w:t>.000</w:t>
      </w:r>
      <w:r w:rsidRPr="00964361">
        <w:rPr>
          <w:rFonts w:cstheme="minorHAnsi"/>
        </w:rPr>
        <w:t xml:space="preserve"> EUR)</w:t>
      </w:r>
      <w:r w:rsidR="002F39D7" w:rsidRPr="00964361">
        <w:rPr>
          <w:rFonts w:cstheme="minorHAnsi"/>
        </w:rPr>
        <w:t xml:space="preserve"> </w:t>
      </w:r>
      <w:r w:rsidR="008C797C">
        <w:rPr>
          <w:rFonts w:cstheme="minorHAnsi"/>
        </w:rPr>
        <w:t xml:space="preserve">ter </w:t>
      </w:r>
      <w:r w:rsidRPr="00964361">
        <w:rPr>
          <w:rFonts w:cstheme="minorHAnsi"/>
        </w:rPr>
        <w:t>strojn</w:t>
      </w:r>
      <w:r w:rsidR="002F39D7" w:rsidRPr="00964361">
        <w:rPr>
          <w:rFonts w:cstheme="minorHAnsi"/>
        </w:rPr>
        <w:t>i</w:t>
      </w:r>
      <w:r w:rsidRPr="00964361">
        <w:rPr>
          <w:rFonts w:cstheme="minorHAnsi"/>
        </w:rPr>
        <w:t xml:space="preserve"> industrij</w:t>
      </w:r>
      <w:r w:rsidR="002F39D7" w:rsidRPr="00964361">
        <w:rPr>
          <w:rFonts w:cstheme="minorHAnsi"/>
        </w:rPr>
        <w:t>i</w:t>
      </w:r>
      <w:r w:rsidRPr="00964361">
        <w:rPr>
          <w:rFonts w:cstheme="minorHAnsi"/>
        </w:rPr>
        <w:t xml:space="preserve"> (12</w:t>
      </w:r>
      <w:r w:rsidR="008C797C">
        <w:rPr>
          <w:rFonts w:cstheme="minorHAnsi"/>
        </w:rPr>
        <w:t>.000</w:t>
      </w:r>
      <w:r w:rsidRPr="00964361">
        <w:rPr>
          <w:rFonts w:cstheme="minorHAnsi"/>
        </w:rPr>
        <w:t xml:space="preserve"> EUR). </w:t>
      </w:r>
    </w:p>
    <w:p w14:paraId="16F1DD42" w14:textId="77777777" w:rsidR="007C7F66" w:rsidRDefault="007C7F66" w:rsidP="00A347B2">
      <w:pPr>
        <w:spacing w:after="0"/>
        <w:rPr>
          <w:rFonts w:cstheme="minorHAnsi"/>
          <w:sz w:val="22"/>
          <w:szCs w:val="22"/>
        </w:rPr>
      </w:pPr>
      <w:r>
        <w:rPr>
          <w:noProof/>
          <w:lang w:eastAsia="sl-SI"/>
        </w:rPr>
        <w:lastRenderedPageBreak/>
        <w:drawing>
          <wp:inline distT="0" distB="0" distL="0" distR="0" wp14:anchorId="4DECB430" wp14:editId="0CC96AA2">
            <wp:extent cx="4283529" cy="2715986"/>
            <wp:effectExtent l="0" t="0" r="3175" b="8255"/>
            <wp:docPr id="44" name="Grafikon 4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3AF5C69-59FB-456E-9966-D5A116F5CA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7C1E5EC" w14:textId="77777777" w:rsidR="003372D7" w:rsidRPr="009B538E" w:rsidRDefault="003372D7" w:rsidP="003372D7">
      <w:pPr>
        <w:spacing w:before="20"/>
        <w:jc w:val="both"/>
        <w:rPr>
          <w:i/>
        </w:rPr>
      </w:pPr>
      <w:r w:rsidRPr="009B538E">
        <w:rPr>
          <w:i/>
        </w:rPr>
        <w:t>Vir: SURS, strukturna statistika podjetij, preračuni Analitika GZS</w:t>
      </w:r>
    </w:p>
    <w:p w14:paraId="449E6A5F" w14:textId="28A0C698" w:rsidR="007C7F66" w:rsidRPr="00964361" w:rsidRDefault="007C7F66" w:rsidP="00405849">
      <w:pPr>
        <w:jc w:val="both"/>
        <w:rPr>
          <w:rFonts w:cstheme="minorHAnsi"/>
        </w:rPr>
      </w:pPr>
      <w:r w:rsidRPr="00964361">
        <w:rPr>
          <w:rFonts w:cstheme="minorHAnsi"/>
        </w:rPr>
        <w:t>V zadnjih petih letih (2014-2018) je dodana vrednost na zaposlenega v predelovalnih dejavnostih v povprečju porasla za 4,3 % letno ter beležila 41.</w:t>
      </w:r>
      <w:r w:rsidR="002F39D7" w:rsidRPr="00964361">
        <w:rPr>
          <w:rFonts w:cstheme="minorHAnsi"/>
        </w:rPr>
        <w:t>371</w:t>
      </w:r>
      <w:r w:rsidRPr="00964361">
        <w:rPr>
          <w:rFonts w:cstheme="minorHAnsi"/>
        </w:rPr>
        <w:t xml:space="preserve"> EUR dodane vrednosti na zaposlenega. V zadnjih </w:t>
      </w:r>
      <w:r w:rsidR="00502C36">
        <w:rPr>
          <w:rFonts w:cstheme="minorHAnsi"/>
        </w:rPr>
        <w:t>petih</w:t>
      </w:r>
      <w:r w:rsidR="00502C36" w:rsidRPr="00964361">
        <w:rPr>
          <w:rFonts w:cstheme="minorHAnsi"/>
        </w:rPr>
        <w:t xml:space="preserve"> </w:t>
      </w:r>
      <w:r w:rsidRPr="00964361">
        <w:rPr>
          <w:rFonts w:cstheme="minorHAnsi"/>
        </w:rPr>
        <w:t xml:space="preserve">letih je </w:t>
      </w:r>
      <w:r w:rsidR="00502C36">
        <w:rPr>
          <w:rFonts w:cstheme="minorHAnsi"/>
        </w:rPr>
        <w:t xml:space="preserve">bila </w:t>
      </w:r>
      <w:r w:rsidRPr="00964361">
        <w:rPr>
          <w:rFonts w:cstheme="minorHAnsi"/>
        </w:rPr>
        <w:t xml:space="preserve">med predelovalnimi dejavnostmi dodana vrednost na zaposlenega najvišja v </w:t>
      </w:r>
      <w:r w:rsidR="002F39D7" w:rsidRPr="00964361">
        <w:rPr>
          <w:rFonts w:cstheme="minorHAnsi"/>
        </w:rPr>
        <w:t>kemični</w:t>
      </w:r>
      <w:r w:rsidRPr="00964361">
        <w:rPr>
          <w:rFonts w:cstheme="minorHAnsi"/>
        </w:rPr>
        <w:t xml:space="preserve"> (</w:t>
      </w:r>
      <w:r w:rsidR="002F39D7" w:rsidRPr="00964361">
        <w:rPr>
          <w:rFonts w:cstheme="minorHAnsi"/>
        </w:rPr>
        <w:t>61</w:t>
      </w:r>
      <w:r w:rsidR="008C797C">
        <w:rPr>
          <w:rFonts w:cstheme="minorHAnsi"/>
        </w:rPr>
        <w:t>.000</w:t>
      </w:r>
      <w:r w:rsidRPr="00964361">
        <w:rPr>
          <w:rFonts w:cstheme="minorHAnsi"/>
        </w:rPr>
        <w:t xml:space="preserve"> EUR), nekovinsk</w:t>
      </w:r>
      <w:r w:rsidR="00502C36">
        <w:rPr>
          <w:rFonts w:cstheme="minorHAnsi"/>
        </w:rPr>
        <w:t>i</w:t>
      </w:r>
      <w:r w:rsidRPr="00964361">
        <w:rPr>
          <w:rFonts w:cstheme="minorHAnsi"/>
        </w:rPr>
        <w:t xml:space="preserve"> (43</w:t>
      </w:r>
      <w:r w:rsidR="008C797C">
        <w:rPr>
          <w:rFonts w:cstheme="minorHAnsi"/>
        </w:rPr>
        <w:t>.000</w:t>
      </w:r>
      <w:r w:rsidRPr="00964361">
        <w:rPr>
          <w:rFonts w:cstheme="minorHAnsi"/>
        </w:rPr>
        <w:t xml:space="preserve"> EUR), papirn</w:t>
      </w:r>
      <w:r w:rsidR="00502C36">
        <w:rPr>
          <w:rFonts w:cstheme="minorHAnsi"/>
        </w:rPr>
        <w:t>i</w:t>
      </w:r>
      <w:r w:rsidRPr="00964361">
        <w:rPr>
          <w:rFonts w:cstheme="minorHAnsi"/>
        </w:rPr>
        <w:t xml:space="preserve"> (</w:t>
      </w:r>
      <w:r w:rsidR="002F39D7" w:rsidRPr="00964361">
        <w:rPr>
          <w:rFonts w:cstheme="minorHAnsi"/>
        </w:rPr>
        <w:t>38</w:t>
      </w:r>
      <w:r w:rsidR="008C797C">
        <w:rPr>
          <w:rFonts w:cstheme="minorHAnsi"/>
        </w:rPr>
        <w:t>.000</w:t>
      </w:r>
      <w:r w:rsidRPr="00964361">
        <w:rPr>
          <w:rFonts w:cstheme="minorHAnsi"/>
        </w:rPr>
        <w:t xml:space="preserve"> </w:t>
      </w:r>
      <w:r w:rsidR="008C797C">
        <w:rPr>
          <w:rFonts w:cstheme="minorHAnsi"/>
        </w:rPr>
        <w:t xml:space="preserve"> </w:t>
      </w:r>
      <w:r w:rsidRPr="00964361">
        <w:rPr>
          <w:rFonts w:cstheme="minorHAnsi"/>
        </w:rPr>
        <w:t>EUR)</w:t>
      </w:r>
      <w:r w:rsidR="00502C36">
        <w:rPr>
          <w:rFonts w:cstheme="minorHAnsi"/>
        </w:rPr>
        <w:t xml:space="preserve"> in</w:t>
      </w:r>
      <w:r w:rsidRPr="00964361">
        <w:rPr>
          <w:rFonts w:cstheme="minorHAnsi"/>
        </w:rPr>
        <w:t xml:space="preserve"> strojn</w:t>
      </w:r>
      <w:r w:rsidR="00502C36">
        <w:rPr>
          <w:rFonts w:cstheme="minorHAnsi"/>
        </w:rPr>
        <w:t>i</w:t>
      </w:r>
      <w:r w:rsidRPr="00964361">
        <w:rPr>
          <w:rFonts w:cstheme="minorHAnsi"/>
        </w:rPr>
        <w:t xml:space="preserve"> industrij</w:t>
      </w:r>
      <w:r w:rsidR="00502C36">
        <w:rPr>
          <w:rFonts w:cstheme="minorHAnsi"/>
        </w:rPr>
        <w:t>i</w:t>
      </w:r>
      <w:r w:rsidRPr="00964361">
        <w:rPr>
          <w:rFonts w:cstheme="minorHAnsi"/>
        </w:rPr>
        <w:t xml:space="preserve"> (41</w:t>
      </w:r>
      <w:r w:rsidR="008C797C">
        <w:rPr>
          <w:rFonts w:cstheme="minorHAnsi"/>
        </w:rPr>
        <w:t>.000</w:t>
      </w:r>
      <w:r w:rsidRPr="00964361">
        <w:rPr>
          <w:rFonts w:cstheme="minorHAnsi"/>
        </w:rPr>
        <w:t xml:space="preserve"> EUR). </w:t>
      </w:r>
      <w:r w:rsidR="008C797C">
        <w:rPr>
          <w:rFonts w:cstheme="minorHAnsi"/>
        </w:rPr>
        <w:t>V tem času</w:t>
      </w:r>
      <w:r w:rsidRPr="00964361">
        <w:rPr>
          <w:rFonts w:cstheme="minorHAnsi"/>
        </w:rPr>
        <w:t xml:space="preserve"> se je najbolj zvišala v </w:t>
      </w:r>
      <w:r w:rsidR="002F39D7" w:rsidRPr="00964361">
        <w:rPr>
          <w:rFonts w:cstheme="minorHAnsi"/>
        </w:rPr>
        <w:t>lesni industriji (7,6 % na leto), drugih predelovalnih dejavnostih</w:t>
      </w:r>
      <w:r w:rsidRPr="00964361">
        <w:rPr>
          <w:rFonts w:cstheme="minorHAnsi"/>
        </w:rPr>
        <w:t xml:space="preserve"> (</w:t>
      </w:r>
      <w:r w:rsidR="002F39D7" w:rsidRPr="00964361">
        <w:rPr>
          <w:rFonts w:cstheme="minorHAnsi"/>
        </w:rPr>
        <w:t>7</w:t>
      </w:r>
      <w:r w:rsidRPr="00964361">
        <w:rPr>
          <w:rFonts w:cstheme="minorHAnsi"/>
        </w:rPr>
        <w:t xml:space="preserve"> % na leto), </w:t>
      </w:r>
      <w:r w:rsidR="002F39D7" w:rsidRPr="00964361">
        <w:rPr>
          <w:rFonts w:cstheme="minorHAnsi"/>
        </w:rPr>
        <w:t>tekstilni</w:t>
      </w:r>
      <w:r w:rsidRPr="00964361">
        <w:rPr>
          <w:rFonts w:cstheme="minorHAnsi"/>
        </w:rPr>
        <w:t xml:space="preserve"> (</w:t>
      </w:r>
      <w:r w:rsidR="002F39D7" w:rsidRPr="00964361">
        <w:rPr>
          <w:rFonts w:cstheme="minorHAnsi"/>
        </w:rPr>
        <w:t>6,9</w:t>
      </w:r>
      <w:r w:rsidRPr="00964361">
        <w:rPr>
          <w:rFonts w:cstheme="minorHAnsi"/>
        </w:rPr>
        <w:t xml:space="preserve"> % na leto</w:t>
      </w:r>
      <w:r w:rsidR="00502C36" w:rsidRPr="00964361">
        <w:rPr>
          <w:rFonts w:cstheme="minorHAnsi"/>
        </w:rPr>
        <w:t>)</w:t>
      </w:r>
      <w:r w:rsidR="00502C36">
        <w:rPr>
          <w:rFonts w:cstheme="minorHAnsi"/>
        </w:rPr>
        <w:t xml:space="preserve"> in</w:t>
      </w:r>
      <w:r w:rsidR="00502C36" w:rsidRPr="00964361">
        <w:rPr>
          <w:rFonts w:cstheme="minorHAnsi"/>
        </w:rPr>
        <w:t xml:space="preserve"> </w:t>
      </w:r>
      <w:r w:rsidR="002F39D7" w:rsidRPr="00964361">
        <w:rPr>
          <w:rFonts w:cstheme="minorHAnsi"/>
        </w:rPr>
        <w:t>nekovinski</w:t>
      </w:r>
      <w:r w:rsidRPr="00964361">
        <w:rPr>
          <w:rFonts w:cstheme="minorHAnsi"/>
        </w:rPr>
        <w:t xml:space="preserve"> industrij</w:t>
      </w:r>
      <w:r w:rsidR="002F39D7" w:rsidRPr="00964361">
        <w:rPr>
          <w:rFonts w:cstheme="minorHAnsi"/>
        </w:rPr>
        <w:t>i</w:t>
      </w:r>
      <w:r w:rsidRPr="00964361">
        <w:rPr>
          <w:rFonts w:cstheme="minorHAnsi"/>
        </w:rPr>
        <w:t xml:space="preserve"> (6,</w:t>
      </w:r>
      <w:r w:rsidR="002F39D7" w:rsidRPr="00964361">
        <w:rPr>
          <w:rFonts w:cstheme="minorHAnsi"/>
        </w:rPr>
        <w:t>5</w:t>
      </w:r>
      <w:r w:rsidRPr="00964361">
        <w:rPr>
          <w:rFonts w:cstheme="minorHAnsi"/>
        </w:rPr>
        <w:t xml:space="preserve"> % na leto). Najnižjo dodano vrednost v zadnjih </w:t>
      </w:r>
      <w:r w:rsidR="00502C36">
        <w:rPr>
          <w:rFonts w:cstheme="minorHAnsi"/>
        </w:rPr>
        <w:t>petih</w:t>
      </w:r>
      <w:r w:rsidR="00502C36" w:rsidRPr="00964361">
        <w:rPr>
          <w:rFonts w:cstheme="minorHAnsi"/>
        </w:rPr>
        <w:t xml:space="preserve"> </w:t>
      </w:r>
      <w:r w:rsidRPr="00964361">
        <w:rPr>
          <w:rFonts w:cstheme="minorHAnsi"/>
        </w:rPr>
        <w:t>letih beleži</w:t>
      </w:r>
      <w:r w:rsidR="008C797C">
        <w:rPr>
          <w:rFonts w:cstheme="minorHAnsi"/>
        </w:rPr>
        <w:t>ta</w:t>
      </w:r>
      <w:r w:rsidRPr="00964361">
        <w:rPr>
          <w:rFonts w:cstheme="minorHAnsi"/>
        </w:rPr>
        <w:t xml:space="preserve"> tekstilna (26</w:t>
      </w:r>
      <w:r w:rsidR="008C797C">
        <w:rPr>
          <w:rFonts w:cstheme="minorHAnsi"/>
        </w:rPr>
        <w:t>.000</w:t>
      </w:r>
      <w:r w:rsidRPr="00964361">
        <w:rPr>
          <w:rFonts w:cstheme="minorHAnsi"/>
        </w:rPr>
        <w:t xml:space="preserve"> EUR) ter lesna industrija (30</w:t>
      </w:r>
      <w:r w:rsidR="008C797C">
        <w:rPr>
          <w:rFonts w:cstheme="minorHAnsi"/>
        </w:rPr>
        <w:t>.000</w:t>
      </w:r>
      <w:r w:rsidRPr="00964361">
        <w:rPr>
          <w:rFonts w:cstheme="minorHAnsi"/>
        </w:rPr>
        <w:t xml:space="preserve"> EUR).</w:t>
      </w:r>
    </w:p>
    <w:p w14:paraId="0C639DF9" w14:textId="77777777" w:rsidR="007C7F66" w:rsidRPr="00964361" w:rsidRDefault="007C7F66" w:rsidP="002C7476">
      <w:pPr>
        <w:pStyle w:val="Odstavekseznama"/>
        <w:numPr>
          <w:ilvl w:val="0"/>
          <w:numId w:val="16"/>
        </w:numPr>
        <w:spacing w:before="0" w:after="160" w:line="259" w:lineRule="auto"/>
        <w:rPr>
          <w:rFonts w:cstheme="minorHAnsi"/>
          <w:b/>
          <w:bCs/>
        </w:rPr>
      </w:pPr>
      <w:r w:rsidRPr="00964361">
        <w:rPr>
          <w:rFonts w:cstheme="minorHAnsi"/>
          <w:b/>
          <w:bCs/>
        </w:rPr>
        <w:t xml:space="preserve">Stroški dela v </w:t>
      </w:r>
      <w:r w:rsidR="00E142BA">
        <w:rPr>
          <w:rFonts w:cstheme="minorHAnsi"/>
          <w:b/>
          <w:bCs/>
        </w:rPr>
        <w:t>dodani vrednosti</w:t>
      </w:r>
    </w:p>
    <w:p w14:paraId="64B01CAA" w14:textId="77777777" w:rsidR="00405849" w:rsidRPr="00964361" w:rsidRDefault="00405849" w:rsidP="00405849">
      <w:pPr>
        <w:pStyle w:val="Odstavekseznama"/>
        <w:ind w:left="0"/>
        <w:jc w:val="both"/>
        <w:rPr>
          <w:rFonts w:cstheme="minorHAnsi"/>
        </w:rPr>
      </w:pPr>
    </w:p>
    <w:p w14:paraId="5348A356" w14:textId="14C66ECD" w:rsidR="007C7F66" w:rsidRPr="00964361" w:rsidRDefault="007C7F66" w:rsidP="00405849">
      <w:pPr>
        <w:pStyle w:val="Odstavekseznama"/>
        <w:ind w:left="0"/>
        <w:jc w:val="both"/>
        <w:rPr>
          <w:rFonts w:cstheme="minorHAnsi"/>
        </w:rPr>
      </w:pPr>
      <w:r w:rsidRPr="00964361">
        <w:rPr>
          <w:rFonts w:cstheme="minorHAnsi"/>
        </w:rPr>
        <w:t>Stroški dela, ki v večini podjetij predstavljajo največji odhodek med poslovnimi odhodki, so v predelovalnih dejavnosti</w:t>
      </w:r>
      <w:r w:rsidR="00B12F8F">
        <w:rPr>
          <w:rFonts w:cstheme="minorHAnsi"/>
        </w:rPr>
        <w:t>h</w:t>
      </w:r>
      <w:r w:rsidRPr="00964361">
        <w:rPr>
          <w:rFonts w:cstheme="minorHAnsi"/>
        </w:rPr>
        <w:t xml:space="preserve"> v letu 2018 znašali 5,4 mrd EUR ter so se v zadnjih </w:t>
      </w:r>
      <w:r w:rsidR="00281A89">
        <w:rPr>
          <w:rFonts w:cstheme="minorHAnsi"/>
        </w:rPr>
        <w:t>petih</w:t>
      </w:r>
      <w:r w:rsidR="00281A89" w:rsidRPr="00964361">
        <w:rPr>
          <w:rFonts w:cstheme="minorHAnsi"/>
        </w:rPr>
        <w:t xml:space="preserve"> </w:t>
      </w:r>
      <w:r w:rsidRPr="00964361">
        <w:rPr>
          <w:rFonts w:cstheme="minorHAnsi"/>
        </w:rPr>
        <w:t xml:space="preserve">letih zvišali 8-krat, izjema sta bili leti 2009 in 2013. Stroški dela so se v 2018 v primerjavi z letom 2008 zvišali za 24,4 %. V zadnjih </w:t>
      </w:r>
      <w:r w:rsidR="00281A89">
        <w:rPr>
          <w:rFonts w:cstheme="minorHAnsi"/>
        </w:rPr>
        <w:t>enajstih</w:t>
      </w:r>
      <w:r w:rsidR="00281A89" w:rsidRPr="00964361">
        <w:rPr>
          <w:rFonts w:cstheme="minorHAnsi"/>
        </w:rPr>
        <w:t xml:space="preserve"> </w:t>
      </w:r>
      <w:r w:rsidRPr="00964361">
        <w:rPr>
          <w:rFonts w:cstheme="minorHAnsi"/>
        </w:rPr>
        <w:t xml:space="preserve">letih so predelovalne dejavnosti v povprečju beležile 4,3 mrd EUR stroškov dela, v zadnjih </w:t>
      </w:r>
      <w:r w:rsidR="00281A89">
        <w:rPr>
          <w:rFonts w:cstheme="minorHAnsi"/>
        </w:rPr>
        <w:t>petih</w:t>
      </w:r>
      <w:r w:rsidR="00281A89" w:rsidRPr="00964361">
        <w:rPr>
          <w:rFonts w:cstheme="minorHAnsi"/>
        </w:rPr>
        <w:t xml:space="preserve"> </w:t>
      </w:r>
      <w:r w:rsidRPr="00964361">
        <w:rPr>
          <w:rFonts w:cstheme="minorHAnsi"/>
        </w:rPr>
        <w:t>letih ob vse večjem pritisku na rast plač, tudi minimalne, so stroški dela v povprečju znašali 4,7 mrd EUR.</w:t>
      </w:r>
    </w:p>
    <w:p w14:paraId="24AF0491" w14:textId="77777777" w:rsidR="007C7F66" w:rsidRPr="009B538E" w:rsidRDefault="007C7F66" w:rsidP="007C7F66">
      <w:pPr>
        <w:pStyle w:val="Odstavekseznama"/>
        <w:ind w:left="0"/>
      </w:pPr>
    </w:p>
    <w:p w14:paraId="694EFED9" w14:textId="77777777" w:rsidR="007C7F66" w:rsidRPr="007041AF" w:rsidRDefault="007C7F66" w:rsidP="00A347B2">
      <w:pPr>
        <w:pStyle w:val="Odstavekseznama"/>
        <w:spacing w:after="0"/>
        <w:ind w:left="0"/>
        <w:rPr>
          <w:rFonts w:cstheme="minorHAnsi"/>
        </w:rPr>
      </w:pPr>
      <w:r w:rsidRPr="007041AF">
        <w:rPr>
          <w:rFonts w:cstheme="minorHAnsi"/>
          <w:noProof/>
          <w:lang w:eastAsia="sl-SI"/>
        </w:rPr>
        <w:drawing>
          <wp:inline distT="0" distB="0" distL="0" distR="0" wp14:anchorId="260C907C" wp14:editId="4B0FB166">
            <wp:extent cx="3937659" cy="2359797"/>
            <wp:effectExtent l="0" t="0" r="5715" b="2540"/>
            <wp:docPr id="45" name="Grafikon 4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68A2A71-B7D4-4C7F-93C7-F8A05802BD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693B250" w14:textId="77777777" w:rsidR="003372D7" w:rsidRPr="009B538E" w:rsidRDefault="003372D7" w:rsidP="003372D7">
      <w:pPr>
        <w:spacing w:before="20"/>
        <w:jc w:val="both"/>
        <w:rPr>
          <w:i/>
        </w:rPr>
      </w:pPr>
      <w:r w:rsidRPr="009B538E">
        <w:rPr>
          <w:i/>
        </w:rPr>
        <w:t>Vir: SURS, strukturna statistika podjetij, preračuni Analitika GZS</w:t>
      </w:r>
    </w:p>
    <w:p w14:paraId="3B2C549F" w14:textId="65F1F83E" w:rsidR="007C7F66" w:rsidRPr="00964361" w:rsidRDefault="007C7F66" w:rsidP="00405849">
      <w:pPr>
        <w:pStyle w:val="Odstavekseznama"/>
        <w:ind w:left="0"/>
        <w:jc w:val="both"/>
        <w:rPr>
          <w:rFonts w:cstheme="minorHAnsi"/>
        </w:rPr>
      </w:pPr>
      <w:r w:rsidRPr="00964361">
        <w:rPr>
          <w:rFonts w:cstheme="minorHAnsi"/>
        </w:rPr>
        <w:lastRenderedPageBreak/>
        <w:t xml:space="preserve">V zadnjih </w:t>
      </w:r>
      <w:r w:rsidR="00281A89">
        <w:rPr>
          <w:rFonts w:cstheme="minorHAnsi"/>
        </w:rPr>
        <w:t>desetih</w:t>
      </w:r>
      <w:r w:rsidR="00281A89" w:rsidRPr="00964361">
        <w:rPr>
          <w:rFonts w:cstheme="minorHAnsi"/>
        </w:rPr>
        <w:t xml:space="preserve"> </w:t>
      </w:r>
      <w:r w:rsidRPr="00964361">
        <w:rPr>
          <w:rFonts w:cstheme="minorHAnsi"/>
        </w:rPr>
        <w:t xml:space="preserve">letih (2018/2008) so med predelovalnimi dejavnostmi stroški dela </w:t>
      </w:r>
      <w:r w:rsidR="00EC0AEB" w:rsidRPr="00964361">
        <w:rPr>
          <w:rFonts w:cstheme="minorHAnsi"/>
        </w:rPr>
        <w:t xml:space="preserve">kljub upadu števila zaposlenih </w:t>
      </w:r>
      <w:r w:rsidRPr="00964361">
        <w:rPr>
          <w:rFonts w:cstheme="minorHAnsi"/>
        </w:rPr>
        <w:t>najbolj porasli v kemični (349 mio EUR)</w:t>
      </w:r>
      <w:r w:rsidR="00281A89">
        <w:rPr>
          <w:rFonts w:cstheme="minorHAnsi"/>
        </w:rPr>
        <w:t xml:space="preserve"> in</w:t>
      </w:r>
      <w:r w:rsidRPr="00964361">
        <w:rPr>
          <w:rFonts w:cstheme="minorHAnsi"/>
        </w:rPr>
        <w:t xml:space="preserve"> strojni industriji (346 mio EUR), na kar je vplivalo predvsem novo zaposlovanje</w:t>
      </w:r>
      <w:r w:rsidR="00281A89">
        <w:rPr>
          <w:rFonts w:cstheme="minorHAnsi"/>
        </w:rPr>
        <w:t>,</w:t>
      </w:r>
      <w:r w:rsidRPr="00964361">
        <w:rPr>
          <w:rFonts w:cstheme="minorHAnsi"/>
        </w:rPr>
        <w:t xml:space="preserve"> ter v kovinski industriji (280 mio EUR) ob dvigu plač. V tekstilni, lesni in papirni industriji je strošek dela v 2018 nižji kot v 2008, saj se </w:t>
      </w:r>
      <w:r w:rsidRPr="00FD4C45">
        <w:rPr>
          <w:rFonts w:cstheme="minorHAnsi"/>
        </w:rPr>
        <w:t>j</w:t>
      </w:r>
      <w:r w:rsidR="00864932">
        <w:rPr>
          <w:rFonts w:cstheme="minorHAnsi"/>
        </w:rPr>
        <w:t>e</w:t>
      </w:r>
      <w:r w:rsidRPr="00964361">
        <w:rPr>
          <w:rFonts w:cstheme="minorHAnsi"/>
        </w:rPr>
        <w:t xml:space="preserve"> v teh panogah število zaposlenih več kot prepolovilo, stroški dela pa so se zmanjšali med 10 in 35 %. </w:t>
      </w:r>
    </w:p>
    <w:p w14:paraId="2EB71C06" w14:textId="77777777" w:rsidR="007C7F66" w:rsidRPr="007041AF" w:rsidRDefault="007C7F66" w:rsidP="00A347B2">
      <w:pPr>
        <w:pStyle w:val="Odstavekseznama"/>
        <w:spacing w:after="0"/>
        <w:ind w:left="0"/>
        <w:rPr>
          <w:rFonts w:cstheme="minorHAnsi"/>
        </w:rPr>
      </w:pPr>
      <w:r w:rsidRPr="007041AF">
        <w:rPr>
          <w:rFonts w:cstheme="minorHAnsi"/>
          <w:noProof/>
          <w:lang w:eastAsia="sl-SI"/>
        </w:rPr>
        <w:drawing>
          <wp:inline distT="0" distB="0" distL="0" distR="0" wp14:anchorId="3415736B" wp14:editId="35F98FC9">
            <wp:extent cx="4935415" cy="2596661"/>
            <wp:effectExtent l="0" t="0" r="0" b="0"/>
            <wp:docPr id="46" name="Grafikon 4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81A7477-B396-4236-9C87-DFFEA1D668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1BAD7DD" w14:textId="77777777" w:rsidR="003372D7" w:rsidRPr="009B538E" w:rsidRDefault="003372D7" w:rsidP="003372D7">
      <w:pPr>
        <w:spacing w:before="20"/>
        <w:jc w:val="both"/>
        <w:rPr>
          <w:i/>
        </w:rPr>
      </w:pPr>
      <w:r w:rsidRPr="009B538E">
        <w:rPr>
          <w:i/>
        </w:rPr>
        <w:t>Vir: SURS, strukturna statistika podjetij, preračuni Analitika GZS</w:t>
      </w:r>
    </w:p>
    <w:p w14:paraId="37F81047" w14:textId="1225A776" w:rsidR="007C7F66" w:rsidRPr="00964361" w:rsidRDefault="007C7F66" w:rsidP="00405849">
      <w:pPr>
        <w:pStyle w:val="Odstavekseznama"/>
        <w:ind w:left="0"/>
        <w:jc w:val="both"/>
        <w:rPr>
          <w:rFonts w:cstheme="minorHAnsi"/>
        </w:rPr>
      </w:pPr>
      <w:r w:rsidRPr="00964361">
        <w:rPr>
          <w:rFonts w:cstheme="minorHAnsi"/>
        </w:rPr>
        <w:t xml:space="preserve">V obdobju zadnjih </w:t>
      </w:r>
      <w:r w:rsidR="00864932">
        <w:rPr>
          <w:rFonts w:cstheme="minorHAnsi"/>
        </w:rPr>
        <w:t>petih</w:t>
      </w:r>
      <w:r w:rsidR="00864932" w:rsidRPr="00FD4C45">
        <w:rPr>
          <w:rFonts w:cstheme="minorHAnsi"/>
        </w:rPr>
        <w:t xml:space="preserve"> </w:t>
      </w:r>
      <w:r w:rsidRPr="00FD4C45">
        <w:rPr>
          <w:rFonts w:cstheme="minorHAnsi"/>
        </w:rPr>
        <w:t>let</w:t>
      </w:r>
      <w:r w:rsidRPr="00964361">
        <w:rPr>
          <w:rFonts w:cstheme="minorHAnsi"/>
        </w:rPr>
        <w:t xml:space="preserve"> (2014-2018) so stroški dela v predelovalni dejavnosti vsako leto v povprečju porasli za 5,9 % letno. Med predelovalnimi dejavnost</w:t>
      </w:r>
      <w:r w:rsidR="00EC0AEB">
        <w:rPr>
          <w:rFonts w:cstheme="minorHAnsi"/>
        </w:rPr>
        <w:t>m</w:t>
      </w:r>
      <w:r w:rsidRPr="00964361">
        <w:rPr>
          <w:rFonts w:cstheme="minorHAnsi"/>
        </w:rPr>
        <w:t xml:space="preserve">i so prihodki na leto najbolj porasli v kovinski in strojni industriji </w:t>
      </w:r>
      <w:r w:rsidR="00EC0AEB">
        <w:rPr>
          <w:rFonts w:cstheme="minorHAnsi"/>
        </w:rPr>
        <w:t>(</w:t>
      </w:r>
      <w:r w:rsidRPr="00964361">
        <w:rPr>
          <w:rFonts w:cstheme="minorHAnsi"/>
        </w:rPr>
        <w:t>za 7,3 % letno</w:t>
      </w:r>
      <w:r w:rsidR="00EC0AEB">
        <w:rPr>
          <w:rFonts w:cstheme="minorHAnsi"/>
        </w:rPr>
        <w:t>)</w:t>
      </w:r>
      <w:r w:rsidRPr="00964361">
        <w:rPr>
          <w:rFonts w:cstheme="minorHAnsi"/>
        </w:rPr>
        <w:t xml:space="preserve">, drugih predelovalnih dejavnostih </w:t>
      </w:r>
      <w:r w:rsidR="00EC0AEB">
        <w:rPr>
          <w:rFonts w:cstheme="minorHAnsi"/>
        </w:rPr>
        <w:t>(</w:t>
      </w:r>
      <w:r w:rsidRPr="00964361">
        <w:rPr>
          <w:rFonts w:cstheme="minorHAnsi"/>
        </w:rPr>
        <w:t>za 6,5 % letno</w:t>
      </w:r>
      <w:r w:rsidR="00EC0AEB">
        <w:rPr>
          <w:rFonts w:cstheme="minorHAnsi"/>
        </w:rPr>
        <w:t>)</w:t>
      </w:r>
      <w:r w:rsidRPr="00964361">
        <w:rPr>
          <w:rFonts w:cstheme="minorHAnsi"/>
        </w:rPr>
        <w:t>, kemi</w:t>
      </w:r>
      <w:r w:rsidR="00EC0AEB">
        <w:rPr>
          <w:rFonts w:cstheme="minorHAnsi"/>
        </w:rPr>
        <w:t>čn</w:t>
      </w:r>
      <w:r w:rsidRPr="00964361">
        <w:rPr>
          <w:rFonts w:cstheme="minorHAnsi"/>
        </w:rPr>
        <w:t xml:space="preserve">i </w:t>
      </w:r>
      <w:r w:rsidR="00EC0AEB">
        <w:rPr>
          <w:rFonts w:cstheme="minorHAnsi"/>
        </w:rPr>
        <w:t>(</w:t>
      </w:r>
      <w:r w:rsidRPr="00964361">
        <w:rPr>
          <w:rFonts w:cstheme="minorHAnsi"/>
        </w:rPr>
        <w:t>za 6,1 % letno</w:t>
      </w:r>
      <w:r w:rsidR="00EC0AEB">
        <w:rPr>
          <w:rFonts w:cstheme="minorHAnsi"/>
        </w:rPr>
        <w:t>)</w:t>
      </w:r>
      <w:r w:rsidRPr="00964361">
        <w:rPr>
          <w:rFonts w:cstheme="minorHAnsi"/>
        </w:rPr>
        <w:t xml:space="preserve"> ter elektro industriji </w:t>
      </w:r>
      <w:r w:rsidR="00EC0AEB">
        <w:rPr>
          <w:rFonts w:cstheme="minorHAnsi"/>
        </w:rPr>
        <w:t>(</w:t>
      </w:r>
      <w:r w:rsidRPr="00964361">
        <w:rPr>
          <w:rFonts w:cstheme="minorHAnsi"/>
        </w:rPr>
        <w:t>6 % letno</w:t>
      </w:r>
      <w:r w:rsidR="00EC0AEB">
        <w:rPr>
          <w:rFonts w:cstheme="minorHAnsi"/>
        </w:rPr>
        <w:t>)</w:t>
      </w:r>
      <w:r w:rsidRPr="00964361">
        <w:rPr>
          <w:rFonts w:cstheme="minorHAnsi"/>
        </w:rPr>
        <w:t xml:space="preserve">. </w:t>
      </w:r>
    </w:p>
    <w:p w14:paraId="42954936" w14:textId="77777777" w:rsidR="00B758D5" w:rsidRDefault="00B758D5">
      <w:r>
        <w:rPr>
          <w:b/>
          <w:bCs/>
        </w:rPr>
        <w:br w:type="page"/>
      </w:r>
    </w:p>
    <w:tbl>
      <w:tblPr>
        <w:tblStyle w:val="Tabelaseznam4poudarek61"/>
        <w:tblW w:w="5000" w:type="pct"/>
        <w:tblLayout w:type="fixed"/>
        <w:tblLook w:val="04A0" w:firstRow="1" w:lastRow="0" w:firstColumn="1" w:lastColumn="0" w:noHBand="0" w:noVBand="1"/>
      </w:tblPr>
      <w:tblGrid>
        <w:gridCol w:w="1327"/>
        <w:gridCol w:w="1329"/>
        <w:gridCol w:w="1326"/>
        <w:gridCol w:w="1328"/>
        <w:gridCol w:w="1326"/>
        <w:gridCol w:w="1328"/>
        <w:gridCol w:w="1324"/>
      </w:tblGrid>
      <w:tr w:rsidR="00CD7D4F" w:rsidRPr="00663E6D" w14:paraId="4027A1C9" w14:textId="77777777" w:rsidTr="00B758D5">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714" w:type="pct"/>
            <w:vAlign w:val="center"/>
            <w:hideMark/>
          </w:tcPr>
          <w:p w14:paraId="74267927" w14:textId="77777777" w:rsidR="007C7F66" w:rsidRPr="0049147B" w:rsidRDefault="007C7F66" w:rsidP="00BF7D3C">
            <w:r w:rsidRPr="0049147B">
              <w:lastRenderedPageBreak/>
              <w:t> Strošek dela</w:t>
            </w:r>
          </w:p>
        </w:tc>
        <w:tc>
          <w:tcPr>
            <w:tcW w:w="715" w:type="pct"/>
            <w:vAlign w:val="center"/>
          </w:tcPr>
          <w:p w14:paraId="0302B386" w14:textId="77777777" w:rsidR="007C7F66" w:rsidRPr="0049147B" w:rsidRDefault="007C7F66" w:rsidP="00640727">
            <w:pPr>
              <w:jc w:val="center"/>
              <w:cnfStyle w:val="100000000000" w:firstRow="1" w:lastRow="0" w:firstColumn="0" w:lastColumn="0" w:oddVBand="0" w:evenVBand="0" w:oddHBand="0" w:evenHBand="0" w:firstRowFirstColumn="0" w:firstRowLastColumn="0" w:lastRowFirstColumn="0" w:lastRowLastColumn="0"/>
            </w:pPr>
            <w:r w:rsidRPr="0049147B">
              <w:t>Vred.</w:t>
            </w:r>
          </w:p>
          <w:p w14:paraId="19ADD3F4" w14:textId="77777777" w:rsidR="007C7F66" w:rsidRPr="0049147B" w:rsidRDefault="007C7F66" w:rsidP="00640727">
            <w:pPr>
              <w:jc w:val="center"/>
              <w:cnfStyle w:val="100000000000" w:firstRow="1" w:lastRow="0" w:firstColumn="0" w:lastColumn="0" w:oddVBand="0" w:evenVBand="0" w:oddHBand="0" w:evenHBand="0" w:firstRowFirstColumn="0" w:firstRowLastColumn="0" w:lastRowFirstColumn="0" w:lastRowLastColumn="0"/>
              <w:rPr>
                <w:b w:val="0"/>
              </w:rPr>
            </w:pPr>
            <w:r w:rsidRPr="0049147B">
              <w:t>2018,</w:t>
            </w:r>
          </w:p>
          <w:p w14:paraId="3CA8FAEE" w14:textId="77777777" w:rsidR="007C7F66" w:rsidRPr="0049147B" w:rsidRDefault="007C7F66" w:rsidP="00640727">
            <w:pPr>
              <w:jc w:val="center"/>
              <w:cnfStyle w:val="100000000000" w:firstRow="1" w:lastRow="0" w:firstColumn="0" w:lastColumn="0" w:oddVBand="0" w:evenVBand="0" w:oddHBand="0" w:evenHBand="0" w:firstRowFirstColumn="0" w:firstRowLastColumn="0" w:lastRowFirstColumn="0" w:lastRowLastColumn="0"/>
              <w:rPr>
                <w:b w:val="0"/>
              </w:rPr>
            </w:pPr>
            <w:r w:rsidRPr="0049147B">
              <w:t>mio EUR,</w:t>
            </w:r>
          </w:p>
        </w:tc>
        <w:tc>
          <w:tcPr>
            <w:tcW w:w="714" w:type="pct"/>
            <w:vAlign w:val="center"/>
          </w:tcPr>
          <w:p w14:paraId="39AF4B49" w14:textId="77777777" w:rsidR="007C7F66" w:rsidRPr="0049147B" w:rsidRDefault="007C7F66" w:rsidP="00640727">
            <w:pPr>
              <w:jc w:val="center"/>
              <w:cnfStyle w:val="100000000000" w:firstRow="1" w:lastRow="0" w:firstColumn="0" w:lastColumn="0" w:oddVBand="0" w:evenVBand="0" w:oddHBand="0" w:evenHBand="0" w:firstRowFirstColumn="0" w:firstRowLastColumn="0" w:lastRowFirstColumn="0" w:lastRowLastColumn="0"/>
              <w:rPr>
                <w:b w:val="0"/>
              </w:rPr>
            </w:pPr>
            <w:r w:rsidRPr="0049147B">
              <w:t>Ø Vred. 2008-2018,</w:t>
            </w:r>
          </w:p>
          <w:p w14:paraId="14E80CA9" w14:textId="77777777" w:rsidR="007C7F66" w:rsidRPr="0049147B" w:rsidRDefault="007C7F66" w:rsidP="00640727">
            <w:pPr>
              <w:jc w:val="center"/>
              <w:cnfStyle w:val="100000000000" w:firstRow="1" w:lastRow="0" w:firstColumn="0" w:lastColumn="0" w:oddVBand="0" w:evenVBand="0" w:oddHBand="0" w:evenHBand="0" w:firstRowFirstColumn="0" w:firstRowLastColumn="0" w:lastRowFirstColumn="0" w:lastRowLastColumn="0"/>
              <w:rPr>
                <w:b w:val="0"/>
              </w:rPr>
            </w:pPr>
            <w:r w:rsidRPr="0049147B">
              <w:t>mio EUR</w:t>
            </w:r>
          </w:p>
        </w:tc>
        <w:tc>
          <w:tcPr>
            <w:tcW w:w="715" w:type="pct"/>
            <w:vAlign w:val="center"/>
          </w:tcPr>
          <w:p w14:paraId="253A5A68" w14:textId="77777777" w:rsidR="007C7F66" w:rsidRPr="0049147B" w:rsidRDefault="007C7F66" w:rsidP="00640727">
            <w:pPr>
              <w:jc w:val="center"/>
              <w:cnfStyle w:val="100000000000" w:firstRow="1" w:lastRow="0" w:firstColumn="0" w:lastColumn="0" w:oddVBand="0" w:evenVBand="0" w:oddHBand="0" w:evenHBand="0" w:firstRowFirstColumn="0" w:firstRowLastColumn="0" w:lastRowFirstColumn="0" w:lastRowLastColumn="0"/>
              <w:rPr>
                <w:b w:val="0"/>
              </w:rPr>
            </w:pPr>
            <w:r w:rsidRPr="0049147B">
              <w:t>Vred. razlika</w:t>
            </w:r>
          </w:p>
          <w:p w14:paraId="4AAB054C" w14:textId="77777777" w:rsidR="007C7F66" w:rsidRPr="0049147B" w:rsidRDefault="007C7F66" w:rsidP="00640727">
            <w:pPr>
              <w:jc w:val="center"/>
              <w:cnfStyle w:val="100000000000" w:firstRow="1" w:lastRow="0" w:firstColumn="0" w:lastColumn="0" w:oddVBand="0" w:evenVBand="0" w:oddHBand="0" w:evenHBand="0" w:firstRowFirstColumn="0" w:firstRowLastColumn="0" w:lastRowFirstColumn="0" w:lastRowLastColumn="0"/>
              <w:rPr>
                <w:b w:val="0"/>
              </w:rPr>
            </w:pPr>
            <w:r w:rsidRPr="0049147B">
              <w:t>2018-2008,</w:t>
            </w:r>
          </w:p>
          <w:p w14:paraId="1DF71352" w14:textId="77777777" w:rsidR="007C7F66" w:rsidRPr="0049147B" w:rsidRDefault="007C7F66" w:rsidP="00640727">
            <w:pPr>
              <w:jc w:val="center"/>
              <w:cnfStyle w:val="100000000000" w:firstRow="1" w:lastRow="0" w:firstColumn="0" w:lastColumn="0" w:oddVBand="0" w:evenVBand="0" w:oddHBand="0" w:evenHBand="0" w:firstRowFirstColumn="0" w:firstRowLastColumn="0" w:lastRowFirstColumn="0" w:lastRowLastColumn="0"/>
            </w:pPr>
            <w:r w:rsidRPr="0049147B">
              <w:t>mio EUR</w:t>
            </w:r>
          </w:p>
        </w:tc>
        <w:tc>
          <w:tcPr>
            <w:tcW w:w="714" w:type="pct"/>
            <w:vAlign w:val="center"/>
          </w:tcPr>
          <w:p w14:paraId="2AACFB0B" w14:textId="77777777" w:rsidR="007C7F66" w:rsidRPr="0049147B" w:rsidRDefault="007C7F66" w:rsidP="00640727">
            <w:pPr>
              <w:jc w:val="center"/>
              <w:cnfStyle w:val="100000000000" w:firstRow="1" w:lastRow="0" w:firstColumn="0" w:lastColumn="0" w:oddVBand="0" w:evenVBand="0" w:oddHBand="0" w:evenHBand="0" w:firstRowFirstColumn="0" w:firstRowLastColumn="0" w:lastRowFirstColumn="0" w:lastRowLastColumn="0"/>
              <w:rPr>
                <w:b w:val="0"/>
              </w:rPr>
            </w:pPr>
            <w:r w:rsidRPr="0049147B">
              <w:t>Sprem. v %</w:t>
            </w:r>
          </w:p>
          <w:p w14:paraId="4927AF0F" w14:textId="77777777" w:rsidR="007C7F66" w:rsidRPr="0049147B" w:rsidRDefault="007C7F66" w:rsidP="00640727">
            <w:pPr>
              <w:jc w:val="center"/>
              <w:cnfStyle w:val="100000000000" w:firstRow="1" w:lastRow="0" w:firstColumn="0" w:lastColumn="0" w:oddVBand="0" w:evenVBand="0" w:oddHBand="0" w:evenHBand="0" w:firstRowFirstColumn="0" w:firstRowLastColumn="0" w:lastRowFirstColumn="0" w:lastRowLastColumn="0"/>
              <w:rPr>
                <w:b w:val="0"/>
              </w:rPr>
            </w:pPr>
            <w:r w:rsidRPr="0049147B">
              <w:t>2018/2008,</w:t>
            </w:r>
          </w:p>
        </w:tc>
        <w:tc>
          <w:tcPr>
            <w:tcW w:w="715" w:type="pct"/>
            <w:vAlign w:val="center"/>
          </w:tcPr>
          <w:p w14:paraId="1273B907" w14:textId="77777777" w:rsidR="007C7F66" w:rsidRPr="0049147B" w:rsidRDefault="007C7F66" w:rsidP="00640727">
            <w:pPr>
              <w:jc w:val="center"/>
              <w:cnfStyle w:val="100000000000" w:firstRow="1" w:lastRow="0" w:firstColumn="0" w:lastColumn="0" w:oddVBand="0" w:evenVBand="0" w:oddHBand="0" w:evenHBand="0" w:firstRowFirstColumn="0" w:firstRowLastColumn="0" w:lastRowFirstColumn="0" w:lastRowLastColumn="0"/>
              <w:rPr>
                <w:b w:val="0"/>
              </w:rPr>
            </w:pPr>
            <w:r w:rsidRPr="0049147B">
              <w:t>Ø Vred.</w:t>
            </w:r>
          </w:p>
          <w:p w14:paraId="7C8E0E91" w14:textId="77777777" w:rsidR="007C7F66" w:rsidRPr="0049147B" w:rsidRDefault="007C7F66" w:rsidP="00640727">
            <w:pPr>
              <w:jc w:val="center"/>
              <w:cnfStyle w:val="100000000000" w:firstRow="1" w:lastRow="0" w:firstColumn="0" w:lastColumn="0" w:oddVBand="0" w:evenVBand="0" w:oddHBand="0" w:evenHBand="0" w:firstRowFirstColumn="0" w:firstRowLastColumn="0" w:lastRowFirstColumn="0" w:lastRowLastColumn="0"/>
              <w:rPr>
                <w:b w:val="0"/>
              </w:rPr>
            </w:pPr>
            <w:r w:rsidRPr="0049147B">
              <w:t>2014-2018,</w:t>
            </w:r>
          </w:p>
          <w:p w14:paraId="70D1C663" w14:textId="77777777" w:rsidR="007C7F66" w:rsidRPr="0049147B" w:rsidRDefault="007C7F66" w:rsidP="00640727">
            <w:pPr>
              <w:jc w:val="center"/>
              <w:cnfStyle w:val="100000000000" w:firstRow="1" w:lastRow="0" w:firstColumn="0" w:lastColumn="0" w:oddVBand="0" w:evenVBand="0" w:oddHBand="0" w:evenHBand="0" w:firstRowFirstColumn="0" w:firstRowLastColumn="0" w:lastRowFirstColumn="0" w:lastRowLastColumn="0"/>
              <w:rPr>
                <w:b w:val="0"/>
              </w:rPr>
            </w:pPr>
            <w:r w:rsidRPr="0049147B">
              <w:t>mio EUR</w:t>
            </w:r>
          </w:p>
        </w:tc>
        <w:tc>
          <w:tcPr>
            <w:tcW w:w="713" w:type="pct"/>
            <w:vAlign w:val="center"/>
          </w:tcPr>
          <w:p w14:paraId="3AB4AB97" w14:textId="77777777" w:rsidR="007C7F66" w:rsidRPr="0049147B" w:rsidRDefault="00640727" w:rsidP="00640727">
            <w:pPr>
              <w:jc w:val="center"/>
              <w:cnfStyle w:val="100000000000" w:firstRow="1" w:lastRow="0" w:firstColumn="0" w:lastColumn="0" w:oddVBand="0" w:evenVBand="0" w:oddHBand="0" w:evenHBand="0" w:firstRowFirstColumn="0" w:firstRowLastColumn="0" w:lastRowFirstColumn="0" w:lastRowLastColumn="0"/>
              <w:rPr>
                <w:b w:val="0"/>
              </w:rPr>
            </w:pPr>
            <w:r w:rsidRPr="0049147B">
              <w:t>CAGR</w:t>
            </w:r>
            <w:r w:rsidRPr="0049147B">
              <w:rPr>
                <w:rStyle w:val="Sprotnaopomba-sklic"/>
              </w:rPr>
              <w:footnoteReference w:id="44"/>
            </w:r>
            <w:r w:rsidRPr="0049147B">
              <w:t xml:space="preserve"> v obdobju 2014-2018</w:t>
            </w:r>
          </w:p>
        </w:tc>
      </w:tr>
      <w:tr w:rsidR="00CD7D4F" w:rsidRPr="00663E6D" w14:paraId="664649A0" w14:textId="77777777" w:rsidTr="00B7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4" w:type="pct"/>
            <w:noWrap/>
            <w:vAlign w:val="bottom"/>
            <w:hideMark/>
          </w:tcPr>
          <w:p w14:paraId="4B76855E" w14:textId="77777777" w:rsidR="004D19BE" w:rsidRPr="00F5643D" w:rsidRDefault="004D19BE" w:rsidP="004D19BE">
            <w:pPr>
              <w:rPr>
                <w:rFonts w:ascii="Trebuchet MS" w:hAnsi="Trebuchet MS"/>
                <w:b w:val="0"/>
                <w:color w:val="000000"/>
              </w:rPr>
            </w:pPr>
            <w:r w:rsidRPr="00F5643D">
              <w:rPr>
                <w:rFonts w:ascii="Trebuchet MS" w:hAnsi="Trebuchet MS"/>
                <w:color w:val="000000"/>
              </w:rPr>
              <w:t>PREDEL. DEJ. SKUPAJ</w:t>
            </w:r>
          </w:p>
        </w:tc>
        <w:tc>
          <w:tcPr>
            <w:tcW w:w="715" w:type="pct"/>
            <w:vAlign w:val="center"/>
          </w:tcPr>
          <w:p w14:paraId="1CE74FD3"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color w:val="000000"/>
              </w:rPr>
            </w:pPr>
            <w:r w:rsidRPr="0049147B">
              <w:rPr>
                <w:b/>
                <w:color w:val="000000"/>
              </w:rPr>
              <w:t>5.376</w:t>
            </w:r>
          </w:p>
        </w:tc>
        <w:tc>
          <w:tcPr>
            <w:tcW w:w="714" w:type="pct"/>
            <w:vAlign w:val="center"/>
          </w:tcPr>
          <w:p w14:paraId="70EE21F9"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4.333</w:t>
            </w:r>
          </w:p>
        </w:tc>
        <w:tc>
          <w:tcPr>
            <w:tcW w:w="715" w:type="pct"/>
            <w:vAlign w:val="center"/>
          </w:tcPr>
          <w:p w14:paraId="7A9A42DE"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1.056</w:t>
            </w:r>
          </w:p>
        </w:tc>
        <w:tc>
          <w:tcPr>
            <w:tcW w:w="714" w:type="pct"/>
            <w:vAlign w:val="center"/>
          </w:tcPr>
          <w:p w14:paraId="0B0430C5"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5,9%</w:t>
            </w:r>
          </w:p>
        </w:tc>
        <w:tc>
          <w:tcPr>
            <w:tcW w:w="715" w:type="pct"/>
            <w:vAlign w:val="center"/>
          </w:tcPr>
          <w:p w14:paraId="3ACF9B42"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4.693</w:t>
            </w:r>
          </w:p>
        </w:tc>
        <w:tc>
          <w:tcPr>
            <w:tcW w:w="713" w:type="pct"/>
            <w:vAlign w:val="center"/>
          </w:tcPr>
          <w:p w14:paraId="4983F477"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5,9%</w:t>
            </w:r>
          </w:p>
        </w:tc>
      </w:tr>
      <w:tr w:rsidR="004D19BE" w:rsidRPr="00663E6D" w14:paraId="2B31686C" w14:textId="77777777" w:rsidTr="00B758D5">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31837B82" w14:textId="77777777" w:rsidR="004D19BE" w:rsidRPr="00F5643D" w:rsidRDefault="004D19BE" w:rsidP="004D19BE">
            <w:pPr>
              <w:rPr>
                <w:rFonts w:ascii="Trebuchet MS" w:hAnsi="Trebuchet MS"/>
                <w:color w:val="000000"/>
              </w:rPr>
            </w:pPr>
            <w:r w:rsidRPr="00F5643D">
              <w:rPr>
                <w:rFonts w:ascii="Trebuchet MS" w:hAnsi="Trebuchet MS"/>
                <w:color w:val="000000"/>
              </w:rPr>
              <w:t>Prehrambna</w:t>
            </w:r>
          </w:p>
        </w:tc>
        <w:tc>
          <w:tcPr>
            <w:tcW w:w="715" w:type="pct"/>
            <w:noWrap/>
            <w:vAlign w:val="center"/>
          </w:tcPr>
          <w:p w14:paraId="1C25F1C9"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364</w:t>
            </w:r>
          </w:p>
        </w:tc>
        <w:tc>
          <w:tcPr>
            <w:tcW w:w="714" w:type="pct"/>
            <w:noWrap/>
            <w:vAlign w:val="center"/>
          </w:tcPr>
          <w:p w14:paraId="76B97166"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312</w:t>
            </w:r>
          </w:p>
        </w:tc>
        <w:tc>
          <w:tcPr>
            <w:tcW w:w="715" w:type="pct"/>
            <w:noWrap/>
            <w:vAlign w:val="center"/>
          </w:tcPr>
          <w:p w14:paraId="43405DE6"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48</w:t>
            </w:r>
          </w:p>
        </w:tc>
        <w:tc>
          <w:tcPr>
            <w:tcW w:w="714" w:type="pct"/>
            <w:vAlign w:val="center"/>
          </w:tcPr>
          <w:p w14:paraId="175F2689"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4,9%</w:t>
            </w:r>
          </w:p>
        </w:tc>
        <w:tc>
          <w:tcPr>
            <w:tcW w:w="715" w:type="pct"/>
            <w:vAlign w:val="center"/>
          </w:tcPr>
          <w:p w14:paraId="3856116A"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324</w:t>
            </w:r>
          </w:p>
        </w:tc>
        <w:tc>
          <w:tcPr>
            <w:tcW w:w="713" w:type="pct"/>
            <w:noWrap/>
            <w:vAlign w:val="center"/>
          </w:tcPr>
          <w:p w14:paraId="58E6D976"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4,9%</w:t>
            </w:r>
          </w:p>
        </w:tc>
      </w:tr>
      <w:tr w:rsidR="00CD7D4F" w:rsidRPr="00663E6D" w14:paraId="483F323C" w14:textId="77777777" w:rsidTr="00B7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217FC7EF" w14:textId="77777777" w:rsidR="004D19BE" w:rsidRPr="00F5643D" w:rsidRDefault="004D19BE" w:rsidP="004D19BE">
            <w:pPr>
              <w:rPr>
                <w:rFonts w:ascii="Trebuchet MS" w:hAnsi="Trebuchet MS"/>
                <w:color w:val="000000"/>
              </w:rPr>
            </w:pPr>
            <w:r w:rsidRPr="00F5643D">
              <w:rPr>
                <w:rFonts w:ascii="Trebuchet MS" w:hAnsi="Trebuchet MS"/>
                <w:color w:val="000000"/>
              </w:rPr>
              <w:t>Tekstilna</w:t>
            </w:r>
          </w:p>
        </w:tc>
        <w:tc>
          <w:tcPr>
            <w:tcW w:w="715" w:type="pct"/>
            <w:noWrap/>
            <w:vAlign w:val="center"/>
          </w:tcPr>
          <w:p w14:paraId="3E25E75A"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180</w:t>
            </w:r>
          </w:p>
        </w:tc>
        <w:tc>
          <w:tcPr>
            <w:tcW w:w="714" w:type="pct"/>
            <w:noWrap/>
            <w:vAlign w:val="center"/>
          </w:tcPr>
          <w:p w14:paraId="4F29452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192</w:t>
            </w:r>
          </w:p>
        </w:tc>
        <w:tc>
          <w:tcPr>
            <w:tcW w:w="715" w:type="pct"/>
            <w:noWrap/>
            <w:vAlign w:val="center"/>
          </w:tcPr>
          <w:p w14:paraId="7D4DF03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-100</w:t>
            </w:r>
          </w:p>
        </w:tc>
        <w:tc>
          <w:tcPr>
            <w:tcW w:w="714" w:type="pct"/>
            <w:vAlign w:val="center"/>
          </w:tcPr>
          <w:p w14:paraId="3206013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0,5%</w:t>
            </w:r>
          </w:p>
        </w:tc>
        <w:tc>
          <w:tcPr>
            <w:tcW w:w="715" w:type="pct"/>
            <w:vAlign w:val="center"/>
          </w:tcPr>
          <w:p w14:paraId="2B689516"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165</w:t>
            </w:r>
          </w:p>
        </w:tc>
        <w:tc>
          <w:tcPr>
            <w:tcW w:w="713" w:type="pct"/>
            <w:noWrap/>
            <w:vAlign w:val="center"/>
          </w:tcPr>
          <w:p w14:paraId="662C3020"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0,5%</w:t>
            </w:r>
          </w:p>
        </w:tc>
      </w:tr>
      <w:tr w:rsidR="004D19BE" w:rsidRPr="00663E6D" w14:paraId="0448EA97" w14:textId="77777777" w:rsidTr="00B758D5">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3B77163E" w14:textId="77777777" w:rsidR="004D19BE" w:rsidRPr="00F5643D" w:rsidRDefault="004D19BE" w:rsidP="004D19BE">
            <w:pPr>
              <w:rPr>
                <w:rFonts w:ascii="Trebuchet MS" w:hAnsi="Trebuchet MS"/>
                <w:color w:val="000000"/>
              </w:rPr>
            </w:pPr>
            <w:r w:rsidRPr="00F5643D">
              <w:rPr>
                <w:rFonts w:ascii="Trebuchet MS" w:hAnsi="Trebuchet MS"/>
                <w:color w:val="000000"/>
              </w:rPr>
              <w:t>Lesna</w:t>
            </w:r>
          </w:p>
        </w:tc>
        <w:tc>
          <w:tcPr>
            <w:tcW w:w="715" w:type="pct"/>
            <w:noWrap/>
            <w:vAlign w:val="center"/>
          </w:tcPr>
          <w:p w14:paraId="629D185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271</w:t>
            </w:r>
          </w:p>
        </w:tc>
        <w:tc>
          <w:tcPr>
            <w:tcW w:w="714" w:type="pct"/>
            <w:noWrap/>
            <w:vAlign w:val="center"/>
          </w:tcPr>
          <w:p w14:paraId="3FBAECC9"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253</w:t>
            </w:r>
          </w:p>
        </w:tc>
        <w:tc>
          <w:tcPr>
            <w:tcW w:w="715" w:type="pct"/>
            <w:noWrap/>
            <w:vAlign w:val="center"/>
          </w:tcPr>
          <w:p w14:paraId="011AC38C"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-67</w:t>
            </w:r>
          </w:p>
        </w:tc>
        <w:tc>
          <w:tcPr>
            <w:tcW w:w="714" w:type="pct"/>
            <w:vAlign w:val="center"/>
          </w:tcPr>
          <w:p w14:paraId="7ACC943E"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4,7%</w:t>
            </w:r>
          </w:p>
        </w:tc>
        <w:tc>
          <w:tcPr>
            <w:tcW w:w="715" w:type="pct"/>
            <w:vAlign w:val="center"/>
          </w:tcPr>
          <w:p w14:paraId="15600C2F"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241</w:t>
            </w:r>
          </w:p>
        </w:tc>
        <w:tc>
          <w:tcPr>
            <w:tcW w:w="713" w:type="pct"/>
            <w:noWrap/>
            <w:vAlign w:val="center"/>
          </w:tcPr>
          <w:p w14:paraId="20C01741"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4,7%</w:t>
            </w:r>
          </w:p>
        </w:tc>
      </w:tr>
      <w:tr w:rsidR="00CD7D4F" w:rsidRPr="00663E6D" w14:paraId="0B5A95D9" w14:textId="77777777" w:rsidTr="00B7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7C5C4B63" w14:textId="77777777" w:rsidR="004D19BE" w:rsidRPr="00F5643D" w:rsidRDefault="004D19BE" w:rsidP="004D19BE">
            <w:pPr>
              <w:rPr>
                <w:rFonts w:ascii="Trebuchet MS" w:hAnsi="Trebuchet MS"/>
                <w:color w:val="000000"/>
              </w:rPr>
            </w:pPr>
            <w:r w:rsidRPr="00F5643D">
              <w:rPr>
                <w:rFonts w:ascii="Trebuchet MS" w:hAnsi="Trebuchet MS"/>
                <w:color w:val="000000"/>
              </w:rPr>
              <w:t>Papirna</w:t>
            </w:r>
          </w:p>
        </w:tc>
        <w:tc>
          <w:tcPr>
            <w:tcW w:w="715" w:type="pct"/>
            <w:noWrap/>
            <w:vAlign w:val="center"/>
          </w:tcPr>
          <w:p w14:paraId="7BC51F6E"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200</w:t>
            </w:r>
          </w:p>
        </w:tc>
        <w:tc>
          <w:tcPr>
            <w:tcW w:w="714" w:type="pct"/>
            <w:noWrap/>
            <w:vAlign w:val="center"/>
          </w:tcPr>
          <w:p w14:paraId="5453B29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189</w:t>
            </w:r>
          </w:p>
        </w:tc>
        <w:tc>
          <w:tcPr>
            <w:tcW w:w="715" w:type="pct"/>
            <w:noWrap/>
            <w:vAlign w:val="center"/>
          </w:tcPr>
          <w:p w14:paraId="29F695BC"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-24</w:t>
            </w:r>
          </w:p>
        </w:tc>
        <w:tc>
          <w:tcPr>
            <w:tcW w:w="714" w:type="pct"/>
            <w:vAlign w:val="center"/>
          </w:tcPr>
          <w:p w14:paraId="73DB0916"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2,5%</w:t>
            </w:r>
          </w:p>
        </w:tc>
        <w:tc>
          <w:tcPr>
            <w:tcW w:w="715" w:type="pct"/>
            <w:vAlign w:val="center"/>
          </w:tcPr>
          <w:p w14:paraId="34F88F3F"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188</w:t>
            </w:r>
          </w:p>
        </w:tc>
        <w:tc>
          <w:tcPr>
            <w:tcW w:w="713" w:type="pct"/>
            <w:noWrap/>
            <w:vAlign w:val="center"/>
          </w:tcPr>
          <w:p w14:paraId="3E9C4046"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2,5%</w:t>
            </w:r>
          </w:p>
        </w:tc>
      </w:tr>
      <w:tr w:rsidR="004D19BE" w:rsidRPr="00663E6D" w14:paraId="598D7BAB" w14:textId="77777777" w:rsidTr="00B758D5">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2D336632" w14:textId="77777777" w:rsidR="004D19BE" w:rsidRPr="00F5643D" w:rsidRDefault="004D19BE" w:rsidP="004D19BE">
            <w:pPr>
              <w:rPr>
                <w:rFonts w:ascii="Trebuchet MS" w:hAnsi="Trebuchet MS"/>
                <w:color w:val="000000"/>
              </w:rPr>
            </w:pPr>
            <w:r w:rsidRPr="00F5643D">
              <w:rPr>
                <w:rFonts w:ascii="Trebuchet MS" w:hAnsi="Trebuchet MS"/>
                <w:color w:val="000000"/>
              </w:rPr>
              <w:t>Kemična</w:t>
            </w:r>
          </w:p>
        </w:tc>
        <w:tc>
          <w:tcPr>
            <w:tcW w:w="715" w:type="pct"/>
            <w:noWrap/>
            <w:vAlign w:val="center"/>
          </w:tcPr>
          <w:p w14:paraId="27E46721"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1.079</w:t>
            </w:r>
          </w:p>
        </w:tc>
        <w:tc>
          <w:tcPr>
            <w:tcW w:w="714" w:type="pct"/>
            <w:noWrap/>
            <w:vAlign w:val="center"/>
          </w:tcPr>
          <w:p w14:paraId="00552419"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832</w:t>
            </w:r>
          </w:p>
        </w:tc>
        <w:tc>
          <w:tcPr>
            <w:tcW w:w="715" w:type="pct"/>
            <w:noWrap/>
            <w:vAlign w:val="center"/>
          </w:tcPr>
          <w:p w14:paraId="5D569504"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349</w:t>
            </w:r>
          </w:p>
        </w:tc>
        <w:tc>
          <w:tcPr>
            <w:tcW w:w="714" w:type="pct"/>
            <w:vAlign w:val="center"/>
          </w:tcPr>
          <w:p w14:paraId="5D9FB4A9"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6,1%</w:t>
            </w:r>
          </w:p>
        </w:tc>
        <w:tc>
          <w:tcPr>
            <w:tcW w:w="715" w:type="pct"/>
            <w:vAlign w:val="center"/>
          </w:tcPr>
          <w:p w14:paraId="52E2A96F"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938</w:t>
            </w:r>
          </w:p>
        </w:tc>
        <w:tc>
          <w:tcPr>
            <w:tcW w:w="713" w:type="pct"/>
            <w:noWrap/>
            <w:vAlign w:val="center"/>
          </w:tcPr>
          <w:p w14:paraId="5C8AF2B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6,1%</w:t>
            </w:r>
          </w:p>
        </w:tc>
      </w:tr>
      <w:tr w:rsidR="00CD7D4F" w:rsidRPr="00663E6D" w14:paraId="00D62BD2" w14:textId="77777777" w:rsidTr="00B7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23CE2345" w14:textId="77777777" w:rsidR="004D19BE" w:rsidRPr="00F5643D" w:rsidRDefault="004D19BE" w:rsidP="004D19BE">
            <w:pPr>
              <w:rPr>
                <w:rFonts w:ascii="Trebuchet MS" w:hAnsi="Trebuchet MS"/>
                <w:color w:val="000000"/>
              </w:rPr>
            </w:pPr>
            <w:r w:rsidRPr="00F5643D">
              <w:rPr>
                <w:rFonts w:ascii="Trebuchet MS" w:hAnsi="Trebuchet MS"/>
                <w:color w:val="000000"/>
              </w:rPr>
              <w:t>Nekovinska</w:t>
            </w:r>
          </w:p>
        </w:tc>
        <w:tc>
          <w:tcPr>
            <w:tcW w:w="715" w:type="pct"/>
            <w:noWrap/>
            <w:vAlign w:val="center"/>
          </w:tcPr>
          <w:p w14:paraId="362BC0DE"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186</w:t>
            </w:r>
          </w:p>
        </w:tc>
        <w:tc>
          <w:tcPr>
            <w:tcW w:w="714" w:type="pct"/>
            <w:noWrap/>
            <w:vAlign w:val="center"/>
          </w:tcPr>
          <w:p w14:paraId="4792E455"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170</w:t>
            </w:r>
          </w:p>
        </w:tc>
        <w:tc>
          <w:tcPr>
            <w:tcW w:w="715" w:type="pct"/>
            <w:noWrap/>
            <w:vAlign w:val="center"/>
          </w:tcPr>
          <w:p w14:paraId="694E68FE"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9</w:t>
            </w:r>
          </w:p>
        </w:tc>
        <w:tc>
          <w:tcPr>
            <w:tcW w:w="714" w:type="pct"/>
            <w:vAlign w:val="center"/>
          </w:tcPr>
          <w:p w14:paraId="001EC97F"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2,6%</w:t>
            </w:r>
          </w:p>
        </w:tc>
        <w:tc>
          <w:tcPr>
            <w:tcW w:w="715" w:type="pct"/>
            <w:vAlign w:val="center"/>
          </w:tcPr>
          <w:p w14:paraId="3824ABDC"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171</w:t>
            </w:r>
          </w:p>
        </w:tc>
        <w:tc>
          <w:tcPr>
            <w:tcW w:w="713" w:type="pct"/>
            <w:noWrap/>
            <w:vAlign w:val="center"/>
          </w:tcPr>
          <w:p w14:paraId="71E1DC87"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2,6%</w:t>
            </w:r>
          </w:p>
        </w:tc>
      </w:tr>
      <w:tr w:rsidR="004D19BE" w:rsidRPr="00663E6D" w14:paraId="14CB304D" w14:textId="77777777" w:rsidTr="00B758D5">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335BC5AC" w14:textId="77777777" w:rsidR="004D19BE" w:rsidRPr="00F5643D" w:rsidRDefault="004D19BE" w:rsidP="004D19BE">
            <w:pPr>
              <w:rPr>
                <w:rFonts w:ascii="Trebuchet MS" w:hAnsi="Trebuchet MS"/>
                <w:color w:val="000000"/>
              </w:rPr>
            </w:pPr>
            <w:r w:rsidRPr="00F5643D">
              <w:rPr>
                <w:rFonts w:ascii="Trebuchet MS" w:hAnsi="Trebuchet MS"/>
                <w:color w:val="000000"/>
              </w:rPr>
              <w:t>Kovinska</w:t>
            </w:r>
          </w:p>
        </w:tc>
        <w:tc>
          <w:tcPr>
            <w:tcW w:w="715" w:type="pct"/>
            <w:noWrap/>
            <w:vAlign w:val="center"/>
          </w:tcPr>
          <w:p w14:paraId="62BB1BAB"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1.106</w:t>
            </w:r>
          </w:p>
        </w:tc>
        <w:tc>
          <w:tcPr>
            <w:tcW w:w="714" w:type="pct"/>
            <w:noWrap/>
            <w:vAlign w:val="center"/>
          </w:tcPr>
          <w:p w14:paraId="3F215FB4"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847</w:t>
            </w:r>
          </w:p>
        </w:tc>
        <w:tc>
          <w:tcPr>
            <w:tcW w:w="715" w:type="pct"/>
            <w:noWrap/>
            <w:vAlign w:val="center"/>
          </w:tcPr>
          <w:p w14:paraId="7E613FD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280</w:t>
            </w:r>
          </w:p>
        </w:tc>
        <w:tc>
          <w:tcPr>
            <w:tcW w:w="714" w:type="pct"/>
            <w:vAlign w:val="center"/>
          </w:tcPr>
          <w:p w14:paraId="73DA6DC5"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7,3%</w:t>
            </w:r>
          </w:p>
        </w:tc>
        <w:tc>
          <w:tcPr>
            <w:tcW w:w="715" w:type="pct"/>
            <w:vAlign w:val="center"/>
          </w:tcPr>
          <w:p w14:paraId="1DB222F8"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954</w:t>
            </w:r>
          </w:p>
        </w:tc>
        <w:tc>
          <w:tcPr>
            <w:tcW w:w="713" w:type="pct"/>
            <w:noWrap/>
            <w:vAlign w:val="center"/>
          </w:tcPr>
          <w:p w14:paraId="55F4361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7,3%</w:t>
            </w:r>
          </w:p>
        </w:tc>
      </w:tr>
      <w:tr w:rsidR="00CD7D4F" w:rsidRPr="00663E6D" w14:paraId="61D537C0" w14:textId="77777777" w:rsidTr="00B7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5208B2B1" w14:textId="77777777" w:rsidR="004D19BE" w:rsidRPr="00F5643D" w:rsidRDefault="004D19BE" w:rsidP="004D19BE">
            <w:pPr>
              <w:rPr>
                <w:rFonts w:ascii="Trebuchet MS" w:hAnsi="Trebuchet MS"/>
                <w:color w:val="000000"/>
              </w:rPr>
            </w:pPr>
            <w:r w:rsidRPr="00F5643D">
              <w:rPr>
                <w:rFonts w:ascii="Trebuchet MS" w:hAnsi="Trebuchet MS"/>
                <w:color w:val="000000"/>
              </w:rPr>
              <w:t>Elektro</w:t>
            </w:r>
          </w:p>
        </w:tc>
        <w:tc>
          <w:tcPr>
            <w:tcW w:w="715" w:type="pct"/>
            <w:noWrap/>
            <w:vAlign w:val="center"/>
          </w:tcPr>
          <w:p w14:paraId="32BC1D66"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741</w:t>
            </w:r>
          </w:p>
        </w:tc>
        <w:tc>
          <w:tcPr>
            <w:tcW w:w="714" w:type="pct"/>
            <w:noWrap/>
            <w:vAlign w:val="center"/>
          </w:tcPr>
          <w:p w14:paraId="75C0978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594</w:t>
            </w:r>
          </w:p>
        </w:tc>
        <w:tc>
          <w:tcPr>
            <w:tcW w:w="715" w:type="pct"/>
            <w:noWrap/>
            <w:vAlign w:val="center"/>
          </w:tcPr>
          <w:p w14:paraId="78816509"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194</w:t>
            </w:r>
          </w:p>
        </w:tc>
        <w:tc>
          <w:tcPr>
            <w:tcW w:w="714" w:type="pct"/>
            <w:vAlign w:val="center"/>
          </w:tcPr>
          <w:p w14:paraId="170E129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6,0%</w:t>
            </w:r>
          </w:p>
        </w:tc>
        <w:tc>
          <w:tcPr>
            <w:tcW w:w="715" w:type="pct"/>
            <w:vAlign w:val="center"/>
          </w:tcPr>
          <w:p w14:paraId="11EB07B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650</w:t>
            </w:r>
          </w:p>
        </w:tc>
        <w:tc>
          <w:tcPr>
            <w:tcW w:w="713" w:type="pct"/>
            <w:noWrap/>
            <w:vAlign w:val="center"/>
          </w:tcPr>
          <w:p w14:paraId="0094A6F2"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6,0%</w:t>
            </w:r>
          </w:p>
        </w:tc>
      </w:tr>
      <w:tr w:rsidR="004D19BE" w:rsidRPr="00663E6D" w14:paraId="6778181C" w14:textId="77777777" w:rsidTr="00B758D5">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4BC8B68A" w14:textId="77777777" w:rsidR="004D19BE" w:rsidRPr="00F5643D" w:rsidRDefault="004D19BE" w:rsidP="004D19BE">
            <w:pPr>
              <w:rPr>
                <w:rFonts w:ascii="Trebuchet MS" w:hAnsi="Trebuchet MS"/>
                <w:color w:val="000000"/>
              </w:rPr>
            </w:pPr>
            <w:r w:rsidRPr="00F5643D">
              <w:rPr>
                <w:rFonts w:ascii="Trebuchet MS" w:hAnsi="Trebuchet MS"/>
                <w:color w:val="000000"/>
              </w:rPr>
              <w:t>Strojna</w:t>
            </w:r>
          </w:p>
        </w:tc>
        <w:tc>
          <w:tcPr>
            <w:tcW w:w="715" w:type="pct"/>
            <w:noWrap/>
            <w:vAlign w:val="center"/>
          </w:tcPr>
          <w:p w14:paraId="6E0F9FC0"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1.153</w:t>
            </w:r>
          </w:p>
        </w:tc>
        <w:tc>
          <w:tcPr>
            <w:tcW w:w="714" w:type="pct"/>
            <w:noWrap/>
            <w:vAlign w:val="center"/>
          </w:tcPr>
          <w:p w14:paraId="68707DDC"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863</w:t>
            </w:r>
          </w:p>
        </w:tc>
        <w:tc>
          <w:tcPr>
            <w:tcW w:w="715" w:type="pct"/>
            <w:noWrap/>
            <w:vAlign w:val="center"/>
          </w:tcPr>
          <w:p w14:paraId="3E995D87"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346</w:t>
            </w:r>
          </w:p>
        </w:tc>
        <w:tc>
          <w:tcPr>
            <w:tcW w:w="714" w:type="pct"/>
            <w:vAlign w:val="center"/>
          </w:tcPr>
          <w:p w14:paraId="1CA5E08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7,3%</w:t>
            </w:r>
          </w:p>
        </w:tc>
        <w:tc>
          <w:tcPr>
            <w:tcW w:w="715" w:type="pct"/>
            <w:vAlign w:val="center"/>
          </w:tcPr>
          <w:p w14:paraId="22A29440"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978</w:t>
            </w:r>
          </w:p>
        </w:tc>
        <w:tc>
          <w:tcPr>
            <w:tcW w:w="713" w:type="pct"/>
            <w:noWrap/>
            <w:vAlign w:val="center"/>
          </w:tcPr>
          <w:p w14:paraId="521E177E"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7,3%</w:t>
            </w:r>
          </w:p>
        </w:tc>
      </w:tr>
      <w:tr w:rsidR="00CD7D4F" w:rsidRPr="00663E6D" w14:paraId="1DC8B953" w14:textId="77777777" w:rsidTr="00B7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0541D420" w14:textId="77777777" w:rsidR="004D19BE" w:rsidRPr="00F5643D" w:rsidRDefault="004D19BE" w:rsidP="004D19BE">
            <w:pPr>
              <w:rPr>
                <w:rFonts w:ascii="Trebuchet MS" w:hAnsi="Trebuchet MS"/>
                <w:color w:val="000000"/>
              </w:rPr>
            </w:pPr>
            <w:r w:rsidRPr="00F5643D">
              <w:rPr>
                <w:rFonts w:ascii="Trebuchet MS" w:hAnsi="Trebuchet MS"/>
                <w:color w:val="000000"/>
              </w:rPr>
              <w:t>Druge</w:t>
            </w:r>
          </w:p>
        </w:tc>
        <w:tc>
          <w:tcPr>
            <w:tcW w:w="715" w:type="pct"/>
            <w:noWrap/>
            <w:vAlign w:val="center"/>
          </w:tcPr>
          <w:p w14:paraId="49737CF5"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99</w:t>
            </w:r>
          </w:p>
        </w:tc>
        <w:tc>
          <w:tcPr>
            <w:tcW w:w="714" w:type="pct"/>
            <w:noWrap/>
            <w:vAlign w:val="center"/>
          </w:tcPr>
          <w:p w14:paraId="6E8D98B8"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79</w:t>
            </w:r>
          </w:p>
        </w:tc>
        <w:tc>
          <w:tcPr>
            <w:tcW w:w="715" w:type="pct"/>
            <w:noWrap/>
            <w:vAlign w:val="center"/>
          </w:tcPr>
          <w:p w14:paraId="4928C34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25</w:t>
            </w:r>
          </w:p>
        </w:tc>
        <w:tc>
          <w:tcPr>
            <w:tcW w:w="714" w:type="pct"/>
            <w:vAlign w:val="center"/>
          </w:tcPr>
          <w:p w14:paraId="3BD76A8E"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6,5%</w:t>
            </w:r>
          </w:p>
        </w:tc>
        <w:tc>
          <w:tcPr>
            <w:tcW w:w="715" w:type="pct"/>
            <w:vAlign w:val="center"/>
          </w:tcPr>
          <w:p w14:paraId="521FB089"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85</w:t>
            </w:r>
          </w:p>
        </w:tc>
        <w:tc>
          <w:tcPr>
            <w:tcW w:w="713" w:type="pct"/>
            <w:noWrap/>
            <w:vAlign w:val="center"/>
          </w:tcPr>
          <w:p w14:paraId="24C467A4"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6,5%</w:t>
            </w:r>
          </w:p>
        </w:tc>
      </w:tr>
    </w:tbl>
    <w:p w14:paraId="387A6837" w14:textId="77777777" w:rsidR="003372D7" w:rsidRPr="009B538E" w:rsidRDefault="003372D7" w:rsidP="003372D7">
      <w:pPr>
        <w:spacing w:before="20"/>
        <w:jc w:val="both"/>
        <w:rPr>
          <w:i/>
        </w:rPr>
      </w:pPr>
      <w:r w:rsidRPr="009B538E">
        <w:rPr>
          <w:i/>
        </w:rPr>
        <w:t>Vir: SURS, strukturna statistika podjetij, preračuni Analitika GZS</w:t>
      </w:r>
    </w:p>
    <w:p w14:paraId="4AFCCF43" w14:textId="559A98D1" w:rsidR="007C7F66" w:rsidRPr="00964361" w:rsidRDefault="007C7F66" w:rsidP="00405849">
      <w:pPr>
        <w:pStyle w:val="Odstavekseznama"/>
        <w:ind w:left="0"/>
        <w:jc w:val="both"/>
        <w:rPr>
          <w:rFonts w:cstheme="minorHAnsi"/>
        </w:rPr>
      </w:pPr>
      <w:r w:rsidRPr="00964361">
        <w:rPr>
          <w:rFonts w:cstheme="minorHAnsi"/>
          <w:b/>
          <w:bCs/>
        </w:rPr>
        <w:t>Delež stroškov dela v dodani vrednosti</w:t>
      </w:r>
      <w:r w:rsidRPr="00964361">
        <w:rPr>
          <w:rFonts w:cstheme="minorHAnsi"/>
        </w:rPr>
        <w:t xml:space="preserve"> pove, kolikšen delež dodane vrednosti po plačilu delovne sile ostane lastniku kapitala za razvoj, investicije, stroške financiranja, davke in izplačilo ali zadržanje dobička. Delež stroškov dela v dodani vrednosti je v predelovalnih dejavnosti</w:t>
      </w:r>
      <w:r w:rsidR="00281A89">
        <w:rPr>
          <w:rFonts w:cstheme="minorHAnsi"/>
        </w:rPr>
        <w:t>h</w:t>
      </w:r>
      <w:r w:rsidRPr="00964361">
        <w:rPr>
          <w:rFonts w:cstheme="minorHAnsi"/>
        </w:rPr>
        <w:t xml:space="preserve"> nad 60-odstoten, saj so mnoge panoge delovno intenzivne z nižjo ustvarjeno dodano vrednostjo. V predelovalnih dejavnostih so stroški dela v dodani vrednosti postopno upadali vse od 2013 do 2017, ko </w:t>
      </w:r>
      <w:r w:rsidR="00864932">
        <w:rPr>
          <w:rFonts w:cstheme="minorHAnsi"/>
        </w:rPr>
        <w:t xml:space="preserve">so </w:t>
      </w:r>
      <w:r w:rsidRPr="00964361">
        <w:rPr>
          <w:rFonts w:cstheme="minorHAnsi"/>
        </w:rPr>
        <w:t>znašali med 64,1 % in 59,1 %, v 2018 pa so ponovno porasli, saj so se stroški dela povišali za več</w:t>
      </w:r>
      <w:r w:rsidR="00864932">
        <w:rPr>
          <w:rFonts w:cstheme="minorHAnsi"/>
        </w:rPr>
        <w:t>,</w:t>
      </w:r>
      <w:r w:rsidRPr="00964361">
        <w:rPr>
          <w:rFonts w:cstheme="minorHAnsi"/>
        </w:rPr>
        <w:t xml:space="preserve"> kot je znašalo zvišanje dodane vrednosti. </w:t>
      </w:r>
      <w:r w:rsidRPr="00FD4C45">
        <w:rPr>
          <w:rFonts w:cstheme="minorHAnsi"/>
        </w:rPr>
        <w:t>Najvišj</w:t>
      </w:r>
      <w:r w:rsidR="00864932">
        <w:rPr>
          <w:rFonts w:cstheme="minorHAnsi"/>
        </w:rPr>
        <w:t>e</w:t>
      </w:r>
      <w:r w:rsidRPr="00FD4C45">
        <w:rPr>
          <w:rFonts w:cstheme="minorHAnsi"/>
        </w:rPr>
        <w:t xml:space="preserve"> strošk</w:t>
      </w:r>
      <w:r w:rsidR="00864932">
        <w:rPr>
          <w:rFonts w:cstheme="minorHAnsi"/>
        </w:rPr>
        <w:t>e</w:t>
      </w:r>
      <w:r w:rsidRPr="00964361">
        <w:rPr>
          <w:rFonts w:cstheme="minorHAnsi"/>
        </w:rPr>
        <w:t xml:space="preserve"> dela v dodani vrednosti so v predelovalnih dejavnostih </w:t>
      </w:r>
      <w:r w:rsidR="00864932" w:rsidRPr="00FD4C45">
        <w:rPr>
          <w:rFonts w:cstheme="minorHAnsi"/>
        </w:rPr>
        <w:t>z</w:t>
      </w:r>
      <w:r w:rsidR="00864932">
        <w:rPr>
          <w:rFonts w:cstheme="minorHAnsi"/>
        </w:rPr>
        <w:t>abeleži</w:t>
      </w:r>
      <w:r w:rsidR="00864932" w:rsidRPr="00FD4C45">
        <w:rPr>
          <w:rFonts w:cstheme="minorHAnsi"/>
        </w:rPr>
        <w:t>li</w:t>
      </w:r>
      <w:r w:rsidRPr="00964361">
        <w:rPr>
          <w:rFonts w:cstheme="minorHAnsi"/>
        </w:rPr>
        <w:t xml:space="preserve"> v 2009 (72,6 %), saj so stroški dela upadli za pol manj</w:t>
      </w:r>
      <w:r w:rsidR="00281A89">
        <w:rPr>
          <w:rFonts w:cstheme="minorHAnsi"/>
        </w:rPr>
        <w:t>,</w:t>
      </w:r>
      <w:r w:rsidRPr="00964361">
        <w:rPr>
          <w:rFonts w:cstheme="minorHAnsi"/>
        </w:rPr>
        <w:t xml:space="preserve"> kot pa je znašal upad dodane vrednosti zaradi finančne in gospodarske krize. V zadnjih </w:t>
      </w:r>
      <w:r w:rsidR="00281A89">
        <w:rPr>
          <w:rFonts w:cstheme="minorHAnsi"/>
        </w:rPr>
        <w:t>enajstih</w:t>
      </w:r>
      <w:r w:rsidR="00281A89" w:rsidRPr="00964361">
        <w:rPr>
          <w:rFonts w:cstheme="minorHAnsi"/>
        </w:rPr>
        <w:t xml:space="preserve"> </w:t>
      </w:r>
      <w:r w:rsidRPr="00964361">
        <w:rPr>
          <w:rFonts w:cstheme="minorHAnsi"/>
        </w:rPr>
        <w:t xml:space="preserve">letih so </w:t>
      </w:r>
      <w:r w:rsidRPr="00FD4C45">
        <w:rPr>
          <w:rFonts w:cstheme="minorHAnsi"/>
        </w:rPr>
        <w:t>strošk</w:t>
      </w:r>
      <w:r w:rsidR="00864932">
        <w:rPr>
          <w:rFonts w:cstheme="minorHAnsi"/>
        </w:rPr>
        <w:t>i</w:t>
      </w:r>
      <w:r w:rsidRPr="00964361">
        <w:rPr>
          <w:rFonts w:cstheme="minorHAnsi"/>
        </w:rPr>
        <w:t xml:space="preserve"> dela v dodani v</w:t>
      </w:r>
      <w:r w:rsidR="00EA7F28" w:rsidRPr="00964361">
        <w:rPr>
          <w:rFonts w:cstheme="minorHAnsi"/>
        </w:rPr>
        <w:t>rednosti v povprečju znašali 63</w:t>
      </w:r>
      <w:r w:rsidR="00EB1801">
        <w:rPr>
          <w:rFonts w:cstheme="minorHAnsi"/>
        </w:rPr>
        <w:t xml:space="preserve"> </w:t>
      </w:r>
      <w:r w:rsidRPr="00964361">
        <w:rPr>
          <w:rFonts w:cstheme="minorHAnsi"/>
        </w:rPr>
        <w:t>%, v letih 2008</w:t>
      </w:r>
      <w:r w:rsidR="00EA7F28" w:rsidRPr="00964361">
        <w:rPr>
          <w:rFonts w:cstheme="minorHAnsi"/>
        </w:rPr>
        <w:t>-2013 so znašali v povprečju 66</w:t>
      </w:r>
      <w:r w:rsidR="00EB1801">
        <w:rPr>
          <w:rFonts w:cstheme="minorHAnsi"/>
        </w:rPr>
        <w:t xml:space="preserve"> </w:t>
      </w:r>
      <w:r w:rsidRPr="00964361">
        <w:rPr>
          <w:rFonts w:cstheme="minorHAnsi"/>
        </w:rPr>
        <w:t>%, v nasledn</w:t>
      </w:r>
      <w:r w:rsidR="00EA7F28" w:rsidRPr="00964361">
        <w:rPr>
          <w:rFonts w:cstheme="minorHAnsi"/>
        </w:rPr>
        <w:t xml:space="preserve">jih petih letih </w:t>
      </w:r>
      <w:r w:rsidR="00050216">
        <w:rPr>
          <w:rFonts w:cstheme="minorHAnsi"/>
        </w:rPr>
        <w:t>(</w:t>
      </w:r>
      <w:r w:rsidR="00EA7F28" w:rsidRPr="00964361">
        <w:rPr>
          <w:rFonts w:cstheme="minorHAnsi"/>
        </w:rPr>
        <w:t>2014-2018</w:t>
      </w:r>
      <w:r w:rsidR="00050216">
        <w:rPr>
          <w:rFonts w:cstheme="minorHAnsi"/>
        </w:rPr>
        <w:t>)</w:t>
      </w:r>
      <w:r w:rsidR="00EA7F28" w:rsidRPr="00964361">
        <w:rPr>
          <w:rFonts w:cstheme="minorHAnsi"/>
        </w:rPr>
        <w:t xml:space="preserve"> pa 60</w:t>
      </w:r>
      <w:r w:rsidR="00EB1801">
        <w:rPr>
          <w:rFonts w:cstheme="minorHAnsi"/>
        </w:rPr>
        <w:t xml:space="preserve"> </w:t>
      </w:r>
      <w:r w:rsidRPr="00964361">
        <w:rPr>
          <w:rFonts w:cstheme="minorHAnsi"/>
        </w:rPr>
        <w:t xml:space="preserve">%.  </w:t>
      </w:r>
    </w:p>
    <w:p w14:paraId="5FA8098A" w14:textId="7547DBBF" w:rsidR="007C7F66" w:rsidRPr="00964361" w:rsidRDefault="007C7F66" w:rsidP="00405849">
      <w:pPr>
        <w:jc w:val="both"/>
        <w:rPr>
          <w:rFonts w:cstheme="minorHAnsi"/>
        </w:rPr>
      </w:pPr>
      <w:r w:rsidRPr="00964361">
        <w:rPr>
          <w:rFonts w:cstheme="minorHAnsi"/>
        </w:rPr>
        <w:t>Med predelovalnimi dejavnostmi beležijo v 2018 najvišji strošek dela v dodani vrednosti v tekstilni (68,4 %) in papirni industriji (66,7%), ki sta delovno zelo intenzivni panogi in ustvarita nižjo dodano vrednost na zaposlenega. Sledi</w:t>
      </w:r>
      <w:r w:rsidR="009F7508">
        <w:rPr>
          <w:rFonts w:cstheme="minorHAnsi"/>
        </w:rPr>
        <w:t>jo</w:t>
      </w:r>
      <w:r w:rsidRPr="00964361">
        <w:rPr>
          <w:rFonts w:cstheme="minorHAnsi"/>
        </w:rPr>
        <w:t xml:space="preserve"> elektro (66,4 %), strojna (64,</w:t>
      </w:r>
      <w:r w:rsidR="00BC2688" w:rsidRPr="00964361">
        <w:rPr>
          <w:rFonts w:cstheme="minorHAnsi"/>
        </w:rPr>
        <w:t>2</w:t>
      </w:r>
      <w:r w:rsidRPr="00964361">
        <w:rPr>
          <w:rFonts w:cstheme="minorHAnsi"/>
        </w:rPr>
        <w:t xml:space="preserve"> %), kovinska (63,3 %), lesna in prehrambna industrija (dobrih 61 %). </w:t>
      </w:r>
    </w:p>
    <w:p w14:paraId="4C82E8EB" w14:textId="77777777" w:rsidR="00BC2688" w:rsidRDefault="00BC2688" w:rsidP="00A347B2">
      <w:pPr>
        <w:spacing w:after="0"/>
        <w:rPr>
          <w:rFonts w:cstheme="minorHAnsi"/>
        </w:rPr>
      </w:pPr>
      <w:r>
        <w:rPr>
          <w:noProof/>
          <w:lang w:eastAsia="sl-SI"/>
        </w:rPr>
        <w:lastRenderedPageBreak/>
        <w:drawing>
          <wp:inline distT="0" distB="0" distL="0" distR="0" wp14:anchorId="420DE989" wp14:editId="2AC50C9B">
            <wp:extent cx="4572001" cy="2743200"/>
            <wp:effectExtent l="0" t="0" r="0" b="0"/>
            <wp:docPr id="26" name="Grafikon 2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36F9DF2-2ABB-42DB-98BC-4701381AB5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52E6DE4" w14:textId="77777777" w:rsidR="003372D7" w:rsidRPr="009B538E" w:rsidRDefault="003372D7" w:rsidP="00BC2688">
      <w:r w:rsidRPr="009B538E">
        <w:rPr>
          <w:i/>
        </w:rPr>
        <w:t>Vir: SURS, strukturna statistika podjetij, preračuni Analitika GZS</w:t>
      </w:r>
    </w:p>
    <w:p w14:paraId="713A9A98" w14:textId="141E2244" w:rsidR="007C7F66" w:rsidRPr="00964361" w:rsidRDefault="007C7F66" w:rsidP="00405849">
      <w:pPr>
        <w:pStyle w:val="Odstavekseznama"/>
        <w:ind w:left="0"/>
        <w:jc w:val="both"/>
        <w:rPr>
          <w:rFonts w:cstheme="minorHAnsi"/>
        </w:rPr>
      </w:pPr>
      <w:r w:rsidRPr="00964361">
        <w:rPr>
          <w:rFonts w:cstheme="minorHAnsi"/>
        </w:rPr>
        <w:t xml:space="preserve">V zadnjih </w:t>
      </w:r>
      <w:r w:rsidR="00D32B4D">
        <w:rPr>
          <w:rFonts w:cstheme="minorHAnsi"/>
        </w:rPr>
        <w:t>desetih</w:t>
      </w:r>
      <w:r w:rsidR="00D32B4D" w:rsidRPr="00964361">
        <w:rPr>
          <w:rFonts w:cstheme="minorHAnsi"/>
        </w:rPr>
        <w:t xml:space="preserve"> </w:t>
      </w:r>
      <w:r w:rsidRPr="00964361">
        <w:rPr>
          <w:rFonts w:cstheme="minorHAnsi"/>
        </w:rPr>
        <w:t xml:space="preserve">letih (2018/2008) so med predelovalnimi dejavnostmi stroški dela v dodani vrednosti upadli za </w:t>
      </w:r>
      <w:r w:rsidR="00597F1D" w:rsidRPr="00964361">
        <w:rPr>
          <w:rFonts w:cstheme="minorHAnsi"/>
        </w:rPr>
        <w:t xml:space="preserve">3 </w:t>
      </w:r>
      <w:r w:rsidR="00281A89">
        <w:rPr>
          <w:rFonts w:cstheme="minorHAnsi"/>
        </w:rPr>
        <w:t>o.t.</w:t>
      </w:r>
      <w:r w:rsidRPr="00964361">
        <w:rPr>
          <w:rFonts w:cstheme="minorHAnsi"/>
        </w:rPr>
        <w:t>, saj so predelovalne dejavnosti kljub skoraj 20</w:t>
      </w:r>
      <w:r w:rsidR="00D32B4D">
        <w:rPr>
          <w:rFonts w:cstheme="minorHAnsi"/>
        </w:rPr>
        <w:t>.000</w:t>
      </w:r>
      <w:r w:rsidRPr="00964361">
        <w:rPr>
          <w:rFonts w:cstheme="minorHAnsi"/>
        </w:rPr>
        <w:t xml:space="preserve"> manj zaposleni</w:t>
      </w:r>
      <w:r w:rsidR="00FA1D90">
        <w:rPr>
          <w:rFonts w:cstheme="minorHAnsi"/>
        </w:rPr>
        <w:t>h</w:t>
      </w:r>
      <w:r w:rsidRPr="00964361">
        <w:rPr>
          <w:rFonts w:cstheme="minorHAnsi"/>
        </w:rPr>
        <w:t xml:space="preserve"> ustvarile višjo dodano vrednost (za 31 %) ob višjih stroških dela (24 %). Najbolj so v tem času  upadli stroški dela v dodani vrednosti v tekstilni in lesni (za 2</w:t>
      </w:r>
      <w:r w:rsidR="00597F1D" w:rsidRPr="00964361">
        <w:rPr>
          <w:rFonts w:cstheme="minorHAnsi"/>
        </w:rPr>
        <w:t>1</w:t>
      </w:r>
      <w:r w:rsidRPr="00964361">
        <w:rPr>
          <w:rFonts w:cstheme="minorHAnsi"/>
        </w:rPr>
        <w:t xml:space="preserve"> in </w:t>
      </w:r>
      <w:r w:rsidR="00597F1D" w:rsidRPr="00964361">
        <w:rPr>
          <w:rFonts w:cstheme="minorHAnsi"/>
        </w:rPr>
        <w:t>15</w:t>
      </w:r>
      <w:r w:rsidRPr="00964361">
        <w:rPr>
          <w:rFonts w:cstheme="minorHAnsi"/>
        </w:rPr>
        <w:t xml:space="preserve"> o.t.), kakor tudi prehrambni industriji (za 6 o.t.) ter porasli v kemični industriji (za </w:t>
      </w:r>
      <w:r w:rsidR="00597F1D" w:rsidRPr="00964361">
        <w:rPr>
          <w:rFonts w:cstheme="minorHAnsi"/>
        </w:rPr>
        <w:t>2,3</w:t>
      </w:r>
      <w:r w:rsidRPr="00964361">
        <w:rPr>
          <w:rFonts w:cstheme="minorHAnsi"/>
        </w:rPr>
        <w:t xml:space="preserve"> o.t.). V zadnjih </w:t>
      </w:r>
      <w:r w:rsidR="00D32B4D">
        <w:rPr>
          <w:rFonts w:cstheme="minorHAnsi"/>
        </w:rPr>
        <w:t>petih</w:t>
      </w:r>
      <w:r w:rsidR="00D32B4D" w:rsidRPr="00964361">
        <w:rPr>
          <w:rFonts w:cstheme="minorHAnsi"/>
        </w:rPr>
        <w:t xml:space="preserve"> </w:t>
      </w:r>
      <w:r w:rsidRPr="00964361">
        <w:rPr>
          <w:rFonts w:cstheme="minorHAnsi"/>
        </w:rPr>
        <w:t xml:space="preserve">letih so stroški dela v dodani vrednosti najbolj upadli v </w:t>
      </w:r>
      <w:r w:rsidR="00597F1D" w:rsidRPr="00964361">
        <w:rPr>
          <w:rFonts w:cstheme="minorHAnsi"/>
        </w:rPr>
        <w:t xml:space="preserve">nekovinski in </w:t>
      </w:r>
      <w:r w:rsidRPr="00964361">
        <w:rPr>
          <w:rFonts w:cstheme="minorHAnsi"/>
        </w:rPr>
        <w:t>lesni industriji</w:t>
      </w:r>
      <w:r w:rsidR="00597F1D" w:rsidRPr="00964361">
        <w:rPr>
          <w:rFonts w:cstheme="minorHAnsi"/>
        </w:rPr>
        <w:t xml:space="preserve"> (6,9 in 6 o.t.)</w:t>
      </w:r>
      <w:r w:rsidRPr="00964361">
        <w:rPr>
          <w:rFonts w:cstheme="minorHAnsi"/>
        </w:rPr>
        <w:t xml:space="preserve">, kjer tudi </w:t>
      </w:r>
      <w:r w:rsidRPr="00FD4C45">
        <w:rPr>
          <w:rFonts w:cstheme="minorHAnsi"/>
        </w:rPr>
        <w:t>delovn</w:t>
      </w:r>
      <w:r w:rsidR="00050216">
        <w:rPr>
          <w:rFonts w:cstheme="minorHAnsi"/>
        </w:rPr>
        <w:t>o</w:t>
      </w:r>
      <w:r w:rsidRPr="00964361">
        <w:rPr>
          <w:rFonts w:cstheme="minorHAnsi"/>
        </w:rPr>
        <w:t xml:space="preserve"> intenzivne panoge ustvarjajo proizvode z višjo dodano vrednostjo. Sledijo druge nekovinske predelovalne dejavnosti, kjer so stroški dela upadli za </w:t>
      </w:r>
      <w:r w:rsidR="00557CBE" w:rsidRPr="00964361">
        <w:rPr>
          <w:rFonts w:cstheme="minorHAnsi"/>
        </w:rPr>
        <w:t>4,2 o.t</w:t>
      </w:r>
      <w:r w:rsidR="00050216">
        <w:rPr>
          <w:rFonts w:cstheme="minorHAnsi"/>
        </w:rPr>
        <w:t>.</w:t>
      </w:r>
      <w:r w:rsidRPr="00964361">
        <w:rPr>
          <w:rFonts w:cstheme="minorHAnsi"/>
        </w:rPr>
        <w:t xml:space="preserve"> ter </w:t>
      </w:r>
      <w:r w:rsidR="00557CBE" w:rsidRPr="00964361">
        <w:rPr>
          <w:rFonts w:cstheme="minorHAnsi"/>
        </w:rPr>
        <w:t>strojna industrija</w:t>
      </w:r>
      <w:r w:rsidRPr="00964361">
        <w:rPr>
          <w:rFonts w:cstheme="minorHAnsi"/>
        </w:rPr>
        <w:t xml:space="preserve">. </w:t>
      </w:r>
    </w:p>
    <w:tbl>
      <w:tblPr>
        <w:tblStyle w:val="Tabelaseznam4poudarek61"/>
        <w:tblW w:w="8642" w:type="dxa"/>
        <w:tblLook w:val="04A0" w:firstRow="1" w:lastRow="0" w:firstColumn="1" w:lastColumn="0" w:noHBand="0" w:noVBand="1"/>
      </w:tblPr>
      <w:tblGrid>
        <w:gridCol w:w="2122"/>
        <w:gridCol w:w="1134"/>
        <w:gridCol w:w="1276"/>
        <w:gridCol w:w="1275"/>
        <w:gridCol w:w="1418"/>
        <w:gridCol w:w="1417"/>
      </w:tblGrid>
      <w:tr w:rsidR="007C7F66" w:rsidRPr="00663E6D" w14:paraId="2C71EA34" w14:textId="77777777" w:rsidTr="00692A14">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7049A018" w14:textId="77777777" w:rsidR="007C7F66" w:rsidRPr="0049147B" w:rsidRDefault="007C7F66" w:rsidP="00BF7D3C">
            <w:r w:rsidRPr="0049147B">
              <w:t xml:space="preserve">   Str</w:t>
            </w:r>
            <w:r w:rsidR="00692A14" w:rsidRPr="0049147B">
              <w:t>oški</w:t>
            </w:r>
            <w:r w:rsidRPr="0049147B">
              <w:t xml:space="preserve"> dela v DV</w:t>
            </w:r>
          </w:p>
        </w:tc>
        <w:tc>
          <w:tcPr>
            <w:tcW w:w="1134" w:type="dxa"/>
            <w:vAlign w:val="center"/>
          </w:tcPr>
          <w:p w14:paraId="538FA1B1" w14:textId="77777777" w:rsidR="007C7F66" w:rsidRPr="0049147B" w:rsidRDefault="007C7F66" w:rsidP="00692A14">
            <w:pPr>
              <w:ind w:left="-87"/>
              <w:jc w:val="center"/>
              <w:cnfStyle w:val="100000000000" w:firstRow="1" w:lastRow="0" w:firstColumn="0" w:lastColumn="0" w:oddVBand="0" w:evenVBand="0" w:oddHBand="0" w:evenHBand="0" w:firstRowFirstColumn="0" w:firstRowLastColumn="0" w:lastRowFirstColumn="0" w:lastRowLastColumn="0"/>
              <w:rPr>
                <w:b w:val="0"/>
              </w:rPr>
            </w:pPr>
            <w:r w:rsidRPr="0049147B">
              <w:t>Vred. 2018,</w:t>
            </w:r>
          </w:p>
          <w:p w14:paraId="483AEF92" w14:textId="77777777" w:rsidR="007C7F66" w:rsidRPr="0049147B" w:rsidRDefault="00663E6D" w:rsidP="00692A14">
            <w:pPr>
              <w:jc w:val="center"/>
              <w:cnfStyle w:val="100000000000" w:firstRow="1" w:lastRow="0" w:firstColumn="0" w:lastColumn="0" w:oddVBand="0" w:evenVBand="0" w:oddHBand="0" w:evenHBand="0" w:firstRowFirstColumn="0" w:firstRowLastColumn="0" w:lastRowFirstColumn="0" w:lastRowLastColumn="0"/>
            </w:pPr>
            <w:r w:rsidRPr="0049147B">
              <w:t>v %</w:t>
            </w:r>
          </w:p>
        </w:tc>
        <w:tc>
          <w:tcPr>
            <w:tcW w:w="1276" w:type="dxa"/>
            <w:vAlign w:val="center"/>
          </w:tcPr>
          <w:p w14:paraId="18059FF0" w14:textId="77777777" w:rsidR="007C7F66" w:rsidRPr="0049147B" w:rsidRDefault="007C7F66" w:rsidP="00692A14">
            <w:pPr>
              <w:jc w:val="center"/>
              <w:cnfStyle w:val="100000000000" w:firstRow="1" w:lastRow="0" w:firstColumn="0" w:lastColumn="0" w:oddVBand="0" w:evenVBand="0" w:oddHBand="0" w:evenHBand="0" w:firstRowFirstColumn="0" w:firstRowLastColumn="0" w:lastRowFirstColumn="0" w:lastRowLastColumn="0"/>
              <w:rPr>
                <w:b w:val="0"/>
              </w:rPr>
            </w:pPr>
            <w:r w:rsidRPr="0049147B">
              <w:t>Ø</w:t>
            </w:r>
            <w:r w:rsidR="00663E6D" w:rsidRPr="0049147B">
              <w:t xml:space="preserve"> </w:t>
            </w:r>
            <w:r w:rsidRPr="0049147B">
              <w:t>2018-2018</w:t>
            </w:r>
          </w:p>
        </w:tc>
        <w:tc>
          <w:tcPr>
            <w:tcW w:w="1275" w:type="dxa"/>
            <w:vAlign w:val="center"/>
          </w:tcPr>
          <w:p w14:paraId="2AD5833F" w14:textId="77777777" w:rsidR="007C7F66" w:rsidRPr="0049147B" w:rsidRDefault="007C7F66" w:rsidP="00692A14">
            <w:pPr>
              <w:jc w:val="center"/>
              <w:cnfStyle w:val="100000000000" w:firstRow="1" w:lastRow="0" w:firstColumn="0" w:lastColumn="0" w:oddVBand="0" w:evenVBand="0" w:oddHBand="0" w:evenHBand="0" w:firstRowFirstColumn="0" w:firstRowLastColumn="0" w:lastRowFirstColumn="0" w:lastRowLastColumn="0"/>
            </w:pPr>
            <w:r w:rsidRPr="0049147B">
              <w:t>Ø</w:t>
            </w:r>
            <w:r w:rsidR="00663E6D" w:rsidRPr="0049147B">
              <w:t xml:space="preserve"> </w:t>
            </w:r>
            <w:r w:rsidRPr="0049147B">
              <w:t>2014-2018</w:t>
            </w:r>
          </w:p>
        </w:tc>
        <w:tc>
          <w:tcPr>
            <w:tcW w:w="1418" w:type="dxa"/>
            <w:vAlign w:val="center"/>
          </w:tcPr>
          <w:p w14:paraId="5C18BF2F" w14:textId="77777777" w:rsidR="007C7F66" w:rsidRPr="0049147B" w:rsidRDefault="007C7F66" w:rsidP="00692A14">
            <w:pPr>
              <w:jc w:val="center"/>
              <w:cnfStyle w:val="100000000000" w:firstRow="1" w:lastRow="0" w:firstColumn="0" w:lastColumn="0" w:oddVBand="0" w:evenVBand="0" w:oddHBand="0" w:evenHBand="0" w:firstRowFirstColumn="0" w:firstRowLastColumn="0" w:lastRowFirstColumn="0" w:lastRowLastColumn="0"/>
              <w:rPr>
                <w:b w:val="0"/>
              </w:rPr>
            </w:pPr>
            <w:r w:rsidRPr="0049147B">
              <w:t>Sprem. v o. t.</w:t>
            </w:r>
          </w:p>
          <w:p w14:paraId="3C6B49DD" w14:textId="77777777" w:rsidR="007C7F66" w:rsidRPr="0049147B" w:rsidRDefault="007C7F66" w:rsidP="00692A14">
            <w:pPr>
              <w:jc w:val="center"/>
              <w:cnfStyle w:val="100000000000" w:firstRow="1" w:lastRow="0" w:firstColumn="0" w:lastColumn="0" w:oddVBand="0" w:evenVBand="0" w:oddHBand="0" w:evenHBand="0" w:firstRowFirstColumn="0" w:firstRowLastColumn="0" w:lastRowFirstColumn="0" w:lastRowLastColumn="0"/>
              <w:rPr>
                <w:b w:val="0"/>
              </w:rPr>
            </w:pPr>
            <w:r w:rsidRPr="0049147B">
              <w:t>2018</w:t>
            </w:r>
            <w:r w:rsidR="00652259" w:rsidRPr="0049147B">
              <w:t>/</w:t>
            </w:r>
            <w:r w:rsidRPr="0049147B">
              <w:t>2008,</w:t>
            </w:r>
          </w:p>
        </w:tc>
        <w:tc>
          <w:tcPr>
            <w:tcW w:w="1417" w:type="dxa"/>
            <w:vAlign w:val="center"/>
          </w:tcPr>
          <w:p w14:paraId="7AFD6A50" w14:textId="77777777" w:rsidR="007C7F66" w:rsidRPr="0049147B" w:rsidRDefault="007C7F66" w:rsidP="00692A14">
            <w:pPr>
              <w:jc w:val="center"/>
              <w:cnfStyle w:val="100000000000" w:firstRow="1" w:lastRow="0" w:firstColumn="0" w:lastColumn="0" w:oddVBand="0" w:evenVBand="0" w:oddHBand="0" w:evenHBand="0" w:firstRowFirstColumn="0" w:firstRowLastColumn="0" w:lastRowFirstColumn="0" w:lastRowLastColumn="0"/>
            </w:pPr>
            <w:r w:rsidRPr="0049147B">
              <w:t>Sprem.</w:t>
            </w:r>
          </w:p>
          <w:p w14:paraId="66E486C1" w14:textId="77777777" w:rsidR="007C7F66" w:rsidRPr="0049147B" w:rsidRDefault="007C7F66" w:rsidP="00692A14">
            <w:pPr>
              <w:jc w:val="center"/>
              <w:cnfStyle w:val="100000000000" w:firstRow="1" w:lastRow="0" w:firstColumn="0" w:lastColumn="0" w:oddVBand="0" w:evenVBand="0" w:oddHBand="0" w:evenHBand="0" w:firstRowFirstColumn="0" w:firstRowLastColumn="0" w:lastRowFirstColumn="0" w:lastRowLastColumn="0"/>
              <w:rPr>
                <w:b w:val="0"/>
              </w:rPr>
            </w:pPr>
            <w:r w:rsidRPr="0049147B">
              <w:t xml:space="preserve">v </w:t>
            </w:r>
            <w:r w:rsidR="00652259" w:rsidRPr="0049147B">
              <w:t>o.t.</w:t>
            </w:r>
          </w:p>
          <w:p w14:paraId="68129884" w14:textId="77777777" w:rsidR="007C7F66" w:rsidRPr="0049147B" w:rsidRDefault="007C7F66" w:rsidP="00692A14">
            <w:pPr>
              <w:jc w:val="center"/>
              <w:cnfStyle w:val="100000000000" w:firstRow="1" w:lastRow="0" w:firstColumn="0" w:lastColumn="0" w:oddVBand="0" w:evenVBand="0" w:oddHBand="0" w:evenHBand="0" w:firstRowFirstColumn="0" w:firstRowLastColumn="0" w:lastRowFirstColumn="0" w:lastRowLastColumn="0"/>
              <w:rPr>
                <w:b w:val="0"/>
              </w:rPr>
            </w:pPr>
            <w:r w:rsidRPr="0049147B">
              <w:t>2014</w:t>
            </w:r>
            <w:r w:rsidR="00652259" w:rsidRPr="0049147B">
              <w:t>/</w:t>
            </w:r>
            <w:r w:rsidRPr="0049147B">
              <w:t>2018,</w:t>
            </w:r>
          </w:p>
        </w:tc>
      </w:tr>
      <w:tr w:rsidR="00CD7D4F" w:rsidRPr="00663E6D" w14:paraId="1CF27200" w14:textId="77777777" w:rsidTr="00927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noWrap/>
            <w:vAlign w:val="bottom"/>
            <w:hideMark/>
          </w:tcPr>
          <w:p w14:paraId="29329619" w14:textId="77777777" w:rsidR="004D19BE" w:rsidRPr="00F5643D" w:rsidRDefault="004D19BE" w:rsidP="004D19BE">
            <w:pPr>
              <w:rPr>
                <w:rFonts w:ascii="Trebuchet MS" w:hAnsi="Trebuchet MS"/>
                <w:b w:val="0"/>
                <w:color w:val="000000"/>
              </w:rPr>
            </w:pPr>
            <w:r w:rsidRPr="00F5643D">
              <w:rPr>
                <w:rFonts w:ascii="Trebuchet MS" w:hAnsi="Trebuchet MS"/>
                <w:color w:val="000000"/>
              </w:rPr>
              <w:t>PREDEL. DEJ. SKUPAJ</w:t>
            </w:r>
          </w:p>
        </w:tc>
        <w:tc>
          <w:tcPr>
            <w:tcW w:w="1134" w:type="dxa"/>
            <w:vAlign w:val="center"/>
          </w:tcPr>
          <w:p w14:paraId="14B50252" w14:textId="77777777" w:rsidR="004D19BE" w:rsidRPr="00F5643D" w:rsidRDefault="004D19BE" w:rsidP="00927719">
            <w:pPr>
              <w:jc w:val="right"/>
              <w:cnfStyle w:val="000000100000" w:firstRow="0" w:lastRow="0" w:firstColumn="0" w:lastColumn="0" w:oddVBand="0" w:evenVBand="0" w:oddHBand="1" w:evenHBand="0" w:firstRowFirstColumn="0" w:firstRowLastColumn="0" w:lastRowFirstColumn="0" w:lastRowLastColumn="0"/>
              <w:rPr>
                <w:rFonts w:ascii="Trebuchet MS" w:hAnsi="Trebuchet MS"/>
                <w:b/>
              </w:rPr>
            </w:pPr>
            <w:r w:rsidRPr="00F5643D">
              <w:rPr>
                <w:rFonts w:ascii="Trebuchet MS" w:hAnsi="Trebuchet MS"/>
                <w:b/>
              </w:rPr>
              <w:t>61,0%</w:t>
            </w:r>
          </w:p>
        </w:tc>
        <w:tc>
          <w:tcPr>
            <w:tcW w:w="1276" w:type="dxa"/>
            <w:vAlign w:val="center"/>
          </w:tcPr>
          <w:p w14:paraId="7F26B0F8" w14:textId="77777777" w:rsidR="004D19BE" w:rsidRPr="00F5643D" w:rsidRDefault="004D19BE" w:rsidP="00927719">
            <w:pPr>
              <w:jc w:val="right"/>
              <w:cnfStyle w:val="000000100000" w:firstRow="0" w:lastRow="0" w:firstColumn="0" w:lastColumn="0" w:oddVBand="0" w:evenVBand="0" w:oddHBand="1" w:evenHBand="0" w:firstRowFirstColumn="0" w:firstRowLastColumn="0" w:lastRowFirstColumn="0" w:lastRowLastColumn="0"/>
              <w:rPr>
                <w:rFonts w:ascii="Trebuchet MS" w:hAnsi="Trebuchet MS"/>
                <w:b/>
              </w:rPr>
            </w:pPr>
            <w:r w:rsidRPr="00F5643D">
              <w:rPr>
                <w:rFonts w:ascii="Trebuchet MS" w:hAnsi="Trebuchet MS"/>
                <w:b/>
              </w:rPr>
              <w:t>63,2%</w:t>
            </w:r>
          </w:p>
        </w:tc>
        <w:tc>
          <w:tcPr>
            <w:tcW w:w="1275" w:type="dxa"/>
            <w:vAlign w:val="center"/>
          </w:tcPr>
          <w:p w14:paraId="0A60083E" w14:textId="77777777" w:rsidR="004D19BE" w:rsidRPr="00F5643D" w:rsidRDefault="004D19BE" w:rsidP="00927719">
            <w:pPr>
              <w:jc w:val="right"/>
              <w:cnfStyle w:val="000000100000" w:firstRow="0" w:lastRow="0" w:firstColumn="0" w:lastColumn="0" w:oddVBand="0" w:evenVBand="0" w:oddHBand="1" w:evenHBand="0" w:firstRowFirstColumn="0" w:firstRowLastColumn="0" w:lastRowFirstColumn="0" w:lastRowLastColumn="0"/>
              <w:rPr>
                <w:rFonts w:ascii="Trebuchet MS" w:hAnsi="Trebuchet MS"/>
                <w:b/>
              </w:rPr>
            </w:pPr>
            <w:r w:rsidRPr="00F5643D">
              <w:rPr>
                <w:rFonts w:ascii="Trebuchet MS" w:hAnsi="Trebuchet MS"/>
                <w:b/>
              </w:rPr>
              <w:t>60,4%</w:t>
            </w:r>
          </w:p>
        </w:tc>
        <w:tc>
          <w:tcPr>
            <w:tcW w:w="1418" w:type="dxa"/>
            <w:vAlign w:val="center"/>
          </w:tcPr>
          <w:p w14:paraId="2128E69A" w14:textId="77777777" w:rsidR="004D19BE" w:rsidRPr="00F5643D" w:rsidRDefault="004D19BE" w:rsidP="00927719">
            <w:pPr>
              <w:jc w:val="right"/>
              <w:cnfStyle w:val="000000100000" w:firstRow="0" w:lastRow="0" w:firstColumn="0" w:lastColumn="0" w:oddVBand="0" w:evenVBand="0" w:oddHBand="1" w:evenHBand="0" w:firstRowFirstColumn="0" w:firstRowLastColumn="0" w:lastRowFirstColumn="0" w:lastRowLastColumn="0"/>
              <w:rPr>
                <w:rFonts w:ascii="Trebuchet MS" w:hAnsi="Trebuchet MS"/>
                <w:b/>
              </w:rPr>
            </w:pPr>
            <w:r w:rsidRPr="00F5643D">
              <w:rPr>
                <w:rFonts w:ascii="Trebuchet MS" w:hAnsi="Trebuchet MS"/>
                <w:b/>
              </w:rPr>
              <w:t>-3,0 o.t.</w:t>
            </w:r>
          </w:p>
        </w:tc>
        <w:tc>
          <w:tcPr>
            <w:tcW w:w="1417" w:type="dxa"/>
            <w:vAlign w:val="center"/>
          </w:tcPr>
          <w:p w14:paraId="39235EA3" w14:textId="77777777" w:rsidR="004D19BE" w:rsidRPr="00F5643D" w:rsidRDefault="004D19BE" w:rsidP="00927719">
            <w:pPr>
              <w:jc w:val="right"/>
              <w:cnfStyle w:val="000000100000" w:firstRow="0" w:lastRow="0" w:firstColumn="0" w:lastColumn="0" w:oddVBand="0" w:evenVBand="0" w:oddHBand="1" w:evenHBand="0" w:firstRowFirstColumn="0" w:firstRowLastColumn="0" w:lastRowFirstColumn="0" w:lastRowLastColumn="0"/>
              <w:rPr>
                <w:rFonts w:ascii="Trebuchet MS" w:hAnsi="Trebuchet MS"/>
                <w:b/>
              </w:rPr>
            </w:pPr>
            <w:r w:rsidRPr="00F5643D">
              <w:rPr>
                <w:rFonts w:ascii="Trebuchet MS" w:hAnsi="Trebuchet MS"/>
                <w:b/>
              </w:rPr>
              <w:t>0,3 o.t.</w:t>
            </w:r>
          </w:p>
        </w:tc>
      </w:tr>
      <w:tr w:rsidR="004D19BE" w:rsidRPr="00663E6D" w14:paraId="2885067B" w14:textId="77777777" w:rsidTr="00A14AD0">
        <w:tc>
          <w:tcPr>
            <w:cnfStyle w:val="001000000000" w:firstRow="0" w:lastRow="0" w:firstColumn="1" w:lastColumn="0" w:oddVBand="0" w:evenVBand="0" w:oddHBand="0" w:evenHBand="0" w:firstRowFirstColumn="0" w:firstRowLastColumn="0" w:lastRowFirstColumn="0" w:lastRowLastColumn="0"/>
            <w:tcW w:w="2122" w:type="dxa"/>
            <w:noWrap/>
            <w:vAlign w:val="center"/>
            <w:hideMark/>
          </w:tcPr>
          <w:p w14:paraId="1C0C3B3A" w14:textId="77777777" w:rsidR="004D19BE" w:rsidRPr="00F5643D" w:rsidRDefault="004D19BE" w:rsidP="004D19BE">
            <w:pPr>
              <w:rPr>
                <w:rFonts w:ascii="Trebuchet MS" w:hAnsi="Trebuchet MS"/>
                <w:color w:val="000000"/>
              </w:rPr>
            </w:pPr>
            <w:r w:rsidRPr="00F5643D">
              <w:rPr>
                <w:rFonts w:ascii="Trebuchet MS" w:hAnsi="Trebuchet MS"/>
                <w:color w:val="000000"/>
              </w:rPr>
              <w:t>Prehrambna</w:t>
            </w:r>
          </w:p>
        </w:tc>
        <w:tc>
          <w:tcPr>
            <w:tcW w:w="1134" w:type="dxa"/>
            <w:noWrap/>
            <w:vAlign w:val="center"/>
          </w:tcPr>
          <w:p w14:paraId="1C48CFA7"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61,4%</w:t>
            </w:r>
          </w:p>
        </w:tc>
        <w:tc>
          <w:tcPr>
            <w:tcW w:w="1276" w:type="dxa"/>
            <w:vAlign w:val="center"/>
          </w:tcPr>
          <w:p w14:paraId="3052FA4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63,9%</w:t>
            </w:r>
          </w:p>
        </w:tc>
        <w:tc>
          <w:tcPr>
            <w:tcW w:w="1275" w:type="dxa"/>
            <w:noWrap/>
            <w:vAlign w:val="center"/>
          </w:tcPr>
          <w:p w14:paraId="7A577F7A"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61,4%</w:t>
            </w:r>
          </w:p>
        </w:tc>
        <w:tc>
          <w:tcPr>
            <w:tcW w:w="1418" w:type="dxa"/>
            <w:vAlign w:val="center"/>
          </w:tcPr>
          <w:p w14:paraId="09C272CB"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-6,1 o.t.</w:t>
            </w:r>
          </w:p>
        </w:tc>
        <w:tc>
          <w:tcPr>
            <w:tcW w:w="1417" w:type="dxa"/>
            <w:noWrap/>
            <w:vAlign w:val="bottom"/>
          </w:tcPr>
          <w:p w14:paraId="03BA98D0"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-0,4 o.t.</w:t>
            </w:r>
          </w:p>
        </w:tc>
      </w:tr>
      <w:tr w:rsidR="00CD7D4F" w:rsidRPr="00663E6D" w14:paraId="116EDF39" w14:textId="77777777" w:rsidTr="00D65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noWrap/>
            <w:vAlign w:val="center"/>
            <w:hideMark/>
          </w:tcPr>
          <w:p w14:paraId="125668E4" w14:textId="77777777" w:rsidR="004D19BE" w:rsidRPr="00F5643D" w:rsidRDefault="004D19BE" w:rsidP="004D19BE">
            <w:pPr>
              <w:rPr>
                <w:rFonts w:ascii="Trebuchet MS" w:hAnsi="Trebuchet MS"/>
                <w:color w:val="000000"/>
              </w:rPr>
            </w:pPr>
            <w:r w:rsidRPr="00F5643D">
              <w:rPr>
                <w:rFonts w:ascii="Trebuchet MS" w:hAnsi="Trebuchet MS"/>
                <w:color w:val="000000"/>
              </w:rPr>
              <w:t>Tekstilna</w:t>
            </w:r>
          </w:p>
        </w:tc>
        <w:tc>
          <w:tcPr>
            <w:tcW w:w="1134" w:type="dxa"/>
            <w:noWrap/>
            <w:vAlign w:val="center"/>
          </w:tcPr>
          <w:p w14:paraId="18029BE4"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68,4%</w:t>
            </w:r>
          </w:p>
        </w:tc>
        <w:tc>
          <w:tcPr>
            <w:tcW w:w="1276" w:type="dxa"/>
            <w:vAlign w:val="center"/>
          </w:tcPr>
          <w:p w14:paraId="372341FC"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76,6%</w:t>
            </w:r>
          </w:p>
        </w:tc>
        <w:tc>
          <w:tcPr>
            <w:tcW w:w="1275" w:type="dxa"/>
            <w:noWrap/>
            <w:vAlign w:val="center"/>
          </w:tcPr>
          <w:p w14:paraId="5EA73750"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68,9%</w:t>
            </w:r>
          </w:p>
        </w:tc>
        <w:tc>
          <w:tcPr>
            <w:tcW w:w="1418" w:type="dxa"/>
            <w:vAlign w:val="center"/>
          </w:tcPr>
          <w:p w14:paraId="5001DEF0"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-20,7 o.t.</w:t>
            </w:r>
          </w:p>
        </w:tc>
        <w:tc>
          <w:tcPr>
            <w:tcW w:w="1417" w:type="dxa"/>
            <w:noWrap/>
            <w:vAlign w:val="bottom"/>
          </w:tcPr>
          <w:p w14:paraId="72D28616"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-1,3 o.t.</w:t>
            </w:r>
          </w:p>
        </w:tc>
      </w:tr>
      <w:tr w:rsidR="004D19BE" w:rsidRPr="00663E6D" w14:paraId="0F49B57F" w14:textId="77777777" w:rsidTr="00A14AD0">
        <w:tc>
          <w:tcPr>
            <w:cnfStyle w:val="001000000000" w:firstRow="0" w:lastRow="0" w:firstColumn="1" w:lastColumn="0" w:oddVBand="0" w:evenVBand="0" w:oddHBand="0" w:evenHBand="0" w:firstRowFirstColumn="0" w:firstRowLastColumn="0" w:lastRowFirstColumn="0" w:lastRowLastColumn="0"/>
            <w:tcW w:w="2122" w:type="dxa"/>
            <w:noWrap/>
            <w:vAlign w:val="center"/>
            <w:hideMark/>
          </w:tcPr>
          <w:p w14:paraId="65765077" w14:textId="77777777" w:rsidR="004D19BE" w:rsidRPr="00F5643D" w:rsidRDefault="004D19BE" w:rsidP="004D19BE">
            <w:pPr>
              <w:rPr>
                <w:rFonts w:ascii="Trebuchet MS" w:hAnsi="Trebuchet MS"/>
                <w:color w:val="000000"/>
              </w:rPr>
            </w:pPr>
            <w:r w:rsidRPr="00F5643D">
              <w:rPr>
                <w:rFonts w:ascii="Trebuchet MS" w:hAnsi="Trebuchet MS"/>
                <w:color w:val="000000"/>
              </w:rPr>
              <w:t>Lesna</w:t>
            </w:r>
          </w:p>
        </w:tc>
        <w:tc>
          <w:tcPr>
            <w:tcW w:w="1134" w:type="dxa"/>
            <w:noWrap/>
            <w:vAlign w:val="center"/>
          </w:tcPr>
          <w:p w14:paraId="06F9DF5E"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61,8%</w:t>
            </w:r>
          </w:p>
        </w:tc>
        <w:tc>
          <w:tcPr>
            <w:tcW w:w="1276" w:type="dxa"/>
            <w:vAlign w:val="center"/>
          </w:tcPr>
          <w:p w14:paraId="3AFACF79"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73,1%</w:t>
            </w:r>
          </w:p>
        </w:tc>
        <w:tc>
          <w:tcPr>
            <w:tcW w:w="1275" w:type="dxa"/>
            <w:noWrap/>
            <w:vAlign w:val="center"/>
          </w:tcPr>
          <w:p w14:paraId="42F622E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64,9%</w:t>
            </w:r>
          </w:p>
        </w:tc>
        <w:tc>
          <w:tcPr>
            <w:tcW w:w="1418" w:type="dxa"/>
            <w:vAlign w:val="center"/>
          </w:tcPr>
          <w:p w14:paraId="77A50E57"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-15,0 o.t.</w:t>
            </w:r>
          </w:p>
        </w:tc>
        <w:tc>
          <w:tcPr>
            <w:tcW w:w="1417" w:type="dxa"/>
            <w:noWrap/>
            <w:vAlign w:val="bottom"/>
          </w:tcPr>
          <w:p w14:paraId="1224226F"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-6,0 o.t.</w:t>
            </w:r>
          </w:p>
        </w:tc>
      </w:tr>
      <w:tr w:rsidR="00CD7D4F" w:rsidRPr="00663E6D" w14:paraId="5C633260" w14:textId="77777777" w:rsidTr="00D65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noWrap/>
            <w:vAlign w:val="center"/>
            <w:hideMark/>
          </w:tcPr>
          <w:p w14:paraId="19C49352" w14:textId="77777777" w:rsidR="004D19BE" w:rsidRPr="00F5643D" w:rsidRDefault="004D19BE" w:rsidP="004D19BE">
            <w:pPr>
              <w:rPr>
                <w:rFonts w:ascii="Trebuchet MS" w:hAnsi="Trebuchet MS"/>
                <w:color w:val="000000"/>
              </w:rPr>
            </w:pPr>
            <w:r w:rsidRPr="00F5643D">
              <w:rPr>
                <w:rFonts w:ascii="Trebuchet MS" w:hAnsi="Trebuchet MS"/>
                <w:color w:val="000000"/>
              </w:rPr>
              <w:t>Papirna</w:t>
            </w:r>
          </w:p>
        </w:tc>
        <w:tc>
          <w:tcPr>
            <w:tcW w:w="1134" w:type="dxa"/>
            <w:noWrap/>
            <w:vAlign w:val="center"/>
          </w:tcPr>
          <w:p w14:paraId="25545D86"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66,7%</w:t>
            </w:r>
          </w:p>
        </w:tc>
        <w:tc>
          <w:tcPr>
            <w:tcW w:w="1276" w:type="dxa"/>
            <w:vAlign w:val="center"/>
          </w:tcPr>
          <w:p w14:paraId="3094A204"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63,0%</w:t>
            </w:r>
          </w:p>
        </w:tc>
        <w:tc>
          <w:tcPr>
            <w:tcW w:w="1275" w:type="dxa"/>
            <w:noWrap/>
            <w:vAlign w:val="center"/>
          </w:tcPr>
          <w:p w14:paraId="5118401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61,1%</w:t>
            </w:r>
          </w:p>
        </w:tc>
        <w:tc>
          <w:tcPr>
            <w:tcW w:w="1418" w:type="dxa"/>
            <w:vAlign w:val="center"/>
          </w:tcPr>
          <w:p w14:paraId="2A601EAE"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-1,8 o.t.</w:t>
            </w:r>
          </w:p>
        </w:tc>
        <w:tc>
          <w:tcPr>
            <w:tcW w:w="1417" w:type="dxa"/>
            <w:noWrap/>
            <w:vAlign w:val="bottom"/>
          </w:tcPr>
          <w:p w14:paraId="4485CF01"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8,1 o.t.</w:t>
            </w:r>
          </w:p>
        </w:tc>
      </w:tr>
      <w:tr w:rsidR="004D19BE" w:rsidRPr="00663E6D" w14:paraId="3F33FE85" w14:textId="77777777" w:rsidTr="00A14AD0">
        <w:tc>
          <w:tcPr>
            <w:cnfStyle w:val="001000000000" w:firstRow="0" w:lastRow="0" w:firstColumn="1" w:lastColumn="0" w:oddVBand="0" w:evenVBand="0" w:oddHBand="0" w:evenHBand="0" w:firstRowFirstColumn="0" w:firstRowLastColumn="0" w:lastRowFirstColumn="0" w:lastRowLastColumn="0"/>
            <w:tcW w:w="2122" w:type="dxa"/>
            <w:noWrap/>
            <w:vAlign w:val="center"/>
            <w:hideMark/>
          </w:tcPr>
          <w:p w14:paraId="649084FC" w14:textId="77777777" w:rsidR="004D19BE" w:rsidRPr="00F5643D" w:rsidRDefault="004D19BE" w:rsidP="004D19BE">
            <w:pPr>
              <w:rPr>
                <w:rFonts w:ascii="Trebuchet MS" w:hAnsi="Trebuchet MS"/>
                <w:color w:val="000000"/>
              </w:rPr>
            </w:pPr>
            <w:r w:rsidRPr="00F5643D">
              <w:rPr>
                <w:rFonts w:ascii="Trebuchet MS" w:hAnsi="Trebuchet MS"/>
                <w:color w:val="000000"/>
              </w:rPr>
              <w:t>Kemična</w:t>
            </w:r>
          </w:p>
        </w:tc>
        <w:tc>
          <w:tcPr>
            <w:tcW w:w="1134" w:type="dxa"/>
            <w:noWrap/>
            <w:vAlign w:val="center"/>
          </w:tcPr>
          <w:p w14:paraId="174A97E8"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52,6%</w:t>
            </w:r>
          </w:p>
        </w:tc>
        <w:tc>
          <w:tcPr>
            <w:tcW w:w="1276" w:type="dxa"/>
            <w:vAlign w:val="center"/>
          </w:tcPr>
          <w:p w14:paraId="23B2696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52,6%</w:t>
            </w:r>
          </w:p>
        </w:tc>
        <w:tc>
          <w:tcPr>
            <w:tcW w:w="1275" w:type="dxa"/>
            <w:noWrap/>
            <w:vAlign w:val="center"/>
          </w:tcPr>
          <w:p w14:paraId="0E81C718"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52,7%</w:t>
            </w:r>
          </w:p>
        </w:tc>
        <w:tc>
          <w:tcPr>
            <w:tcW w:w="1418" w:type="dxa"/>
            <w:vAlign w:val="center"/>
          </w:tcPr>
          <w:p w14:paraId="23BFAC2D"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2,3 o.t.</w:t>
            </w:r>
          </w:p>
        </w:tc>
        <w:tc>
          <w:tcPr>
            <w:tcW w:w="1417" w:type="dxa"/>
            <w:noWrap/>
            <w:vAlign w:val="bottom"/>
          </w:tcPr>
          <w:p w14:paraId="0B3D06A1"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1,8 o.t.</w:t>
            </w:r>
          </w:p>
        </w:tc>
      </w:tr>
      <w:tr w:rsidR="00CD7D4F" w:rsidRPr="00663E6D" w14:paraId="237E7D35" w14:textId="77777777" w:rsidTr="00D65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noWrap/>
            <w:vAlign w:val="center"/>
            <w:hideMark/>
          </w:tcPr>
          <w:p w14:paraId="48B7F85A" w14:textId="77777777" w:rsidR="004D19BE" w:rsidRPr="00F5643D" w:rsidRDefault="004D19BE" w:rsidP="004D19BE">
            <w:pPr>
              <w:rPr>
                <w:rFonts w:ascii="Trebuchet MS" w:hAnsi="Trebuchet MS"/>
                <w:color w:val="000000"/>
              </w:rPr>
            </w:pPr>
            <w:r w:rsidRPr="00F5643D">
              <w:rPr>
                <w:rFonts w:ascii="Trebuchet MS" w:hAnsi="Trebuchet MS"/>
                <w:color w:val="000000"/>
              </w:rPr>
              <w:t>Nekovinska</w:t>
            </w:r>
          </w:p>
        </w:tc>
        <w:tc>
          <w:tcPr>
            <w:tcW w:w="1134" w:type="dxa"/>
            <w:noWrap/>
            <w:vAlign w:val="center"/>
          </w:tcPr>
          <w:p w14:paraId="54BF6BD6"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55,3%</w:t>
            </w:r>
          </w:p>
        </w:tc>
        <w:tc>
          <w:tcPr>
            <w:tcW w:w="1276" w:type="dxa"/>
            <w:vAlign w:val="center"/>
          </w:tcPr>
          <w:p w14:paraId="4E98D419"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62,6%</w:t>
            </w:r>
          </w:p>
        </w:tc>
        <w:tc>
          <w:tcPr>
            <w:tcW w:w="1275" w:type="dxa"/>
            <w:noWrap/>
            <w:vAlign w:val="center"/>
          </w:tcPr>
          <w:p w14:paraId="580D9760"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58,2%</w:t>
            </w:r>
          </w:p>
        </w:tc>
        <w:tc>
          <w:tcPr>
            <w:tcW w:w="1418" w:type="dxa"/>
            <w:vAlign w:val="center"/>
          </w:tcPr>
          <w:p w14:paraId="1C7524F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-1,7 o.t.</w:t>
            </w:r>
          </w:p>
        </w:tc>
        <w:tc>
          <w:tcPr>
            <w:tcW w:w="1417" w:type="dxa"/>
            <w:noWrap/>
            <w:vAlign w:val="bottom"/>
          </w:tcPr>
          <w:p w14:paraId="5518624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-6,9 o.t.</w:t>
            </w:r>
          </w:p>
        </w:tc>
      </w:tr>
      <w:tr w:rsidR="004D19BE" w:rsidRPr="00663E6D" w14:paraId="7174F12D" w14:textId="77777777" w:rsidTr="00A14AD0">
        <w:tc>
          <w:tcPr>
            <w:cnfStyle w:val="001000000000" w:firstRow="0" w:lastRow="0" w:firstColumn="1" w:lastColumn="0" w:oddVBand="0" w:evenVBand="0" w:oddHBand="0" w:evenHBand="0" w:firstRowFirstColumn="0" w:firstRowLastColumn="0" w:lastRowFirstColumn="0" w:lastRowLastColumn="0"/>
            <w:tcW w:w="2122" w:type="dxa"/>
            <w:noWrap/>
            <w:vAlign w:val="center"/>
            <w:hideMark/>
          </w:tcPr>
          <w:p w14:paraId="46961E10" w14:textId="77777777" w:rsidR="004D19BE" w:rsidRPr="00F5643D" w:rsidRDefault="004D19BE" w:rsidP="004D19BE">
            <w:pPr>
              <w:rPr>
                <w:rFonts w:ascii="Trebuchet MS" w:hAnsi="Trebuchet MS"/>
                <w:color w:val="000000"/>
              </w:rPr>
            </w:pPr>
            <w:r w:rsidRPr="00F5643D">
              <w:rPr>
                <w:rFonts w:ascii="Trebuchet MS" w:hAnsi="Trebuchet MS"/>
                <w:color w:val="000000"/>
              </w:rPr>
              <w:t>Kovinska</w:t>
            </w:r>
          </w:p>
        </w:tc>
        <w:tc>
          <w:tcPr>
            <w:tcW w:w="1134" w:type="dxa"/>
            <w:noWrap/>
            <w:vAlign w:val="center"/>
          </w:tcPr>
          <w:p w14:paraId="080C346B"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63,3%</w:t>
            </w:r>
          </w:p>
        </w:tc>
        <w:tc>
          <w:tcPr>
            <w:tcW w:w="1276" w:type="dxa"/>
            <w:vAlign w:val="center"/>
          </w:tcPr>
          <w:p w14:paraId="57438FDD"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66,2%</w:t>
            </w:r>
          </w:p>
        </w:tc>
        <w:tc>
          <w:tcPr>
            <w:tcW w:w="1275" w:type="dxa"/>
            <w:noWrap/>
            <w:vAlign w:val="center"/>
          </w:tcPr>
          <w:p w14:paraId="55F2E474"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61,5%</w:t>
            </w:r>
          </w:p>
        </w:tc>
        <w:tc>
          <w:tcPr>
            <w:tcW w:w="1418" w:type="dxa"/>
            <w:vAlign w:val="center"/>
          </w:tcPr>
          <w:p w14:paraId="623327CE"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-0,7 o.t.</w:t>
            </w:r>
          </w:p>
        </w:tc>
        <w:tc>
          <w:tcPr>
            <w:tcW w:w="1417" w:type="dxa"/>
            <w:noWrap/>
            <w:vAlign w:val="bottom"/>
          </w:tcPr>
          <w:p w14:paraId="5F8AF8BA"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2,9 o.t.</w:t>
            </w:r>
          </w:p>
        </w:tc>
      </w:tr>
      <w:tr w:rsidR="00CD7D4F" w:rsidRPr="00663E6D" w14:paraId="1D67AF3B" w14:textId="77777777" w:rsidTr="00D65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noWrap/>
            <w:vAlign w:val="center"/>
            <w:hideMark/>
          </w:tcPr>
          <w:p w14:paraId="2E5543FC" w14:textId="77777777" w:rsidR="004D19BE" w:rsidRPr="00F5643D" w:rsidRDefault="004D19BE" w:rsidP="004D19BE">
            <w:pPr>
              <w:rPr>
                <w:rFonts w:ascii="Trebuchet MS" w:hAnsi="Trebuchet MS"/>
                <w:color w:val="000000"/>
              </w:rPr>
            </w:pPr>
            <w:r w:rsidRPr="00F5643D">
              <w:rPr>
                <w:rFonts w:ascii="Trebuchet MS" w:hAnsi="Trebuchet MS"/>
                <w:color w:val="000000"/>
              </w:rPr>
              <w:t>Elektro</w:t>
            </w:r>
          </w:p>
        </w:tc>
        <w:tc>
          <w:tcPr>
            <w:tcW w:w="1134" w:type="dxa"/>
            <w:noWrap/>
            <w:vAlign w:val="center"/>
          </w:tcPr>
          <w:p w14:paraId="181DDF1C"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66,4%</w:t>
            </w:r>
          </w:p>
        </w:tc>
        <w:tc>
          <w:tcPr>
            <w:tcW w:w="1276" w:type="dxa"/>
            <w:vAlign w:val="center"/>
          </w:tcPr>
          <w:p w14:paraId="4D04F05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66,6%</w:t>
            </w:r>
          </w:p>
        </w:tc>
        <w:tc>
          <w:tcPr>
            <w:tcW w:w="1275" w:type="dxa"/>
            <w:noWrap/>
            <w:vAlign w:val="center"/>
          </w:tcPr>
          <w:p w14:paraId="51860CA8"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63,6%</w:t>
            </w:r>
          </w:p>
        </w:tc>
        <w:tc>
          <w:tcPr>
            <w:tcW w:w="1418" w:type="dxa"/>
            <w:vAlign w:val="center"/>
          </w:tcPr>
          <w:p w14:paraId="1EA05FF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-3,2 o.t.</w:t>
            </w:r>
          </w:p>
        </w:tc>
        <w:tc>
          <w:tcPr>
            <w:tcW w:w="1417" w:type="dxa"/>
            <w:noWrap/>
            <w:vAlign w:val="bottom"/>
          </w:tcPr>
          <w:p w14:paraId="098DBBB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0,4 o.t.</w:t>
            </w:r>
          </w:p>
        </w:tc>
      </w:tr>
      <w:tr w:rsidR="004D19BE" w:rsidRPr="00663E6D" w14:paraId="747BDD05" w14:textId="77777777" w:rsidTr="00A14AD0">
        <w:tc>
          <w:tcPr>
            <w:cnfStyle w:val="001000000000" w:firstRow="0" w:lastRow="0" w:firstColumn="1" w:lastColumn="0" w:oddVBand="0" w:evenVBand="0" w:oddHBand="0" w:evenHBand="0" w:firstRowFirstColumn="0" w:firstRowLastColumn="0" w:lastRowFirstColumn="0" w:lastRowLastColumn="0"/>
            <w:tcW w:w="2122" w:type="dxa"/>
            <w:noWrap/>
            <w:vAlign w:val="center"/>
            <w:hideMark/>
          </w:tcPr>
          <w:p w14:paraId="2DBA2A0D" w14:textId="77777777" w:rsidR="004D19BE" w:rsidRPr="00F5643D" w:rsidRDefault="004D19BE" w:rsidP="004D19BE">
            <w:pPr>
              <w:rPr>
                <w:rFonts w:ascii="Trebuchet MS" w:hAnsi="Trebuchet MS"/>
                <w:color w:val="000000"/>
              </w:rPr>
            </w:pPr>
            <w:r w:rsidRPr="00F5643D">
              <w:rPr>
                <w:rFonts w:ascii="Trebuchet MS" w:hAnsi="Trebuchet MS"/>
                <w:color w:val="000000"/>
              </w:rPr>
              <w:t>Strojna</w:t>
            </w:r>
          </w:p>
        </w:tc>
        <w:tc>
          <w:tcPr>
            <w:tcW w:w="1134" w:type="dxa"/>
            <w:noWrap/>
            <w:vAlign w:val="center"/>
          </w:tcPr>
          <w:p w14:paraId="59EBF05D"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64,2%</w:t>
            </w:r>
          </w:p>
        </w:tc>
        <w:tc>
          <w:tcPr>
            <w:tcW w:w="1276" w:type="dxa"/>
            <w:vAlign w:val="center"/>
          </w:tcPr>
          <w:p w14:paraId="4B71101A"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65,7%</w:t>
            </w:r>
          </w:p>
        </w:tc>
        <w:tc>
          <w:tcPr>
            <w:tcW w:w="1275" w:type="dxa"/>
            <w:noWrap/>
            <w:vAlign w:val="center"/>
          </w:tcPr>
          <w:p w14:paraId="4B839A00"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63,9%</w:t>
            </w:r>
          </w:p>
        </w:tc>
        <w:tc>
          <w:tcPr>
            <w:tcW w:w="1418" w:type="dxa"/>
            <w:vAlign w:val="center"/>
          </w:tcPr>
          <w:p w14:paraId="12B7C2B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-1,7 o.t.</w:t>
            </w:r>
          </w:p>
        </w:tc>
        <w:tc>
          <w:tcPr>
            <w:tcW w:w="1417" w:type="dxa"/>
            <w:noWrap/>
            <w:vAlign w:val="bottom"/>
          </w:tcPr>
          <w:p w14:paraId="2EB5188E"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-1,9 o.t.</w:t>
            </w:r>
          </w:p>
        </w:tc>
      </w:tr>
      <w:tr w:rsidR="00CD7D4F" w:rsidRPr="00663E6D" w14:paraId="6F6E9877" w14:textId="77777777" w:rsidTr="00D65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noWrap/>
            <w:vAlign w:val="center"/>
            <w:hideMark/>
          </w:tcPr>
          <w:p w14:paraId="4EDAF610" w14:textId="77777777" w:rsidR="004D19BE" w:rsidRPr="00F5643D" w:rsidRDefault="004D19BE" w:rsidP="004D19BE">
            <w:pPr>
              <w:rPr>
                <w:rFonts w:ascii="Trebuchet MS" w:hAnsi="Trebuchet MS"/>
                <w:color w:val="000000"/>
              </w:rPr>
            </w:pPr>
            <w:r w:rsidRPr="00F5643D">
              <w:rPr>
                <w:rFonts w:ascii="Trebuchet MS" w:hAnsi="Trebuchet MS"/>
                <w:color w:val="000000"/>
              </w:rPr>
              <w:t>Druge</w:t>
            </w:r>
          </w:p>
        </w:tc>
        <w:tc>
          <w:tcPr>
            <w:tcW w:w="1134" w:type="dxa"/>
            <w:noWrap/>
            <w:vAlign w:val="center"/>
          </w:tcPr>
          <w:p w14:paraId="411E975C"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58,4%</w:t>
            </w:r>
          </w:p>
        </w:tc>
        <w:tc>
          <w:tcPr>
            <w:tcW w:w="1276" w:type="dxa"/>
            <w:vAlign w:val="center"/>
          </w:tcPr>
          <w:p w14:paraId="4DA16C34"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62,5%</w:t>
            </w:r>
          </w:p>
        </w:tc>
        <w:tc>
          <w:tcPr>
            <w:tcW w:w="1275" w:type="dxa"/>
            <w:noWrap/>
            <w:vAlign w:val="center"/>
          </w:tcPr>
          <w:p w14:paraId="44C0E12E"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57,8%</w:t>
            </w:r>
          </w:p>
        </w:tc>
        <w:tc>
          <w:tcPr>
            <w:tcW w:w="1418" w:type="dxa"/>
            <w:vAlign w:val="center"/>
          </w:tcPr>
          <w:p w14:paraId="368B76D5"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0,1 o.t.</w:t>
            </w:r>
          </w:p>
        </w:tc>
        <w:tc>
          <w:tcPr>
            <w:tcW w:w="1417" w:type="dxa"/>
            <w:noWrap/>
            <w:vAlign w:val="bottom"/>
          </w:tcPr>
          <w:p w14:paraId="1F5A8A0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-4,2 o.t.</w:t>
            </w:r>
          </w:p>
        </w:tc>
      </w:tr>
    </w:tbl>
    <w:p w14:paraId="00DC1095" w14:textId="77777777" w:rsidR="003372D7" w:rsidRPr="009B538E" w:rsidRDefault="003372D7" w:rsidP="003372D7">
      <w:pPr>
        <w:pStyle w:val="Odstavekseznama"/>
        <w:spacing w:before="20"/>
        <w:ind w:left="0"/>
        <w:jc w:val="both"/>
        <w:rPr>
          <w:i/>
        </w:rPr>
      </w:pPr>
      <w:r w:rsidRPr="009B538E">
        <w:rPr>
          <w:i/>
        </w:rPr>
        <w:t>Vir: SURS, strukturna statistika podjetij, preračuni Analitika GZS</w:t>
      </w:r>
    </w:p>
    <w:p w14:paraId="1574E7A4" w14:textId="77777777" w:rsidR="003372D7" w:rsidRPr="009B538E" w:rsidRDefault="003372D7" w:rsidP="003372D7">
      <w:pPr>
        <w:pStyle w:val="Odstavekseznama"/>
        <w:spacing w:before="20"/>
        <w:ind w:left="360"/>
        <w:jc w:val="both"/>
        <w:rPr>
          <w:i/>
        </w:rPr>
      </w:pPr>
    </w:p>
    <w:p w14:paraId="40E74B4E" w14:textId="77777777" w:rsidR="007C7F66" w:rsidRPr="00964361" w:rsidRDefault="007C7F66" w:rsidP="002C7476">
      <w:pPr>
        <w:pStyle w:val="Odstavekseznama"/>
        <w:numPr>
          <w:ilvl w:val="0"/>
          <w:numId w:val="16"/>
        </w:numPr>
        <w:spacing w:before="0" w:after="160" w:line="259" w:lineRule="auto"/>
        <w:rPr>
          <w:rFonts w:cstheme="minorHAnsi"/>
          <w:b/>
          <w:bCs/>
        </w:rPr>
      </w:pPr>
      <w:r w:rsidRPr="00964361">
        <w:rPr>
          <w:rFonts w:cstheme="minorHAnsi"/>
          <w:b/>
          <w:bCs/>
        </w:rPr>
        <w:t>Bruto poslovni presežek (EBITDA) in marža bruto poslovnega presežka</w:t>
      </w:r>
    </w:p>
    <w:p w14:paraId="0440D4AE" w14:textId="77777777" w:rsidR="007C7F66" w:rsidRPr="00964361" w:rsidRDefault="007C7F66" w:rsidP="007C7F66">
      <w:pPr>
        <w:pStyle w:val="Odstavekseznama"/>
        <w:ind w:left="0"/>
        <w:rPr>
          <w:rFonts w:cstheme="minorHAnsi"/>
        </w:rPr>
      </w:pPr>
    </w:p>
    <w:p w14:paraId="462BD135" w14:textId="67CD9310" w:rsidR="007C7F66" w:rsidRPr="00964361" w:rsidRDefault="007C7F66" w:rsidP="00405849">
      <w:pPr>
        <w:pStyle w:val="Odstavekseznama"/>
        <w:ind w:left="0"/>
        <w:jc w:val="both"/>
        <w:rPr>
          <w:rFonts w:cstheme="minorHAnsi"/>
        </w:rPr>
      </w:pPr>
      <w:r w:rsidRPr="00964361">
        <w:rPr>
          <w:rFonts w:cstheme="minorHAnsi"/>
        </w:rPr>
        <w:t>Bruto poslovni presežek je presežek, ki nastane iz poslovnih dejavnosti po poplačilu vhodnih faktorjev dela. Izračuna se lahko iz dodane vrednosti v stroških faktorjev, in sicer tako, da se od te vrednosti odštejejo stroški dela. Bruto poslovni presežek v predelovalnih dejavnostih je v letu 2018 presegel 3,4 mrd EUR</w:t>
      </w:r>
      <w:r w:rsidR="00D32B4D">
        <w:rPr>
          <w:rFonts w:cstheme="minorHAnsi"/>
        </w:rPr>
        <w:t xml:space="preserve">, </w:t>
      </w:r>
      <w:r w:rsidRPr="00964361">
        <w:rPr>
          <w:rFonts w:cstheme="minorHAnsi"/>
        </w:rPr>
        <w:t xml:space="preserve">raven iz leta 2008 </w:t>
      </w:r>
      <w:r w:rsidR="00D32B4D">
        <w:rPr>
          <w:rFonts w:cstheme="minorHAnsi"/>
        </w:rPr>
        <w:t xml:space="preserve">pa je </w:t>
      </w:r>
      <w:r w:rsidR="00D32B4D" w:rsidRPr="00964361">
        <w:rPr>
          <w:rFonts w:cstheme="minorHAnsi"/>
        </w:rPr>
        <w:t xml:space="preserve">presegel </w:t>
      </w:r>
      <w:r w:rsidRPr="00964361">
        <w:rPr>
          <w:rFonts w:cstheme="minorHAnsi"/>
        </w:rPr>
        <w:t>za 1 mrd EUR oz</w:t>
      </w:r>
      <w:r w:rsidR="00D32B4D">
        <w:rPr>
          <w:rFonts w:cstheme="minorHAnsi"/>
        </w:rPr>
        <w:t>iroma</w:t>
      </w:r>
      <w:r w:rsidRPr="00964361">
        <w:rPr>
          <w:rFonts w:cstheme="minorHAnsi"/>
        </w:rPr>
        <w:t xml:space="preserve"> za 41,8 %. Bruto poslovni presežek je presežek</w:t>
      </w:r>
      <w:r w:rsidR="00050216">
        <w:rPr>
          <w:rFonts w:cstheme="minorHAnsi"/>
        </w:rPr>
        <w:t>, ki</w:t>
      </w:r>
      <w:r w:rsidRPr="00964361">
        <w:rPr>
          <w:rFonts w:cstheme="minorHAnsi"/>
        </w:rPr>
        <w:t xml:space="preserve"> zadnjih </w:t>
      </w:r>
      <w:r w:rsidR="00B1611B">
        <w:rPr>
          <w:rFonts w:cstheme="minorHAnsi"/>
        </w:rPr>
        <w:t>šest</w:t>
      </w:r>
      <w:r w:rsidRPr="00964361">
        <w:rPr>
          <w:rFonts w:cstheme="minorHAnsi"/>
        </w:rPr>
        <w:t xml:space="preserve"> let</w:t>
      </w:r>
      <w:r w:rsidR="00D32B4D" w:rsidRPr="00D32B4D">
        <w:rPr>
          <w:rFonts w:cstheme="minorHAnsi"/>
        </w:rPr>
        <w:t xml:space="preserve"> </w:t>
      </w:r>
      <w:r w:rsidR="00D32B4D" w:rsidRPr="00964361">
        <w:rPr>
          <w:rFonts w:cstheme="minorHAnsi"/>
        </w:rPr>
        <w:t>konstantno raste</w:t>
      </w:r>
      <w:r w:rsidRPr="00964361">
        <w:rPr>
          <w:rFonts w:cstheme="minorHAnsi"/>
        </w:rPr>
        <w:t xml:space="preserve">, v zadnjih </w:t>
      </w:r>
      <w:r w:rsidR="00D32B4D">
        <w:rPr>
          <w:rFonts w:cstheme="minorHAnsi"/>
        </w:rPr>
        <w:t>desetih</w:t>
      </w:r>
      <w:r w:rsidR="00D32B4D" w:rsidRPr="00964361">
        <w:rPr>
          <w:rFonts w:cstheme="minorHAnsi"/>
        </w:rPr>
        <w:t xml:space="preserve"> </w:t>
      </w:r>
      <w:r w:rsidRPr="00964361">
        <w:rPr>
          <w:rFonts w:cstheme="minorHAnsi"/>
        </w:rPr>
        <w:t>letih so predelovalne dejavnosti  v povprečju beležile 3,6</w:t>
      </w:r>
      <w:r w:rsidR="00D32B4D">
        <w:rPr>
          <w:rFonts w:cstheme="minorHAnsi"/>
        </w:rPr>
        <w:t>-odstotno</w:t>
      </w:r>
      <w:r w:rsidRPr="00964361">
        <w:rPr>
          <w:rFonts w:cstheme="minorHAnsi"/>
        </w:rPr>
        <w:t xml:space="preserve"> rast na leto, v zadnjih </w:t>
      </w:r>
      <w:r w:rsidR="00D32B4D">
        <w:rPr>
          <w:rFonts w:cstheme="minorHAnsi"/>
        </w:rPr>
        <w:t>petih</w:t>
      </w:r>
      <w:r w:rsidR="00D32B4D" w:rsidRPr="00964361">
        <w:rPr>
          <w:rFonts w:cstheme="minorHAnsi"/>
        </w:rPr>
        <w:t xml:space="preserve"> </w:t>
      </w:r>
      <w:r w:rsidRPr="00964361">
        <w:rPr>
          <w:rFonts w:cstheme="minorHAnsi"/>
        </w:rPr>
        <w:t xml:space="preserve">letih pa letna rast znaša 8,8 %. </w:t>
      </w:r>
    </w:p>
    <w:p w14:paraId="1A05A85C" w14:textId="77777777" w:rsidR="007C7F66" w:rsidRPr="009B538E" w:rsidRDefault="007C7F66" w:rsidP="007C7F66">
      <w:pPr>
        <w:pStyle w:val="Odstavekseznama"/>
        <w:ind w:left="0"/>
      </w:pPr>
    </w:p>
    <w:p w14:paraId="66189D8C" w14:textId="76B7BE59" w:rsidR="007C7F66" w:rsidRPr="00964361" w:rsidRDefault="007C7F66" w:rsidP="00405849">
      <w:pPr>
        <w:pStyle w:val="Odstavekseznama"/>
        <w:ind w:left="0"/>
        <w:jc w:val="both"/>
        <w:rPr>
          <w:rFonts w:cstheme="minorHAnsi"/>
        </w:rPr>
      </w:pPr>
      <w:r w:rsidRPr="00964361">
        <w:rPr>
          <w:rFonts w:cstheme="minorHAnsi"/>
        </w:rPr>
        <w:t xml:space="preserve">V zadnjih </w:t>
      </w:r>
      <w:r w:rsidR="00D32B4D">
        <w:rPr>
          <w:rFonts w:cstheme="minorHAnsi"/>
        </w:rPr>
        <w:t>enajstih</w:t>
      </w:r>
      <w:r w:rsidR="00D32B4D" w:rsidRPr="00964361">
        <w:rPr>
          <w:rFonts w:cstheme="minorHAnsi"/>
        </w:rPr>
        <w:t xml:space="preserve"> </w:t>
      </w:r>
      <w:r w:rsidRPr="00964361">
        <w:rPr>
          <w:rFonts w:cstheme="minorHAnsi"/>
        </w:rPr>
        <w:t xml:space="preserve">letih so predelovalne dejavnosti v povprečju ustvarile 2,6 mrd EUR bruto poslovnega presežka, v zadnjih </w:t>
      </w:r>
      <w:r w:rsidR="00D32B4D">
        <w:rPr>
          <w:rFonts w:cstheme="minorHAnsi"/>
        </w:rPr>
        <w:t>petih</w:t>
      </w:r>
      <w:r w:rsidR="00D32B4D" w:rsidRPr="00964361">
        <w:rPr>
          <w:rFonts w:cstheme="minorHAnsi"/>
        </w:rPr>
        <w:t xml:space="preserve"> </w:t>
      </w:r>
      <w:r w:rsidRPr="00964361">
        <w:rPr>
          <w:rFonts w:cstheme="minorHAnsi"/>
        </w:rPr>
        <w:t xml:space="preserve">letih pa 3,1 mrd EUR. V zadnjih </w:t>
      </w:r>
      <w:r w:rsidR="00D32B4D">
        <w:rPr>
          <w:rFonts w:cstheme="minorHAnsi"/>
        </w:rPr>
        <w:t>desetih</w:t>
      </w:r>
      <w:r w:rsidR="00D32B4D" w:rsidRPr="00964361">
        <w:rPr>
          <w:rFonts w:cstheme="minorHAnsi"/>
        </w:rPr>
        <w:t xml:space="preserve"> </w:t>
      </w:r>
      <w:r w:rsidRPr="00964361">
        <w:rPr>
          <w:rFonts w:cstheme="minorHAnsi"/>
        </w:rPr>
        <w:t xml:space="preserve">letih (2018/2008) se je med predelovalnimi dejavnostmi bruto poslovni presežek najbolj zvišal v strojni in kemični (224 in 221 mio EUR), kovinski (176 mio EUR) in elektro industriji (136 mio EUR). Le papirna industrija še ni dosegla nivoja bruto poslovnega presežka iz leta 2008. </w:t>
      </w:r>
    </w:p>
    <w:p w14:paraId="5960F2AD" w14:textId="77777777" w:rsidR="007C7F66" w:rsidRPr="007041AF" w:rsidRDefault="007C7F66" w:rsidP="00A347B2">
      <w:pPr>
        <w:pStyle w:val="Odstavekseznama"/>
        <w:spacing w:after="0"/>
        <w:ind w:left="0"/>
        <w:rPr>
          <w:rFonts w:cstheme="minorHAnsi"/>
        </w:rPr>
      </w:pPr>
      <w:r w:rsidRPr="007041AF">
        <w:rPr>
          <w:rFonts w:cstheme="minorHAnsi"/>
          <w:noProof/>
          <w:lang w:eastAsia="sl-SI"/>
        </w:rPr>
        <w:drawing>
          <wp:inline distT="0" distB="0" distL="0" distR="0" wp14:anchorId="648155FF" wp14:editId="50CD009C">
            <wp:extent cx="4623206" cy="2633472"/>
            <wp:effectExtent l="0" t="0" r="6350" b="0"/>
            <wp:docPr id="49" name="Grafikon 4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198EFDB-AC32-4663-A358-D6454EF899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74AC97C" w14:textId="77777777" w:rsidR="003372D7" w:rsidRPr="009B538E" w:rsidRDefault="003372D7" w:rsidP="003372D7">
      <w:pPr>
        <w:spacing w:before="20"/>
        <w:jc w:val="both"/>
        <w:rPr>
          <w:i/>
        </w:rPr>
      </w:pPr>
      <w:r w:rsidRPr="009B538E">
        <w:rPr>
          <w:i/>
        </w:rPr>
        <w:t>Vir: SURS, strukturna statistika podjetij, preračuni Analitika GZS</w:t>
      </w:r>
    </w:p>
    <w:p w14:paraId="0B2096CE" w14:textId="72C6D496" w:rsidR="007C7F66" w:rsidRPr="00964361" w:rsidRDefault="007C7F66" w:rsidP="00405849">
      <w:pPr>
        <w:pStyle w:val="Odstavekseznama"/>
        <w:ind w:left="0"/>
        <w:jc w:val="both"/>
        <w:rPr>
          <w:rFonts w:cstheme="minorHAnsi"/>
        </w:rPr>
      </w:pPr>
      <w:r w:rsidRPr="00964361">
        <w:rPr>
          <w:rFonts w:cstheme="minorHAnsi"/>
        </w:rPr>
        <w:t xml:space="preserve">V obdobju zadnjih </w:t>
      </w:r>
      <w:r w:rsidR="00D32B4D">
        <w:rPr>
          <w:rFonts w:cstheme="minorHAnsi"/>
        </w:rPr>
        <w:t>petih</w:t>
      </w:r>
      <w:r w:rsidR="00D32B4D" w:rsidRPr="00964361">
        <w:rPr>
          <w:rFonts w:cstheme="minorHAnsi"/>
        </w:rPr>
        <w:t xml:space="preserve"> </w:t>
      </w:r>
      <w:r w:rsidRPr="00FD4C45">
        <w:rPr>
          <w:rFonts w:cstheme="minorHAnsi"/>
        </w:rPr>
        <w:t>let</w:t>
      </w:r>
      <w:r w:rsidRPr="00964361">
        <w:rPr>
          <w:rFonts w:cstheme="minorHAnsi"/>
        </w:rPr>
        <w:t xml:space="preserve"> (2014-2018) je bruto poslovni presežek med </w:t>
      </w:r>
      <w:r w:rsidRPr="00FD4C45">
        <w:rPr>
          <w:rFonts w:cstheme="minorHAnsi"/>
        </w:rPr>
        <w:t>predelovalni</w:t>
      </w:r>
      <w:r w:rsidR="00050216">
        <w:rPr>
          <w:rFonts w:cstheme="minorHAnsi"/>
        </w:rPr>
        <w:t>mi</w:t>
      </w:r>
      <w:r w:rsidRPr="00FD4C45">
        <w:rPr>
          <w:rFonts w:cstheme="minorHAnsi"/>
        </w:rPr>
        <w:t xml:space="preserve"> dejavnost</w:t>
      </w:r>
      <w:r w:rsidR="00050216">
        <w:rPr>
          <w:rFonts w:cstheme="minorHAnsi"/>
        </w:rPr>
        <w:t>m</w:t>
      </w:r>
      <w:r w:rsidRPr="00FD4C45">
        <w:rPr>
          <w:rFonts w:cstheme="minorHAnsi"/>
        </w:rPr>
        <w:t>i</w:t>
      </w:r>
      <w:r w:rsidRPr="00964361">
        <w:rPr>
          <w:rFonts w:cstheme="minorHAnsi"/>
        </w:rPr>
        <w:t xml:space="preserve"> vsako leto v povprečju najbolj </w:t>
      </w:r>
      <w:r w:rsidRPr="00FD4C45">
        <w:rPr>
          <w:rFonts w:cstheme="minorHAnsi"/>
        </w:rPr>
        <w:t>porasel</w:t>
      </w:r>
      <w:r w:rsidRPr="00964361">
        <w:rPr>
          <w:rFonts w:cstheme="minorHAnsi"/>
        </w:rPr>
        <w:t xml:space="preserve"> v lesni in tekstilni industriji </w:t>
      </w:r>
      <w:r w:rsidR="00D32B4D">
        <w:rPr>
          <w:rFonts w:cstheme="minorHAnsi"/>
        </w:rPr>
        <w:t>(</w:t>
      </w:r>
      <w:r w:rsidRPr="00964361">
        <w:rPr>
          <w:rFonts w:cstheme="minorHAnsi"/>
        </w:rPr>
        <w:t>za 18 in 17 % letno</w:t>
      </w:r>
      <w:r w:rsidR="00D32B4D">
        <w:rPr>
          <w:rFonts w:cstheme="minorHAnsi"/>
        </w:rPr>
        <w:t>)</w:t>
      </w:r>
      <w:r w:rsidRPr="00964361">
        <w:rPr>
          <w:rFonts w:cstheme="minorHAnsi"/>
        </w:rPr>
        <w:t xml:space="preserve">, drugih predelovalnih dejavnostih </w:t>
      </w:r>
      <w:r w:rsidR="00D32B4D">
        <w:rPr>
          <w:rFonts w:cstheme="minorHAnsi"/>
        </w:rPr>
        <w:t>(</w:t>
      </w:r>
      <w:r w:rsidRPr="00964361">
        <w:rPr>
          <w:rFonts w:cstheme="minorHAnsi"/>
        </w:rPr>
        <w:t>za 16 % letno</w:t>
      </w:r>
      <w:r w:rsidR="00D32B4D">
        <w:rPr>
          <w:rFonts w:cstheme="minorHAnsi"/>
        </w:rPr>
        <w:t>)</w:t>
      </w:r>
      <w:r w:rsidRPr="00964361">
        <w:rPr>
          <w:rFonts w:cstheme="minorHAnsi"/>
        </w:rPr>
        <w:t xml:space="preserve">, kovinski in nekovinski </w:t>
      </w:r>
      <w:r w:rsidR="00D32B4D">
        <w:rPr>
          <w:rFonts w:cstheme="minorHAnsi"/>
        </w:rPr>
        <w:t>(</w:t>
      </w:r>
      <w:r w:rsidRPr="00964361">
        <w:rPr>
          <w:rFonts w:cstheme="minorHAnsi"/>
        </w:rPr>
        <w:t>12 in 11 % letno</w:t>
      </w:r>
      <w:r w:rsidR="00C67139">
        <w:rPr>
          <w:rFonts w:cstheme="minorHAnsi"/>
        </w:rPr>
        <w:t>) ter</w:t>
      </w:r>
      <w:r w:rsidRPr="00964361">
        <w:rPr>
          <w:rFonts w:cstheme="minorHAnsi"/>
        </w:rPr>
        <w:t xml:space="preserve"> strojni industriji </w:t>
      </w:r>
      <w:r w:rsidR="00D32B4D">
        <w:rPr>
          <w:rFonts w:cstheme="minorHAnsi"/>
        </w:rPr>
        <w:t>(</w:t>
      </w:r>
      <w:r w:rsidRPr="00964361">
        <w:rPr>
          <w:rFonts w:cstheme="minorHAnsi"/>
        </w:rPr>
        <w:t>za 10% letno</w:t>
      </w:r>
      <w:r w:rsidR="00D32B4D">
        <w:rPr>
          <w:rFonts w:cstheme="minorHAnsi"/>
        </w:rPr>
        <w:t>)</w:t>
      </w:r>
      <w:r w:rsidRPr="00964361">
        <w:rPr>
          <w:rFonts w:cstheme="minorHAnsi"/>
        </w:rPr>
        <w:t>. Med vsemi predelovalnimi panogami so v 2018 največ bruto poslovnega presežka ustvarili v kemi</w:t>
      </w:r>
      <w:r w:rsidR="00D32B4D">
        <w:rPr>
          <w:rFonts w:cstheme="minorHAnsi"/>
        </w:rPr>
        <w:t>čn</w:t>
      </w:r>
      <w:r w:rsidRPr="00964361">
        <w:rPr>
          <w:rFonts w:cstheme="minorHAnsi"/>
        </w:rPr>
        <w:t xml:space="preserve">i industriji (27 % celotne predelovalne panoge), sledijo kovinska in strojna (19 %), elektro (11 %), prehrambna (7 %) in lesna industrija (5 %).  </w:t>
      </w:r>
    </w:p>
    <w:tbl>
      <w:tblPr>
        <w:tblStyle w:val="Tabelaseznam4poudarek61"/>
        <w:tblW w:w="5000" w:type="pct"/>
        <w:tblLayout w:type="fixed"/>
        <w:tblLook w:val="04A0" w:firstRow="1" w:lastRow="0" w:firstColumn="1" w:lastColumn="0" w:noHBand="0" w:noVBand="1"/>
      </w:tblPr>
      <w:tblGrid>
        <w:gridCol w:w="1327"/>
        <w:gridCol w:w="1329"/>
        <w:gridCol w:w="1326"/>
        <w:gridCol w:w="1328"/>
        <w:gridCol w:w="1326"/>
        <w:gridCol w:w="1328"/>
        <w:gridCol w:w="1324"/>
      </w:tblGrid>
      <w:tr w:rsidR="00CD7D4F" w:rsidRPr="00AF09A3" w14:paraId="56EC09E8" w14:textId="77777777" w:rsidTr="00640727">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714" w:type="pct"/>
            <w:vAlign w:val="center"/>
            <w:hideMark/>
          </w:tcPr>
          <w:p w14:paraId="7C4620F1" w14:textId="77777777" w:rsidR="007C7F66" w:rsidRPr="0049147B" w:rsidRDefault="007C7F66" w:rsidP="00BF7D3C">
            <w:r w:rsidRPr="0049147B">
              <w:t>Bruto poslovni presežek (EBITDA)</w:t>
            </w:r>
          </w:p>
        </w:tc>
        <w:tc>
          <w:tcPr>
            <w:tcW w:w="715" w:type="pct"/>
            <w:vAlign w:val="center"/>
          </w:tcPr>
          <w:p w14:paraId="296AC207" w14:textId="77777777" w:rsidR="007C7F66" w:rsidRPr="0049147B" w:rsidRDefault="007C7F66" w:rsidP="00692A14">
            <w:pPr>
              <w:jc w:val="center"/>
              <w:cnfStyle w:val="100000000000" w:firstRow="1" w:lastRow="0" w:firstColumn="0" w:lastColumn="0" w:oddVBand="0" w:evenVBand="0" w:oddHBand="0" w:evenHBand="0" w:firstRowFirstColumn="0" w:firstRowLastColumn="0" w:lastRowFirstColumn="0" w:lastRowLastColumn="0"/>
            </w:pPr>
            <w:r w:rsidRPr="0049147B">
              <w:t>Vred.</w:t>
            </w:r>
          </w:p>
          <w:p w14:paraId="7FA23F69" w14:textId="77777777" w:rsidR="007C7F66" w:rsidRPr="0049147B" w:rsidRDefault="007C7F66" w:rsidP="00692A14">
            <w:pPr>
              <w:jc w:val="center"/>
              <w:cnfStyle w:val="100000000000" w:firstRow="1" w:lastRow="0" w:firstColumn="0" w:lastColumn="0" w:oddVBand="0" w:evenVBand="0" w:oddHBand="0" w:evenHBand="0" w:firstRowFirstColumn="0" w:firstRowLastColumn="0" w:lastRowFirstColumn="0" w:lastRowLastColumn="0"/>
              <w:rPr>
                <w:b w:val="0"/>
              </w:rPr>
            </w:pPr>
            <w:r w:rsidRPr="0049147B">
              <w:t>2018,</w:t>
            </w:r>
          </w:p>
          <w:p w14:paraId="0E679A2E" w14:textId="77777777" w:rsidR="007C7F66" w:rsidRPr="0049147B" w:rsidRDefault="007C7F66" w:rsidP="00692A14">
            <w:pPr>
              <w:jc w:val="center"/>
              <w:cnfStyle w:val="100000000000" w:firstRow="1" w:lastRow="0" w:firstColumn="0" w:lastColumn="0" w:oddVBand="0" w:evenVBand="0" w:oddHBand="0" w:evenHBand="0" w:firstRowFirstColumn="0" w:firstRowLastColumn="0" w:lastRowFirstColumn="0" w:lastRowLastColumn="0"/>
              <w:rPr>
                <w:b w:val="0"/>
              </w:rPr>
            </w:pPr>
            <w:r w:rsidRPr="0049147B">
              <w:t>mio EUR,</w:t>
            </w:r>
          </w:p>
        </w:tc>
        <w:tc>
          <w:tcPr>
            <w:tcW w:w="714" w:type="pct"/>
            <w:vAlign w:val="center"/>
          </w:tcPr>
          <w:p w14:paraId="37929414" w14:textId="77777777" w:rsidR="007C7F66" w:rsidRPr="0049147B" w:rsidRDefault="007C7F66" w:rsidP="00692A14">
            <w:pPr>
              <w:jc w:val="center"/>
              <w:cnfStyle w:val="100000000000" w:firstRow="1" w:lastRow="0" w:firstColumn="0" w:lastColumn="0" w:oddVBand="0" w:evenVBand="0" w:oddHBand="0" w:evenHBand="0" w:firstRowFirstColumn="0" w:firstRowLastColumn="0" w:lastRowFirstColumn="0" w:lastRowLastColumn="0"/>
              <w:rPr>
                <w:b w:val="0"/>
              </w:rPr>
            </w:pPr>
            <w:r w:rsidRPr="0049147B">
              <w:t>Ø Vred. 2008-2018,</w:t>
            </w:r>
          </w:p>
          <w:p w14:paraId="0D47940B" w14:textId="77777777" w:rsidR="007C7F66" w:rsidRPr="0049147B" w:rsidRDefault="007C7F66" w:rsidP="00692A14">
            <w:pPr>
              <w:jc w:val="center"/>
              <w:cnfStyle w:val="100000000000" w:firstRow="1" w:lastRow="0" w:firstColumn="0" w:lastColumn="0" w:oddVBand="0" w:evenVBand="0" w:oddHBand="0" w:evenHBand="0" w:firstRowFirstColumn="0" w:firstRowLastColumn="0" w:lastRowFirstColumn="0" w:lastRowLastColumn="0"/>
              <w:rPr>
                <w:b w:val="0"/>
              </w:rPr>
            </w:pPr>
            <w:r w:rsidRPr="0049147B">
              <w:t>mio EUR</w:t>
            </w:r>
          </w:p>
        </w:tc>
        <w:tc>
          <w:tcPr>
            <w:tcW w:w="715" w:type="pct"/>
            <w:vAlign w:val="center"/>
          </w:tcPr>
          <w:p w14:paraId="0E071622" w14:textId="77777777" w:rsidR="007C7F66" w:rsidRPr="0049147B" w:rsidRDefault="007C7F66" w:rsidP="00692A14">
            <w:pPr>
              <w:jc w:val="center"/>
              <w:cnfStyle w:val="100000000000" w:firstRow="1" w:lastRow="0" w:firstColumn="0" w:lastColumn="0" w:oddVBand="0" w:evenVBand="0" w:oddHBand="0" w:evenHBand="0" w:firstRowFirstColumn="0" w:firstRowLastColumn="0" w:lastRowFirstColumn="0" w:lastRowLastColumn="0"/>
              <w:rPr>
                <w:b w:val="0"/>
              </w:rPr>
            </w:pPr>
            <w:r w:rsidRPr="0049147B">
              <w:t>Vred. razlika</w:t>
            </w:r>
          </w:p>
          <w:p w14:paraId="40E8C94E" w14:textId="77777777" w:rsidR="007C7F66" w:rsidRPr="0049147B" w:rsidRDefault="007C7F66" w:rsidP="00692A14">
            <w:pPr>
              <w:jc w:val="center"/>
              <w:cnfStyle w:val="100000000000" w:firstRow="1" w:lastRow="0" w:firstColumn="0" w:lastColumn="0" w:oddVBand="0" w:evenVBand="0" w:oddHBand="0" w:evenHBand="0" w:firstRowFirstColumn="0" w:firstRowLastColumn="0" w:lastRowFirstColumn="0" w:lastRowLastColumn="0"/>
              <w:rPr>
                <w:b w:val="0"/>
              </w:rPr>
            </w:pPr>
            <w:r w:rsidRPr="0049147B">
              <w:t>2018-2008,</w:t>
            </w:r>
          </w:p>
          <w:p w14:paraId="3D7F7C98" w14:textId="77777777" w:rsidR="007C7F66" w:rsidRPr="0049147B" w:rsidRDefault="007C7F66" w:rsidP="00692A14">
            <w:pPr>
              <w:jc w:val="center"/>
              <w:cnfStyle w:val="100000000000" w:firstRow="1" w:lastRow="0" w:firstColumn="0" w:lastColumn="0" w:oddVBand="0" w:evenVBand="0" w:oddHBand="0" w:evenHBand="0" w:firstRowFirstColumn="0" w:firstRowLastColumn="0" w:lastRowFirstColumn="0" w:lastRowLastColumn="0"/>
            </w:pPr>
            <w:r w:rsidRPr="0049147B">
              <w:t>mio EUR</w:t>
            </w:r>
          </w:p>
        </w:tc>
        <w:tc>
          <w:tcPr>
            <w:tcW w:w="714" w:type="pct"/>
            <w:vAlign w:val="center"/>
          </w:tcPr>
          <w:p w14:paraId="5EDBA317" w14:textId="77777777" w:rsidR="007C7F66" w:rsidRPr="0049147B" w:rsidRDefault="007C7F66" w:rsidP="00692A14">
            <w:pPr>
              <w:jc w:val="center"/>
              <w:cnfStyle w:val="100000000000" w:firstRow="1" w:lastRow="0" w:firstColumn="0" w:lastColumn="0" w:oddVBand="0" w:evenVBand="0" w:oddHBand="0" w:evenHBand="0" w:firstRowFirstColumn="0" w:firstRowLastColumn="0" w:lastRowFirstColumn="0" w:lastRowLastColumn="0"/>
              <w:rPr>
                <w:b w:val="0"/>
              </w:rPr>
            </w:pPr>
            <w:r w:rsidRPr="0049147B">
              <w:t>Sprem. v %</w:t>
            </w:r>
          </w:p>
          <w:p w14:paraId="2B0C9B53" w14:textId="77777777" w:rsidR="007C7F66" w:rsidRPr="0049147B" w:rsidRDefault="007C7F66" w:rsidP="00692A14">
            <w:pPr>
              <w:jc w:val="center"/>
              <w:cnfStyle w:val="100000000000" w:firstRow="1" w:lastRow="0" w:firstColumn="0" w:lastColumn="0" w:oddVBand="0" w:evenVBand="0" w:oddHBand="0" w:evenHBand="0" w:firstRowFirstColumn="0" w:firstRowLastColumn="0" w:lastRowFirstColumn="0" w:lastRowLastColumn="0"/>
              <w:rPr>
                <w:b w:val="0"/>
              </w:rPr>
            </w:pPr>
            <w:r w:rsidRPr="0049147B">
              <w:t>2018/2008,</w:t>
            </w:r>
          </w:p>
        </w:tc>
        <w:tc>
          <w:tcPr>
            <w:tcW w:w="715" w:type="pct"/>
            <w:vAlign w:val="center"/>
          </w:tcPr>
          <w:p w14:paraId="1DAF7D32" w14:textId="77777777" w:rsidR="007C7F66" w:rsidRPr="0049147B" w:rsidRDefault="007C7F66" w:rsidP="00692A14">
            <w:pPr>
              <w:jc w:val="center"/>
              <w:cnfStyle w:val="100000000000" w:firstRow="1" w:lastRow="0" w:firstColumn="0" w:lastColumn="0" w:oddVBand="0" w:evenVBand="0" w:oddHBand="0" w:evenHBand="0" w:firstRowFirstColumn="0" w:firstRowLastColumn="0" w:lastRowFirstColumn="0" w:lastRowLastColumn="0"/>
              <w:rPr>
                <w:b w:val="0"/>
              </w:rPr>
            </w:pPr>
            <w:r w:rsidRPr="0049147B">
              <w:t>Ø Vred.</w:t>
            </w:r>
          </w:p>
          <w:p w14:paraId="7062A9EC" w14:textId="77777777" w:rsidR="007C7F66" w:rsidRPr="0049147B" w:rsidRDefault="007C7F66" w:rsidP="00692A14">
            <w:pPr>
              <w:jc w:val="center"/>
              <w:cnfStyle w:val="100000000000" w:firstRow="1" w:lastRow="0" w:firstColumn="0" w:lastColumn="0" w:oddVBand="0" w:evenVBand="0" w:oddHBand="0" w:evenHBand="0" w:firstRowFirstColumn="0" w:firstRowLastColumn="0" w:lastRowFirstColumn="0" w:lastRowLastColumn="0"/>
              <w:rPr>
                <w:b w:val="0"/>
              </w:rPr>
            </w:pPr>
            <w:r w:rsidRPr="0049147B">
              <w:t>2014-2018,</w:t>
            </w:r>
          </w:p>
          <w:p w14:paraId="141DBCDF" w14:textId="77777777" w:rsidR="007C7F66" w:rsidRPr="0049147B" w:rsidRDefault="007C7F66" w:rsidP="00692A14">
            <w:pPr>
              <w:jc w:val="center"/>
              <w:cnfStyle w:val="100000000000" w:firstRow="1" w:lastRow="0" w:firstColumn="0" w:lastColumn="0" w:oddVBand="0" w:evenVBand="0" w:oddHBand="0" w:evenHBand="0" w:firstRowFirstColumn="0" w:firstRowLastColumn="0" w:lastRowFirstColumn="0" w:lastRowLastColumn="0"/>
              <w:rPr>
                <w:b w:val="0"/>
              </w:rPr>
            </w:pPr>
            <w:r w:rsidRPr="0049147B">
              <w:t>mio EUR</w:t>
            </w:r>
          </w:p>
        </w:tc>
        <w:tc>
          <w:tcPr>
            <w:tcW w:w="715" w:type="pct"/>
            <w:vAlign w:val="center"/>
          </w:tcPr>
          <w:p w14:paraId="53E36D7C" w14:textId="77777777" w:rsidR="007C7F66" w:rsidRPr="0049147B" w:rsidRDefault="00640727" w:rsidP="00640727">
            <w:pPr>
              <w:jc w:val="center"/>
              <w:cnfStyle w:val="100000000000" w:firstRow="1" w:lastRow="0" w:firstColumn="0" w:lastColumn="0" w:oddVBand="0" w:evenVBand="0" w:oddHBand="0" w:evenHBand="0" w:firstRowFirstColumn="0" w:firstRowLastColumn="0" w:lastRowFirstColumn="0" w:lastRowLastColumn="0"/>
              <w:rPr>
                <w:b w:val="0"/>
              </w:rPr>
            </w:pPr>
            <w:r w:rsidRPr="0049147B">
              <w:t>CAGR</w:t>
            </w:r>
            <w:r w:rsidRPr="0049147B">
              <w:rPr>
                <w:rStyle w:val="Sprotnaopomba-sklic"/>
              </w:rPr>
              <w:footnoteReference w:id="45"/>
            </w:r>
            <w:r w:rsidRPr="0049147B">
              <w:t xml:space="preserve"> v obdobju </w:t>
            </w:r>
            <w:r w:rsidR="007C7F66" w:rsidRPr="0049147B">
              <w:t>2014-2018</w:t>
            </w:r>
          </w:p>
        </w:tc>
      </w:tr>
      <w:tr w:rsidR="00CD7D4F" w:rsidRPr="00AF09A3" w14:paraId="00B98907"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4" w:type="pct"/>
            <w:noWrap/>
            <w:vAlign w:val="bottom"/>
            <w:hideMark/>
          </w:tcPr>
          <w:p w14:paraId="3844FDA5" w14:textId="77777777" w:rsidR="004D19BE" w:rsidRPr="00F5643D" w:rsidRDefault="004D19BE" w:rsidP="004D19BE">
            <w:pPr>
              <w:rPr>
                <w:rFonts w:ascii="Trebuchet MS" w:hAnsi="Trebuchet MS"/>
                <w:b w:val="0"/>
                <w:color w:val="000000"/>
              </w:rPr>
            </w:pPr>
            <w:r w:rsidRPr="00F5643D">
              <w:rPr>
                <w:rFonts w:ascii="Trebuchet MS" w:hAnsi="Trebuchet MS"/>
                <w:color w:val="000000"/>
              </w:rPr>
              <w:t>PREDEL. DEJ. SKUPAJ</w:t>
            </w:r>
          </w:p>
        </w:tc>
        <w:tc>
          <w:tcPr>
            <w:tcW w:w="715" w:type="pct"/>
            <w:vAlign w:val="center"/>
          </w:tcPr>
          <w:p w14:paraId="49C38027"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color w:val="000000"/>
              </w:rPr>
            </w:pPr>
            <w:r w:rsidRPr="0049147B">
              <w:rPr>
                <w:b/>
                <w:color w:val="000000"/>
              </w:rPr>
              <w:t>3.436</w:t>
            </w:r>
          </w:p>
        </w:tc>
        <w:tc>
          <w:tcPr>
            <w:tcW w:w="714" w:type="pct"/>
            <w:vAlign w:val="center"/>
          </w:tcPr>
          <w:p w14:paraId="6C183082"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color w:val="000000"/>
              </w:rPr>
            </w:pPr>
            <w:r w:rsidRPr="0049147B">
              <w:rPr>
                <w:b/>
                <w:color w:val="000000"/>
              </w:rPr>
              <w:t>2.568</w:t>
            </w:r>
          </w:p>
        </w:tc>
        <w:tc>
          <w:tcPr>
            <w:tcW w:w="715" w:type="pct"/>
            <w:vAlign w:val="center"/>
          </w:tcPr>
          <w:p w14:paraId="7709CAFB"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color w:val="000000"/>
              </w:rPr>
            </w:pPr>
            <w:r w:rsidRPr="0049147B">
              <w:rPr>
                <w:b/>
                <w:color w:val="000000"/>
              </w:rPr>
              <w:t>1.013</w:t>
            </w:r>
          </w:p>
        </w:tc>
        <w:tc>
          <w:tcPr>
            <w:tcW w:w="714" w:type="pct"/>
            <w:vAlign w:val="center"/>
          </w:tcPr>
          <w:p w14:paraId="4DBD04C8"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color w:val="333F4F"/>
              </w:rPr>
            </w:pPr>
            <w:r w:rsidRPr="0049147B">
              <w:rPr>
                <w:b/>
                <w:color w:val="333F4F"/>
              </w:rPr>
              <w:t>41,8%</w:t>
            </w:r>
          </w:p>
        </w:tc>
        <w:tc>
          <w:tcPr>
            <w:tcW w:w="715" w:type="pct"/>
            <w:vAlign w:val="center"/>
          </w:tcPr>
          <w:p w14:paraId="676D4166"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color w:val="000000"/>
              </w:rPr>
            </w:pPr>
            <w:r w:rsidRPr="0049147B">
              <w:rPr>
                <w:b/>
                <w:color w:val="000000"/>
              </w:rPr>
              <w:t>3.082</w:t>
            </w:r>
          </w:p>
        </w:tc>
        <w:tc>
          <w:tcPr>
            <w:tcW w:w="715" w:type="pct"/>
            <w:vAlign w:val="center"/>
          </w:tcPr>
          <w:p w14:paraId="6572D09A" w14:textId="77777777" w:rsidR="004D19BE" w:rsidRPr="0049147B"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49147B">
              <w:rPr>
                <w:b/>
              </w:rPr>
              <w:t>8,8%</w:t>
            </w:r>
          </w:p>
        </w:tc>
      </w:tr>
      <w:tr w:rsidR="004D19BE" w:rsidRPr="00AF09A3" w14:paraId="02421A33" w14:textId="77777777" w:rsidTr="00640727">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68CA864A" w14:textId="77777777" w:rsidR="004D19BE" w:rsidRPr="00F5643D" w:rsidRDefault="004D19BE" w:rsidP="004D19BE">
            <w:pPr>
              <w:rPr>
                <w:rFonts w:ascii="Trebuchet MS" w:hAnsi="Trebuchet MS"/>
                <w:color w:val="000000"/>
              </w:rPr>
            </w:pPr>
            <w:r w:rsidRPr="00F5643D">
              <w:rPr>
                <w:rFonts w:ascii="Trebuchet MS" w:hAnsi="Trebuchet MS"/>
                <w:color w:val="000000"/>
              </w:rPr>
              <w:t>Prehrambna</w:t>
            </w:r>
          </w:p>
        </w:tc>
        <w:tc>
          <w:tcPr>
            <w:tcW w:w="715" w:type="pct"/>
            <w:noWrap/>
            <w:vAlign w:val="center"/>
          </w:tcPr>
          <w:p w14:paraId="3C8EC04B"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229</w:t>
            </w:r>
          </w:p>
        </w:tc>
        <w:tc>
          <w:tcPr>
            <w:tcW w:w="714" w:type="pct"/>
            <w:noWrap/>
            <w:vAlign w:val="center"/>
          </w:tcPr>
          <w:p w14:paraId="4B73C268"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177</w:t>
            </w:r>
          </w:p>
        </w:tc>
        <w:tc>
          <w:tcPr>
            <w:tcW w:w="715" w:type="pct"/>
            <w:noWrap/>
            <w:vAlign w:val="center"/>
          </w:tcPr>
          <w:p w14:paraId="32F5DC5C"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77</w:t>
            </w:r>
          </w:p>
        </w:tc>
        <w:tc>
          <w:tcPr>
            <w:tcW w:w="714" w:type="pct"/>
            <w:vAlign w:val="center"/>
          </w:tcPr>
          <w:p w14:paraId="1D138154"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333F4F"/>
              </w:rPr>
            </w:pPr>
            <w:r w:rsidRPr="00F5643D">
              <w:rPr>
                <w:rFonts w:ascii="Trebuchet MS" w:hAnsi="Trebuchet MS"/>
                <w:color w:val="333F4F"/>
              </w:rPr>
              <w:t>50,3%</w:t>
            </w:r>
          </w:p>
        </w:tc>
        <w:tc>
          <w:tcPr>
            <w:tcW w:w="715" w:type="pct"/>
            <w:vAlign w:val="center"/>
          </w:tcPr>
          <w:p w14:paraId="1055271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203</w:t>
            </w:r>
          </w:p>
        </w:tc>
        <w:tc>
          <w:tcPr>
            <w:tcW w:w="715" w:type="pct"/>
            <w:vAlign w:val="center"/>
          </w:tcPr>
          <w:p w14:paraId="2DC88FD1"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8,4%</w:t>
            </w:r>
          </w:p>
        </w:tc>
      </w:tr>
      <w:tr w:rsidR="00CD7D4F" w:rsidRPr="00AF09A3" w14:paraId="237AA70A"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3CF3BEC4" w14:textId="77777777" w:rsidR="004D19BE" w:rsidRPr="00F5643D" w:rsidRDefault="004D19BE" w:rsidP="004D19BE">
            <w:pPr>
              <w:rPr>
                <w:rFonts w:ascii="Trebuchet MS" w:hAnsi="Trebuchet MS"/>
                <w:color w:val="000000"/>
              </w:rPr>
            </w:pPr>
            <w:r w:rsidRPr="00F5643D">
              <w:rPr>
                <w:rFonts w:ascii="Trebuchet MS" w:hAnsi="Trebuchet MS"/>
                <w:color w:val="000000"/>
              </w:rPr>
              <w:t>Tekstilna</w:t>
            </w:r>
          </w:p>
        </w:tc>
        <w:tc>
          <w:tcPr>
            <w:tcW w:w="715" w:type="pct"/>
            <w:noWrap/>
            <w:vAlign w:val="center"/>
          </w:tcPr>
          <w:p w14:paraId="6DEA2D6F"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83</w:t>
            </w:r>
          </w:p>
        </w:tc>
        <w:tc>
          <w:tcPr>
            <w:tcW w:w="714" w:type="pct"/>
            <w:noWrap/>
            <w:vAlign w:val="center"/>
          </w:tcPr>
          <w:p w14:paraId="4BDDF010"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58</w:t>
            </w:r>
          </w:p>
        </w:tc>
        <w:tc>
          <w:tcPr>
            <w:tcW w:w="715" w:type="pct"/>
            <w:noWrap/>
            <w:vAlign w:val="center"/>
          </w:tcPr>
          <w:p w14:paraId="1C4F6FA7"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49</w:t>
            </w:r>
          </w:p>
        </w:tc>
        <w:tc>
          <w:tcPr>
            <w:tcW w:w="714" w:type="pct"/>
            <w:vAlign w:val="center"/>
          </w:tcPr>
          <w:p w14:paraId="2E7B2B57"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333F4F"/>
              </w:rPr>
            </w:pPr>
            <w:r w:rsidRPr="00F5643D">
              <w:rPr>
                <w:rFonts w:ascii="Trebuchet MS" w:hAnsi="Trebuchet MS"/>
                <w:color w:val="333F4F"/>
              </w:rPr>
              <w:t>142,4%</w:t>
            </w:r>
          </w:p>
        </w:tc>
        <w:tc>
          <w:tcPr>
            <w:tcW w:w="715" w:type="pct"/>
            <w:vAlign w:val="center"/>
          </w:tcPr>
          <w:p w14:paraId="463A81FF"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75</w:t>
            </w:r>
          </w:p>
        </w:tc>
        <w:tc>
          <w:tcPr>
            <w:tcW w:w="715" w:type="pct"/>
            <w:vAlign w:val="center"/>
          </w:tcPr>
          <w:p w14:paraId="4D99E1D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16,7%</w:t>
            </w:r>
          </w:p>
        </w:tc>
      </w:tr>
      <w:tr w:rsidR="004D19BE" w:rsidRPr="00AF09A3" w14:paraId="3AF0EB8F" w14:textId="77777777" w:rsidTr="00640727">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3366F69C" w14:textId="77777777" w:rsidR="004D19BE" w:rsidRPr="00F5643D" w:rsidRDefault="004D19BE" w:rsidP="004D19BE">
            <w:pPr>
              <w:rPr>
                <w:rFonts w:ascii="Trebuchet MS" w:hAnsi="Trebuchet MS"/>
                <w:color w:val="000000"/>
              </w:rPr>
            </w:pPr>
            <w:r w:rsidRPr="00F5643D">
              <w:rPr>
                <w:rFonts w:ascii="Trebuchet MS" w:hAnsi="Trebuchet MS"/>
                <w:color w:val="000000"/>
              </w:rPr>
              <w:t>Lesna</w:t>
            </w:r>
          </w:p>
        </w:tc>
        <w:tc>
          <w:tcPr>
            <w:tcW w:w="715" w:type="pct"/>
            <w:noWrap/>
            <w:vAlign w:val="center"/>
          </w:tcPr>
          <w:p w14:paraId="100F9F8F"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168</w:t>
            </w:r>
          </w:p>
        </w:tc>
        <w:tc>
          <w:tcPr>
            <w:tcW w:w="714" w:type="pct"/>
            <w:noWrap/>
            <w:vAlign w:val="center"/>
          </w:tcPr>
          <w:p w14:paraId="4268DF1B"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96</w:t>
            </w:r>
          </w:p>
        </w:tc>
        <w:tc>
          <w:tcPr>
            <w:tcW w:w="715" w:type="pct"/>
            <w:noWrap/>
            <w:vAlign w:val="center"/>
          </w:tcPr>
          <w:p w14:paraId="4C43E474"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66</w:t>
            </w:r>
          </w:p>
        </w:tc>
        <w:tc>
          <w:tcPr>
            <w:tcW w:w="714" w:type="pct"/>
            <w:vAlign w:val="center"/>
          </w:tcPr>
          <w:p w14:paraId="63A00138"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333F4F"/>
              </w:rPr>
            </w:pPr>
            <w:r w:rsidRPr="00F5643D">
              <w:rPr>
                <w:rFonts w:ascii="Trebuchet MS" w:hAnsi="Trebuchet MS"/>
                <w:color w:val="333F4F"/>
              </w:rPr>
              <w:t>64,4%</w:t>
            </w:r>
          </w:p>
        </w:tc>
        <w:tc>
          <w:tcPr>
            <w:tcW w:w="715" w:type="pct"/>
            <w:vAlign w:val="center"/>
          </w:tcPr>
          <w:p w14:paraId="0C5B9B56"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132</w:t>
            </w:r>
          </w:p>
        </w:tc>
        <w:tc>
          <w:tcPr>
            <w:tcW w:w="715" w:type="pct"/>
            <w:vAlign w:val="center"/>
          </w:tcPr>
          <w:p w14:paraId="3162EB7D"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18,2%</w:t>
            </w:r>
          </w:p>
        </w:tc>
      </w:tr>
      <w:tr w:rsidR="00CD7D4F" w:rsidRPr="00AF09A3" w14:paraId="6DD24020"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47899BEC" w14:textId="77777777" w:rsidR="004D19BE" w:rsidRPr="00F5643D" w:rsidRDefault="004D19BE" w:rsidP="004D19BE">
            <w:pPr>
              <w:rPr>
                <w:rFonts w:ascii="Trebuchet MS" w:hAnsi="Trebuchet MS"/>
                <w:color w:val="000000"/>
              </w:rPr>
            </w:pPr>
            <w:r w:rsidRPr="00F5643D">
              <w:rPr>
                <w:rFonts w:ascii="Trebuchet MS" w:hAnsi="Trebuchet MS"/>
                <w:color w:val="000000"/>
              </w:rPr>
              <w:t>Papirna</w:t>
            </w:r>
          </w:p>
        </w:tc>
        <w:tc>
          <w:tcPr>
            <w:tcW w:w="715" w:type="pct"/>
            <w:noWrap/>
            <w:vAlign w:val="center"/>
          </w:tcPr>
          <w:p w14:paraId="052F97D0"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100</w:t>
            </w:r>
          </w:p>
        </w:tc>
        <w:tc>
          <w:tcPr>
            <w:tcW w:w="714" w:type="pct"/>
            <w:noWrap/>
            <w:vAlign w:val="center"/>
          </w:tcPr>
          <w:p w14:paraId="0DDFA955"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111</w:t>
            </w:r>
          </w:p>
        </w:tc>
        <w:tc>
          <w:tcPr>
            <w:tcW w:w="715" w:type="pct"/>
            <w:noWrap/>
            <w:vAlign w:val="center"/>
          </w:tcPr>
          <w:p w14:paraId="586FE025"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-3</w:t>
            </w:r>
          </w:p>
        </w:tc>
        <w:tc>
          <w:tcPr>
            <w:tcW w:w="714" w:type="pct"/>
            <w:vAlign w:val="center"/>
          </w:tcPr>
          <w:p w14:paraId="56F6C31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333F4F"/>
              </w:rPr>
            </w:pPr>
            <w:r w:rsidRPr="00F5643D">
              <w:rPr>
                <w:rFonts w:ascii="Trebuchet MS" w:hAnsi="Trebuchet MS"/>
                <w:color w:val="333F4F"/>
              </w:rPr>
              <w:t>-2,8%</w:t>
            </w:r>
          </w:p>
        </w:tc>
        <w:tc>
          <w:tcPr>
            <w:tcW w:w="715" w:type="pct"/>
            <w:vAlign w:val="center"/>
          </w:tcPr>
          <w:p w14:paraId="53A7D094"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119</w:t>
            </w:r>
          </w:p>
        </w:tc>
        <w:tc>
          <w:tcPr>
            <w:tcW w:w="715" w:type="pct"/>
            <w:vAlign w:val="center"/>
          </w:tcPr>
          <w:p w14:paraId="67F99B9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-2,9%</w:t>
            </w:r>
          </w:p>
        </w:tc>
      </w:tr>
      <w:tr w:rsidR="004D19BE" w:rsidRPr="00AF09A3" w14:paraId="429538DE" w14:textId="77777777" w:rsidTr="00640727">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35F2F0C7" w14:textId="77777777" w:rsidR="004D19BE" w:rsidRPr="00F5643D" w:rsidRDefault="004D19BE" w:rsidP="004D19BE">
            <w:pPr>
              <w:rPr>
                <w:rFonts w:ascii="Trebuchet MS" w:hAnsi="Trebuchet MS"/>
                <w:color w:val="000000"/>
              </w:rPr>
            </w:pPr>
            <w:r w:rsidRPr="00F5643D">
              <w:rPr>
                <w:rFonts w:ascii="Trebuchet MS" w:hAnsi="Trebuchet MS"/>
                <w:color w:val="000000"/>
              </w:rPr>
              <w:t>Kemična</w:t>
            </w:r>
          </w:p>
        </w:tc>
        <w:tc>
          <w:tcPr>
            <w:tcW w:w="715" w:type="pct"/>
            <w:noWrap/>
            <w:vAlign w:val="center"/>
          </w:tcPr>
          <w:p w14:paraId="440BE486"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944</w:t>
            </w:r>
          </w:p>
        </w:tc>
        <w:tc>
          <w:tcPr>
            <w:tcW w:w="714" w:type="pct"/>
            <w:noWrap/>
            <w:vAlign w:val="center"/>
          </w:tcPr>
          <w:p w14:paraId="174AC78B"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751</w:t>
            </w:r>
          </w:p>
        </w:tc>
        <w:tc>
          <w:tcPr>
            <w:tcW w:w="715" w:type="pct"/>
            <w:noWrap/>
            <w:vAlign w:val="center"/>
          </w:tcPr>
          <w:p w14:paraId="2AD5D15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221</w:t>
            </w:r>
          </w:p>
        </w:tc>
        <w:tc>
          <w:tcPr>
            <w:tcW w:w="714" w:type="pct"/>
            <w:vAlign w:val="center"/>
          </w:tcPr>
          <w:p w14:paraId="67CC2EF9"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333F4F"/>
              </w:rPr>
            </w:pPr>
            <w:r w:rsidRPr="00F5643D">
              <w:rPr>
                <w:rFonts w:ascii="Trebuchet MS" w:hAnsi="Trebuchet MS"/>
                <w:color w:val="333F4F"/>
              </w:rPr>
              <w:t>30,6%</w:t>
            </w:r>
          </w:p>
        </w:tc>
        <w:tc>
          <w:tcPr>
            <w:tcW w:w="715" w:type="pct"/>
            <w:vAlign w:val="center"/>
          </w:tcPr>
          <w:p w14:paraId="1F32EDC9"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839</w:t>
            </w:r>
          </w:p>
        </w:tc>
        <w:tc>
          <w:tcPr>
            <w:tcW w:w="715" w:type="pct"/>
            <w:vAlign w:val="center"/>
          </w:tcPr>
          <w:p w14:paraId="7FD8FE00"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5,5%</w:t>
            </w:r>
          </w:p>
        </w:tc>
      </w:tr>
      <w:tr w:rsidR="00CD7D4F" w:rsidRPr="00AF09A3" w14:paraId="4FB3B009"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71B361A8" w14:textId="77777777" w:rsidR="004D19BE" w:rsidRPr="00F5643D" w:rsidRDefault="004D19BE" w:rsidP="004D19BE">
            <w:pPr>
              <w:rPr>
                <w:rFonts w:ascii="Trebuchet MS" w:hAnsi="Trebuchet MS"/>
                <w:color w:val="000000"/>
              </w:rPr>
            </w:pPr>
            <w:r w:rsidRPr="00F5643D">
              <w:rPr>
                <w:rFonts w:ascii="Trebuchet MS" w:hAnsi="Trebuchet MS"/>
                <w:color w:val="000000"/>
              </w:rPr>
              <w:t>Nekovinska</w:t>
            </w:r>
          </w:p>
        </w:tc>
        <w:tc>
          <w:tcPr>
            <w:tcW w:w="715" w:type="pct"/>
            <w:noWrap/>
            <w:vAlign w:val="center"/>
          </w:tcPr>
          <w:p w14:paraId="09B64F0A"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151</w:t>
            </w:r>
          </w:p>
        </w:tc>
        <w:tc>
          <w:tcPr>
            <w:tcW w:w="714" w:type="pct"/>
            <w:noWrap/>
            <w:vAlign w:val="center"/>
          </w:tcPr>
          <w:p w14:paraId="3202E06A"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104</w:t>
            </w:r>
          </w:p>
        </w:tc>
        <w:tc>
          <w:tcPr>
            <w:tcW w:w="715" w:type="pct"/>
            <w:noWrap/>
            <w:vAlign w:val="center"/>
          </w:tcPr>
          <w:p w14:paraId="33681BAC"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18</w:t>
            </w:r>
          </w:p>
        </w:tc>
        <w:tc>
          <w:tcPr>
            <w:tcW w:w="714" w:type="pct"/>
            <w:vAlign w:val="center"/>
          </w:tcPr>
          <w:p w14:paraId="3BFA752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333F4F"/>
              </w:rPr>
            </w:pPr>
            <w:r w:rsidRPr="00F5643D">
              <w:rPr>
                <w:rFonts w:ascii="Trebuchet MS" w:hAnsi="Trebuchet MS"/>
                <w:color w:val="333F4F"/>
              </w:rPr>
              <w:t>13,2%</w:t>
            </w:r>
          </w:p>
        </w:tc>
        <w:tc>
          <w:tcPr>
            <w:tcW w:w="715" w:type="pct"/>
            <w:vAlign w:val="center"/>
          </w:tcPr>
          <w:p w14:paraId="126DCAB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124</w:t>
            </w:r>
          </w:p>
        </w:tc>
        <w:tc>
          <w:tcPr>
            <w:tcW w:w="715" w:type="pct"/>
            <w:vAlign w:val="center"/>
          </w:tcPr>
          <w:p w14:paraId="19077F84"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11,8%</w:t>
            </w:r>
          </w:p>
        </w:tc>
      </w:tr>
      <w:tr w:rsidR="004D19BE" w:rsidRPr="00AF09A3" w14:paraId="65CBCA7F" w14:textId="77777777" w:rsidTr="00640727">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3B75353E" w14:textId="77777777" w:rsidR="004D19BE" w:rsidRPr="00F5643D" w:rsidRDefault="004D19BE" w:rsidP="004D19BE">
            <w:pPr>
              <w:rPr>
                <w:rFonts w:ascii="Trebuchet MS" w:hAnsi="Trebuchet MS"/>
                <w:color w:val="000000"/>
              </w:rPr>
            </w:pPr>
            <w:r w:rsidRPr="00F5643D">
              <w:rPr>
                <w:rFonts w:ascii="Trebuchet MS" w:hAnsi="Trebuchet MS"/>
                <w:color w:val="000000"/>
              </w:rPr>
              <w:t>Kovinska</w:t>
            </w:r>
          </w:p>
        </w:tc>
        <w:tc>
          <w:tcPr>
            <w:tcW w:w="715" w:type="pct"/>
            <w:noWrap/>
            <w:vAlign w:val="center"/>
          </w:tcPr>
          <w:p w14:paraId="1A885B8D"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642</w:t>
            </w:r>
          </w:p>
        </w:tc>
        <w:tc>
          <w:tcPr>
            <w:tcW w:w="714" w:type="pct"/>
            <w:noWrap/>
            <w:vAlign w:val="center"/>
          </w:tcPr>
          <w:p w14:paraId="7C2CE365"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454</w:t>
            </w:r>
          </w:p>
        </w:tc>
        <w:tc>
          <w:tcPr>
            <w:tcW w:w="715" w:type="pct"/>
            <w:noWrap/>
            <w:vAlign w:val="center"/>
          </w:tcPr>
          <w:p w14:paraId="611C9C37"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176</w:t>
            </w:r>
          </w:p>
        </w:tc>
        <w:tc>
          <w:tcPr>
            <w:tcW w:w="714" w:type="pct"/>
            <w:vAlign w:val="center"/>
          </w:tcPr>
          <w:p w14:paraId="21A1D402"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333F4F"/>
              </w:rPr>
            </w:pPr>
            <w:r w:rsidRPr="00F5643D">
              <w:rPr>
                <w:rFonts w:ascii="Trebuchet MS" w:hAnsi="Trebuchet MS"/>
                <w:color w:val="333F4F"/>
              </w:rPr>
              <w:t>37,7%</w:t>
            </w:r>
          </w:p>
        </w:tc>
        <w:tc>
          <w:tcPr>
            <w:tcW w:w="715" w:type="pct"/>
            <w:vAlign w:val="center"/>
          </w:tcPr>
          <w:p w14:paraId="584F0506"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596</w:t>
            </w:r>
          </w:p>
        </w:tc>
        <w:tc>
          <w:tcPr>
            <w:tcW w:w="715" w:type="pct"/>
            <w:vAlign w:val="center"/>
          </w:tcPr>
          <w:p w14:paraId="6A80AF23"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12,3%</w:t>
            </w:r>
          </w:p>
        </w:tc>
      </w:tr>
      <w:tr w:rsidR="00CD7D4F" w:rsidRPr="00AF09A3" w14:paraId="701E334E"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562462D8" w14:textId="77777777" w:rsidR="004D19BE" w:rsidRPr="00F5643D" w:rsidRDefault="004D19BE" w:rsidP="004D19BE">
            <w:pPr>
              <w:rPr>
                <w:rFonts w:ascii="Trebuchet MS" w:hAnsi="Trebuchet MS"/>
                <w:color w:val="000000"/>
              </w:rPr>
            </w:pPr>
            <w:r w:rsidRPr="00F5643D">
              <w:rPr>
                <w:rFonts w:ascii="Trebuchet MS" w:hAnsi="Trebuchet MS"/>
                <w:color w:val="000000"/>
              </w:rPr>
              <w:t>Elektro</w:t>
            </w:r>
          </w:p>
        </w:tc>
        <w:tc>
          <w:tcPr>
            <w:tcW w:w="715" w:type="pct"/>
            <w:noWrap/>
            <w:vAlign w:val="center"/>
          </w:tcPr>
          <w:p w14:paraId="4CF0EA36"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375</w:t>
            </w:r>
          </w:p>
        </w:tc>
        <w:tc>
          <w:tcPr>
            <w:tcW w:w="714" w:type="pct"/>
            <w:noWrap/>
            <w:vAlign w:val="center"/>
          </w:tcPr>
          <w:p w14:paraId="5155E91E"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307</w:t>
            </w:r>
          </w:p>
        </w:tc>
        <w:tc>
          <w:tcPr>
            <w:tcW w:w="715" w:type="pct"/>
            <w:noWrap/>
            <w:vAlign w:val="center"/>
          </w:tcPr>
          <w:p w14:paraId="67DCF305"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136</w:t>
            </w:r>
          </w:p>
        </w:tc>
        <w:tc>
          <w:tcPr>
            <w:tcW w:w="714" w:type="pct"/>
            <w:vAlign w:val="center"/>
          </w:tcPr>
          <w:p w14:paraId="2263FFD4"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333F4F"/>
              </w:rPr>
            </w:pPr>
            <w:r w:rsidRPr="00F5643D">
              <w:rPr>
                <w:rFonts w:ascii="Trebuchet MS" w:hAnsi="Trebuchet MS"/>
                <w:color w:val="333F4F"/>
              </w:rPr>
              <w:t>56,9%</w:t>
            </w:r>
          </w:p>
        </w:tc>
        <w:tc>
          <w:tcPr>
            <w:tcW w:w="715" w:type="pct"/>
            <w:vAlign w:val="center"/>
          </w:tcPr>
          <w:p w14:paraId="715A28E7"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372</w:t>
            </w:r>
          </w:p>
        </w:tc>
        <w:tc>
          <w:tcPr>
            <w:tcW w:w="715" w:type="pct"/>
            <w:vAlign w:val="center"/>
          </w:tcPr>
          <w:p w14:paraId="2AE00B4C"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6,4%</w:t>
            </w:r>
          </w:p>
        </w:tc>
      </w:tr>
      <w:tr w:rsidR="004D19BE" w:rsidRPr="00AF09A3" w14:paraId="5606FC26" w14:textId="77777777" w:rsidTr="00640727">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51A3293A" w14:textId="77777777" w:rsidR="004D19BE" w:rsidRPr="00F5643D" w:rsidRDefault="004D19BE" w:rsidP="004D19BE">
            <w:pPr>
              <w:rPr>
                <w:rFonts w:ascii="Trebuchet MS" w:hAnsi="Trebuchet MS"/>
                <w:color w:val="000000"/>
              </w:rPr>
            </w:pPr>
            <w:r w:rsidRPr="00F5643D">
              <w:rPr>
                <w:rFonts w:ascii="Trebuchet MS" w:hAnsi="Trebuchet MS"/>
                <w:color w:val="000000"/>
              </w:rPr>
              <w:t>Strojna</w:t>
            </w:r>
          </w:p>
        </w:tc>
        <w:tc>
          <w:tcPr>
            <w:tcW w:w="715" w:type="pct"/>
            <w:noWrap/>
            <w:vAlign w:val="center"/>
          </w:tcPr>
          <w:p w14:paraId="7B717381"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642</w:t>
            </w:r>
          </w:p>
        </w:tc>
        <w:tc>
          <w:tcPr>
            <w:tcW w:w="714" w:type="pct"/>
            <w:noWrap/>
            <w:vAlign w:val="center"/>
          </w:tcPr>
          <w:p w14:paraId="4A69091C"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459</w:t>
            </w:r>
          </w:p>
        </w:tc>
        <w:tc>
          <w:tcPr>
            <w:tcW w:w="715" w:type="pct"/>
            <w:noWrap/>
            <w:vAlign w:val="center"/>
          </w:tcPr>
          <w:p w14:paraId="3A8F4AB8"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224</w:t>
            </w:r>
          </w:p>
        </w:tc>
        <w:tc>
          <w:tcPr>
            <w:tcW w:w="714" w:type="pct"/>
            <w:vAlign w:val="center"/>
          </w:tcPr>
          <w:p w14:paraId="26323CA1"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333F4F"/>
              </w:rPr>
            </w:pPr>
            <w:r w:rsidRPr="00F5643D">
              <w:rPr>
                <w:rFonts w:ascii="Trebuchet MS" w:hAnsi="Trebuchet MS"/>
                <w:color w:val="333F4F"/>
              </w:rPr>
              <w:t>53,7%</w:t>
            </w:r>
          </w:p>
        </w:tc>
        <w:tc>
          <w:tcPr>
            <w:tcW w:w="715" w:type="pct"/>
            <w:vAlign w:val="center"/>
          </w:tcPr>
          <w:p w14:paraId="704CA069"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F5643D">
              <w:rPr>
                <w:rFonts w:ascii="Trebuchet MS" w:hAnsi="Trebuchet MS"/>
                <w:color w:val="000000"/>
              </w:rPr>
              <w:t>555</w:t>
            </w:r>
          </w:p>
        </w:tc>
        <w:tc>
          <w:tcPr>
            <w:tcW w:w="715" w:type="pct"/>
            <w:vAlign w:val="center"/>
          </w:tcPr>
          <w:p w14:paraId="46B2D7A0" w14:textId="77777777" w:rsidR="004D19BE" w:rsidRPr="00F5643D"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F5643D">
              <w:rPr>
                <w:rFonts w:ascii="Trebuchet MS" w:hAnsi="Trebuchet MS"/>
              </w:rPr>
              <w:t>10,0%</w:t>
            </w:r>
          </w:p>
        </w:tc>
      </w:tr>
      <w:tr w:rsidR="00CD7D4F" w:rsidRPr="00AF09A3" w14:paraId="1EC48930"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650434A4" w14:textId="77777777" w:rsidR="004D19BE" w:rsidRPr="00F5643D" w:rsidRDefault="004D19BE" w:rsidP="004D19BE">
            <w:pPr>
              <w:rPr>
                <w:rFonts w:ascii="Trebuchet MS" w:hAnsi="Trebuchet MS"/>
                <w:color w:val="000000"/>
              </w:rPr>
            </w:pPr>
            <w:r w:rsidRPr="00F5643D">
              <w:rPr>
                <w:rFonts w:ascii="Trebuchet MS" w:hAnsi="Trebuchet MS"/>
                <w:color w:val="000000"/>
              </w:rPr>
              <w:t>Druge</w:t>
            </w:r>
          </w:p>
        </w:tc>
        <w:tc>
          <w:tcPr>
            <w:tcW w:w="715" w:type="pct"/>
            <w:noWrap/>
            <w:vAlign w:val="center"/>
          </w:tcPr>
          <w:p w14:paraId="6D645490"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71</w:t>
            </w:r>
          </w:p>
        </w:tc>
        <w:tc>
          <w:tcPr>
            <w:tcW w:w="714" w:type="pct"/>
            <w:noWrap/>
            <w:vAlign w:val="center"/>
          </w:tcPr>
          <w:p w14:paraId="3D0D021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50</w:t>
            </w:r>
          </w:p>
        </w:tc>
        <w:tc>
          <w:tcPr>
            <w:tcW w:w="715" w:type="pct"/>
            <w:noWrap/>
            <w:vAlign w:val="center"/>
          </w:tcPr>
          <w:p w14:paraId="3716D84B"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18</w:t>
            </w:r>
          </w:p>
        </w:tc>
        <w:tc>
          <w:tcPr>
            <w:tcW w:w="714" w:type="pct"/>
            <w:vAlign w:val="center"/>
          </w:tcPr>
          <w:p w14:paraId="02749336"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333F4F"/>
              </w:rPr>
            </w:pPr>
            <w:r w:rsidRPr="00F5643D">
              <w:rPr>
                <w:rFonts w:ascii="Trebuchet MS" w:hAnsi="Trebuchet MS"/>
                <w:color w:val="333F4F"/>
              </w:rPr>
              <w:t>32,9%</w:t>
            </w:r>
          </w:p>
        </w:tc>
        <w:tc>
          <w:tcPr>
            <w:tcW w:w="715" w:type="pct"/>
            <w:vAlign w:val="center"/>
          </w:tcPr>
          <w:p w14:paraId="4D40298D"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r w:rsidRPr="00F5643D">
              <w:rPr>
                <w:rFonts w:ascii="Trebuchet MS" w:hAnsi="Trebuchet MS"/>
                <w:color w:val="000000"/>
              </w:rPr>
              <w:t>64</w:t>
            </w:r>
          </w:p>
        </w:tc>
        <w:tc>
          <w:tcPr>
            <w:tcW w:w="715" w:type="pct"/>
            <w:vAlign w:val="center"/>
          </w:tcPr>
          <w:p w14:paraId="3186E323" w14:textId="77777777" w:rsidR="004D19BE" w:rsidRPr="00F5643D"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F5643D">
              <w:rPr>
                <w:rFonts w:ascii="Trebuchet MS" w:hAnsi="Trebuchet MS"/>
              </w:rPr>
              <w:t>15,6%</w:t>
            </w:r>
          </w:p>
        </w:tc>
      </w:tr>
    </w:tbl>
    <w:p w14:paraId="74CFB73F" w14:textId="77777777" w:rsidR="003372D7" w:rsidRPr="009B538E" w:rsidRDefault="003372D7" w:rsidP="003372D7">
      <w:pPr>
        <w:spacing w:before="20"/>
        <w:jc w:val="both"/>
        <w:rPr>
          <w:i/>
        </w:rPr>
      </w:pPr>
      <w:r w:rsidRPr="009B538E">
        <w:rPr>
          <w:i/>
        </w:rPr>
        <w:t>Vir: SURS, strukturna statistika podjetij, preračuni Analitika GZS</w:t>
      </w:r>
    </w:p>
    <w:p w14:paraId="5FB5F0A8" w14:textId="0EE36D00" w:rsidR="007C7F66" w:rsidRPr="00964361" w:rsidRDefault="007C7F66" w:rsidP="00405849">
      <w:pPr>
        <w:jc w:val="both"/>
        <w:rPr>
          <w:rFonts w:cstheme="minorHAnsi"/>
        </w:rPr>
      </w:pPr>
      <w:r w:rsidRPr="00964361">
        <w:rPr>
          <w:rFonts w:cstheme="minorHAnsi"/>
        </w:rPr>
        <w:lastRenderedPageBreak/>
        <w:t>Marža bruto poslovnega presežka, ki</w:t>
      </w:r>
      <w:r w:rsidR="00D32B4D">
        <w:rPr>
          <w:rFonts w:cstheme="minorHAnsi"/>
        </w:rPr>
        <w:t xml:space="preserve"> je</w:t>
      </w:r>
      <w:r w:rsidRPr="00964361">
        <w:rPr>
          <w:rFonts w:cstheme="minorHAnsi"/>
        </w:rPr>
        <w:t xml:space="preserve"> izračunana kot razmerje med bruto poslovnim presežkom in prihodki od prodaje (izračunan v </w:t>
      </w:r>
      <w:r w:rsidRPr="00FD4C45">
        <w:rPr>
          <w:rFonts w:cstheme="minorHAnsi"/>
        </w:rPr>
        <w:t>%)</w:t>
      </w:r>
      <w:r w:rsidRPr="00964361">
        <w:rPr>
          <w:rFonts w:cstheme="minorHAnsi"/>
        </w:rPr>
        <w:t xml:space="preserve"> </w:t>
      </w:r>
      <w:r w:rsidRPr="00964361">
        <w:rPr>
          <w:rFonts w:cstheme="minorHAnsi"/>
          <w:shd w:val="clear" w:color="auto" w:fill="FFFFFF"/>
        </w:rPr>
        <w:t>kaže</w:t>
      </w:r>
      <w:r w:rsidR="00050216">
        <w:rPr>
          <w:rFonts w:cstheme="minorHAnsi"/>
          <w:shd w:val="clear" w:color="auto" w:fill="FFFFFF"/>
        </w:rPr>
        <w:t>,</w:t>
      </w:r>
      <w:r w:rsidRPr="00964361">
        <w:rPr>
          <w:rFonts w:cstheme="minorHAnsi"/>
          <w:shd w:val="clear" w:color="auto" w:fill="FFFFFF"/>
        </w:rPr>
        <w:t xml:space="preserve"> koliko</w:t>
      </w:r>
      <w:r w:rsidRPr="00964361">
        <w:rPr>
          <w:rFonts w:cstheme="minorHAnsi"/>
        </w:rPr>
        <w:t xml:space="preserve"> bruto poslovnega presežka </w:t>
      </w:r>
      <w:r w:rsidRPr="00964361">
        <w:rPr>
          <w:rFonts w:cstheme="minorHAnsi"/>
          <w:shd w:val="clear" w:color="auto" w:fill="FFFFFF"/>
        </w:rPr>
        <w:t>panoga realizira na denarno enoto prihodkov od prodaje, izkazana v %. Ta je v</w:t>
      </w:r>
      <w:r w:rsidRPr="00964361">
        <w:rPr>
          <w:rFonts w:cstheme="minorHAnsi"/>
        </w:rPr>
        <w:t xml:space="preserve"> predelovalnih dejavnostih v 2018 znašala 11 % ter je bila nižja kot v 2017 (11,7</w:t>
      </w:r>
      <w:r w:rsidR="003402C7">
        <w:rPr>
          <w:rFonts w:cstheme="minorHAnsi"/>
        </w:rPr>
        <w:t xml:space="preserve"> </w:t>
      </w:r>
      <w:r w:rsidRPr="00964361">
        <w:rPr>
          <w:rFonts w:cstheme="minorHAnsi"/>
        </w:rPr>
        <w:t xml:space="preserve">%). </w:t>
      </w:r>
      <w:r w:rsidR="00E232FA">
        <w:rPr>
          <w:rFonts w:cstheme="minorHAnsi"/>
        </w:rPr>
        <w:t>Z</w:t>
      </w:r>
      <w:r w:rsidRPr="00964361">
        <w:rPr>
          <w:rFonts w:cstheme="minorHAnsi"/>
        </w:rPr>
        <w:t xml:space="preserve">viševala </w:t>
      </w:r>
      <w:r w:rsidR="00E232FA" w:rsidRPr="00964361">
        <w:rPr>
          <w:rFonts w:cstheme="minorHAnsi"/>
        </w:rPr>
        <w:t xml:space="preserve">se je </w:t>
      </w:r>
      <w:r w:rsidRPr="00964361">
        <w:rPr>
          <w:rFonts w:cstheme="minorHAnsi"/>
        </w:rPr>
        <w:t xml:space="preserve">v letih 2004-2017, v zadnjih </w:t>
      </w:r>
      <w:r w:rsidR="003402C7">
        <w:rPr>
          <w:rFonts w:cstheme="minorHAnsi"/>
        </w:rPr>
        <w:t>petih</w:t>
      </w:r>
      <w:r w:rsidR="003402C7" w:rsidRPr="00964361">
        <w:rPr>
          <w:rFonts w:cstheme="minorHAnsi"/>
        </w:rPr>
        <w:t xml:space="preserve"> </w:t>
      </w:r>
      <w:r w:rsidRPr="00964361">
        <w:rPr>
          <w:rFonts w:cstheme="minorHAnsi"/>
        </w:rPr>
        <w:t>letih pa je v povprečju znašala 11,2 %. Najvišjo maržo poslovnega presežka so v 2018 zabeležili v kemi</w:t>
      </w:r>
      <w:r w:rsidR="003402C7">
        <w:rPr>
          <w:rFonts w:cstheme="minorHAnsi"/>
        </w:rPr>
        <w:t>čn</w:t>
      </w:r>
      <w:r w:rsidRPr="00964361">
        <w:rPr>
          <w:rFonts w:cstheme="minorHAnsi"/>
        </w:rPr>
        <w:t>i (15,6 %)</w:t>
      </w:r>
      <w:r w:rsidR="00E232FA">
        <w:rPr>
          <w:rFonts w:cstheme="minorHAnsi"/>
        </w:rPr>
        <w:t xml:space="preserve"> in</w:t>
      </w:r>
      <w:r w:rsidRPr="00964361">
        <w:rPr>
          <w:rFonts w:cstheme="minorHAnsi"/>
        </w:rPr>
        <w:t xml:space="preserve"> nekovinski industriji (14,9 %), drugih predelovalnih dejavnostih (14,6 %), </w:t>
      </w:r>
      <w:r w:rsidR="00050216">
        <w:rPr>
          <w:rFonts w:cstheme="minorHAnsi"/>
        </w:rPr>
        <w:t>o</w:t>
      </w:r>
      <w:r w:rsidRPr="00FD4C45">
        <w:rPr>
          <w:rFonts w:cstheme="minorHAnsi"/>
        </w:rPr>
        <w:t xml:space="preserve"> najnižj</w:t>
      </w:r>
      <w:r w:rsidR="00050216">
        <w:rPr>
          <w:rFonts w:cstheme="minorHAnsi"/>
        </w:rPr>
        <w:t>ih</w:t>
      </w:r>
      <w:r w:rsidRPr="00964361">
        <w:rPr>
          <w:rFonts w:cstheme="minorHAnsi"/>
        </w:rPr>
        <w:t xml:space="preserve"> pa poročajo iz elektro (8,5 %) ter strojne, tekstilne in prehrambne industrije </w:t>
      </w:r>
      <w:r w:rsidR="00050216">
        <w:rPr>
          <w:rFonts w:cstheme="minorHAnsi"/>
        </w:rPr>
        <w:t>(</w:t>
      </w:r>
      <w:r w:rsidRPr="00FD4C45">
        <w:rPr>
          <w:rFonts w:cstheme="minorHAnsi"/>
        </w:rPr>
        <w:t>dob</w:t>
      </w:r>
      <w:r w:rsidR="00050216">
        <w:rPr>
          <w:rFonts w:cstheme="minorHAnsi"/>
        </w:rPr>
        <w:t>r</w:t>
      </w:r>
      <w:r w:rsidRPr="00FD4C45">
        <w:rPr>
          <w:rFonts w:cstheme="minorHAnsi"/>
        </w:rPr>
        <w:t xml:space="preserve">ih </w:t>
      </w:r>
      <w:r w:rsidR="004A36B9">
        <w:rPr>
          <w:rFonts w:cstheme="minorHAnsi"/>
        </w:rPr>
        <w:t>9 %)</w:t>
      </w:r>
      <w:r w:rsidR="00CC7D5C">
        <w:rPr>
          <w:rFonts w:cstheme="minorHAnsi"/>
        </w:rPr>
        <w:t>.</w:t>
      </w:r>
    </w:p>
    <w:tbl>
      <w:tblPr>
        <w:tblStyle w:val="Tabelaseznam4poudarek61"/>
        <w:tblW w:w="5000" w:type="pct"/>
        <w:tblLook w:val="04A0" w:firstRow="1" w:lastRow="0" w:firstColumn="1" w:lastColumn="0" w:noHBand="0" w:noVBand="1"/>
      </w:tblPr>
      <w:tblGrid>
        <w:gridCol w:w="2251"/>
        <w:gridCol w:w="1406"/>
        <w:gridCol w:w="1406"/>
        <w:gridCol w:w="1409"/>
        <w:gridCol w:w="1407"/>
        <w:gridCol w:w="1409"/>
      </w:tblGrid>
      <w:tr w:rsidR="00711392" w:rsidRPr="007041AF" w14:paraId="433F2AA5" w14:textId="77777777" w:rsidTr="00640727">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172" w:type="pct"/>
            <w:vAlign w:val="center"/>
            <w:hideMark/>
          </w:tcPr>
          <w:p w14:paraId="61DE5823" w14:textId="77777777" w:rsidR="007C7F66" w:rsidRPr="009B538E" w:rsidRDefault="007C7F66" w:rsidP="00BF7D3C">
            <w:pPr>
              <w:rPr>
                <w:rFonts w:asciiTheme="minorHAnsi" w:hAnsiTheme="minorHAnsi"/>
              </w:rPr>
            </w:pPr>
            <w:r w:rsidRPr="00FD4C45">
              <w:t>Marža bruto poslovnega presežka</w:t>
            </w:r>
            <w:r w:rsidR="002E0656" w:rsidRPr="00FD4C45">
              <w:rPr>
                <w:rStyle w:val="Sprotnaopomba-sklic"/>
              </w:rPr>
              <w:footnoteReference w:id="46"/>
            </w:r>
            <w:r w:rsidRPr="00FD4C45">
              <w:t>, v %</w:t>
            </w:r>
          </w:p>
        </w:tc>
        <w:tc>
          <w:tcPr>
            <w:tcW w:w="765" w:type="pct"/>
            <w:vAlign w:val="center"/>
          </w:tcPr>
          <w:p w14:paraId="29E82144" w14:textId="77777777" w:rsidR="007C7F66" w:rsidRPr="009B538E" w:rsidRDefault="007C7F66" w:rsidP="00692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FD4C45">
              <w:t>Vred.</w:t>
            </w:r>
            <w:r w:rsidR="00105F7D" w:rsidRPr="00FD4C45">
              <w:t xml:space="preserve"> </w:t>
            </w:r>
            <w:r w:rsidRPr="00FD4C45">
              <w:t>2018,</w:t>
            </w:r>
          </w:p>
          <w:p w14:paraId="4950EC6B" w14:textId="77777777" w:rsidR="007C7F66" w:rsidRPr="009B538E" w:rsidRDefault="00E00BC2" w:rsidP="00692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FD4C45">
              <w:t>v %</w:t>
            </w:r>
          </w:p>
        </w:tc>
        <w:tc>
          <w:tcPr>
            <w:tcW w:w="765" w:type="pct"/>
            <w:vAlign w:val="center"/>
          </w:tcPr>
          <w:p w14:paraId="408A9FFC" w14:textId="77777777" w:rsidR="007C7F66" w:rsidRPr="009B538E" w:rsidRDefault="007C7F66" w:rsidP="00692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FD4C45">
              <w:t>Ø 2008-2018,</w:t>
            </w:r>
          </w:p>
          <w:p w14:paraId="21285B98" w14:textId="77777777" w:rsidR="007C7F66" w:rsidRPr="009B538E" w:rsidRDefault="00E00BC2" w:rsidP="00692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FD4C45">
              <w:t>v %</w:t>
            </w:r>
          </w:p>
        </w:tc>
        <w:tc>
          <w:tcPr>
            <w:tcW w:w="766" w:type="pct"/>
            <w:vAlign w:val="center"/>
          </w:tcPr>
          <w:p w14:paraId="244E8FEA" w14:textId="77777777" w:rsidR="007C7F66" w:rsidRPr="009B538E" w:rsidRDefault="007C7F66" w:rsidP="00692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D4C45">
              <w:t>Ø</w:t>
            </w:r>
            <w:r w:rsidR="00E00BC2" w:rsidRPr="00FD4C45">
              <w:t xml:space="preserve"> </w:t>
            </w:r>
            <w:r w:rsidRPr="00FD4C45">
              <w:t>2014-2018</w:t>
            </w:r>
          </w:p>
        </w:tc>
        <w:tc>
          <w:tcPr>
            <w:tcW w:w="765" w:type="pct"/>
            <w:vAlign w:val="center"/>
          </w:tcPr>
          <w:p w14:paraId="74F3D899" w14:textId="77777777" w:rsidR="007C7F66" w:rsidRPr="009B538E" w:rsidRDefault="007C7F66" w:rsidP="00692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FD4C45">
              <w:t>Sprem.</w:t>
            </w:r>
          </w:p>
          <w:p w14:paraId="49C9688E" w14:textId="77777777" w:rsidR="007C7F66" w:rsidRPr="009B538E" w:rsidRDefault="007C7F66" w:rsidP="00692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FD4C45">
              <w:t>2018/2008</w:t>
            </w:r>
          </w:p>
        </w:tc>
        <w:tc>
          <w:tcPr>
            <w:tcW w:w="766" w:type="pct"/>
            <w:vAlign w:val="center"/>
          </w:tcPr>
          <w:p w14:paraId="4EBCFCE8" w14:textId="77777777" w:rsidR="007C7F66" w:rsidRPr="009B538E" w:rsidRDefault="00640727" w:rsidP="00692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FD4C45">
              <w:t>CAGR</w:t>
            </w:r>
            <w:r w:rsidRPr="00FD4C45">
              <w:rPr>
                <w:rStyle w:val="Sprotnaopomba-sklic"/>
              </w:rPr>
              <w:footnoteReference w:id="47"/>
            </w:r>
            <w:r w:rsidRPr="00FD4C45">
              <w:t xml:space="preserve"> v obdobju 2014-2018</w:t>
            </w:r>
          </w:p>
        </w:tc>
      </w:tr>
      <w:tr w:rsidR="00711392" w:rsidRPr="007041AF" w14:paraId="700BED68"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noWrap/>
            <w:vAlign w:val="bottom"/>
            <w:hideMark/>
          </w:tcPr>
          <w:p w14:paraId="6953D807" w14:textId="77777777" w:rsidR="004D19BE" w:rsidRPr="009B538E" w:rsidRDefault="004D19BE" w:rsidP="004D19BE">
            <w:pPr>
              <w:rPr>
                <w:rFonts w:asciiTheme="minorHAnsi" w:hAnsiTheme="minorHAnsi"/>
                <w:b w:val="0"/>
                <w:color w:val="000000"/>
              </w:rPr>
            </w:pPr>
            <w:r w:rsidRPr="009B538E">
              <w:rPr>
                <w:rFonts w:ascii="Trebuchet MS" w:hAnsi="Trebuchet MS"/>
                <w:color w:val="000000"/>
              </w:rPr>
              <w:t>PREDEL. DEJ. SKUPAJ</w:t>
            </w:r>
          </w:p>
        </w:tc>
        <w:tc>
          <w:tcPr>
            <w:tcW w:w="765" w:type="pct"/>
            <w:vAlign w:val="center"/>
          </w:tcPr>
          <w:p w14:paraId="50936773"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FD4C45">
              <w:rPr>
                <w:b/>
              </w:rPr>
              <w:t>11,0%</w:t>
            </w:r>
          </w:p>
        </w:tc>
        <w:tc>
          <w:tcPr>
            <w:tcW w:w="765" w:type="pct"/>
            <w:vAlign w:val="center"/>
          </w:tcPr>
          <w:p w14:paraId="41F477A0"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FD4C45">
              <w:rPr>
                <w:b/>
              </w:rPr>
              <w:t>10,0%</w:t>
            </w:r>
          </w:p>
        </w:tc>
        <w:tc>
          <w:tcPr>
            <w:tcW w:w="766" w:type="pct"/>
            <w:vAlign w:val="center"/>
          </w:tcPr>
          <w:p w14:paraId="5A9E0E97"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FD4C45">
              <w:rPr>
                <w:b/>
              </w:rPr>
              <w:t>11,2%</w:t>
            </w:r>
          </w:p>
        </w:tc>
        <w:tc>
          <w:tcPr>
            <w:tcW w:w="765" w:type="pct"/>
            <w:vAlign w:val="center"/>
          </w:tcPr>
          <w:p w14:paraId="7CA28C0C"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FD4C45">
              <w:rPr>
                <w:b/>
              </w:rPr>
              <w:t>1,6 o.t.</w:t>
            </w:r>
          </w:p>
        </w:tc>
        <w:tc>
          <w:tcPr>
            <w:tcW w:w="766" w:type="pct"/>
            <w:vAlign w:val="center"/>
          </w:tcPr>
          <w:p w14:paraId="02E3965C"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FD4C45">
              <w:rPr>
                <w:b/>
              </w:rPr>
              <w:t>3,0%</w:t>
            </w:r>
          </w:p>
        </w:tc>
      </w:tr>
      <w:tr w:rsidR="004D19BE" w:rsidRPr="007041AF" w14:paraId="5A5BA54C" w14:textId="77777777" w:rsidTr="002C098B">
        <w:tc>
          <w:tcPr>
            <w:cnfStyle w:val="001000000000" w:firstRow="0" w:lastRow="0" w:firstColumn="1" w:lastColumn="0" w:oddVBand="0" w:evenVBand="0" w:oddHBand="0" w:evenHBand="0" w:firstRowFirstColumn="0" w:firstRowLastColumn="0" w:lastRowFirstColumn="0" w:lastRowLastColumn="0"/>
            <w:tcW w:w="1172" w:type="pct"/>
            <w:noWrap/>
            <w:vAlign w:val="center"/>
            <w:hideMark/>
          </w:tcPr>
          <w:p w14:paraId="149FB283" w14:textId="77777777" w:rsidR="004D19BE" w:rsidRPr="009B538E" w:rsidRDefault="004D19BE" w:rsidP="004D19BE">
            <w:pPr>
              <w:rPr>
                <w:rFonts w:asciiTheme="minorHAnsi" w:hAnsiTheme="minorHAnsi"/>
                <w:color w:val="000000"/>
              </w:rPr>
            </w:pPr>
            <w:r w:rsidRPr="00FD4C45">
              <w:rPr>
                <w:rFonts w:ascii="Trebuchet MS" w:hAnsi="Trebuchet MS"/>
                <w:color w:val="000000"/>
              </w:rPr>
              <w:t>Prehrambna</w:t>
            </w:r>
          </w:p>
        </w:tc>
        <w:tc>
          <w:tcPr>
            <w:tcW w:w="765" w:type="pct"/>
            <w:noWrap/>
            <w:vAlign w:val="center"/>
          </w:tcPr>
          <w:p w14:paraId="4D8FFC38"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9,6%</w:t>
            </w:r>
          </w:p>
        </w:tc>
        <w:tc>
          <w:tcPr>
            <w:tcW w:w="765" w:type="pct"/>
            <w:noWrap/>
            <w:vAlign w:val="center"/>
          </w:tcPr>
          <w:p w14:paraId="27CBC5C4"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8,0%</w:t>
            </w:r>
          </w:p>
        </w:tc>
        <w:tc>
          <w:tcPr>
            <w:tcW w:w="766" w:type="pct"/>
            <w:noWrap/>
            <w:vAlign w:val="center"/>
          </w:tcPr>
          <w:p w14:paraId="4F6EA660"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9,0%</w:t>
            </w:r>
          </w:p>
        </w:tc>
        <w:tc>
          <w:tcPr>
            <w:tcW w:w="765" w:type="pct"/>
            <w:vAlign w:val="center"/>
          </w:tcPr>
          <w:p w14:paraId="62F1973A"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2,9 o.t.</w:t>
            </w:r>
          </w:p>
        </w:tc>
        <w:tc>
          <w:tcPr>
            <w:tcW w:w="766" w:type="pct"/>
            <w:vAlign w:val="center"/>
          </w:tcPr>
          <w:p w14:paraId="69436A8D"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6,0%</w:t>
            </w:r>
          </w:p>
        </w:tc>
      </w:tr>
      <w:tr w:rsidR="00995525" w:rsidRPr="007041AF" w14:paraId="0AEB1B6E"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noWrap/>
            <w:vAlign w:val="center"/>
            <w:hideMark/>
          </w:tcPr>
          <w:p w14:paraId="08E13B0A" w14:textId="77777777" w:rsidR="004D19BE" w:rsidRPr="009B538E" w:rsidRDefault="004D19BE" w:rsidP="004D19BE">
            <w:pPr>
              <w:rPr>
                <w:rFonts w:asciiTheme="minorHAnsi" w:hAnsiTheme="minorHAnsi"/>
                <w:color w:val="000000"/>
              </w:rPr>
            </w:pPr>
            <w:r w:rsidRPr="00FD4C45">
              <w:rPr>
                <w:rFonts w:ascii="Trebuchet MS" w:hAnsi="Trebuchet MS"/>
                <w:color w:val="000000"/>
              </w:rPr>
              <w:t>Tekstilna</w:t>
            </w:r>
          </w:p>
        </w:tc>
        <w:tc>
          <w:tcPr>
            <w:tcW w:w="765" w:type="pct"/>
            <w:noWrap/>
            <w:vAlign w:val="center"/>
          </w:tcPr>
          <w:p w14:paraId="43A2ADB9"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9,3%</w:t>
            </w:r>
          </w:p>
        </w:tc>
        <w:tc>
          <w:tcPr>
            <w:tcW w:w="765" w:type="pct"/>
            <w:noWrap/>
            <w:vAlign w:val="center"/>
          </w:tcPr>
          <w:p w14:paraId="52EF69CC"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6,9%</w:t>
            </w:r>
          </w:p>
        </w:tc>
        <w:tc>
          <w:tcPr>
            <w:tcW w:w="766" w:type="pct"/>
            <w:noWrap/>
            <w:vAlign w:val="center"/>
          </w:tcPr>
          <w:p w14:paraId="45BA9DE9"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9,2%</w:t>
            </w:r>
          </w:p>
        </w:tc>
        <w:tc>
          <w:tcPr>
            <w:tcW w:w="765" w:type="pct"/>
            <w:vAlign w:val="center"/>
          </w:tcPr>
          <w:p w14:paraId="2348D594"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6,1 o.t.</w:t>
            </w:r>
          </w:p>
        </w:tc>
        <w:tc>
          <w:tcPr>
            <w:tcW w:w="766" w:type="pct"/>
            <w:vAlign w:val="center"/>
          </w:tcPr>
          <w:p w14:paraId="3C3651C1"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13,5%</w:t>
            </w:r>
          </w:p>
        </w:tc>
      </w:tr>
      <w:tr w:rsidR="004D19BE" w:rsidRPr="007041AF" w14:paraId="575B64EF" w14:textId="77777777" w:rsidTr="002C098B">
        <w:tc>
          <w:tcPr>
            <w:cnfStyle w:val="001000000000" w:firstRow="0" w:lastRow="0" w:firstColumn="1" w:lastColumn="0" w:oddVBand="0" w:evenVBand="0" w:oddHBand="0" w:evenHBand="0" w:firstRowFirstColumn="0" w:firstRowLastColumn="0" w:lastRowFirstColumn="0" w:lastRowLastColumn="0"/>
            <w:tcW w:w="1172" w:type="pct"/>
            <w:noWrap/>
            <w:vAlign w:val="center"/>
            <w:hideMark/>
          </w:tcPr>
          <w:p w14:paraId="7887F4EB" w14:textId="77777777" w:rsidR="004D19BE" w:rsidRPr="009B538E" w:rsidRDefault="004D19BE" w:rsidP="004D19BE">
            <w:pPr>
              <w:rPr>
                <w:rFonts w:asciiTheme="minorHAnsi" w:hAnsiTheme="minorHAnsi"/>
                <w:color w:val="000000"/>
              </w:rPr>
            </w:pPr>
            <w:r w:rsidRPr="00FD4C45">
              <w:rPr>
                <w:rFonts w:ascii="Trebuchet MS" w:hAnsi="Trebuchet MS"/>
                <w:color w:val="000000"/>
              </w:rPr>
              <w:t>Lesna</w:t>
            </w:r>
          </w:p>
        </w:tc>
        <w:tc>
          <w:tcPr>
            <w:tcW w:w="765" w:type="pct"/>
            <w:noWrap/>
            <w:vAlign w:val="center"/>
          </w:tcPr>
          <w:p w14:paraId="12CBD0C9"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11,9%</w:t>
            </w:r>
          </w:p>
        </w:tc>
        <w:tc>
          <w:tcPr>
            <w:tcW w:w="765" w:type="pct"/>
            <w:noWrap/>
            <w:vAlign w:val="center"/>
          </w:tcPr>
          <w:p w14:paraId="30157AC6"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7,9%</w:t>
            </w:r>
          </w:p>
        </w:tc>
        <w:tc>
          <w:tcPr>
            <w:tcW w:w="766" w:type="pct"/>
            <w:noWrap/>
            <w:vAlign w:val="center"/>
          </w:tcPr>
          <w:p w14:paraId="4313C9E8"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10,5%</w:t>
            </w:r>
          </w:p>
        </w:tc>
        <w:tc>
          <w:tcPr>
            <w:tcW w:w="765" w:type="pct"/>
            <w:vAlign w:val="center"/>
          </w:tcPr>
          <w:p w14:paraId="6935AA29"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4,9 o.t.</w:t>
            </w:r>
          </w:p>
        </w:tc>
        <w:tc>
          <w:tcPr>
            <w:tcW w:w="766" w:type="pct"/>
            <w:vAlign w:val="center"/>
          </w:tcPr>
          <w:p w14:paraId="4ACDE1C7"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10,7%</w:t>
            </w:r>
          </w:p>
        </w:tc>
      </w:tr>
      <w:tr w:rsidR="00711392" w:rsidRPr="007041AF" w14:paraId="3FB9E164"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noWrap/>
            <w:vAlign w:val="center"/>
            <w:hideMark/>
          </w:tcPr>
          <w:p w14:paraId="683C1643" w14:textId="77777777" w:rsidR="004D19BE" w:rsidRPr="009B538E" w:rsidRDefault="004D19BE" w:rsidP="004D19BE">
            <w:pPr>
              <w:rPr>
                <w:rFonts w:asciiTheme="minorHAnsi" w:hAnsiTheme="minorHAnsi"/>
                <w:color w:val="000000"/>
              </w:rPr>
            </w:pPr>
            <w:r w:rsidRPr="00FD4C45">
              <w:rPr>
                <w:rFonts w:ascii="Trebuchet MS" w:hAnsi="Trebuchet MS"/>
                <w:color w:val="000000"/>
              </w:rPr>
              <w:t>Papirna</w:t>
            </w:r>
          </w:p>
        </w:tc>
        <w:tc>
          <w:tcPr>
            <w:tcW w:w="765" w:type="pct"/>
            <w:noWrap/>
            <w:vAlign w:val="center"/>
          </w:tcPr>
          <w:p w14:paraId="642F08B1"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7,7%</w:t>
            </w:r>
          </w:p>
        </w:tc>
        <w:tc>
          <w:tcPr>
            <w:tcW w:w="765" w:type="pct"/>
            <w:noWrap/>
            <w:vAlign w:val="center"/>
          </w:tcPr>
          <w:p w14:paraId="7B6D4DE8"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9,4%</w:t>
            </w:r>
          </w:p>
        </w:tc>
        <w:tc>
          <w:tcPr>
            <w:tcW w:w="766" w:type="pct"/>
            <w:noWrap/>
            <w:vAlign w:val="center"/>
          </w:tcPr>
          <w:p w14:paraId="2B52B4CB"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9,8%</w:t>
            </w:r>
          </w:p>
        </w:tc>
        <w:tc>
          <w:tcPr>
            <w:tcW w:w="765" w:type="pct"/>
            <w:vAlign w:val="center"/>
          </w:tcPr>
          <w:p w14:paraId="1EEE9ECC"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-0,3 o.t.</w:t>
            </w:r>
          </w:p>
        </w:tc>
        <w:tc>
          <w:tcPr>
            <w:tcW w:w="766" w:type="pct"/>
            <w:vAlign w:val="center"/>
          </w:tcPr>
          <w:p w14:paraId="434EC3C9"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-5,5%</w:t>
            </w:r>
          </w:p>
        </w:tc>
      </w:tr>
      <w:tr w:rsidR="004D19BE" w:rsidRPr="007041AF" w14:paraId="31A74577" w14:textId="77777777" w:rsidTr="002C098B">
        <w:tc>
          <w:tcPr>
            <w:cnfStyle w:val="001000000000" w:firstRow="0" w:lastRow="0" w:firstColumn="1" w:lastColumn="0" w:oddVBand="0" w:evenVBand="0" w:oddHBand="0" w:evenHBand="0" w:firstRowFirstColumn="0" w:firstRowLastColumn="0" w:lastRowFirstColumn="0" w:lastRowLastColumn="0"/>
            <w:tcW w:w="1172" w:type="pct"/>
            <w:noWrap/>
            <w:vAlign w:val="center"/>
            <w:hideMark/>
          </w:tcPr>
          <w:p w14:paraId="59089E55" w14:textId="77777777" w:rsidR="004D19BE" w:rsidRPr="009B538E" w:rsidRDefault="004D19BE" w:rsidP="004D19BE">
            <w:pPr>
              <w:rPr>
                <w:rFonts w:asciiTheme="minorHAnsi" w:hAnsiTheme="minorHAnsi"/>
                <w:color w:val="000000"/>
              </w:rPr>
            </w:pPr>
            <w:r w:rsidRPr="00FD4C45">
              <w:rPr>
                <w:rFonts w:ascii="Trebuchet MS" w:hAnsi="Trebuchet MS"/>
                <w:color w:val="000000"/>
              </w:rPr>
              <w:t>Kemična</w:t>
            </w:r>
          </w:p>
        </w:tc>
        <w:tc>
          <w:tcPr>
            <w:tcW w:w="765" w:type="pct"/>
            <w:noWrap/>
            <w:vAlign w:val="center"/>
          </w:tcPr>
          <w:p w14:paraId="3AAEF706"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15,6%</w:t>
            </w:r>
          </w:p>
        </w:tc>
        <w:tc>
          <w:tcPr>
            <w:tcW w:w="765" w:type="pct"/>
            <w:noWrap/>
            <w:vAlign w:val="center"/>
          </w:tcPr>
          <w:p w14:paraId="65477A58"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14,9%</w:t>
            </w:r>
          </w:p>
        </w:tc>
        <w:tc>
          <w:tcPr>
            <w:tcW w:w="766" w:type="pct"/>
            <w:noWrap/>
            <w:vAlign w:val="center"/>
          </w:tcPr>
          <w:p w14:paraId="022D61A8"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15,3%</w:t>
            </w:r>
          </w:p>
        </w:tc>
        <w:tc>
          <w:tcPr>
            <w:tcW w:w="765" w:type="pct"/>
            <w:vAlign w:val="center"/>
          </w:tcPr>
          <w:p w14:paraId="22081BC9"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0,1 o.t.</w:t>
            </w:r>
          </w:p>
        </w:tc>
        <w:tc>
          <w:tcPr>
            <w:tcW w:w="766" w:type="pct"/>
            <w:vAlign w:val="center"/>
          </w:tcPr>
          <w:p w14:paraId="2C1EB8E0"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1,8%</w:t>
            </w:r>
          </w:p>
        </w:tc>
      </w:tr>
      <w:tr w:rsidR="00711392" w:rsidRPr="007041AF" w14:paraId="4AAA152F"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noWrap/>
            <w:vAlign w:val="center"/>
            <w:hideMark/>
          </w:tcPr>
          <w:p w14:paraId="7920A2C5" w14:textId="77777777" w:rsidR="004D19BE" w:rsidRPr="009B538E" w:rsidRDefault="004D19BE" w:rsidP="004D19BE">
            <w:pPr>
              <w:rPr>
                <w:rFonts w:asciiTheme="minorHAnsi" w:hAnsiTheme="minorHAnsi"/>
                <w:color w:val="000000"/>
              </w:rPr>
            </w:pPr>
            <w:r w:rsidRPr="00FD4C45">
              <w:rPr>
                <w:rFonts w:ascii="Trebuchet MS" w:hAnsi="Trebuchet MS"/>
                <w:color w:val="000000"/>
              </w:rPr>
              <w:t>Nekovinska</w:t>
            </w:r>
          </w:p>
        </w:tc>
        <w:tc>
          <w:tcPr>
            <w:tcW w:w="765" w:type="pct"/>
            <w:noWrap/>
            <w:vAlign w:val="center"/>
          </w:tcPr>
          <w:p w14:paraId="741156C6"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14,9%</w:t>
            </w:r>
          </w:p>
        </w:tc>
        <w:tc>
          <w:tcPr>
            <w:tcW w:w="765" w:type="pct"/>
            <w:noWrap/>
            <w:vAlign w:val="center"/>
          </w:tcPr>
          <w:p w14:paraId="583AE9D5"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11,4%</w:t>
            </w:r>
          </w:p>
        </w:tc>
        <w:tc>
          <w:tcPr>
            <w:tcW w:w="766" w:type="pct"/>
            <w:noWrap/>
            <w:vAlign w:val="center"/>
          </w:tcPr>
          <w:p w14:paraId="67296C9D"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13,4%</w:t>
            </w:r>
          </w:p>
        </w:tc>
        <w:tc>
          <w:tcPr>
            <w:tcW w:w="765" w:type="pct"/>
            <w:vAlign w:val="center"/>
          </w:tcPr>
          <w:p w14:paraId="3B38B3E1"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1,6 o.t.</w:t>
            </w:r>
          </w:p>
        </w:tc>
        <w:tc>
          <w:tcPr>
            <w:tcW w:w="766" w:type="pct"/>
            <w:vAlign w:val="center"/>
          </w:tcPr>
          <w:p w14:paraId="09598759"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8,1%</w:t>
            </w:r>
          </w:p>
        </w:tc>
      </w:tr>
      <w:tr w:rsidR="004D19BE" w:rsidRPr="007041AF" w14:paraId="095FD2BE" w14:textId="77777777" w:rsidTr="002C098B">
        <w:tc>
          <w:tcPr>
            <w:cnfStyle w:val="001000000000" w:firstRow="0" w:lastRow="0" w:firstColumn="1" w:lastColumn="0" w:oddVBand="0" w:evenVBand="0" w:oddHBand="0" w:evenHBand="0" w:firstRowFirstColumn="0" w:firstRowLastColumn="0" w:lastRowFirstColumn="0" w:lastRowLastColumn="0"/>
            <w:tcW w:w="1172" w:type="pct"/>
            <w:noWrap/>
            <w:vAlign w:val="center"/>
            <w:hideMark/>
          </w:tcPr>
          <w:p w14:paraId="79FB7A39" w14:textId="77777777" w:rsidR="004D19BE" w:rsidRPr="009B538E" w:rsidRDefault="004D19BE" w:rsidP="004D19BE">
            <w:pPr>
              <w:rPr>
                <w:rFonts w:asciiTheme="minorHAnsi" w:hAnsiTheme="minorHAnsi"/>
                <w:color w:val="000000"/>
              </w:rPr>
            </w:pPr>
            <w:r w:rsidRPr="00FD4C45">
              <w:rPr>
                <w:rFonts w:ascii="Trebuchet MS" w:hAnsi="Trebuchet MS"/>
                <w:color w:val="000000"/>
              </w:rPr>
              <w:t>Kovinska</w:t>
            </w:r>
          </w:p>
        </w:tc>
        <w:tc>
          <w:tcPr>
            <w:tcW w:w="765" w:type="pct"/>
            <w:noWrap/>
            <w:vAlign w:val="center"/>
          </w:tcPr>
          <w:p w14:paraId="3F8CC7DB"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10,0%</w:t>
            </w:r>
          </w:p>
        </w:tc>
        <w:tc>
          <w:tcPr>
            <w:tcW w:w="765" w:type="pct"/>
            <w:noWrap/>
            <w:vAlign w:val="center"/>
          </w:tcPr>
          <w:p w14:paraId="16DBECCF"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8,9%</w:t>
            </w:r>
          </w:p>
        </w:tc>
        <w:tc>
          <w:tcPr>
            <w:tcW w:w="766" w:type="pct"/>
            <w:noWrap/>
            <w:vAlign w:val="center"/>
          </w:tcPr>
          <w:p w14:paraId="0E188949"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10,7%</w:t>
            </w:r>
          </w:p>
        </w:tc>
        <w:tc>
          <w:tcPr>
            <w:tcW w:w="765" w:type="pct"/>
            <w:vAlign w:val="center"/>
          </w:tcPr>
          <w:p w14:paraId="5E575EF4"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1,1 o.t.</w:t>
            </w:r>
          </w:p>
        </w:tc>
        <w:tc>
          <w:tcPr>
            <w:tcW w:w="766" w:type="pct"/>
            <w:vAlign w:val="center"/>
          </w:tcPr>
          <w:p w14:paraId="58E2A1A3"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5,3%</w:t>
            </w:r>
          </w:p>
        </w:tc>
      </w:tr>
      <w:tr w:rsidR="00711392" w:rsidRPr="007041AF" w14:paraId="694BF97B"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noWrap/>
            <w:vAlign w:val="center"/>
            <w:hideMark/>
          </w:tcPr>
          <w:p w14:paraId="3C248569" w14:textId="77777777" w:rsidR="004D19BE" w:rsidRPr="009B538E" w:rsidRDefault="004D19BE" w:rsidP="004D19BE">
            <w:pPr>
              <w:rPr>
                <w:rFonts w:asciiTheme="minorHAnsi" w:hAnsiTheme="minorHAnsi"/>
                <w:color w:val="000000"/>
              </w:rPr>
            </w:pPr>
            <w:r w:rsidRPr="00FD4C45">
              <w:rPr>
                <w:rFonts w:ascii="Trebuchet MS" w:hAnsi="Trebuchet MS"/>
                <w:color w:val="000000"/>
              </w:rPr>
              <w:t>Elektro</w:t>
            </w:r>
          </w:p>
        </w:tc>
        <w:tc>
          <w:tcPr>
            <w:tcW w:w="765" w:type="pct"/>
            <w:noWrap/>
            <w:vAlign w:val="center"/>
          </w:tcPr>
          <w:p w14:paraId="601EE46F"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8,5%</w:t>
            </w:r>
          </w:p>
        </w:tc>
        <w:tc>
          <w:tcPr>
            <w:tcW w:w="765" w:type="pct"/>
            <w:noWrap/>
            <w:vAlign w:val="center"/>
          </w:tcPr>
          <w:p w14:paraId="1C2E679E"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8,7%</w:t>
            </w:r>
          </w:p>
        </w:tc>
        <w:tc>
          <w:tcPr>
            <w:tcW w:w="766" w:type="pct"/>
            <w:noWrap/>
            <w:vAlign w:val="center"/>
          </w:tcPr>
          <w:p w14:paraId="3B49E474"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9,6%</w:t>
            </w:r>
          </w:p>
        </w:tc>
        <w:tc>
          <w:tcPr>
            <w:tcW w:w="765" w:type="pct"/>
            <w:vAlign w:val="center"/>
          </w:tcPr>
          <w:p w14:paraId="1CCDF7A1"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0,7 o.t.</w:t>
            </w:r>
          </w:p>
        </w:tc>
        <w:tc>
          <w:tcPr>
            <w:tcW w:w="766" w:type="pct"/>
            <w:vAlign w:val="center"/>
          </w:tcPr>
          <w:p w14:paraId="24A1ABE3"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-0,2%</w:t>
            </w:r>
          </w:p>
        </w:tc>
      </w:tr>
      <w:tr w:rsidR="004D19BE" w:rsidRPr="007041AF" w14:paraId="213A7399" w14:textId="77777777" w:rsidTr="002C098B">
        <w:tc>
          <w:tcPr>
            <w:cnfStyle w:val="001000000000" w:firstRow="0" w:lastRow="0" w:firstColumn="1" w:lastColumn="0" w:oddVBand="0" w:evenVBand="0" w:oddHBand="0" w:evenHBand="0" w:firstRowFirstColumn="0" w:firstRowLastColumn="0" w:lastRowFirstColumn="0" w:lastRowLastColumn="0"/>
            <w:tcW w:w="1172" w:type="pct"/>
            <w:noWrap/>
            <w:vAlign w:val="center"/>
            <w:hideMark/>
          </w:tcPr>
          <w:p w14:paraId="22AED19B" w14:textId="77777777" w:rsidR="004D19BE" w:rsidRPr="009B538E" w:rsidRDefault="004D19BE" w:rsidP="004D19BE">
            <w:pPr>
              <w:rPr>
                <w:rFonts w:asciiTheme="minorHAnsi" w:hAnsiTheme="minorHAnsi"/>
                <w:color w:val="000000"/>
              </w:rPr>
            </w:pPr>
            <w:r w:rsidRPr="00FD4C45">
              <w:rPr>
                <w:rFonts w:ascii="Trebuchet MS" w:hAnsi="Trebuchet MS"/>
                <w:color w:val="000000"/>
              </w:rPr>
              <w:t>Strojna</w:t>
            </w:r>
          </w:p>
        </w:tc>
        <w:tc>
          <w:tcPr>
            <w:tcW w:w="765" w:type="pct"/>
            <w:noWrap/>
            <w:vAlign w:val="center"/>
          </w:tcPr>
          <w:p w14:paraId="27ABECB2"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9,2%</w:t>
            </w:r>
          </w:p>
        </w:tc>
        <w:tc>
          <w:tcPr>
            <w:tcW w:w="765" w:type="pct"/>
            <w:noWrap/>
            <w:vAlign w:val="center"/>
          </w:tcPr>
          <w:p w14:paraId="09A423C9"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8,6%</w:t>
            </w:r>
          </w:p>
        </w:tc>
        <w:tc>
          <w:tcPr>
            <w:tcW w:w="766" w:type="pct"/>
            <w:noWrap/>
            <w:vAlign w:val="center"/>
          </w:tcPr>
          <w:p w14:paraId="78FD958E"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9,7%</w:t>
            </w:r>
          </w:p>
        </w:tc>
        <w:tc>
          <w:tcPr>
            <w:tcW w:w="765" w:type="pct"/>
            <w:vAlign w:val="center"/>
          </w:tcPr>
          <w:p w14:paraId="335F69FD"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1,5 o.t.</w:t>
            </w:r>
          </w:p>
        </w:tc>
        <w:tc>
          <w:tcPr>
            <w:tcW w:w="766" w:type="pct"/>
            <w:vAlign w:val="center"/>
          </w:tcPr>
          <w:p w14:paraId="6E71DD0F"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D4C45">
              <w:t>1,5%</w:t>
            </w:r>
          </w:p>
        </w:tc>
      </w:tr>
      <w:tr w:rsidR="00711392" w:rsidRPr="007041AF" w14:paraId="485D9D2C"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noWrap/>
            <w:vAlign w:val="center"/>
            <w:hideMark/>
          </w:tcPr>
          <w:p w14:paraId="5A7184D4" w14:textId="77777777" w:rsidR="004D19BE" w:rsidRPr="009B538E" w:rsidRDefault="004D19BE" w:rsidP="004D19BE">
            <w:pPr>
              <w:rPr>
                <w:rFonts w:asciiTheme="minorHAnsi" w:hAnsiTheme="minorHAnsi"/>
                <w:color w:val="000000"/>
              </w:rPr>
            </w:pPr>
            <w:r w:rsidRPr="00FD4C45">
              <w:rPr>
                <w:rFonts w:ascii="Trebuchet MS" w:hAnsi="Trebuchet MS"/>
                <w:color w:val="000000"/>
              </w:rPr>
              <w:t>Druge</w:t>
            </w:r>
          </w:p>
        </w:tc>
        <w:tc>
          <w:tcPr>
            <w:tcW w:w="765" w:type="pct"/>
            <w:noWrap/>
            <w:vAlign w:val="center"/>
          </w:tcPr>
          <w:p w14:paraId="5001A776"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14,6%</w:t>
            </w:r>
          </w:p>
        </w:tc>
        <w:tc>
          <w:tcPr>
            <w:tcW w:w="765" w:type="pct"/>
            <w:noWrap/>
            <w:vAlign w:val="center"/>
          </w:tcPr>
          <w:p w14:paraId="6A8229AA"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12,8%</w:t>
            </w:r>
          </w:p>
        </w:tc>
        <w:tc>
          <w:tcPr>
            <w:tcW w:w="766" w:type="pct"/>
            <w:noWrap/>
            <w:vAlign w:val="center"/>
          </w:tcPr>
          <w:p w14:paraId="1E8549C2"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15,0%</w:t>
            </w:r>
          </w:p>
        </w:tc>
        <w:tc>
          <w:tcPr>
            <w:tcW w:w="765" w:type="pct"/>
            <w:vAlign w:val="center"/>
          </w:tcPr>
          <w:p w14:paraId="7A6B59A3"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0,2 o.t.</w:t>
            </w:r>
          </w:p>
        </w:tc>
        <w:tc>
          <w:tcPr>
            <w:tcW w:w="766" w:type="pct"/>
            <w:vAlign w:val="center"/>
          </w:tcPr>
          <w:p w14:paraId="035AAAF8"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D4C45">
              <w:t>7,2%</w:t>
            </w:r>
          </w:p>
        </w:tc>
      </w:tr>
    </w:tbl>
    <w:p w14:paraId="4A6379D9" w14:textId="77777777" w:rsidR="003372D7" w:rsidRPr="009B538E" w:rsidRDefault="003372D7" w:rsidP="003372D7">
      <w:pPr>
        <w:spacing w:before="20"/>
        <w:jc w:val="both"/>
        <w:rPr>
          <w:i/>
        </w:rPr>
      </w:pPr>
      <w:r w:rsidRPr="009B538E">
        <w:rPr>
          <w:i/>
        </w:rPr>
        <w:t>Vir: SURS, strukturna statistika podjetij, preračuni Analitika GZS</w:t>
      </w:r>
    </w:p>
    <w:p w14:paraId="65466401" w14:textId="77777777" w:rsidR="007C7F66" w:rsidRPr="00964361" w:rsidRDefault="007C7F66" w:rsidP="002C7476">
      <w:pPr>
        <w:pStyle w:val="Odstavekseznama"/>
        <w:numPr>
          <w:ilvl w:val="0"/>
          <w:numId w:val="16"/>
        </w:numPr>
        <w:spacing w:before="0" w:after="160" w:line="259" w:lineRule="auto"/>
        <w:rPr>
          <w:rFonts w:cstheme="minorHAnsi"/>
          <w:b/>
          <w:bCs/>
        </w:rPr>
      </w:pPr>
      <w:r w:rsidRPr="00964361">
        <w:rPr>
          <w:rFonts w:cstheme="minorHAnsi"/>
          <w:b/>
          <w:bCs/>
        </w:rPr>
        <w:t>Investicije</w:t>
      </w:r>
    </w:p>
    <w:p w14:paraId="587762F6" w14:textId="77777777" w:rsidR="007C7F66" w:rsidRPr="00964361" w:rsidRDefault="007C7F66" w:rsidP="00341242">
      <w:pPr>
        <w:pStyle w:val="Odstavekseznama"/>
        <w:spacing w:before="0" w:after="160" w:line="259" w:lineRule="auto"/>
        <w:ind w:left="360"/>
        <w:rPr>
          <w:rFonts w:cstheme="minorHAnsi"/>
          <w:b/>
          <w:bCs/>
        </w:rPr>
      </w:pPr>
    </w:p>
    <w:p w14:paraId="771C6715" w14:textId="3688C423" w:rsidR="007C7F66" w:rsidRPr="00964361" w:rsidRDefault="007C7F66" w:rsidP="00405849">
      <w:pPr>
        <w:pStyle w:val="Odstavekseznama"/>
        <w:ind w:left="0"/>
        <w:jc w:val="both"/>
        <w:rPr>
          <w:rFonts w:cstheme="minorHAnsi"/>
        </w:rPr>
      </w:pPr>
      <w:r w:rsidRPr="00964361">
        <w:rPr>
          <w:rFonts w:cstheme="minorHAnsi"/>
        </w:rPr>
        <w:t xml:space="preserve">Poslovni subjekti so v letu 2018 za investicije v opredmetena osnovna sredstva </w:t>
      </w:r>
      <w:r w:rsidRPr="00FD4C45">
        <w:rPr>
          <w:rFonts w:cstheme="minorHAnsi"/>
        </w:rPr>
        <w:t>namenil</w:t>
      </w:r>
      <w:r w:rsidR="00050216">
        <w:rPr>
          <w:rFonts w:cstheme="minorHAnsi"/>
        </w:rPr>
        <w:t>i</w:t>
      </w:r>
      <w:r w:rsidR="009A3876" w:rsidRPr="00FD4C45">
        <w:rPr>
          <w:rFonts w:cstheme="minorHAnsi"/>
        </w:rPr>
        <w:t xml:space="preserve"> slabi</w:t>
      </w:r>
      <w:r w:rsidRPr="00964361">
        <w:rPr>
          <w:rFonts w:cstheme="minorHAnsi"/>
        </w:rPr>
        <w:t xml:space="preserve"> 2 mrd EUR, kar je bilo 1</w:t>
      </w:r>
      <w:r w:rsidR="009A3876" w:rsidRPr="00964361">
        <w:rPr>
          <w:rFonts w:cstheme="minorHAnsi"/>
        </w:rPr>
        <w:t>4</w:t>
      </w:r>
      <w:r w:rsidRPr="00964361">
        <w:rPr>
          <w:rFonts w:cstheme="minorHAnsi"/>
        </w:rPr>
        <w:t xml:space="preserve"> % več kot v letu 20</w:t>
      </w:r>
      <w:r w:rsidR="008862C1" w:rsidRPr="00964361">
        <w:rPr>
          <w:rFonts w:cstheme="minorHAnsi"/>
        </w:rPr>
        <w:t>0</w:t>
      </w:r>
      <w:r w:rsidRPr="00964361">
        <w:rPr>
          <w:rFonts w:cstheme="minorHAnsi"/>
        </w:rPr>
        <w:t xml:space="preserve">8. Bruto investicije v opredmetena osnovna sredstva zajemajo vse investicije v vsa nova in obstoječa opredmetena osnovna sredstva (zgradbe, stroje in opremo, patente, licence itd.), katerih doba uporabnosti je daljša kakor eno leto, vključno z </w:t>
      </w:r>
      <w:proofErr w:type="spellStart"/>
      <w:r w:rsidRPr="00964361">
        <w:rPr>
          <w:rFonts w:cstheme="minorHAnsi"/>
        </w:rPr>
        <w:t>neproizvedenimi</w:t>
      </w:r>
      <w:proofErr w:type="spellEnd"/>
      <w:r w:rsidRPr="00964361">
        <w:rPr>
          <w:rFonts w:cstheme="minorHAnsi"/>
        </w:rPr>
        <w:t xml:space="preserve"> opredmetenimi osnovnimi sredstvi, kakor je zemljišče. Investicije v opredmetena osnovna sredstva se tako krepijo vse od dna v letu 2015 (1,3 mrd EUR) oziroma zgodovinskega dna v letu 2010 (1</w:t>
      </w:r>
      <w:r w:rsidR="009A3876" w:rsidRPr="00964361">
        <w:rPr>
          <w:rFonts w:cstheme="minorHAnsi"/>
        </w:rPr>
        <w:t>,1</w:t>
      </w:r>
      <w:r w:rsidRPr="00964361">
        <w:rPr>
          <w:rFonts w:cstheme="minorHAnsi"/>
        </w:rPr>
        <w:t xml:space="preserve"> mrd EUR). V zadnjih </w:t>
      </w:r>
      <w:r w:rsidR="003402C7">
        <w:rPr>
          <w:rFonts w:cstheme="minorHAnsi"/>
        </w:rPr>
        <w:t>enajstih</w:t>
      </w:r>
      <w:r w:rsidR="003402C7" w:rsidRPr="00964361">
        <w:rPr>
          <w:rFonts w:cstheme="minorHAnsi"/>
        </w:rPr>
        <w:t xml:space="preserve"> </w:t>
      </w:r>
      <w:r w:rsidRPr="00964361">
        <w:rPr>
          <w:rFonts w:cstheme="minorHAnsi"/>
        </w:rPr>
        <w:t xml:space="preserve">letih (2008-2018) so družbe za investicije v opredmetena osnovna sredstva letno v povprečju </w:t>
      </w:r>
      <w:r w:rsidRPr="00FD4C45">
        <w:rPr>
          <w:rFonts w:cstheme="minorHAnsi"/>
        </w:rPr>
        <w:t>namenil</w:t>
      </w:r>
      <w:r w:rsidR="00050216">
        <w:rPr>
          <w:rFonts w:cstheme="minorHAnsi"/>
        </w:rPr>
        <w:t>e</w:t>
      </w:r>
      <w:r w:rsidRPr="00964361">
        <w:rPr>
          <w:rFonts w:cstheme="minorHAnsi"/>
        </w:rPr>
        <w:t xml:space="preserve"> 1,4 mrd EUR. Zadnji dve poslovni leti (2017 in 2018) sta bili investicijsko zelo intenzivni, kar je povezano tako z visoko izkoriščenostjo kapacitet v predelovalnih dejavnostih kot z rastjo razpoložljivega dohodka. Tudi poceni finančni viri blagodejno vplivajo na rast investicij, vendar niso odločilni za njihovo krepitev, saj se delež lastnih sredstev pri investicijah krepi. </w:t>
      </w:r>
    </w:p>
    <w:p w14:paraId="17AB8A2A" w14:textId="77777777" w:rsidR="007C7F66" w:rsidRPr="007041AF" w:rsidRDefault="007A44B2" w:rsidP="00A347B2">
      <w:pPr>
        <w:pStyle w:val="Odstavekseznama"/>
        <w:spacing w:after="0"/>
        <w:ind w:left="0"/>
        <w:rPr>
          <w:rFonts w:cstheme="minorHAnsi"/>
        </w:rPr>
      </w:pPr>
      <w:r>
        <w:rPr>
          <w:noProof/>
          <w:lang w:eastAsia="sl-SI"/>
        </w:rPr>
        <w:lastRenderedPageBreak/>
        <w:drawing>
          <wp:inline distT="0" distB="0" distL="0" distR="0" wp14:anchorId="639D4CDE" wp14:editId="249AC594">
            <wp:extent cx="5098694" cy="2648102"/>
            <wp:effectExtent l="0" t="0" r="6985" b="0"/>
            <wp:docPr id="21" name="Grafikon 2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E53AA91-81B0-446E-8B15-8BE31785E2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AE038B6" w14:textId="77777777" w:rsidR="003372D7" w:rsidRPr="009B538E" w:rsidRDefault="003372D7" w:rsidP="003372D7">
      <w:pPr>
        <w:spacing w:before="20"/>
        <w:jc w:val="both"/>
        <w:rPr>
          <w:i/>
        </w:rPr>
      </w:pPr>
      <w:r w:rsidRPr="009B538E">
        <w:rPr>
          <w:i/>
        </w:rPr>
        <w:t>Vir: SURS, strukturna statistika podjetij, preračuni Analitika GZS</w:t>
      </w:r>
    </w:p>
    <w:p w14:paraId="76EC7495" w14:textId="0F1C1C5C" w:rsidR="007C7F66" w:rsidRPr="00964361" w:rsidRDefault="007C7F66" w:rsidP="00405849">
      <w:pPr>
        <w:pStyle w:val="Odstavekseznama"/>
        <w:ind w:left="0"/>
        <w:jc w:val="both"/>
        <w:rPr>
          <w:rFonts w:cstheme="minorHAnsi"/>
        </w:rPr>
      </w:pPr>
      <w:r w:rsidRPr="00964361">
        <w:rPr>
          <w:rFonts w:cstheme="minorHAnsi"/>
        </w:rPr>
        <w:t>Med vsemi predelovalnimi panogami so v 2018 največ bruto investicij v opredmetena osnovna sredstva namenili v strojni industriji (24 % celotne predelovalne panoge), sledijo kemi</w:t>
      </w:r>
      <w:r w:rsidR="003402C7">
        <w:rPr>
          <w:rFonts w:cstheme="minorHAnsi"/>
        </w:rPr>
        <w:t>čn</w:t>
      </w:r>
      <w:r w:rsidRPr="00964361">
        <w:rPr>
          <w:rFonts w:cstheme="minorHAnsi"/>
        </w:rPr>
        <w:t>a (2</w:t>
      </w:r>
      <w:r w:rsidR="009A3876" w:rsidRPr="00964361">
        <w:rPr>
          <w:rFonts w:cstheme="minorHAnsi"/>
        </w:rPr>
        <w:t>2</w:t>
      </w:r>
      <w:r w:rsidRPr="00964361">
        <w:rPr>
          <w:rFonts w:cstheme="minorHAnsi"/>
        </w:rPr>
        <w:t xml:space="preserve"> %), kovinska (</w:t>
      </w:r>
      <w:r w:rsidR="009A3876" w:rsidRPr="00964361">
        <w:rPr>
          <w:rFonts w:cstheme="minorHAnsi"/>
        </w:rPr>
        <w:t>21</w:t>
      </w:r>
      <w:r w:rsidRPr="00964361">
        <w:rPr>
          <w:rFonts w:cstheme="minorHAnsi"/>
        </w:rPr>
        <w:t xml:space="preserve"> %) ter elektro industrija (</w:t>
      </w:r>
      <w:r w:rsidR="009A3876" w:rsidRPr="00964361">
        <w:rPr>
          <w:rFonts w:cstheme="minorHAnsi"/>
        </w:rPr>
        <w:t>10</w:t>
      </w:r>
      <w:r w:rsidRPr="00964361">
        <w:rPr>
          <w:rFonts w:cstheme="minorHAnsi"/>
        </w:rPr>
        <w:t xml:space="preserve"> %), najmanj investicij pa namenijo v tekstilni industriji, drugih predelovalnih dejavnostih ter papirni industriji (pod </w:t>
      </w:r>
      <w:r w:rsidR="009A3876" w:rsidRPr="00964361">
        <w:rPr>
          <w:rFonts w:cstheme="minorHAnsi"/>
        </w:rPr>
        <w:t>2</w:t>
      </w:r>
      <w:r w:rsidRPr="00964361">
        <w:rPr>
          <w:rFonts w:cstheme="minorHAnsi"/>
        </w:rPr>
        <w:t xml:space="preserve"> %).  </w:t>
      </w:r>
    </w:p>
    <w:p w14:paraId="6841697E" w14:textId="4E7F487B" w:rsidR="007C7F66" w:rsidRPr="00964361" w:rsidRDefault="007C7F66" w:rsidP="00405849">
      <w:pPr>
        <w:jc w:val="both"/>
        <w:rPr>
          <w:rFonts w:cstheme="minorHAnsi"/>
        </w:rPr>
      </w:pPr>
      <w:r w:rsidRPr="00964361">
        <w:rPr>
          <w:rFonts w:cstheme="minorHAnsi"/>
        </w:rPr>
        <w:t>Merjeno v prihodkih od prodaje so predelovalne dejavnosti za bruto investicije v opredmetena osnovna sredstva v 2018 namenile 6,</w:t>
      </w:r>
      <w:r w:rsidR="00D3770C" w:rsidRPr="00964361">
        <w:rPr>
          <w:rFonts w:cstheme="minorHAnsi"/>
        </w:rPr>
        <w:t>3</w:t>
      </w:r>
      <w:r w:rsidRPr="00964361">
        <w:rPr>
          <w:rFonts w:cstheme="minorHAnsi"/>
        </w:rPr>
        <w:t xml:space="preserve"> % letne prodaje, kar je bilo več kot v 11-letnem poslovnem ciklu (5,5 %). Največji delež investicij v prodaji ima v 2018 </w:t>
      </w:r>
      <w:r w:rsidR="00D3770C" w:rsidRPr="00964361">
        <w:rPr>
          <w:rFonts w:cstheme="minorHAnsi"/>
        </w:rPr>
        <w:t>lesna industrija  (9,5 % v 2018, 6,0 % v 11-le</w:t>
      </w:r>
      <w:r w:rsidR="003402C7">
        <w:rPr>
          <w:rFonts w:cstheme="minorHAnsi"/>
        </w:rPr>
        <w:t>t</w:t>
      </w:r>
      <w:r w:rsidR="00D3770C" w:rsidRPr="00964361">
        <w:rPr>
          <w:rFonts w:cstheme="minorHAnsi"/>
        </w:rPr>
        <w:t>nem povprečju), sledi</w:t>
      </w:r>
      <w:r w:rsidR="0012205F">
        <w:rPr>
          <w:rFonts w:cstheme="minorHAnsi"/>
        </w:rPr>
        <w:t>jo</w:t>
      </w:r>
      <w:r w:rsidR="00D3770C" w:rsidRPr="00964361">
        <w:rPr>
          <w:rFonts w:cstheme="minorHAnsi"/>
        </w:rPr>
        <w:t xml:space="preserve"> </w:t>
      </w:r>
      <w:r w:rsidRPr="00964361">
        <w:rPr>
          <w:rFonts w:cstheme="minorHAnsi"/>
        </w:rPr>
        <w:t>kemična (7,</w:t>
      </w:r>
      <w:r w:rsidR="00D3770C" w:rsidRPr="00964361">
        <w:rPr>
          <w:rFonts w:cstheme="minorHAnsi"/>
        </w:rPr>
        <w:t>3</w:t>
      </w:r>
      <w:r w:rsidRPr="00964361">
        <w:rPr>
          <w:rFonts w:cstheme="minorHAnsi"/>
        </w:rPr>
        <w:t xml:space="preserve"> % v 2018, </w:t>
      </w:r>
      <w:r w:rsidR="00D3770C" w:rsidRPr="00964361">
        <w:rPr>
          <w:rFonts w:cstheme="minorHAnsi"/>
        </w:rPr>
        <w:t xml:space="preserve">6,7 </w:t>
      </w:r>
      <w:r w:rsidRPr="00964361">
        <w:rPr>
          <w:rFonts w:cstheme="minorHAnsi"/>
        </w:rPr>
        <w:t>% v 11-le</w:t>
      </w:r>
      <w:r w:rsidR="003402C7">
        <w:rPr>
          <w:rFonts w:cstheme="minorHAnsi"/>
        </w:rPr>
        <w:t>t</w:t>
      </w:r>
      <w:r w:rsidRPr="00964361">
        <w:rPr>
          <w:rFonts w:cstheme="minorHAnsi"/>
        </w:rPr>
        <w:t>nem obdobju), strojna (6,</w:t>
      </w:r>
      <w:r w:rsidR="00D3770C" w:rsidRPr="00964361">
        <w:rPr>
          <w:rFonts w:cstheme="minorHAnsi"/>
        </w:rPr>
        <w:t>7</w:t>
      </w:r>
      <w:r w:rsidRPr="00964361">
        <w:rPr>
          <w:rFonts w:cstheme="minorHAnsi"/>
        </w:rPr>
        <w:t xml:space="preserve"> % v 2018, </w:t>
      </w:r>
      <w:r w:rsidR="00D3770C" w:rsidRPr="00964361">
        <w:rPr>
          <w:rFonts w:cstheme="minorHAnsi"/>
        </w:rPr>
        <w:t>4,9</w:t>
      </w:r>
      <w:r w:rsidRPr="00964361">
        <w:rPr>
          <w:rFonts w:cstheme="minorHAnsi"/>
        </w:rPr>
        <w:t xml:space="preserve"> % v 11-le</w:t>
      </w:r>
      <w:r w:rsidR="003402C7">
        <w:rPr>
          <w:rFonts w:cstheme="minorHAnsi"/>
        </w:rPr>
        <w:t>t</w:t>
      </w:r>
      <w:r w:rsidRPr="00964361">
        <w:rPr>
          <w:rFonts w:cstheme="minorHAnsi"/>
        </w:rPr>
        <w:t xml:space="preserve">nem obdobju) ter nekovinska </w:t>
      </w:r>
      <w:r w:rsidR="00D3770C" w:rsidRPr="00964361">
        <w:rPr>
          <w:rFonts w:cstheme="minorHAnsi"/>
        </w:rPr>
        <w:t>(6,7 % v 2018, 6,6 % v 11-le</w:t>
      </w:r>
      <w:r w:rsidR="003402C7">
        <w:rPr>
          <w:rFonts w:cstheme="minorHAnsi"/>
        </w:rPr>
        <w:t>t</w:t>
      </w:r>
      <w:r w:rsidR="00D3770C" w:rsidRPr="00964361">
        <w:rPr>
          <w:rFonts w:cstheme="minorHAnsi"/>
        </w:rPr>
        <w:t>nem obdobju)</w:t>
      </w:r>
      <w:r w:rsidR="0012205F">
        <w:rPr>
          <w:rFonts w:cstheme="minorHAnsi"/>
        </w:rPr>
        <w:t xml:space="preserve"> in</w:t>
      </w:r>
      <w:r w:rsidRPr="00964361">
        <w:rPr>
          <w:rFonts w:cstheme="minorHAnsi"/>
        </w:rPr>
        <w:t xml:space="preserve"> kovinska industrija (nad 6 % v 2018</w:t>
      </w:r>
      <w:r w:rsidR="00431725" w:rsidRPr="00964361">
        <w:rPr>
          <w:rFonts w:cstheme="minorHAnsi"/>
        </w:rPr>
        <w:t>, 5,8 % v 11-le</w:t>
      </w:r>
      <w:r w:rsidR="003402C7">
        <w:rPr>
          <w:rFonts w:cstheme="minorHAnsi"/>
        </w:rPr>
        <w:t>t</w:t>
      </w:r>
      <w:r w:rsidR="00431725" w:rsidRPr="00964361">
        <w:rPr>
          <w:rFonts w:cstheme="minorHAnsi"/>
        </w:rPr>
        <w:t>nem obdobju</w:t>
      </w:r>
      <w:r w:rsidRPr="00964361">
        <w:rPr>
          <w:rFonts w:cstheme="minorHAnsi"/>
        </w:rPr>
        <w:t xml:space="preserve">). </w:t>
      </w:r>
    </w:p>
    <w:tbl>
      <w:tblPr>
        <w:tblStyle w:val="Tabelaseznam4poudarek61"/>
        <w:tblW w:w="8977" w:type="dxa"/>
        <w:tblLayout w:type="fixed"/>
        <w:tblLook w:val="04A0" w:firstRow="1" w:lastRow="0" w:firstColumn="1" w:lastColumn="0" w:noHBand="0" w:noVBand="1"/>
      </w:tblPr>
      <w:tblGrid>
        <w:gridCol w:w="2122"/>
        <w:gridCol w:w="1142"/>
        <w:gridCol w:w="1143"/>
        <w:gridCol w:w="1142"/>
        <w:gridCol w:w="1143"/>
        <w:gridCol w:w="1142"/>
        <w:gridCol w:w="1143"/>
      </w:tblGrid>
      <w:tr w:rsidR="00CD7D4F" w:rsidRPr="00341242" w14:paraId="272B2198" w14:textId="77777777" w:rsidTr="00640727">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3079003C" w14:textId="77777777" w:rsidR="007C7F66" w:rsidRPr="009B538E" w:rsidRDefault="0004422A" w:rsidP="00BF7D3C">
            <w:pPr>
              <w:rPr>
                <w:rFonts w:asciiTheme="majorHAnsi" w:hAnsiTheme="majorHAnsi"/>
              </w:rPr>
            </w:pPr>
            <w:r w:rsidRPr="009B538E">
              <w:rPr>
                <w:rFonts w:asciiTheme="majorHAnsi" w:hAnsiTheme="majorHAnsi"/>
              </w:rPr>
              <w:t>Bruto investicije v opredmetena osnovna sredstva</w:t>
            </w:r>
          </w:p>
        </w:tc>
        <w:tc>
          <w:tcPr>
            <w:tcW w:w="1142" w:type="dxa"/>
            <w:vAlign w:val="center"/>
          </w:tcPr>
          <w:p w14:paraId="2D0AC222" w14:textId="77777777" w:rsidR="007C7F66" w:rsidRPr="009B538E" w:rsidRDefault="00341242" w:rsidP="00692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D4C45">
              <w:t>Investicije</w:t>
            </w:r>
          </w:p>
          <w:p w14:paraId="10C65F02" w14:textId="77777777" w:rsidR="007C7F66" w:rsidRPr="009B538E" w:rsidRDefault="007C7F66" w:rsidP="00692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FD4C45">
              <w:t>2018,</w:t>
            </w:r>
          </w:p>
          <w:p w14:paraId="25377C3C" w14:textId="77777777" w:rsidR="007C7F66" w:rsidRPr="009B538E" w:rsidRDefault="007C7F66" w:rsidP="00692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FD4C45">
              <w:t>mio EUR</w:t>
            </w:r>
          </w:p>
        </w:tc>
        <w:tc>
          <w:tcPr>
            <w:tcW w:w="1143" w:type="dxa"/>
            <w:vAlign w:val="center"/>
          </w:tcPr>
          <w:p w14:paraId="5CA5DF97" w14:textId="77777777" w:rsidR="007C7F66" w:rsidRPr="009B538E" w:rsidRDefault="007C7F66" w:rsidP="00692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FD4C45">
              <w:t xml:space="preserve">Ø </w:t>
            </w:r>
            <w:r w:rsidR="00341242" w:rsidRPr="00FD4C45">
              <w:t>Investicije</w:t>
            </w:r>
            <w:r w:rsidRPr="00FD4C45">
              <w:t xml:space="preserve"> 2008-2018,</w:t>
            </w:r>
          </w:p>
          <w:p w14:paraId="627F7CDE" w14:textId="77777777" w:rsidR="007C7F66" w:rsidRPr="009B538E" w:rsidRDefault="007C7F66" w:rsidP="00692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FD4C45">
              <w:t>mio EUR</w:t>
            </w:r>
          </w:p>
        </w:tc>
        <w:tc>
          <w:tcPr>
            <w:tcW w:w="1142" w:type="dxa"/>
            <w:vAlign w:val="center"/>
          </w:tcPr>
          <w:p w14:paraId="4FE648C2" w14:textId="77777777" w:rsidR="007C7F66" w:rsidRPr="009B538E" w:rsidRDefault="007C7F66" w:rsidP="00692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FD4C45">
              <w:t>Sprem. v %</w:t>
            </w:r>
          </w:p>
          <w:p w14:paraId="50821AD5" w14:textId="77777777" w:rsidR="007C7F66" w:rsidRPr="009B538E" w:rsidRDefault="007C7F66" w:rsidP="00692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FD4C45">
              <w:t>2018/2008</w:t>
            </w:r>
          </w:p>
        </w:tc>
        <w:tc>
          <w:tcPr>
            <w:tcW w:w="1143" w:type="dxa"/>
            <w:vAlign w:val="center"/>
          </w:tcPr>
          <w:p w14:paraId="2A4C4DD9" w14:textId="77777777" w:rsidR="007C7F66" w:rsidRPr="009B538E" w:rsidRDefault="007C7F66" w:rsidP="00692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D4C45">
              <w:t>Sprem.</w:t>
            </w:r>
          </w:p>
          <w:p w14:paraId="4C5349F5" w14:textId="77777777" w:rsidR="007C7F66" w:rsidRPr="009B538E" w:rsidRDefault="007C7F66" w:rsidP="00692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FD4C45">
              <w:t>v %/ leto</w:t>
            </w:r>
          </w:p>
          <w:p w14:paraId="32492AD3" w14:textId="77777777" w:rsidR="007C7F66" w:rsidRPr="009B538E" w:rsidRDefault="007C7F66" w:rsidP="00692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FD4C45">
              <w:t>2014-2018</w:t>
            </w:r>
          </w:p>
        </w:tc>
        <w:tc>
          <w:tcPr>
            <w:tcW w:w="1142" w:type="dxa"/>
            <w:vAlign w:val="center"/>
          </w:tcPr>
          <w:p w14:paraId="3BFCACEE" w14:textId="77777777" w:rsidR="007C7F66" w:rsidRPr="009B538E" w:rsidRDefault="00341242" w:rsidP="00692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D4C45">
              <w:t>Investicije v prodaji, v %</w:t>
            </w:r>
            <w:r w:rsidR="007C7F66" w:rsidRPr="00FD4C45">
              <w:t xml:space="preserve"> 2018</w:t>
            </w:r>
          </w:p>
        </w:tc>
        <w:tc>
          <w:tcPr>
            <w:tcW w:w="1143" w:type="dxa"/>
            <w:vAlign w:val="center"/>
          </w:tcPr>
          <w:p w14:paraId="6782FCDA" w14:textId="77777777" w:rsidR="007C7F66" w:rsidRPr="009B538E" w:rsidRDefault="00640727" w:rsidP="00692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FD4C45">
              <w:t>CAGR</w:t>
            </w:r>
            <w:r w:rsidRPr="00FD4C45">
              <w:rPr>
                <w:rStyle w:val="Sprotnaopomba-sklic"/>
              </w:rPr>
              <w:footnoteReference w:id="48"/>
            </w:r>
            <w:r w:rsidRPr="00FD4C45">
              <w:t xml:space="preserve"> v obdobju 2014-2018</w:t>
            </w:r>
          </w:p>
        </w:tc>
      </w:tr>
      <w:tr w:rsidR="00CD7D4F" w:rsidRPr="00341242" w14:paraId="78744BC5"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noWrap/>
            <w:vAlign w:val="bottom"/>
            <w:hideMark/>
          </w:tcPr>
          <w:p w14:paraId="3CB49B5C" w14:textId="77777777" w:rsidR="004D19BE" w:rsidRPr="009B538E" w:rsidRDefault="004D19BE" w:rsidP="004D19BE">
            <w:pPr>
              <w:rPr>
                <w:rFonts w:asciiTheme="minorHAnsi" w:hAnsiTheme="minorHAnsi"/>
                <w:b w:val="0"/>
                <w:color w:val="000000"/>
              </w:rPr>
            </w:pPr>
            <w:r w:rsidRPr="009B538E">
              <w:rPr>
                <w:rFonts w:ascii="Trebuchet MS" w:hAnsi="Trebuchet MS"/>
                <w:color w:val="000000"/>
              </w:rPr>
              <w:t xml:space="preserve">PREDEL. DEJ. </w:t>
            </w:r>
            <w:r w:rsidR="00D657A7" w:rsidRPr="009B538E">
              <w:rPr>
                <w:rFonts w:ascii="Trebuchet MS" w:hAnsi="Trebuchet MS"/>
                <w:color w:val="000000"/>
              </w:rPr>
              <w:t>S</w:t>
            </w:r>
            <w:r w:rsidRPr="009B538E">
              <w:rPr>
                <w:rFonts w:ascii="Trebuchet MS" w:hAnsi="Trebuchet MS"/>
                <w:color w:val="000000"/>
              </w:rPr>
              <w:t>KUPAJ</w:t>
            </w:r>
          </w:p>
        </w:tc>
        <w:tc>
          <w:tcPr>
            <w:tcW w:w="1142" w:type="dxa"/>
            <w:vAlign w:val="bottom"/>
          </w:tcPr>
          <w:p w14:paraId="77B8FBC6"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9B538E">
              <w:rPr>
                <w:rFonts w:asciiTheme="majorHAnsi" w:hAnsiTheme="majorHAnsi"/>
                <w:b/>
              </w:rPr>
              <w:t>1.975</w:t>
            </w:r>
          </w:p>
        </w:tc>
        <w:tc>
          <w:tcPr>
            <w:tcW w:w="1143" w:type="dxa"/>
            <w:vAlign w:val="bottom"/>
          </w:tcPr>
          <w:p w14:paraId="0E9FD597"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9B538E">
              <w:rPr>
                <w:rFonts w:asciiTheme="majorHAnsi" w:hAnsiTheme="majorHAnsi"/>
                <w:b/>
              </w:rPr>
              <w:t>244</w:t>
            </w:r>
          </w:p>
        </w:tc>
        <w:tc>
          <w:tcPr>
            <w:tcW w:w="1142" w:type="dxa"/>
            <w:vAlign w:val="center"/>
          </w:tcPr>
          <w:p w14:paraId="24D1C2AC"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9B538E">
              <w:rPr>
                <w:rFonts w:asciiTheme="majorHAnsi" w:hAnsiTheme="majorHAnsi"/>
                <w:b/>
              </w:rPr>
              <w:t>14,1%</w:t>
            </w:r>
          </w:p>
        </w:tc>
        <w:tc>
          <w:tcPr>
            <w:tcW w:w="1143" w:type="dxa"/>
            <w:vAlign w:val="center"/>
          </w:tcPr>
          <w:p w14:paraId="1E25F888"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9B538E">
              <w:rPr>
                <w:rFonts w:asciiTheme="majorHAnsi" w:hAnsiTheme="majorHAnsi"/>
                <w:b/>
              </w:rPr>
              <w:t>10,6%</w:t>
            </w:r>
          </w:p>
        </w:tc>
        <w:tc>
          <w:tcPr>
            <w:tcW w:w="1142" w:type="dxa"/>
            <w:vAlign w:val="bottom"/>
          </w:tcPr>
          <w:p w14:paraId="31BC4E27"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9B538E">
              <w:rPr>
                <w:rFonts w:asciiTheme="majorHAnsi" w:hAnsiTheme="majorHAnsi"/>
                <w:b/>
              </w:rPr>
              <w:t>6,3%</w:t>
            </w:r>
          </w:p>
        </w:tc>
        <w:tc>
          <w:tcPr>
            <w:tcW w:w="1143" w:type="dxa"/>
            <w:vAlign w:val="center"/>
          </w:tcPr>
          <w:p w14:paraId="200EF25B"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9B538E">
              <w:rPr>
                <w:rFonts w:asciiTheme="majorHAnsi" w:hAnsiTheme="majorHAnsi"/>
                <w:b/>
              </w:rPr>
              <w:t>5,5%</w:t>
            </w:r>
          </w:p>
        </w:tc>
      </w:tr>
      <w:tr w:rsidR="004D19BE" w:rsidRPr="00341242" w14:paraId="12AA9843" w14:textId="77777777" w:rsidTr="00640727">
        <w:tc>
          <w:tcPr>
            <w:cnfStyle w:val="001000000000" w:firstRow="0" w:lastRow="0" w:firstColumn="1" w:lastColumn="0" w:oddVBand="0" w:evenVBand="0" w:oddHBand="0" w:evenHBand="0" w:firstRowFirstColumn="0" w:firstRowLastColumn="0" w:lastRowFirstColumn="0" w:lastRowLastColumn="0"/>
            <w:tcW w:w="2122" w:type="dxa"/>
            <w:noWrap/>
            <w:vAlign w:val="center"/>
            <w:hideMark/>
          </w:tcPr>
          <w:p w14:paraId="208BC60B" w14:textId="77777777" w:rsidR="004D19BE" w:rsidRPr="009B538E" w:rsidRDefault="004D19BE" w:rsidP="004D19BE">
            <w:pPr>
              <w:rPr>
                <w:rFonts w:asciiTheme="minorHAnsi" w:hAnsiTheme="minorHAnsi"/>
                <w:color w:val="000000"/>
              </w:rPr>
            </w:pPr>
            <w:r w:rsidRPr="00FD4C45">
              <w:rPr>
                <w:rFonts w:ascii="Trebuchet MS" w:hAnsi="Trebuchet MS"/>
                <w:color w:val="000000"/>
              </w:rPr>
              <w:t>Prehrambna</w:t>
            </w:r>
          </w:p>
        </w:tc>
        <w:tc>
          <w:tcPr>
            <w:tcW w:w="1142" w:type="dxa"/>
            <w:noWrap/>
            <w:vAlign w:val="bottom"/>
          </w:tcPr>
          <w:p w14:paraId="2D39690B"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118</w:t>
            </w:r>
          </w:p>
        </w:tc>
        <w:tc>
          <w:tcPr>
            <w:tcW w:w="1143" w:type="dxa"/>
            <w:noWrap/>
            <w:vAlign w:val="bottom"/>
          </w:tcPr>
          <w:p w14:paraId="0E7F84B2"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-13</w:t>
            </w:r>
          </w:p>
        </w:tc>
        <w:tc>
          <w:tcPr>
            <w:tcW w:w="1142" w:type="dxa"/>
            <w:vAlign w:val="center"/>
          </w:tcPr>
          <w:p w14:paraId="4D124EE5"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-9,8%</w:t>
            </w:r>
          </w:p>
        </w:tc>
        <w:tc>
          <w:tcPr>
            <w:tcW w:w="1143" w:type="dxa"/>
            <w:vAlign w:val="center"/>
          </w:tcPr>
          <w:p w14:paraId="526983CD"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17,7%</w:t>
            </w:r>
          </w:p>
        </w:tc>
        <w:tc>
          <w:tcPr>
            <w:tcW w:w="1142" w:type="dxa"/>
            <w:noWrap/>
            <w:vAlign w:val="bottom"/>
          </w:tcPr>
          <w:p w14:paraId="34F23CCB"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4,9%</w:t>
            </w:r>
          </w:p>
        </w:tc>
        <w:tc>
          <w:tcPr>
            <w:tcW w:w="1143" w:type="dxa"/>
            <w:noWrap/>
            <w:vAlign w:val="center"/>
          </w:tcPr>
          <w:p w14:paraId="4C13121C"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4,0%</w:t>
            </w:r>
          </w:p>
        </w:tc>
      </w:tr>
      <w:tr w:rsidR="00CD7D4F" w:rsidRPr="00341242" w14:paraId="78D3923E"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noWrap/>
            <w:vAlign w:val="center"/>
            <w:hideMark/>
          </w:tcPr>
          <w:p w14:paraId="359FFEE2" w14:textId="77777777" w:rsidR="004D19BE" w:rsidRPr="009B538E" w:rsidRDefault="004D19BE" w:rsidP="004D19BE">
            <w:pPr>
              <w:rPr>
                <w:rFonts w:asciiTheme="minorHAnsi" w:hAnsiTheme="minorHAnsi"/>
                <w:color w:val="000000"/>
              </w:rPr>
            </w:pPr>
            <w:r w:rsidRPr="00FD4C45">
              <w:rPr>
                <w:rFonts w:ascii="Trebuchet MS" w:hAnsi="Trebuchet MS"/>
                <w:color w:val="000000"/>
              </w:rPr>
              <w:t>Tekstilna</w:t>
            </w:r>
          </w:p>
        </w:tc>
        <w:tc>
          <w:tcPr>
            <w:tcW w:w="1142" w:type="dxa"/>
            <w:noWrap/>
            <w:vAlign w:val="bottom"/>
          </w:tcPr>
          <w:p w14:paraId="5601F4F3"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38</w:t>
            </w:r>
          </w:p>
        </w:tc>
        <w:tc>
          <w:tcPr>
            <w:tcW w:w="1143" w:type="dxa"/>
            <w:noWrap/>
            <w:vAlign w:val="bottom"/>
          </w:tcPr>
          <w:p w14:paraId="241EE7BE"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-7</w:t>
            </w:r>
          </w:p>
        </w:tc>
        <w:tc>
          <w:tcPr>
            <w:tcW w:w="1142" w:type="dxa"/>
            <w:vAlign w:val="center"/>
          </w:tcPr>
          <w:p w14:paraId="50AD3937"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-14,8%</w:t>
            </w:r>
          </w:p>
        </w:tc>
        <w:tc>
          <w:tcPr>
            <w:tcW w:w="1143" w:type="dxa"/>
            <w:vAlign w:val="center"/>
          </w:tcPr>
          <w:p w14:paraId="2078E0FA"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22,2%</w:t>
            </w:r>
          </w:p>
        </w:tc>
        <w:tc>
          <w:tcPr>
            <w:tcW w:w="1142" w:type="dxa"/>
            <w:noWrap/>
            <w:vAlign w:val="bottom"/>
          </w:tcPr>
          <w:p w14:paraId="585BA32C"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4,3%</w:t>
            </w:r>
          </w:p>
        </w:tc>
        <w:tc>
          <w:tcPr>
            <w:tcW w:w="1143" w:type="dxa"/>
            <w:noWrap/>
            <w:vAlign w:val="center"/>
          </w:tcPr>
          <w:p w14:paraId="4E8FAC58"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4,2%</w:t>
            </w:r>
          </w:p>
        </w:tc>
      </w:tr>
      <w:tr w:rsidR="004D19BE" w:rsidRPr="00341242" w14:paraId="462C960C" w14:textId="77777777" w:rsidTr="00640727">
        <w:tc>
          <w:tcPr>
            <w:cnfStyle w:val="001000000000" w:firstRow="0" w:lastRow="0" w:firstColumn="1" w:lastColumn="0" w:oddVBand="0" w:evenVBand="0" w:oddHBand="0" w:evenHBand="0" w:firstRowFirstColumn="0" w:firstRowLastColumn="0" w:lastRowFirstColumn="0" w:lastRowLastColumn="0"/>
            <w:tcW w:w="2122" w:type="dxa"/>
            <w:noWrap/>
            <w:vAlign w:val="center"/>
            <w:hideMark/>
          </w:tcPr>
          <w:p w14:paraId="679E5267" w14:textId="77777777" w:rsidR="004D19BE" w:rsidRPr="009B538E" w:rsidRDefault="004D19BE" w:rsidP="004D19BE">
            <w:pPr>
              <w:rPr>
                <w:rFonts w:asciiTheme="minorHAnsi" w:hAnsiTheme="minorHAnsi"/>
                <w:color w:val="000000"/>
              </w:rPr>
            </w:pPr>
            <w:r w:rsidRPr="00FD4C45">
              <w:rPr>
                <w:rFonts w:ascii="Trebuchet MS" w:hAnsi="Trebuchet MS"/>
                <w:color w:val="000000"/>
              </w:rPr>
              <w:t>Lesna</w:t>
            </w:r>
          </w:p>
        </w:tc>
        <w:tc>
          <w:tcPr>
            <w:tcW w:w="1142" w:type="dxa"/>
            <w:noWrap/>
            <w:vAlign w:val="bottom"/>
          </w:tcPr>
          <w:p w14:paraId="3FCC1940"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134</w:t>
            </w:r>
          </w:p>
        </w:tc>
        <w:tc>
          <w:tcPr>
            <w:tcW w:w="1143" w:type="dxa"/>
            <w:noWrap/>
            <w:vAlign w:val="bottom"/>
          </w:tcPr>
          <w:p w14:paraId="13F1924E"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25</w:t>
            </w:r>
          </w:p>
        </w:tc>
        <w:tc>
          <w:tcPr>
            <w:tcW w:w="1142" w:type="dxa"/>
            <w:vAlign w:val="center"/>
          </w:tcPr>
          <w:p w14:paraId="35867CF3"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22,8%</w:t>
            </w:r>
          </w:p>
        </w:tc>
        <w:tc>
          <w:tcPr>
            <w:tcW w:w="1143" w:type="dxa"/>
            <w:vAlign w:val="center"/>
          </w:tcPr>
          <w:p w14:paraId="03743C1D"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24,1%</w:t>
            </w:r>
          </w:p>
        </w:tc>
        <w:tc>
          <w:tcPr>
            <w:tcW w:w="1142" w:type="dxa"/>
            <w:noWrap/>
            <w:vAlign w:val="bottom"/>
          </w:tcPr>
          <w:p w14:paraId="1D32E31A"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9,5%</w:t>
            </w:r>
          </w:p>
        </w:tc>
        <w:tc>
          <w:tcPr>
            <w:tcW w:w="1143" w:type="dxa"/>
            <w:noWrap/>
            <w:vAlign w:val="center"/>
          </w:tcPr>
          <w:p w14:paraId="443F299F"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6,1%</w:t>
            </w:r>
          </w:p>
        </w:tc>
      </w:tr>
      <w:tr w:rsidR="00CD7D4F" w:rsidRPr="00341242" w14:paraId="2A0031FA"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noWrap/>
            <w:vAlign w:val="center"/>
            <w:hideMark/>
          </w:tcPr>
          <w:p w14:paraId="378529AB" w14:textId="77777777" w:rsidR="004D19BE" w:rsidRPr="009B538E" w:rsidRDefault="004D19BE" w:rsidP="004D19BE">
            <w:pPr>
              <w:rPr>
                <w:rFonts w:asciiTheme="minorHAnsi" w:hAnsiTheme="minorHAnsi"/>
                <w:color w:val="000000"/>
              </w:rPr>
            </w:pPr>
            <w:r w:rsidRPr="00FD4C45">
              <w:rPr>
                <w:rFonts w:ascii="Trebuchet MS" w:hAnsi="Trebuchet MS"/>
                <w:color w:val="000000"/>
              </w:rPr>
              <w:t>Papirna</w:t>
            </w:r>
          </w:p>
        </w:tc>
        <w:tc>
          <w:tcPr>
            <w:tcW w:w="1142" w:type="dxa"/>
            <w:noWrap/>
            <w:vAlign w:val="bottom"/>
          </w:tcPr>
          <w:p w14:paraId="0A9C60C3"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60</w:t>
            </w:r>
          </w:p>
        </w:tc>
        <w:tc>
          <w:tcPr>
            <w:tcW w:w="1143" w:type="dxa"/>
            <w:noWrap/>
            <w:vAlign w:val="bottom"/>
          </w:tcPr>
          <w:p w14:paraId="2C38D1F0"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-58</w:t>
            </w:r>
          </w:p>
        </w:tc>
        <w:tc>
          <w:tcPr>
            <w:tcW w:w="1142" w:type="dxa"/>
            <w:vAlign w:val="center"/>
          </w:tcPr>
          <w:p w14:paraId="1ADAA767"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-49,1%</w:t>
            </w:r>
          </w:p>
        </w:tc>
        <w:tc>
          <w:tcPr>
            <w:tcW w:w="1143" w:type="dxa"/>
            <w:vAlign w:val="center"/>
          </w:tcPr>
          <w:p w14:paraId="5154CB45"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6,2%</w:t>
            </w:r>
          </w:p>
        </w:tc>
        <w:tc>
          <w:tcPr>
            <w:tcW w:w="1142" w:type="dxa"/>
            <w:noWrap/>
            <w:vAlign w:val="bottom"/>
          </w:tcPr>
          <w:p w14:paraId="3D070064"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4,7%</w:t>
            </w:r>
          </w:p>
        </w:tc>
        <w:tc>
          <w:tcPr>
            <w:tcW w:w="1143" w:type="dxa"/>
            <w:noWrap/>
            <w:vAlign w:val="center"/>
          </w:tcPr>
          <w:p w14:paraId="50A6CC80"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4,5%</w:t>
            </w:r>
          </w:p>
        </w:tc>
      </w:tr>
      <w:tr w:rsidR="004D19BE" w:rsidRPr="00341242" w14:paraId="74156657" w14:textId="77777777" w:rsidTr="00640727">
        <w:tc>
          <w:tcPr>
            <w:cnfStyle w:val="001000000000" w:firstRow="0" w:lastRow="0" w:firstColumn="1" w:lastColumn="0" w:oddVBand="0" w:evenVBand="0" w:oddHBand="0" w:evenHBand="0" w:firstRowFirstColumn="0" w:firstRowLastColumn="0" w:lastRowFirstColumn="0" w:lastRowLastColumn="0"/>
            <w:tcW w:w="2122" w:type="dxa"/>
            <w:noWrap/>
            <w:vAlign w:val="center"/>
            <w:hideMark/>
          </w:tcPr>
          <w:p w14:paraId="648A17BD" w14:textId="77777777" w:rsidR="004D19BE" w:rsidRPr="009B538E" w:rsidRDefault="004D19BE" w:rsidP="004D19BE">
            <w:pPr>
              <w:rPr>
                <w:rFonts w:asciiTheme="minorHAnsi" w:hAnsiTheme="minorHAnsi"/>
                <w:color w:val="000000"/>
              </w:rPr>
            </w:pPr>
            <w:r w:rsidRPr="00FD4C45">
              <w:rPr>
                <w:rFonts w:ascii="Trebuchet MS" w:hAnsi="Trebuchet MS"/>
                <w:color w:val="000000"/>
              </w:rPr>
              <w:t>Kemična</w:t>
            </w:r>
          </w:p>
        </w:tc>
        <w:tc>
          <w:tcPr>
            <w:tcW w:w="1142" w:type="dxa"/>
            <w:noWrap/>
            <w:vAlign w:val="bottom"/>
          </w:tcPr>
          <w:p w14:paraId="20BD9849"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437</w:t>
            </w:r>
          </w:p>
        </w:tc>
        <w:tc>
          <w:tcPr>
            <w:tcW w:w="1143" w:type="dxa"/>
            <w:noWrap/>
            <w:vAlign w:val="bottom"/>
          </w:tcPr>
          <w:p w14:paraId="2487EE34"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10</w:t>
            </w:r>
          </w:p>
        </w:tc>
        <w:tc>
          <w:tcPr>
            <w:tcW w:w="1142" w:type="dxa"/>
            <w:vAlign w:val="center"/>
          </w:tcPr>
          <w:p w14:paraId="0DCA17E3"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2,3%</w:t>
            </w:r>
          </w:p>
        </w:tc>
        <w:tc>
          <w:tcPr>
            <w:tcW w:w="1143" w:type="dxa"/>
            <w:vAlign w:val="center"/>
          </w:tcPr>
          <w:p w14:paraId="1D030E86"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6,9%</w:t>
            </w:r>
          </w:p>
        </w:tc>
        <w:tc>
          <w:tcPr>
            <w:tcW w:w="1142" w:type="dxa"/>
            <w:noWrap/>
            <w:vAlign w:val="bottom"/>
          </w:tcPr>
          <w:p w14:paraId="1950E0DB"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7,3%</w:t>
            </w:r>
          </w:p>
        </w:tc>
        <w:tc>
          <w:tcPr>
            <w:tcW w:w="1143" w:type="dxa"/>
            <w:noWrap/>
            <w:vAlign w:val="center"/>
          </w:tcPr>
          <w:p w14:paraId="4ECEF18C"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6,7%</w:t>
            </w:r>
          </w:p>
        </w:tc>
      </w:tr>
      <w:tr w:rsidR="00CD7D4F" w:rsidRPr="00341242" w14:paraId="3B539243"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noWrap/>
            <w:vAlign w:val="center"/>
            <w:hideMark/>
          </w:tcPr>
          <w:p w14:paraId="740419AE" w14:textId="77777777" w:rsidR="004D19BE" w:rsidRPr="009B538E" w:rsidRDefault="004D19BE" w:rsidP="004D19BE">
            <w:pPr>
              <w:rPr>
                <w:rFonts w:asciiTheme="minorHAnsi" w:hAnsiTheme="minorHAnsi"/>
                <w:color w:val="000000"/>
              </w:rPr>
            </w:pPr>
            <w:r w:rsidRPr="00FD4C45">
              <w:rPr>
                <w:rFonts w:ascii="Trebuchet MS" w:hAnsi="Trebuchet MS"/>
                <w:color w:val="000000"/>
              </w:rPr>
              <w:t>Nekovinska</w:t>
            </w:r>
          </w:p>
        </w:tc>
        <w:tc>
          <w:tcPr>
            <w:tcW w:w="1142" w:type="dxa"/>
            <w:noWrap/>
            <w:vAlign w:val="bottom"/>
          </w:tcPr>
          <w:p w14:paraId="5C5A0EA3"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68</w:t>
            </w:r>
          </w:p>
        </w:tc>
        <w:tc>
          <w:tcPr>
            <w:tcW w:w="1143" w:type="dxa"/>
            <w:noWrap/>
            <w:vAlign w:val="bottom"/>
          </w:tcPr>
          <w:p w14:paraId="05F068BF"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-41</w:t>
            </w:r>
          </w:p>
        </w:tc>
        <w:tc>
          <w:tcPr>
            <w:tcW w:w="1142" w:type="dxa"/>
            <w:vAlign w:val="center"/>
          </w:tcPr>
          <w:p w14:paraId="72EF1F95"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-37,7%</w:t>
            </w:r>
          </w:p>
        </w:tc>
        <w:tc>
          <w:tcPr>
            <w:tcW w:w="1143" w:type="dxa"/>
            <w:vAlign w:val="center"/>
          </w:tcPr>
          <w:p w14:paraId="5A9B79CF"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11,2%</w:t>
            </w:r>
          </w:p>
        </w:tc>
        <w:tc>
          <w:tcPr>
            <w:tcW w:w="1142" w:type="dxa"/>
            <w:noWrap/>
            <w:vAlign w:val="bottom"/>
          </w:tcPr>
          <w:p w14:paraId="199CDC95"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6,7%</w:t>
            </w:r>
          </w:p>
        </w:tc>
        <w:tc>
          <w:tcPr>
            <w:tcW w:w="1143" w:type="dxa"/>
            <w:noWrap/>
            <w:vAlign w:val="center"/>
          </w:tcPr>
          <w:p w14:paraId="31C70690"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6,2%</w:t>
            </w:r>
          </w:p>
        </w:tc>
      </w:tr>
      <w:tr w:rsidR="004D19BE" w:rsidRPr="00341242" w14:paraId="3C0963A4" w14:textId="77777777" w:rsidTr="00640727">
        <w:tc>
          <w:tcPr>
            <w:cnfStyle w:val="001000000000" w:firstRow="0" w:lastRow="0" w:firstColumn="1" w:lastColumn="0" w:oddVBand="0" w:evenVBand="0" w:oddHBand="0" w:evenHBand="0" w:firstRowFirstColumn="0" w:firstRowLastColumn="0" w:lastRowFirstColumn="0" w:lastRowLastColumn="0"/>
            <w:tcW w:w="2122" w:type="dxa"/>
            <w:noWrap/>
            <w:vAlign w:val="center"/>
            <w:hideMark/>
          </w:tcPr>
          <w:p w14:paraId="101EE6EA" w14:textId="77777777" w:rsidR="004D19BE" w:rsidRPr="009B538E" w:rsidRDefault="004D19BE" w:rsidP="004D19BE">
            <w:pPr>
              <w:rPr>
                <w:rFonts w:asciiTheme="minorHAnsi" w:hAnsiTheme="minorHAnsi"/>
                <w:color w:val="000000"/>
              </w:rPr>
            </w:pPr>
            <w:r w:rsidRPr="00FD4C45">
              <w:rPr>
                <w:rFonts w:ascii="Trebuchet MS" w:hAnsi="Trebuchet MS"/>
                <w:color w:val="000000"/>
              </w:rPr>
              <w:t>Kovinska</w:t>
            </w:r>
          </w:p>
        </w:tc>
        <w:tc>
          <w:tcPr>
            <w:tcW w:w="1142" w:type="dxa"/>
            <w:noWrap/>
            <w:vAlign w:val="bottom"/>
          </w:tcPr>
          <w:p w14:paraId="0C8D58EE"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424</w:t>
            </w:r>
          </w:p>
        </w:tc>
        <w:tc>
          <w:tcPr>
            <w:tcW w:w="1143" w:type="dxa"/>
            <w:noWrap/>
            <w:vAlign w:val="bottom"/>
          </w:tcPr>
          <w:p w14:paraId="25996599"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77</w:t>
            </w:r>
          </w:p>
        </w:tc>
        <w:tc>
          <w:tcPr>
            <w:tcW w:w="1142" w:type="dxa"/>
            <w:vAlign w:val="center"/>
          </w:tcPr>
          <w:p w14:paraId="08DB6ED5"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22,3%</w:t>
            </w:r>
          </w:p>
        </w:tc>
        <w:tc>
          <w:tcPr>
            <w:tcW w:w="1143" w:type="dxa"/>
            <w:vAlign w:val="center"/>
          </w:tcPr>
          <w:p w14:paraId="6537A975"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16,0%</w:t>
            </w:r>
          </w:p>
        </w:tc>
        <w:tc>
          <w:tcPr>
            <w:tcW w:w="1142" w:type="dxa"/>
            <w:noWrap/>
            <w:vAlign w:val="bottom"/>
          </w:tcPr>
          <w:p w14:paraId="236CE3AB"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6,6%</w:t>
            </w:r>
          </w:p>
        </w:tc>
        <w:tc>
          <w:tcPr>
            <w:tcW w:w="1143" w:type="dxa"/>
            <w:noWrap/>
            <w:vAlign w:val="center"/>
          </w:tcPr>
          <w:p w14:paraId="2366DBC2"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6,1%</w:t>
            </w:r>
          </w:p>
        </w:tc>
      </w:tr>
      <w:tr w:rsidR="00CD7D4F" w:rsidRPr="00341242" w14:paraId="281AB5FB"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noWrap/>
            <w:vAlign w:val="center"/>
            <w:hideMark/>
          </w:tcPr>
          <w:p w14:paraId="4F404CF7" w14:textId="77777777" w:rsidR="004D19BE" w:rsidRPr="009B538E" w:rsidRDefault="004D19BE" w:rsidP="004D19BE">
            <w:pPr>
              <w:rPr>
                <w:rFonts w:asciiTheme="minorHAnsi" w:hAnsiTheme="minorHAnsi"/>
                <w:color w:val="000000"/>
              </w:rPr>
            </w:pPr>
            <w:r w:rsidRPr="00FD4C45">
              <w:rPr>
                <w:rFonts w:ascii="Trebuchet MS" w:hAnsi="Trebuchet MS"/>
                <w:color w:val="000000"/>
              </w:rPr>
              <w:t>Elektro</w:t>
            </w:r>
          </w:p>
        </w:tc>
        <w:tc>
          <w:tcPr>
            <w:tcW w:w="1142" w:type="dxa"/>
            <w:noWrap/>
            <w:vAlign w:val="bottom"/>
          </w:tcPr>
          <w:p w14:paraId="70D57705"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204</w:t>
            </w:r>
          </w:p>
        </w:tc>
        <w:tc>
          <w:tcPr>
            <w:tcW w:w="1143" w:type="dxa"/>
            <w:noWrap/>
            <w:vAlign w:val="bottom"/>
          </w:tcPr>
          <w:p w14:paraId="4843EC1C"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49</w:t>
            </w:r>
          </w:p>
        </w:tc>
        <w:tc>
          <w:tcPr>
            <w:tcW w:w="1142" w:type="dxa"/>
            <w:vAlign w:val="center"/>
          </w:tcPr>
          <w:p w14:paraId="70C5BA39"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32,1%</w:t>
            </w:r>
          </w:p>
        </w:tc>
        <w:tc>
          <w:tcPr>
            <w:tcW w:w="1143" w:type="dxa"/>
            <w:vAlign w:val="center"/>
          </w:tcPr>
          <w:p w14:paraId="6C86048E"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1,9%</w:t>
            </w:r>
          </w:p>
        </w:tc>
        <w:tc>
          <w:tcPr>
            <w:tcW w:w="1142" w:type="dxa"/>
            <w:noWrap/>
            <w:vAlign w:val="bottom"/>
          </w:tcPr>
          <w:p w14:paraId="6C69B27F"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4,6%</w:t>
            </w:r>
          </w:p>
        </w:tc>
        <w:tc>
          <w:tcPr>
            <w:tcW w:w="1143" w:type="dxa"/>
            <w:noWrap/>
            <w:vAlign w:val="center"/>
          </w:tcPr>
          <w:p w14:paraId="2DF1962B"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4,9%</w:t>
            </w:r>
          </w:p>
        </w:tc>
      </w:tr>
      <w:tr w:rsidR="004D19BE" w:rsidRPr="00341242" w14:paraId="568BA433" w14:textId="77777777" w:rsidTr="00640727">
        <w:tc>
          <w:tcPr>
            <w:cnfStyle w:val="001000000000" w:firstRow="0" w:lastRow="0" w:firstColumn="1" w:lastColumn="0" w:oddVBand="0" w:evenVBand="0" w:oddHBand="0" w:evenHBand="0" w:firstRowFirstColumn="0" w:firstRowLastColumn="0" w:lastRowFirstColumn="0" w:lastRowLastColumn="0"/>
            <w:tcW w:w="2122" w:type="dxa"/>
            <w:noWrap/>
            <w:vAlign w:val="center"/>
            <w:hideMark/>
          </w:tcPr>
          <w:p w14:paraId="23C4272A" w14:textId="77777777" w:rsidR="004D19BE" w:rsidRPr="009B538E" w:rsidRDefault="004D19BE" w:rsidP="004D19BE">
            <w:pPr>
              <w:rPr>
                <w:rFonts w:asciiTheme="minorHAnsi" w:hAnsiTheme="minorHAnsi"/>
                <w:color w:val="000000"/>
              </w:rPr>
            </w:pPr>
            <w:r w:rsidRPr="00FD4C45">
              <w:rPr>
                <w:rFonts w:ascii="Trebuchet MS" w:hAnsi="Trebuchet MS"/>
                <w:color w:val="000000"/>
              </w:rPr>
              <w:t>Strojna</w:t>
            </w:r>
          </w:p>
        </w:tc>
        <w:tc>
          <w:tcPr>
            <w:tcW w:w="1142" w:type="dxa"/>
            <w:noWrap/>
            <w:vAlign w:val="bottom"/>
          </w:tcPr>
          <w:p w14:paraId="371F4CF3"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469</w:t>
            </w:r>
          </w:p>
        </w:tc>
        <w:tc>
          <w:tcPr>
            <w:tcW w:w="1143" w:type="dxa"/>
            <w:noWrap/>
            <w:vAlign w:val="bottom"/>
          </w:tcPr>
          <w:p w14:paraId="46D7E62F"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194</w:t>
            </w:r>
          </w:p>
        </w:tc>
        <w:tc>
          <w:tcPr>
            <w:tcW w:w="1142" w:type="dxa"/>
            <w:vAlign w:val="center"/>
          </w:tcPr>
          <w:p w14:paraId="63A68618"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70,4%</w:t>
            </w:r>
          </w:p>
        </w:tc>
        <w:tc>
          <w:tcPr>
            <w:tcW w:w="1143" w:type="dxa"/>
            <w:vAlign w:val="center"/>
          </w:tcPr>
          <w:p w14:paraId="06732B93"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10,4%</w:t>
            </w:r>
          </w:p>
        </w:tc>
        <w:tc>
          <w:tcPr>
            <w:tcW w:w="1142" w:type="dxa"/>
            <w:noWrap/>
            <w:vAlign w:val="bottom"/>
          </w:tcPr>
          <w:p w14:paraId="0B5B6C9D"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6,7%</w:t>
            </w:r>
          </w:p>
        </w:tc>
        <w:tc>
          <w:tcPr>
            <w:tcW w:w="1143" w:type="dxa"/>
            <w:noWrap/>
            <w:vAlign w:val="center"/>
          </w:tcPr>
          <w:p w14:paraId="4D627E14" w14:textId="77777777" w:rsidR="004D19BE" w:rsidRPr="009B538E"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5,2%</w:t>
            </w:r>
          </w:p>
        </w:tc>
      </w:tr>
      <w:tr w:rsidR="00CD7D4F" w:rsidRPr="00341242" w14:paraId="3828A6A8"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noWrap/>
            <w:vAlign w:val="center"/>
            <w:hideMark/>
          </w:tcPr>
          <w:p w14:paraId="462717B0" w14:textId="77777777" w:rsidR="004D19BE" w:rsidRPr="009B538E" w:rsidRDefault="004D19BE" w:rsidP="004D19BE">
            <w:pPr>
              <w:rPr>
                <w:rFonts w:asciiTheme="minorHAnsi" w:hAnsiTheme="minorHAnsi"/>
                <w:color w:val="000000"/>
              </w:rPr>
            </w:pPr>
            <w:r w:rsidRPr="00FD4C45">
              <w:rPr>
                <w:rFonts w:ascii="Trebuchet MS" w:hAnsi="Trebuchet MS"/>
                <w:color w:val="000000"/>
              </w:rPr>
              <w:t>Druge</w:t>
            </w:r>
          </w:p>
        </w:tc>
        <w:tc>
          <w:tcPr>
            <w:tcW w:w="1142" w:type="dxa"/>
            <w:noWrap/>
            <w:vAlign w:val="bottom"/>
          </w:tcPr>
          <w:p w14:paraId="64C488A3"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24</w:t>
            </w:r>
          </w:p>
        </w:tc>
        <w:tc>
          <w:tcPr>
            <w:tcW w:w="1143" w:type="dxa"/>
            <w:noWrap/>
            <w:vAlign w:val="bottom"/>
          </w:tcPr>
          <w:p w14:paraId="62BABCEA"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8</w:t>
            </w:r>
          </w:p>
        </w:tc>
        <w:tc>
          <w:tcPr>
            <w:tcW w:w="1142" w:type="dxa"/>
            <w:vAlign w:val="center"/>
          </w:tcPr>
          <w:p w14:paraId="30EE45D5"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47,5%</w:t>
            </w:r>
          </w:p>
        </w:tc>
        <w:tc>
          <w:tcPr>
            <w:tcW w:w="1143" w:type="dxa"/>
            <w:vAlign w:val="center"/>
          </w:tcPr>
          <w:p w14:paraId="3FF9DAA4"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12,1%</w:t>
            </w:r>
          </w:p>
        </w:tc>
        <w:tc>
          <w:tcPr>
            <w:tcW w:w="1142" w:type="dxa"/>
            <w:noWrap/>
            <w:vAlign w:val="bottom"/>
          </w:tcPr>
          <w:p w14:paraId="6F458C62"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5,0%</w:t>
            </w:r>
          </w:p>
        </w:tc>
        <w:tc>
          <w:tcPr>
            <w:tcW w:w="1143" w:type="dxa"/>
            <w:noWrap/>
            <w:vAlign w:val="center"/>
          </w:tcPr>
          <w:p w14:paraId="5A277E64" w14:textId="77777777" w:rsidR="004D19BE" w:rsidRPr="009B538E"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4,1%</w:t>
            </w:r>
          </w:p>
        </w:tc>
      </w:tr>
    </w:tbl>
    <w:p w14:paraId="0A8E5D31" w14:textId="77777777" w:rsidR="007C7F66" w:rsidRPr="009B538E" w:rsidRDefault="003372D7" w:rsidP="008E4F18">
      <w:pPr>
        <w:spacing w:before="20"/>
        <w:jc w:val="both"/>
        <w:rPr>
          <w:i/>
        </w:rPr>
      </w:pPr>
      <w:r w:rsidRPr="009B538E">
        <w:rPr>
          <w:i/>
        </w:rPr>
        <w:t>Vir: SURS, strukturna statistika podjetij, preračuni Analitika GZS</w:t>
      </w:r>
    </w:p>
    <w:p w14:paraId="1299D255" w14:textId="77777777" w:rsidR="007C7F66" w:rsidRDefault="007C7F66" w:rsidP="00A347B2">
      <w:pPr>
        <w:spacing w:after="0"/>
        <w:rPr>
          <w:rFonts w:cstheme="minorHAnsi"/>
        </w:rPr>
      </w:pPr>
      <w:r w:rsidRPr="007041AF">
        <w:rPr>
          <w:rFonts w:cstheme="minorHAnsi"/>
          <w:noProof/>
          <w:lang w:eastAsia="sl-SI"/>
        </w:rPr>
        <w:lastRenderedPageBreak/>
        <w:drawing>
          <wp:inline distT="0" distB="0" distL="0" distR="0" wp14:anchorId="609A8BF1" wp14:editId="23F779D7">
            <wp:extent cx="4842662" cy="2596896"/>
            <wp:effectExtent l="0" t="0" r="0" b="0"/>
            <wp:docPr id="51" name="Grafikon 5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D760B07-754B-4576-A980-DA487EFCB0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226BCD4" w14:textId="77777777" w:rsidR="00A347B2" w:rsidRPr="009B538E" w:rsidRDefault="00A347B2" w:rsidP="00A347B2">
      <w:pPr>
        <w:spacing w:before="20"/>
        <w:jc w:val="both"/>
        <w:rPr>
          <w:i/>
        </w:rPr>
      </w:pPr>
      <w:r w:rsidRPr="009B538E">
        <w:rPr>
          <w:i/>
        </w:rPr>
        <w:t>Vir: SURS, preračuni Analitika GZS</w:t>
      </w:r>
    </w:p>
    <w:p w14:paraId="1326E277" w14:textId="00703D5C" w:rsidR="007C7F66" w:rsidRPr="00964361" w:rsidRDefault="007C7F66" w:rsidP="00405849">
      <w:pPr>
        <w:jc w:val="both"/>
        <w:rPr>
          <w:rFonts w:cstheme="minorHAnsi"/>
        </w:rPr>
      </w:pPr>
      <w:r w:rsidRPr="00964361">
        <w:rPr>
          <w:rFonts w:cstheme="minorHAnsi"/>
        </w:rPr>
        <w:t xml:space="preserve">Bruto domači izdatki za RRD (BIRR) so skupni notranji </w:t>
      </w:r>
      <w:r w:rsidRPr="00964361">
        <w:rPr>
          <w:rFonts w:cstheme="minorHAnsi"/>
          <w:b/>
          <w:bCs/>
        </w:rPr>
        <w:t>izdatki za RRD</w:t>
      </w:r>
      <w:r w:rsidRPr="00964361">
        <w:rPr>
          <w:rFonts w:cstheme="minorHAnsi"/>
        </w:rPr>
        <w:t>, ki se izvaja na ozemlju Republike Slovenije. Izdatki za RRD, ki jih imajo izvajalci RRD v poslovnem sektorju</w:t>
      </w:r>
      <w:r w:rsidR="00840683">
        <w:rPr>
          <w:rFonts w:cstheme="minorHAnsi"/>
        </w:rPr>
        <w:t>,</w:t>
      </w:r>
      <w:r w:rsidRPr="00964361">
        <w:rPr>
          <w:rFonts w:cstheme="minorHAnsi"/>
        </w:rPr>
        <w:t xml:space="preserve"> so v 2018 v predelovalnih dejavnostih znašali 488 mio EUR, kar je za 159 mio EUR več kot v 2008 oz</w:t>
      </w:r>
      <w:r w:rsidR="003402C7">
        <w:rPr>
          <w:rFonts w:cstheme="minorHAnsi"/>
        </w:rPr>
        <w:t>iroma</w:t>
      </w:r>
      <w:r w:rsidRPr="00964361">
        <w:rPr>
          <w:rFonts w:cstheme="minorHAnsi"/>
        </w:rPr>
        <w:t xml:space="preserve"> za 49 % več. V zadnjih </w:t>
      </w:r>
      <w:r w:rsidR="003402C7">
        <w:rPr>
          <w:rFonts w:cstheme="minorHAnsi"/>
        </w:rPr>
        <w:t xml:space="preserve">enajstih </w:t>
      </w:r>
      <w:r w:rsidRPr="00964361">
        <w:rPr>
          <w:rFonts w:cstheme="minorHAnsi"/>
        </w:rPr>
        <w:t xml:space="preserve">letih so izdatki za RRD v poslovnem sektorju znašali 429 mio EUR, v zadnjih </w:t>
      </w:r>
      <w:r w:rsidR="003402C7">
        <w:rPr>
          <w:rFonts w:cstheme="minorHAnsi"/>
        </w:rPr>
        <w:t>petih</w:t>
      </w:r>
      <w:r w:rsidR="003402C7" w:rsidRPr="00964361">
        <w:rPr>
          <w:rFonts w:cstheme="minorHAnsi"/>
        </w:rPr>
        <w:t xml:space="preserve"> </w:t>
      </w:r>
      <w:r w:rsidRPr="00964361">
        <w:rPr>
          <w:rFonts w:cstheme="minorHAnsi"/>
        </w:rPr>
        <w:t>letih pa 4</w:t>
      </w:r>
      <w:r w:rsidR="00D71127" w:rsidRPr="00964361">
        <w:rPr>
          <w:rFonts w:cstheme="minorHAnsi"/>
        </w:rPr>
        <w:t>61</w:t>
      </w:r>
      <w:r w:rsidRPr="00964361">
        <w:rPr>
          <w:rFonts w:cstheme="minorHAnsi"/>
        </w:rPr>
        <w:t xml:space="preserve"> mio EUR. </w:t>
      </w:r>
    </w:p>
    <w:p w14:paraId="55CAB3B7" w14:textId="0404FC48" w:rsidR="00405849" w:rsidRDefault="007C7F66" w:rsidP="00964361">
      <w:pPr>
        <w:jc w:val="both"/>
      </w:pPr>
      <w:r w:rsidRPr="00964361">
        <w:rPr>
          <w:rFonts w:cstheme="minorHAnsi"/>
        </w:rPr>
        <w:t xml:space="preserve">V RRD so med predelovalnimi </w:t>
      </w:r>
      <w:r w:rsidRPr="00FD4C45">
        <w:rPr>
          <w:rFonts w:cstheme="minorHAnsi"/>
        </w:rPr>
        <w:t>dejavnost</w:t>
      </w:r>
      <w:r w:rsidR="00840683">
        <w:rPr>
          <w:rFonts w:cstheme="minorHAnsi"/>
        </w:rPr>
        <w:t>mi</w:t>
      </w:r>
      <w:r w:rsidRPr="00964361">
        <w:rPr>
          <w:rFonts w:cstheme="minorHAnsi"/>
        </w:rPr>
        <w:t xml:space="preserve"> v 2018 namenili največ izdatkov v kemi</w:t>
      </w:r>
      <w:r w:rsidR="009F51D9">
        <w:rPr>
          <w:rFonts w:cstheme="minorHAnsi"/>
        </w:rPr>
        <w:t>čn</w:t>
      </w:r>
      <w:r w:rsidRPr="00964361">
        <w:rPr>
          <w:rFonts w:cstheme="minorHAnsi"/>
        </w:rPr>
        <w:t>i industriji (</w:t>
      </w:r>
      <w:r w:rsidR="000961C6" w:rsidRPr="00964361">
        <w:rPr>
          <w:rFonts w:cstheme="minorHAnsi"/>
        </w:rPr>
        <w:t>212</w:t>
      </w:r>
      <w:r w:rsidRPr="00964361">
        <w:rPr>
          <w:rFonts w:cstheme="minorHAnsi"/>
        </w:rPr>
        <w:t xml:space="preserve"> mio EUR), </w:t>
      </w:r>
      <w:r w:rsidRPr="00FD4C45">
        <w:rPr>
          <w:rFonts w:cstheme="minorHAnsi"/>
        </w:rPr>
        <w:t>sledi</w:t>
      </w:r>
      <w:r w:rsidR="00840683">
        <w:rPr>
          <w:rFonts w:cstheme="minorHAnsi"/>
        </w:rPr>
        <w:t>jo</w:t>
      </w:r>
      <w:r w:rsidRPr="00964361">
        <w:rPr>
          <w:rFonts w:cstheme="minorHAnsi"/>
        </w:rPr>
        <w:t xml:space="preserve"> elektro (129 mio EUR), strojna (80 mio EUR) ter kovinska industrija (20 mio EUR). V zadnjih </w:t>
      </w:r>
      <w:r w:rsidR="009F51D9">
        <w:rPr>
          <w:rFonts w:cstheme="minorHAnsi"/>
        </w:rPr>
        <w:t>desetih</w:t>
      </w:r>
      <w:r w:rsidR="009F51D9" w:rsidRPr="00964361">
        <w:rPr>
          <w:rFonts w:cstheme="minorHAnsi"/>
        </w:rPr>
        <w:t xml:space="preserve"> </w:t>
      </w:r>
      <w:r w:rsidRPr="00964361">
        <w:rPr>
          <w:rFonts w:cstheme="minorHAnsi"/>
        </w:rPr>
        <w:t xml:space="preserve">letih (2018-2008) so izdatke za RRD najbolj zvišali v </w:t>
      </w:r>
      <w:r w:rsidR="000961C6" w:rsidRPr="00964361">
        <w:rPr>
          <w:rFonts w:cstheme="minorHAnsi"/>
        </w:rPr>
        <w:t xml:space="preserve">kemični in </w:t>
      </w:r>
      <w:r w:rsidRPr="00964361">
        <w:rPr>
          <w:rFonts w:cstheme="minorHAnsi"/>
        </w:rPr>
        <w:t>elektro industriji (za 53 mio EUR)</w:t>
      </w:r>
      <w:r w:rsidR="000961C6" w:rsidRPr="00964361">
        <w:rPr>
          <w:rFonts w:cstheme="minorHAnsi"/>
        </w:rPr>
        <w:t xml:space="preserve">, </w:t>
      </w:r>
      <w:r w:rsidRPr="00964361">
        <w:rPr>
          <w:rFonts w:cstheme="minorHAnsi"/>
        </w:rPr>
        <w:t>sledi</w:t>
      </w:r>
      <w:r w:rsidR="009F51D9">
        <w:rPr>
          <w:rFonts w:cstheme="minorHAnsi"/>
        </w:rPr>
        <w:t>ta</w:t>
      </w:r>
      <w:r w:rsidRPr="00964361">
        <w:rPr>
          <w:rFonts w:cstheme="minorHAnsi"/>
        </w:rPr>
        <w:t xml:space="preserve"> strojna (</w:t>
      </w:r>
      <w:r w:rsidR="000961C6" w:rsidRPr="00964361">
        <w:rPr>
          <w:rFonts w:cstheme="minorHAnsi"/>
        </w:rPr>
        <w:t>22</w:t>
      </w:r>
      <w:r w:rsidRPr="00964361">
        <w:rPr>
          <w:rFonts w:cstheme="minorHAnsi"/>
        </w:rPr>
        <w:t xml:space="preserve"> mio EUR)</w:t>
      </w:r>
      <w:r w:rsidR="000961C6" w:rsidRPr="00964361">
        <w:rPr>
          <w:rFonts w:cstheme="minorHAnsi"/>
        </w:rPr>
        <w:t xml:space="preserve"> in prehrambna industrija (6 mio EUR)</w:t>
      </w:r>
      <w:r w:rsidRPr="00964361">
        <w:rPr>
          <w:rFonts w:cstheme="minorHAnsi"/>
        </w:rPr>
        <w:t>.</w:t>
      </w:r>
    </w:p>
    <w:tbl>
      <w:tblPr>
        <w:tblStyle w:val="Tabelaseznam4poudarek61"/>
        <w:tblW w:w="9345" w:type="dxa"/>
        <w:tblLayout w:type="fixed"/>
        <w:tblLook w:val="04A0" w:firstRow="1" w:lastRow="0" w:firstColumn="1" w:lastColumn="0" w:noHBand="0" w:noVBand="1"/>
      </w:tblPr>
      <w:tblGrid>
        <w:gridCol w:w="2061"/>
        <w:gridCol w:w="1214"/>
        <w:gridCol w:w="1214"/>
        <w:gridCol w:w="1214"/>
        <w:gridCol w:w="1214"/>
        <w:gridCol w:w="1214"/>
        <w:gridCol w:w="1214"/>
      </w:tblGrid>
      <w:tr w:rsidR="00CD7D4F" w:rsidRPr="00487F27" w14:paraId="6BCB0306" w14:textId="77777777" w:rsidTr="00640727">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061" w:type="dxa"/>
            <w:vAlign w:val="center"/>
            <w:hideMark/>
          </w:tcPr>
          <w:p w14:paraId="5C5D4E11" w14:textId="77777777" w:rsidR="007C7F66" w:rsidRPr="002E03C1" w:rsidRDefault="007C7F66" w:rsidP="00BF7D3C">
            <w:r w:rsidRPr="002E03C1">
              <w:t>RRD v poslovnem sektorju</w:t>
            </w:r>
            <w:r w:rsidR="002008BD" w:rsidRPr="002E03C1">
              <w:rPr>
                <w:rStyle w:val="Sprotnaopomba-sklic"/>
              </w:rPr>
              <w:footnoteReference w:id="49"/>
            </w:r>
          </w:p>
        </w:tc>
        <w:tc>
          <w:tcPr>
            <w:tcW w:w="1214" w:type="dxa"/>
            <w:vAlign w:val="center"/>
          </w:tcPr>
          <w:p w14:paraId="0288D32C" w14:textId="77777777" w:rsidR="007C7F66" w:rsidRPr="002E03C1" w:rsidRDefault="007C7F66" w:rsidP="00821BE0">
            <w:pPr>
              <w:jc w:val="center"/>
              <w:cnfStyle w:val="100000000000" w:firstRow="1" w:lastRow="0" w:firstColumn="0" w:lastColumn="0" w:oddVBand="0" w:evenVBand="0" w:oddHBand="0" w:evenHBand="0" w:firstRowFirstColumn="0" w:firstRowLastColumn="0" w:lastRowFirstColumn="0" w:lastRowLastColumn="0"/>
            </w:pPr>
            <w:r w:rsidRPr="002E03C1">
              <w:t>Vred.</w:t>
            </w:r>
          </w:p>
          <w:p w14:paraId="5619EF2A" w14:textId="77777777" w:rsidR="007C7F66" w:rsidRPr="002E03C1" w:rsidRDefault="007C7F66" w:rsidP="00821BE0">
            <w:pPr>
              <w:jc w:val="center"/>
              <w:cnfStyle w:val="100000000000" w:firstRow="1" w:lastRow="0" w:firstColumn="0" w:lastColumn="0" w:oddVBand="0" w:evenVBand="0" w:oddHBand="0" w:evenHBand="0" w:firstRowFirstColumn="0" w:firstRowLastColumn="0" w:lastRowFirstColumn="0" w:lastRowLastColumn="0"/>
              <w:rPr>
                <w:b w:val="0"/>
              </w:rPr>
            </w:pPr>
            <w:r w:rsidRPr="002E03C1">
              <w:t>2018,</w:t>
            </w:r>
          </w:p>
          <w:p w14:paraId="3BF8F03B" w14:textId="77777777" w:rsidR="007C7F66" w:rsidRPr="002E03C1" w:rsidRDefault="007C7F66" w:rsidP="00821BE0">
            <w:pPr>
              <w:jc w:val="center"/>
              <w:cnfStyle w:val="100000000000" w:firstRow="1" w:lastRow="0" w:firstColumn="0" w:lastColumn="0" w:oddVBand="0" w:evenVBand="0" w:oddHBand="0" w:evenHBand="0" w:firstRowFirstColumn="0" w:firstRowLastColumn="0" w:lastRowFirstColumn="0" w:lastRowLastColumn="0"/>
              <w:rPr>
                <w:b w:val="0"/>
              </w:rPr>
            </w:pPr>
            <w:r w:rsidRPr="002E03C1">
              <w:t>mio EUR</w:t>
            </w:r>
          </w:p>
        </w:tc>
        <w:tc>
          <w:tcPr>
            <w:tcW w:w="1214" w:type="dxa"/>
            <w:vAlign w:val="center"/>
          </w:tcPr>
          <w:p w14:paraId="5824ED56" w14:textId="77777777" w:rsidR="007C7F66" w:rsidRPr="002E03C1" w:rsidRDefault="007C7F66" w:rsidP="00821BE0">
            <w:pPr>
              <w:jc w:val="center"/>
              <w:cnfStyle w:val="100000000000" w:firstRow="1" w:lastRow="0" w:firstColumn="0" w:lastColumn="0" w:oddVBand="0" w:evenVBand="0" w:oddHBand="0" w:evenHBand="0" w:firstRowFirstColumn="0" w:firstRowLastColumn="0" w:lastRowFirstColumn="0" w:lastRowLastColumn="0"/>
              <w:rPr>
                <w:b w:val="0"/>
              </w:rPr>
            </w:pPr>
            <w:r w:rsidRPr="002E03C1">
              <w:t>Ø Vred. 2008-2018,</w:t>
            </w:r>
          </w:p>
          <w:p w14:paraId="1BB1D748" w14:textId="77777777" w:rsidR="007C7F66" w:rsidRPr="002E03C1" w:rsidRDefault="007C7F66" w:rsidP="00821BE0">
            <w:pPr>
              <w:jc w:val="center"/>
              <w:cnfStyle w:val="100000000000" w:firstRow="1" w:lastRow="0" w:firstColumn="0" w:lastColumn="0" w:oddVBand="0" w:evenVBand="0" w:oddHBand="0" w:evenHBand="0" w:firstRowFirstColumn="0" w:firstRowLastColumn="0" w:lastRowFirstColumn="0" w:lastRowLastColumn="0"/>
              <w:rPr>
                <w:b w:val="0"/>
              </w:rPr>
            </w:pPr>
            <w:r w:rsidRPr="002E03C1">
              <w:t>mio EUR</w:t>
            </w:r>
          </w:p>
        </w:tc>
        <w:tc>
          <w:tcPr>
            <w:tcW w:w="1214" w:type="dxa"/>
            <w:vAlign w:val="center"/>
          </w:tcPr>
          <w:p w14:paraId="109CB33C" w14:textId="77777777" w:rsidR="007C7F66" w:rsidRPr="002E03C1" w:rsidRDefault="007C7F66" w:rsidP="00821BE0">
            <w:pPr>
              <w:jc w:val="center"/>
              <w:cnfStyle w:val="100000000000" w:firstRow="1" w:lastRow="0" w:firstColumn="0" w:lastColumn="0" w:oddVBand="0" w:evenVBand="0" w:oddHBand="0" w:evenHBand="0" w:firstRowFirstColumn="0" w:firstRowLastColumn="0" w:lastRowFirstColumn="0" w:lastRowLastColumn="0"/>
              <w:rPr>
                <w:b w:val="0"/>
              </w:rPr>
            </w:pPr>
            <w:r w:rsidRPr="002E03C1">
              <w:t>Vred. razlika</w:t>
            </w:r>
          </w:p>
          <w:p w14:paraId="6694C29C" w14:textId="77777777" w:rsidR="007C7F66" w:rsidRPr="002E03C1" w:rsidRDefault="007C7F66" w:rsidP="00821BE0">
            <w:pPr>
              <w:jc w:val="center"/>
              <w:cnfStyle w:val="100000000000" w:firstRow="1" w:lastRow="0" w:firstColumn="0" w:lastColumn="0" w:oddVBand="0" w:evenVBand="0" w:oddHBand="0" w:evenHBand="0" w:firstRowFirstColumn="0" w:firstRowLastColumn="0" w:lastRowFirstColumn="0" w:lastRowLastColumn="0"/>
              <w:rPr>
                <w:b w:val="0"/>
              </w:rPr>
            </w:pPr>
            <w:r w:rsidRPr="002E03C1">
              <w:t>2018-2008,</w:t>
            </w:r>
          </w:p>
          <w:p w14:paraId="73FAD540" w14:textId="77777777" w:rsidR="007C7F66" w:rsidRPr="002E03C1" w:rsidRDefault="007C7F66" w:rsidP="00821BE0">
            <w:pPr>
              <w:jc w:val="center"/>
              <w:cnfStyle w:val="100000000000" w:firstRow="1" w:lastRow="0" w:firstColumn="0" w:lastColumn="0" w:oddVBand="0" w:evenVBand="0" w:oddHBand="0" w:evenHBand="0" w:firstRowFirstColumn="0" w:firstRowLastColumn="0" w:lastRowFirstColumn="0" w:lastRowLastColumn="0"/>
              <w:rPr>
                <w:b w:val="0"/>
              </w:rPr>
            </w:pPr>
            <w:r w:rsidRPr="002E03C1">
              <w:t>mio EUR</w:t>
            </w:r>
          </w:p>
        </w:tc>
        <w:tc>
          <w:tcPr>
            <w:tcW w:w="1214" w:type="dxa"/>
            <w:vAlign w:val="center"/>
          </w:tcPr>
          <w:p w14:paraId="78D3FEBE" w14:textId="77777777" w:rsidR="007C7F66" w:rsidRPr="002E03C1" w:rsidRDefault="007C7F66" w:rsidP="00821BE0">
            <w:pPr>
              <w:jc w:val="center"/>
              <w:cnfStyle w:val="100000000000" w:firstRow="1" w:lastRow="0" w:firstColumn="0" w:lastColumn="0" w:oddVBand="0" w:evenVBand="0" w:oddHBand="0" w:evenHBand="0" w:firstRowFirstColumn="0" w:firstRowLastColumn="0" w:lastRowFirstColumn="0" w:lastRowLastColumn="0"/>
              <w:rPr>
                <w:b w:val="0"/>
              </w:rPr>
            </w:pPr>
            <w:r w:rsidRPr="002E03C1">
              <w:t>Sprem. v %</w:t>
            </w:r>
          </w:p>
          <w:p w14:paraId="77E0C105" w14:textId="77777777" w:rsidR="007C7F66" w:rsidRPr="002E03C1" w:rsidRDefault="007C7F66" w:rsidP="00821BE0">
            <w:pPr>
              <w:jc w:val="center"/>
              <w:cnfStyle w:val="100000000000" w:firstRow="1" w:lastRow="0" w:firstColumn="0" w:lastColumn="0" w:oddVBand="0" w:evenVBand="0" w:oddHBand="0" w:evenHBand="0" w:firstRowFirstColumn="0" w:firstRowLastColumn="0" w:lastRowFirstColumn="0" w:lastRowLastColumn="0"/>
              <w:rPr>
                <w:b w:val="0"/>
              </w:rPr>
            </w:pPr>
            <w:r w:rsidRPr="002E03C1">
              <w:t>2018/2008</w:t>
            </w:r>
          </w:p>
        </w:tc>
        <w:tc>
          <w:tcPr>
            <w:tcW w:w="1214" w:type="dxa"/>
            <w:vAlign w:val="center"/>
          </w:tcPr>
          <w:p w14:paraId="0459E2B8" w14:textId="77777777" w:rsidR="007C7F66" w:rsidRPr="002E03C1" w:rsidRDefault="007C7F66" w:rsidP="00821BE0">
            <w:pPr>
              <w:jc w:val="center"/>
              <w:cnfStyle w:val="100000000000" w:firstRow="1" w:lastRow="0" w:firstColumn="0" w:lastColumn="0" w:oddVBand="0" w:evenVBand="0" w:oddHBand="0" w:evenHBand="0" w:firstRowFirstColumn="0" w:firstRowLastColumn="0" w:lastRowFirstColumn="0" w:lastRowLastColumn="0"/>
              <w:rPr>
                <w:b w:val="0"/>
              </w:rPr>
            </w:pPr>
            <w:r w:rsidRPr="002E03C1">
              <w:t>Ø Vred.</w:t>
            </w:r>
          </w:p>
          <w:p w14:paraId="075B50BD" w14:textId="77777777" w:rsidR="007C7F66" w:rsidRPr="002E03C1" w:rsidRDefault="007C7F66" w:rsidP="00821BE0">
            <w:pPr>
              <w:jc w:val="center"/>
              <w:cnfStyle w:val="100000000000" w:firstRow="1" w:lastRow="0" w:firstColumn="0" w:lastColumn="0" w:oddVBand="0" w:evenVBand="0" w:oddHBand="0" w:evenHBand="0" w:firstRowFirstColumn="0" w:firstRowLastColumn="0" w:lastRowFirstColumn="0" w:lastRowLastColumn="0"/>
              <w:rPr>
                <w:b w:val="0"/>
              </w:rPr>
            </w:pPr>
            <w:r w:rsidRPr="002E03C1">
              <w:t>2014-2018,</w:t>
            </w:r>
          </w:p>
          <w:p w14:paraId="5535165C" w14:textId="77777777" w:rsidR="007C7F66" w:rsidRPr="002E03C1" w:rsidRDefault="007C7F66" w:rsidP="00821BE0">
            <w:pPr>
              <w:jc w:val="center"/>
              <w:cnfStyle w:val="100000000000" w:firstRow="1" w:lastRow="0" w:firstColumn="0" w:lastColumn="0" w:oddVBand="0" w:evenVBand="0" w:oddHBand="0" w:evenHBand="0" w:firstRowFirstColumn="0" w:firstRowLastColumn="0" w:lastRowFirstColumn="0" w:lastRowLastColumn="0"/>
              <w:rPr>
                <w:b w:val="0"/>
              </w:rPr>
            </w:pPr>
            <w:r w:rsidRPr="002E03C1">
              <w:t>mio EUR</w:t>
            </w:r>
          </w:p>
        </w:tc>
        <w:tc>
          <w:tcPr>
            <w:tcW w:w="1214" w:type="dxa"/>
            <w:vAlign w:val="center"/>
          </w:tcPr>
          <w:p w14:paraId="70A7ADFF" w14:textId="77777777" w:rsidR="007C7F66" w:rsidRPr="002E03C1" w:rsidRDefault="00640727" w:rsidP="00821BE0">
            <w:pPr>
              <w:jc w:val="center"/>
              <w:cnfStyle w:val="100000000000" w:firstRow="1" w:lastRow="0" w:firstColumn="0" w:lastColumn="0" w:oddVBand="0" w:evenVBand="0" w:oddHBand="0" w:evenHBand="0" w:firstRowFirstColumn="0" w:firstRowLastColumn="0" w:lastRowFirstColumn="0" w:lastRowLastColumn="0"/>
              <w:rPr>
                <w:b w:val="0"/>
              </w:rPr>
            </w:pPr>
            <w:r w:rsidRPr="002E03C1">
              <w:t>CAGR</w:t>
            </w:r>
            <w:r w:rsidRPr="002E03C1">
              <w:rPr>
                <w:rStyle w:val="Sprotnaopomba-sklic"/>
              </w:rPr>
              <w:footnoteReference w:id="50"/>
            </w:r>
            <w:r w:rsidRPr="002E03C1">
              <w:t xml:space="preserve"> v obdobju 2014-2018</w:t>
            </w:r>
          </w:p>
        </w:tc>
      </w:tr>
      <w:tr w:rsidR="00CD7D4F" w:rsidRPr="00487F27" w14:paraId="4DE3635D" w14:textId="77777777" w:rsidTr="00640727">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2061" w:type="dxa"/>
            <w:noWrap/>
            <w:vAlign w:val="bottom"/>
            <w:hideMark/>
          </w:tcPr>
          <w:p w14:paraId="663FF2E4" w14:textId="77777777" w:rsidR="004D19BE" w:rsidRPr="00744759" w:rsidRDefault="004D19BE" w:rsidP="004D19BE">
            <w:pPr>
              <w:rPr>
                <w:rFonts w:ascii="Trebuchet MS" w:hAnsi="Trebuchet MS"/>
                <w:b w:val="0"/>
                <w:color w:val="000000"/>
              </w:rPr>
            </w:pPr>
            <w:r w:rsidRPr="00744759">
              <w:rPr>
                <w:rFonts w:ascii="Trebuchet MS" w:hAnsi="Trebuchet MS"/>
                <w:color w:val="000000"/>
              </w:rPr>
              <w:t>PREDEL. DEJ. SKUPAJ</w:t>
            </w:r>
          </w:p>
        </w:tc>
        <w:tc>
          <w:tcPr>
            <w:tcW w:w="1214" w:type="dxa"/>
            <w:vAlign w:val="center"/>
          </w:tcPr>
          <w:p w14:paraId="3E55FC74" w14:textId="77777777" w:rsidR="004D19BE" w:rsidRPr="002E03C1"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2E03C1">
              <w:rPr>
                <w:b/>
              </w:rPr>
              <w:t>488,6</w:t>
            </w:r>
          </w:p>
        </w:tc>
        <w:tc>
          <w:tcPr>
            <w:tcW w:w="1214" w:type="dxa"/>
            <w:vAlign w:val="bottom"/>
          </w:tcPr>
          <w:p w14:paraId="03C2D000" w14:textId="77777777" w:rsidR="004D19BE" w:rsidRPr="002E03C1"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2E03C1">
              <w:rPr>
                <w:b/>
              </w:rPr>
              <w:t>428,5</w:t>
            </w:r>
          </w:p>
        </w:tc>
        <w:tc>
          <w:tcPr>
            <w:tcW w:w="1214" w:type="dxa"/>
            <w:vAlign w:val="bottom"/>
          </w:tcPr>
          <w:p w14:paraId="63B24C04" w14:textId="77777777" w:rsidR="004D19BE" w:rsidRPr="002E03C1"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2E03C1">
              <w:rPr>
                <w:b/>
              </w:rPr>
              <w:t>159,3</w:t>
            </w:r>
          </w:p>
        </w:tc>
        <w:tc>
          <w:tcPr>
            <w:tcW w:w="1214" w:type="dxa"/>
            <w:vAlign w:val="center"/>
          </w:tcPr>
          <w:p w14:paraId="4A1B2240" w14:textId="77777777" w:rsidR="004D19BE" w:rsidRPr="002E03C1"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2E03C1">
              <w:rPr>
                <w:b/>
              </w:rPr>
              <w:t>48,4%</w:t>
            </w:r>
          </w:p>
        </w:tc>
        <w:tc>
          <w:tcPr>
            <w:tcW w:w="1214" w:type="dxa"/>
            <w:vAlign w:val="center"/>
          </w:tcPr>
          <w:p w14:paraId="0DFDC134" w14:textId="77777777" w:rsidR="004D19BE" w:rsidRPr="002E03C1"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2E03C1">
              <w:rPr>
                <w:b/>
              </w:rPr>
              <w:t>461,3</w:t>
            </w:r>
          </w:p>
        </w:tc>
        <w:tc>
          <w:tcPr>
            <w:tcW w:w="1214" w:type="dxa"/>
            <w:vAlign w:val="center"/>
          </w:tcPr>
          <w:p w14:paraId="5AE99419" w14:textId="77777777" w:rsidR="004D19BE" w:rsidRPr="002E03C1" w:rsidRDefault="004D19BE" w:rsidP="004D19BE">
            <w:pPr>
              <w:jc w:val="right"/>
              <w:cnfStyle w:val="000000100000" w:firstRow="0" w:lastRow="0" w:firstColumn="0" w:lastColumn="0" w:oddVBand="0" w:evenVBand="0" w:oddHBand="1" w:evenHBand="0" w:firstRowFirstColumn="0" w:firstRowLastColumn="0" w:lastRowFirstColumn="0" w:lastRowLastColumn="0"/>
              <w:rPr>
                <w:b/>
              </w:rPr>
            </w:pPr>
            <w:r w:rsidRPr="002E03C1">
              <w:rPr>
                <w:b/>
              </w:rPr>
              <w:t>1,0%</w:t>
            </w:r>
          </w:p>
        </w:tc>
      </w:tr>
      <w:tr w:rsidR="004D19BE" w:rsidRPr="00487F27" w14:paraId="51B08775" w14:textId="77777777" w:rsidTr="00640727">
        <w:tc>
          <w:tcPr>
            <w:cnfStyle w:val="001000000000" w:firstRow="0" w:lastRow="0" w:firstColumn="1" w:lastColumn="0" w:oddVBand="0" w:evenVBand="0" w:oddHBand="0" w:evenHBand="0" w:firstRowFirstColumn="0" w:firstRowLastColumn="0" w:lastRowFirstColumn="0" w:lastRowLastColumn="0"/>
            <w:tcW w:w="2061" w:type="dxa"/>
            <w:noWrap/>
            <w:vAlign w:val="center"/>
            <w:hideMark/>
          </w:tcPr>
          <w:p w14:paraId="2767D049" w14:textId="77777777" w:rsidR="004D19BE" w:rsidRPr="00744759" w:rsidRDefault="004D19BE" w:rsidP="004D19BE">
            <w:pPr>
              <w:rPr>
                <w:rFonts w:ascii="Trebuchet MS" w:hAnsi="Trebuchet MS"/>
                <w:color w:val="000000"/>
              </w:rPr>
            </w:pPr>
            <w:r w:rsidRPr="00744759">
              <w:rPr>
                <w:rFonts w:ascii="Trebuchet MS" w:hAnsi="Trebuchet MS"/>
                <w:color w:val="000000"/>
              </w:rPr>
              <w:t>Prehrambna</w:t>
            </w:r>
          </w:p>
        </w:tc>
        <w:tc>
          <w:tcPr>
            <w:tcW w:w="1214" w:type="dxa"/>
            <w:noWrap/>
            <w:vAlign w:val="center"/>
          </w:tcPr>
          <w:p w14:paraId="54AE50C4"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7,6</w:t>
            </w:r>
          </w:p>
        </w:tc>
        <w:tc>
          <w:tcPr>
            <w:tcW w:w="1214" w:type="dxa"/>
            <w:noWrap/>
            <w:vAlign w:val="bottom"/>
          </w:tcPr>
          <w:p w14:paraId="3E5D5DA6"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4,7</w:t>
            </w:r>
          </w:p>
        </w:tc>
        <w:tc>
          <w:tcPr>
            <w:tcW w:w="1214" w:type="dxa"/>
            <w:noWrap/>
            <w:vAlign w:val="bottom"/>
          </w:tcPr>
          <w:p w14:paraId="1EDE791B"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6,2</w:t>
            </w:r>
          </w:p>
        </w:tc>
        <w:tc>
          <w:tcPr>
            <w:tcW w:w="1214" w:type="dxa"/>
            <w:vAlign w:val="center"/>
          </w:tcPr>
          <w:p w14:paraId="57D8C571"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444,8%</w:t>
            </w:r>
          </w:p>
        </w:tc>
        <w:tc>
          <w:tcPr>
            <w:tcW w:w="1214" w:type="dxa"/>
            <w:vAlign w:val="center"/>
          </w:tcPr>
          <w:p w14:paraId="321B6894"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6,8</w:t>
            </w:r>
          </w:p>
        </w:tc>
        <w:tc>
          <w:tcPr>
            <w:tcW w:w="1214" w:type="dxa"/>
            <w:noWrap/>
            <w:vAlign w:val="center"/>
          </w:tcPr>
          <w:p w14:paraId="6087B827"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3,5%</w:t>
            </w:r>
          </w:p>
        </w:tc>
      </w:tr>
      <w:tr w:rsidR="00CD7D4F" w:rsidRPr="00487F27" w14:paraId="0744FD77"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dxa"/>
            <w:noWrap/>
            <w:vAlign w:val="center"/>
            <w:hideMark/>
          </w:tcPr>
          <w:p w14:paraId="7C4984CB" w14:textId="77777777" w:rsidR="004D19BE" w:rsidRPr="00744759" w:rsidRDefault="004D19BE" w:rsidP="004D19BE">
            <w:pPr>
              <w:rPr>
                <w:rFonts w:ascii="Trebuchet MS" w:hAnsi="Trebuchet MS"/>
                <w:color w:val="000000"/>
              </w:rPr>
            </w:pPr>
            <w:r w:rsidRPr="00744759">
              <w:rPr>
                <w:rFonts w:ascii="Trebuchet MS" w:hAnsi="Trebuchet MS"/>
                <w:color w:val="000000"/>
              </w:rPr>
              <w:t>Tekstilna</w:t>
            </w:r>
          </w:p>
        </w:tc>
        <w:tc>
          <w:tcPr>
            <w:tcW w:w="1214" w:type="dxa"/>
            <w:noWrap/>
            <w:vAlign w:val="center"/>
          </w:tcPr>
          <w:p w14:paraId="2B78522A"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7,0</w:t>
            </w:r>
          </w:p>
        </w:tc>
        <w:tc>
          <w:tcPr>
            <w:tcW w:w="1214" w:type="dxa"/>
            <w:noWrap/>
            <w:vAlign w:val="bottom"/>
          </w:tcPr>
          <w:p w14:paraId="41F4D6D2"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6,4</w:t>
            </w:r>
          </w:p>
        </w:tc>
        <w:tc>
          <w:tcPr>
            <w:tcW w:w="1214" w:type="dxa"/>
            <w:noWrap/>
            <w:vAlign w:val="bottom"/>
          </w:tcPr>
          <w:p w14:paraId="68E20DA7"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2,6</w:t>
            </w:r>
          </w:p>
        </w:tc>
        <w:tc>
          <w:tcPr>
            <w:tcW w:w="1214" w:type="dxa"/>
            <w:vAlign w:val="center"/>
          </w:tcPr>
          <w:p w14:paraId="4332B7EE"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57,4%</w:t>
            </w:r>
          </w:p>
        </w:tc>
        <w:tc>
          <w:tcPr>
            <w:tcW w:w="1214" w:type="dxa"/>
            <w:vAlign w:val="center"/>
          </w:tcPr>
          <w:p w14:paraId="0BC6ED65"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6,3</w:t>
            </w:r>
          </w:p>
        </w:tc>
        <w:tc>
          <w:tcPr>
            <w:tcW w:w="1214" w:type="dxa"/>
            <w:noWrap/>
            <w:vAlign w:val="center"/>
          </w:tcPr>
          <w:p w14:paraId="698DFD8D"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-2,6%</w:t>
            </w:r>
          </w:p>
        </w:tc>
      </w:tr>
      <w:tr w:rsidR="004D19BE" w:rsidRPr="00487F27" w14:paraId="1D5FFFF4" w14:textId="77777777" w:rsidTr="00640727">
        <w:tc>
          <w:tcPr>
            <w:cnfStyle w:val="001000000000" w:firstRow="0" w:lastRow="0" w:firstColumn="1" w:lastColumn="0" w:oddVBand="0" w:evenVBand="0" w:oddHBand="0" w:evenHBand="0" w:firstRowFirstColumn="0" w:firstRowLastColumn="0" w:lastRowFirstColumn="0" w:lastRowLastColumn="0"/>
            <w:tcW w:w="2061" w:type="dxa"/>
            <w:noWrap/>
            <w:vAlign w:val="center"/>
            <w:hideMark/>
          </w:tcPr>
          <w:p w14:paraId="7CBC7FA4" w14:textId="77777777" w:rsidR="004D19BE" w:rsidRPr="00744759" w:rsidRDefault="004D19BE" w:rsidP="004D19BE">
            <w:pPr>
              <w:rPr>
                <w:rFonts w:ascii="Trebuchet MS" w:hAnsi="Trebuchet MS"/>
                <w:color w:val="000000"/>
              </w:rPr>
            </w:pPr>
            <w:r w:rsidRPr="00744759">
              <w:rPr>
                <w:rFonts w:ascii="Trebuchet MS" w:hAnsi="Trebuchet MS"/>
                <w:color w:val="000000"/>
              </w:rPr>
              <w:t>Lesna</w:t>
            </w:r>
          </w:p>
        </w:tc>
        <w:tc>
          <w:tcPr>
            <w:tcW w:w="1214" w:type="dxa"/>
            <w:noWrap/>
            <w:vAlign w:val="center"/>
          </w:tcPr>
          <w:p w14:paraId="6679A65E"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4,2</w:t>
            </w:r>
          </w:p>
        </w:tc>
        <w:tc>
          <w:tcPr>
            <w:tcW w:w="1214" w:type="dxa"/>
            <w:noWrap/>
            <w:vAlign w:val="bottom"/>
          </w:tcPr>
          <w:p w14:paraId="63F064A6"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3,4</w:t>
            </w:r>
          </w:p>
        </w:tc>
        <w:tc>
          <w:tcPr>
            <w:tcW w:w="1214" w:type="dxa"/>
            <w:noWrap/>
            <w:vAlign w:val="bottom"/>
          </w:tcPr>
          <w:p w14:paraId="185221DA"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2,7</w:t>
            </w:r>
          </w:p>
        </w:tc>
        <w:tc>
          <w:tcPr>
            <w:tcW w:w="1214" w:type="dxa"/>
            <w:vAlign w:val="center"/>
          </w:tcPr>
          <w:p w14:paraId="21E9711A"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180,1%</w:t>
            </w:r>
          </w:p>
        </w:tc>
        <w:tc>
          <w:tcPr>
            <w:tcW w:w="1214" w:type="dxa"/>
            <w:vAlign w:val="center"/>
          </w:tcPr>
          <w:p w14:paraId="13A4C22C"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3,9</w:t>
            </w:r>
          </w:p>
        </w:tc>
        <w:tc>
          <w:tcPr>
            <w:tcW w:w="1214" w:type="dxa"/>
            <w:noWrap/>
            <w:vAlign w:val="center"/>
          </w:tcPr>
          <w:p w14:paraId="32B9CFA7"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10,7%</w:t>
            </w:r>
          </w:p>
        </w:tc>
      </w:tr>
      <w:tr w:rsidR="00CD7D4F" w:rsidRPr="00487F27" w14:paraId="2E094752"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dxa"/>
            <w:noWrap/>
            <w:vAlign w:val="center"/>
            <w:hideMark/>
          </w:tcPr>
          <w:p w14:paraId="06EAF5A8" w14:textId="77777777" w:rsidR="004D19BE" w:rsidRPr="00744759" w:rsidRDefault="004D19BE" w:rsidP="004D19BE">
            <w:pPr>
              <w:rPr>
                <w:rFonts w:ascii="Trebuchet MS" w:hAnsi="Trebuchet MS"/>
                <w:color w:val="000000"/>
              </w:rPr>
            </w:pPr>
            <w:r w:rsidRPr="00744759">
              <w:rPr>
                <w:rFonts w:ascii="Trebuchet MS" w:hAnsi="Trebuchet MS"/>
                <w:color w:val="000000"/>
              </w:rPr>
              <w:t>Papirna</w:t>
            </w:r>
          </w:p>
        </w:tc>
        <w:tc>
          <w:tcPr>
            <w:tcW w:w="1214" w:type="dxa"/>
            <w:noWrap/>
            <w:vAlign w:val="center"/>
          </w:tcPr>
          <w:p w14:paraId="7EDEE27A"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4,4</w:t>
            </w:r>
          </w:p>
        </w:tc>
        <w:tc>
          <w:tcPr>
            <w:tcW w:w="1214" w:type="dxa"/>
            <w:noWrap/>
            <w:vAlign w:val="bottom"/>
          </w:tcPr>
          <w:p w14:paraId="47A36838"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3,1</w:t>
            </w:r>
          </w:p>
        </w:tc>
        <w:tc>
          <w:tcPr>
            <w:tcW w:w="1214" w:type="dxa"/>
            <w:noWrap/>
            <w:vAlign w:val="bottom"/>
          </w:tcPr>
          <w:p w14:paraId="62E1F699"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1,6</w:t>
            </w:r>
          </w:p>
        </w:tc>
        <w:tc>
          <w:tcPr>
            <w:tcW w:w="1214" w:type="dxa"/>
            <w:vAlign w:val="center"/>
          </w:tcPr>
          <w:p w14:paraId="11BE25A6"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58,4%</w:t>
            </w:r>
          </w:p>
        </w:tc>
        <w:tc>
          <w:tcPr>
            <w:tcW w:w="1214" w:type="dxa"/>
            <w:vAlign w:val="center"/>
          </w:tcPr>
          <w:p w14:paraId="46B71185"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3,0</w:t>
            </w:r>
          </w:p>
        </w:tc>
        <w:tc>
          <w:tcPr>
            <w:tcW w:w="1214" w:type="dxa"/>
            <w:noWrap/>
            <w:vAlign w:val="center"/>
          </w:tcPr>
          <w:p w14:paraId="7827E857"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14,6%</w:t>
            </w:r>
          </w:p>
        </w:tc>
      </w:tr>
      <w:tr w:rsidR="004D19BE" w:rsidRPr="00487F27" w14:paraId="392CA094" w14:textId="77777777" w:rsidTr="00640727">
        <w:tc>
          <w:tcPr>
            <w:cnfStyle w:val="001000000000" w:firstRow="0" w:lastRow="0" w:firstColumn="1" w:lastColumn="0" w:oddVBand="0" w:evenVBand="0" w:oddHBand="0" w:evenHBand="0" w:firstRowFirstColumn="0" w:firstRowLastColumn="0" w:lastRowFirstColumn="0" w:lastRowLastColumn="0"/>
            <w:tcW w:w="2061" w:type="dxa"/>
            <w:noWrap/>
            <w:vAlign w:val="center"/>
            <w:hideMark/>
          </w:tcPr>
          <w:p w14:paraId="3501D60D" w14:textId="77777777" w:rsidR="004D19BE" w:rsidRPr="00744759" w:rsidRDefault="004D19BE" w:rsidP="004D19BE">
            <w:pPr>
              <w:rPr>
                <w:rFonts w:ascii="Trebuchet MS" w:hAnsi="Trebuchet MS"/>
                <w:color w:val="000000"/>
              </w:rPr>
            </w:pPr>
            <w:r w:rsidRPr="00744759">
              <w:rPr>
                <w:rFonts w:ascii="Trebuchet MS" w:hAnsi="Trebuchet MS"/>
                <w:color w:val="000000"/>
              </w:rPr>
              <w:t>Kemična</w:t>
            </w:r>
          </w:p>
        </w:tc>
        <w:tc>
          <w:tcPr>
            <w:tcW w:w="1214" w:type="dxa"/>
            <w:noWrap/>
            <w:vAlign w:val="center"/>
          </w:tcPr>
          <w:p w14:paraId="227D9295"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204,5</w:t>
            </w:r>
          </w:p>
        </w:tc>
        <w:tc>
          <w:tcPr>
            <w:tcW w:w="1214" w:type="dxa"/>
            <w:noWrap/>
            <w:vAlign w:val="bottom"/>
          </w:tcPr>
          <w:p w14:paraId="466D1A25"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191,9</w:t>
            </w:r>
          </w:p>
        </w:tc>
        <w:tc>
          <w:tcPr>
            <w:tcW w:w="1214" w:type="dxa"/>
            <w:noWrap/>
            <w:vAlign w:val="bottom"/>
          </w:tcPr>
          <w:p w14:paraId="6290EA3C"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45,6</w:t>
            </w:r>
          </w:p>
        </w:tc>
        <w:tc>
          <w:tcPr>
            <w:tcW w:w="1214" w:type="dxa"/>
            <w:vAlign w:val="center"/>
          </w:tcPr>
          <w:p w14:paraId="6C76F61B"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28,7%</w:t>
            </w:r>
          </w:p>
        </w:tc>
        <w:tc>
          <w:tcPr>
            <w:tcW w:w="1214" w:type="dxa"/>
            <w:vAlign w:val="center"/>
          </w:tcPr>
          <w:p w14:paraId="2ACC62BF"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205,3</w:t>
            </w:r>
          </w:p>
        </w:tc>
        <w:tc>
          <w:tcPr>
            <w:tcW w:w="1214" w:type="dxa"/>
            <w:noWrap/>
            <w:vAlign w:val="center"/>
          </w:tcPr>
          <w:p w14:paraId="7DF4F374"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1,5%</w:t>
            </w:r>
          </w:p>
        </w:tc>
      </w:tr>
      <w:tr w:rsidR="00CD7D4F" w:rsidRPr="00487F27" w14:paraId="439F0C6E"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dxa"/>
            <w:noWrap/>
            <w:vAlign w:val="center"/>
            <w:hideMark/>
          </w:tcPr>
          <w:p w14:paraId="001915ED" w14:textId="77777777" w:rsidR="004D19BE" w:rsidRPr="00744759" w:rsidRDefault="004D19BE" w:rsidP="004D19BE">
            <w:pPr>
              <w:rPr>
                <w:rFonts w:ascii="Trebuchet MS" w:hAnsi="Trebuchet MS"/>
                <w:color w:val="000000"/>
              </w:rPr>
            </w:pPr>
            <w:r w:rsidRPr="00744759">
              <w:rPr>
                <w:rFonts w:ascii="Trebuchet MS" w:hAnsi="Trebuchet MS"/>
                <w:color w:val="000000"/>
              </w:rPr>
              <w:t>Nekovinska</w:t>
            </w:r>
          </w:p>
        </w:tc>
        <w:tc>
          <w:tcPr>
            <w:tcW w:w="1214" w:type="dxa"/>
            <w:noWrap/>
            <w:vAlign w:val="center"/>
          </w:tcPr>
          <w:p w14:paraId="5D6AD580"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4,1</w:t>
            </w:r>
          </w:p>
        </w:tc>
        <w:tc>
          <w:tcPr>
            <w:tcW w:w="1214" w:type="dxa"/>
            <w:noWrap/>
            <w:vAlign w:val="bottom"/>
          </w:tcPr>
          <w:p w14:paraId="668D7660"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5,9</w:t>
            </w:r>
          </w:p>
        </w:tc>
        <w:tc>
          <w:tcPr>
            <w:tcW w:w="1214" w:type="dxa"/>
            <w:noWrap/>
            <w:vAlign w:val="bottom"/>
          </w:tcPr>
          <w:p w14:paraId="5C033769"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-0,1</w:t>
            </w:r>
          </w:p>
        </w:tc>
        <w:tc>
          <w:tcPr>
            <w:tcW w:w="1214" w:type="dxa"/>
            <w:vAlign w:val="center"/>
          </w:tcPr>
          <w:p w14:paraId="02719EA0"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-2,5%</w:t>
            </w:r>
          </w:p>
        </w:tc>
        <w:tc>
          <w:tcPr>
            <w:tcW w:w="1214" w:type="dxa"/>
            <w:vAlign w:val="center"/>
          </w:tcPr>
          <w:p w14:paraId="5BDF0DAE"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6,4</w:t>
            </w:r>
          </w:p>
        </w:tc>
        <w:tc>
          <w:tcPr>
            <w:tcW w:w="1214" w:type="dxa"/>
            <w:noWrap/>
            <w:vAlign w:val="center"/>
          </w:tcPr>
          <w:p w14:paraId="171CB6D7"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-22,2%</w:t>
            </w:r>
          </w:p>
        </w:tc>
      </w:tr>
      <w:tr w:rsidR="004D19BE" w:rsidRPr="00487F27" w14:paraId="22BC9F9A" w14:textId="77777777" w:rsidTr="00640727">
        <w:tc>
          <w:tcPr>
            <w:cnfStyle w:val="001000000000" w:firstRow="0" w:lastRow="0" w:firstColumn="1" w:lastColumn="0" w:oddVBand="0" w:evenVBand="0" w:oddHBand="0" w:evenHBand="0" w:firstRowFirstColumn="0" w:firstRowLastColumn="0" w:lastRowFirstColumn="0" w:lastRowLastColumn="0"/>
            <w:tcW w:w="2061" w:type="dxa"/>
            <w:noWrap/>
            <w:vAlign w:val="center"/>
            <w:hideMark/>
          </w:tcPr>
          <w:p w14:paraId="47ACA5E3" w14:textId="77777777" w:rsidR="004D19BE" w:rsidRPr="00744759" w:rsidRDefault="004D19BE" w:rsidP="004D19BE">
            <w:pPr>
              <w:rPr>
                <w:rFonts w:ascii="Trebuchet MS" w:hAnsi="Trebuchet MS"/>
                <w:color w:val="000000"/>
              </w:rPr>
            </w:pPr>
            <w:r w:rsidRPr="00744759">
              <w:rPr>
                <w:rFonts w:ascii="Trebuchet MS" w:hAnsi="Trebuchet MS"/>
                <w:color w:val="000000"/>
              </w:rPr>
              <w:t>Kovinska</w:t>
            </w:r>
          </w:p>
        </w:tc>
        <w:tc>
          <w:tcPr>
            <w:tcW w:w="1214" w:type="dxa"/>
            <w:noWrap/>
            <w:vAlign w:val="center"/>
          </w:tcPr>
          <w:p w14:paraId="4564CBB5"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20,1</w:t>
            </w:r>
          </w:p>
        </w:tc>
        <w:tc>
          <w:tcPr>
            <w:tcW w:w="1214" w:type="dxa"/>
            <w:noWrap/>
            <w:vAlign w:val="bottom"/>
          </w:tcPr>
          <w:p w14:paraId="46E7BB37"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28,5</w:t>
            </w:r>
          </w:p>
        </w:tc>
        <w:tc>
          <w:tcPr>
            <w:tcW w:w="1214" w:type="dxa"/>
            <w:noWrap/>
            <w:vAlign w:val="bottom"/>
          </w:tcPr>
          <w:p w14:paraId="43060C5D"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0,1</w:t>
            </w:r>
          </w:p>
        </w:tc>
        <w:tc>
          <w:tcPr>
            <w:tcW w:w="1214" w:type="dxa"/>
            <w:vAlign w:val="center"/>
          </w:tcPr>
          <w:p w14:paraId="5A152E64"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0,7%</w:t>
            </w:r>
          </w:p>
        </w:tc>
        <w:tc>
          <w:tcPr>
            <w:tcW w:w="1214" w:type="dxa"/>
            <w:vAlign w:val="center"/>
          </w:tcPr>
          <w:p w14:paraId="79A18DAA"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24,5</w:t>
            </w:r>
          </w:p>
        </w:tc>
        <w:tc>
          <w:tcPr>
            <w:tcW w:w="1214" w:type="dxa"/>
            <w:noWrap/>
            <w:vAlign w:val="center"/>
          </w:tcPr>
          <w:p w14:paraId="45C49CB5"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-13,3%</w:t>
            </w:r>
          </w:p>
        </w:tc>
      </w:tr>
      <w:tr w:rsidR="00CD7D4F" w:rsidRPr="00487F27" w14:paraId="5283A965"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dxa"/>
            <w:noWrap/>
            <w:vAlign w:val="center"/>
            <w:hideMark/>
          </w:tcPr>
          <w:p w14:paraId="3943943D" w14:textId="77777777" w:rsidR="004D19BE" w:rsidRPr="00744759" w:rsidRDefault="004D19BE" w:rsidP="004D19BE">
            <w:pPr>
              <w:rPr>
                <w:rFonts w:ascii="Trebuchet MS" w:hAnsi="Trebuchet MS"/>
                <w:color w:val="000000"/>
              </w:rPr>
            </w:pPr>
            <w:r w:rsidRPr="00744759">
              <w:rPr>
                <w:rFonts w:ascii="Trebuchet MS" w:hAnsi="Trebuchet MS"/>
                <w:color w:val="000000"/>
              </w:rPr>
              <w:t>Elektro</w:t>
            </w:r>
          </w:p>
        </w:tc>
        <w:tc>
          <w:tcPr>
            <w:tcW w:w="1214" w:type="dxa"/>
            <w:noWrap/>
            <w:vAlign w:val="center"/>
          </w:tcPr>
          <w:p w14:paraId="709AB1F6"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128,8</w:t>
            </w:r>
          </w:p>
        </w:tc>
        <w:tc>
          <w:tcPr>
            <w:tcW w:w="1214" w:type="dxa"/>
            <w:noWrap/>
            <w:vAlign w:val="bottom"/>
          </w:tcPr>
          <w:p w14:paraId="79AA2758"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108,8</w:t>
            </w:r>
          </w:p>
        </w:tc>
        <w:tc>
          <w:tcPr>
            <w:tcW w:w="1214" w:type="dxa"/>
            <w:noWrap/>
            <w:vAlign w:val="bottom"/>
          </w:tcPr>
          <w:p w14:paraId="0FB45A46"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53,3</w:t>
            </w:r>
          </w:p>
        </w:tc>
        <w:tc>
          <w:tcPr>
            <w:tcW w:w="1214" w:type="dxa"/>
            <w:vAlign w:val="center"/>
          </w:tcPr>
          <w:p w14:paraId="14F7FA49"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70,7%</w:t>
            </w:r>
          </w:p>
        </w:tc>
        <w:tc>
          <w:tcPr>
            <w:tcW w:w="1214" w:type="dxa"/>
            <w:vAlign w:val="center"/>
          </w:tcPr>
          <w:p w14:paraId="0849879B"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127,3</w:t>
            </w:r>
          </w:p>
        </w:tc>
        <w:tc>
          <w:tcPr>
            <w:tcW w:w="1214" w:type="dxa"/>
            <w:noWrap/>
            <w:vAlign w:val="center"/>
          </w:tcPr>
          <w:p w14:paraId="07E40AEC"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0,3%</w:t>
            </w:r>
          </w:p>
        </w:tc>
      </w:tr>
      <w:tr w:rsidR="004D19BE" w:rsidRPr="00487F27" w14:paraId="5256319C" w14:textId="77777777" w:rsidTr="00640727">
        <w:tc>
          <w:tcPr>
            <w:cnfStyle w:val="001000000000" w:firstRow="0" w:lastRow="0" w:firstColumn="1" w:lastColumn="0" w:oddVBand="0" w:evenVBand="0" w:oddHBand="0" w:evenHBand="0" w:firstRowFirstColumn="0" w:firstRowLastColumn="0" w:lastRowFirstColumn="0" w:lastRowLastColumn="0"/>
            <w:tcW w:w="2061" w:type="dxa"/>
            <w:noWrap/>
            <w:vAlign w:val="center"/>
            <w:hideMark/>
          </w:tcPr>
          <w:p w14:paraId="2006613C" w14:textId="77777777" w:rsidR="004D19BE" w:rsidRPr="00744759" w:rsidRDefault="004D19BE" w:rsidP="004D19BE">
            <w:pPr>
              <w:rPr>
                <w:rFonts w:ascii="Trebuchet MS" w:hAnsi="Trebuchet MS"/>
                <w:color w:val="000000"/>
              </w:rPr>
            </w:pPr>
            <w:r w:rsidRPr="00744759">
              <w:rPr>
                <w:rFonts w:ascii="Trebuchet MS" w:hAnsi="Trebuchet MS"/>
                <w:color w:val="000000"/>
              </w:rPr>
              <w:t>Strojna</w:t>
            </w:r>
          </w:p>
        </w:tc>
        <w:tc>
          <w:tcPr>
            <w:tcW w:w="1214" w:type="dxa"/>
            <w:noWrap/>
            <w:vAlign w:val="center"/>
          </w:tcPr>
          <w:p w14:paraId="2FCCF099"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79,4</w:t>
            </w:r>
          </w:p>
        </w:tc>
        <w:tc>
          <w:tcPr>
            <w:tcW w:w="1214" w:type="dxa"/>
            <w:noWrap/>
            <w:vAlign w:val="bottom"/>
          </w:tcPr>
          <w:p w14:paraId="6436E117"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69,0</w:t>
            </w:r>
          </w:p>
        </w:tc>
        <w:tc>
          <w:tcPr>
            <w:tcW w:w="1214" w:type="dxa"/>
            <w:noWrap/>
            <w:vAlign w:val="bottom"/>
          </w:tcPr>
          <w:p w14:paraId="28662272"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21,5</w:t>
            </w:r>
          </w:p>
        </w:tc>
        <w:tc>
          <w:tcPr>
            <w:tcW w:w="1214" w:type="dxa"/>
            <w:vAlign w:val="center"/>
          </w:tcPr>
          <w:p w14:paraId="71444940"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37,0%</w:t>
            </w:r>
          </w:p>
        </w:tc>
        <w:tc>
          <w:tcPr>
            <w:tcW w:w="1214" w:type="dxa"/>
            <w:vAlign w:val="center"/>
          </w:tcPr>
          <w:p w14:paraId="63BB1449"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68,0</w:t>
            </w:r>
          </w:p>
        </w:tc>
        <w:tc>
          <w:tcPr>
            <w:tcW w:w="1214" w:type="dxa"/>
            <w:noWrap/>
            <w:vAlign w:val="center"/>
          </w:tcPr>
          <w:p w14:paraId="1B060E10" w14:textId="77777777" w:rsidR="004D19BE" w:rsidRPr="00744759" w:rsidRDefault="004D19BE" w:rsidP="004D19BE">
            <w:pPr>
              <w:jc w:val="righ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744759">
              <w:rPr>
                <w:rFonts w:ascii="Trebuchet MS" w:hAnsi="Trebuchet MS"/>
              </w:rPr>
              <w:t>2,4%</w:t>
            </w:r>
          </w:p>
        </w:tc>
      </w:tr>
      <w:tr w:rsidR="00CD7D4F" w:rsidRPr="00487F27" w14:paraId="481EC5B2"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dxa"/>
            <w:noWrap/>
            <w:vAlign w:val="center"/>
            <w:hideMark/>
          </w:tcPr>
          <w:p w14:paraId="4FBA178B" w14:textId="77777777" w:rsidR="004D19BE" w:rsidRPr="00744759" w:rsidRDefault="004D19BE" w:rsidP="004D19BE">
            <w:pPr>
              <w:rPr>
                <w:rFonts w:ascii="Trebuchet MS" w:hAnsi="Trebuchet MS"/>
                <w:color w:val="000000"/>
              </w:rPr>
            </w:pPr>
            <w:r w:rsidRPr="00744759">
              <w:rPr>
                <w:rFonts w:ascii="Trebuchet MS" w:hAnsi="Trebuchet MS"/>
                <w:color w:val="000000"/>
              </w:rPr>
              <w:t>Druge</w:t>
            </w:r>
          </w:p>
        </w:tc>
        <w:tc>
          <w:tcPr>
            <w:tcW w:w="1214" w:type="dxa"/>
            <w:noWrap/>
            <w:vAlign w:val="center"/>
          </w:tcPr>
          <w:p w14:paraId="31262296"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4,6</w:t>
            </w:r>
          </w:p>
        </w:tc>
        <w:tc>
          <w:tcPr>
            <w:tcW w:w="1214" w:type="dxa"/>
            <w:noWrap/>
            <w:vAlign w:val="bottom"/>
          </w:tcPr>
          <w:p w14:paraId="1F09AE55"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5,1</w:t>
            </w:r>
          </w:p>
        </w:tc>
        <w:tc>
          <w:tcPr>
            <w:tcW w:w="1214" w:type="dxa"/>
            <w:noWrap/>
            <w:vAlign w:val="bottom"/>
          </w:tcPr>
          <w:p w14:paraId="5171C48D"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1,9</w:t>
            </w:r>
          </w:p>
        </w:tc>
        <w:tc>
          <w:tcPr>
            <w:tcW w:w="1214" w:type="dxa"/>
            <w:vAlign w:val="center"/>
          </w:tcPr>
          <w:p w14:paraId="148E2E9D"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69,5%</w:t>
            </w:r>
          </w:p>
        </w:tc>
        <w:tc>
          <w:tcPr>
            <w:tcW w:w="1214" w:type="dxa"/>
            <w:vAlign w:val="center"/>
          </w:tcPr>
          <w:p w14:paraId="2D9F0B43"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5,7</w:t>
            </w:r>
          </w:p>
        </w:tc>
        <w:tc>
          <w:tcPr>
            <w:tcW w:w="1214" w:type="dxa"/>
            <w:noWrap/>
            <w:vAlign w:val="center"/>
          </w:tcPr>
          <w:p w14:paraId="497FD518" w14:textId="77777777" w:rsidR="004D19BE" w:rsidRPr="00744759" w:rsidRDefault="004D19BE" w:rsidP="004D19BE">
            <w:pPr>
              <w:jc w:val="righ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744759">
              <w:rPr>
                <w:rFonts w:ascii="Trebuchet MS" w:hAnsi="Trebuchet MS"/>
              </w:rPr>
              <w:t>4,8%</w:t>
            </w:r>
          </w:p>
        </w:tc>
      </w:tr>
    </w:tbl>
    <w:p w14:paraId="5F931E8B" w14:textId="77777777" w:rsidR="003372D7" w:rsidRPr="009B538E" w:rsidRDefault="003372D7" w:rsidP="003372D7">
      <w:pPr>
        <w:spacing w:before="20"/>
        <w:jc w:val="both"/>
        <w:rPr>
          <w:i/>
        </w:rPr>
      </w:pPr>
      <w:r w:rsidRPr="009B538E">
        <w:rPr>
          <w:i/>
        </w:rPr>
        <w:t>Vir: SURS, strukt</w:t>
      </w:r>
      <w:r w:rsidR="00405849" w:rsidRPr="009B538E">
        <w:rPr>
          <w:i/>
        </w:rPr>
        <w:t>u</w:t>
      </w:r>
      <w:r w:rsidRPr="009B538E">
        <w:rPr>
          <w:i/>
        </w:rPr>
        <w:t>rna statistika podjetij, preračuni Analitika GZS</w:t>
      </w:r>
    </w:p>
    <w:p w14:paraId="2A07B561" w14:textId="77777777" w:rsidR="00821BE0" w:rsidRDefault="00821BE0">
      <w:pPr>
        <w:rPr>
          <w:b/>
          <w:bCs/>
          <w:color w:val="549E39" w:themeColor="accent1"/>
        </w:rPr>
      </w:pPr>
      <w:r>
        <w:rPr>
          <w:color w:val="549E39" w:themeColor="accent1"/>
        </w:rPr>
        <w:br w:type="page"/>
      </w:r>
    </w:p>
    <w:p w14:paraId="04C61FE3" w14:textId="77777777" w:rsidR="00AB6378" w:rsidRPr="00821BE0" w:rsidRDefault="00821BE0" w:rsidP="00821BE0">
      <w:pPr>
        <w:pStyle w:val="Napis"/>
        <w:rPr>
          <w:color w:val="549E39" w:themeColor="accent1"/>
          <w:sz w:val="20"/>
          <w:szCs w:val="20"/>
        </w:rPr>
      </w:pPr>
      <w:r w:rsidRPr="00821BE0">
        <w:rPr>
          <w:color w:val="549E39" w:themeColor="accent1"/>
          <w:sz w:val="20"/>
          <w:szCs w:val="20"/>
        </w:rPr>
        <w:lastRenderedPageBreak/>
        <w:t xml:space="preserve">Priloga </w:t>
      </w:r>
      <w:r w:rsidR="0063267A" w:rsidRPr="00821BE0">
        <w:rPr>
          <w:color w:val="549E39" w:themeColor="accent1"/>
          <w:sz w:val="20"/>
          <w:szCs w:val="20"/>
        </w:rPr>
        <w:fldChar w:fldCharType="begin"/>
      </w:r>
      <w:r w:rsidRPr="00821BE0">
        <w:rPr>
          <w:color w:val="549E39" w:themeColor="accent1"/>
          <w:sz w:val="20"/>
          <w:szCs w:val="20"/>
        </w:rPr>
        <w:instrText xml:space="preserve"> SEQ Priloga \* ARABIC </w:instrText>
      </w:r>
      <w:r w:rsidR="0063267A" w:rsidRPr="00821BE0">
        <w:rPr>
          <w:color w:val="549E39" w:themeColor="accent1"/>
          <w:sz w:val="20"/>
          <w:szCs w:val="20"/>
        </w:rPr>
        <w:fldChar w:fldCharType="separate"/>
      </w:r>
      <w:r w:rsidR="00A57F15">
        <w:rPr>
          <w:noProof/>
          <w:color w:val="549E39" w:themeColor="accent1"/>
          <w:sz w:val="20"/>
          <w:szCs w:val="20"/>
        </w:rPr>
        <w:t>2</w:t>
      </w:r>
      <w:r w:rsidR="0063267A" w:rsidRPr="00821BE0">
        <w:rPr>
          <w:color w:val="549E39" w:themeColor="accent1"/>
          <w:sz w:val="20"/>
          <w:szCs w:val="20"/>
        </w:rPr>
        <w:fldChar w:fldCharType="end"/>
      </w:r>
      <w:r w:rsidRPr="00821BE0">
        <w:rPr>
          <w:color w:val="549E39" w:themeColor="accent1"/>
          <w:sz w:val="20"/>
          <w:szCs w:val="20"/>
        </w:rPr>
        <w:t>: Predelovalne dejavnosti</w:t>
      </w:r>
      <w:r w:rsidR="00AB6378" w:rsidRPr="00821BE0">
        <w:rPr>
          <w:color w:val="549E39" w:themeColor="accent1"/>
          <w:sz w:val="20"/>
          <w:szCs w:val="20"/>
        </w:rPr>
        <w:t xml:space="preserve"> v Sloveniji, EU-27 in </w:t>
      </w:r>
      <w:r w:rsidR="001C7D9F">
        <w:rPr>
          <w:color w:val="549E39" w:themeColor="accent1"/>
          <w:sz w:val="20"/>
          <w:szCs w:val="20"/>
        </w:rPr>
        <w:t>skupini primerljivih srednjeevropskih držav (CEE-4)</w:t>
      </w:r>
      <w:r w:rsidR="00AB6378" w:rsidRPr="00821BE0">
        <w:rPr>
          <w:color w:val="549E39" w:themeColor="accent1"/>
          <w:sz w:val="20"/>
          <w:szCs w:val="20"/>
        </w:rPr>
        <w:t xml:space="preserve"> v 2008-2017</w:t>
      </w:r>
    </w:p>
    <w:p w14:paraId="3FC1EC2E" w14:textId="77777777" w:rsidR="004F5CB6" w:rsidRPr="00597771" w:rsidRDefault="004F5CB6" w:rsidP="004F5CB6">
      <w:pPr>
        <w:jc w:val="both"/>
        <w:rPr>
          <w:rFonts w:cstheme="minorHAnsi"/>
        </w:rPr>
      </w:pPr>
      <w:r>
        <w:rPr>
          <w:rFonts w:cstheme="minorHAnsi"/>
        </w:rPr>
        <w:t>P</w:t>
      </w:r>
      <w:r w:rsidRPr="00597771">
        <w:rPr>
          <w:rFonts w:cstheme="minorHAnsi"/>
        </w:rPr>
        <w:t xml:space="preserve">redelovalne dejavnosti v Sloveniji </w:t>
      </w:r>
      <w:r>
        <w:rPr>
          <w:rFonts w:cstheme="minorHAnsi"/>
        </w:rPr>
        <w:t xml:space="preserve">so </w:t>
      </w:r>
      <w:r w:rsidRPr="00597771">
        <w:rPr>
          <w:rFonts w:cstheme="minorHAnsi"/>
        </w:rPr>
        <w:t xml:space="preserve">v 2017 beležile višjo </w:t>
      </w:r>
      <w:r w:rsidRPr="00597771">
        <w:rPr>
          <w:rFonts w:cstheme="minorHAnsi"/>
          <w:b/>
          <w:bCs/>
        </w:rPr>
        <w:t>bruto maržo</w:t>
      </w:r>
      <w:r w:rsidRPr="00597771">
        <w:rPr>
          <w:rFonts w:cstheme="minorHAnsi"/>
        </w:rPr>
        <w:t xml:space="preserve"> kot znaša mediana v državah EU-27 </w:t>
      </w:r>
      <w:r>
        <w:rPr>
          <w:rFonts w:cstheme="minorHAnsi"/>
        </w:rPr>
        <w:t>ali</w:t>
      </w:r>
      <w:r w:rsidRPr="00597771">
        <w:rPr>
          <w:rFonts w:cstheme="minorHAnsi"/>
        </w:rPr>
        <w:t xml:space="preserve"> mediana v </w:t>
      </w:r>
      <w:r w:rsidR="00DC4FB4">
        <w:rPr>
          <w:rFonts w:cstheme="minorHAnsi"/>
        </w:rPr>
        <w:t>CEE-4</w:t>
      </w:r>
      <w:r w:rsidRPr="00597771">
        <w:rPr>
          <w:rFonts w:cstheme="minorHAnsi"/>
        </w:rPr>
        <w:t xml:space="preserve"> (SLO 28,5 %, EU 23,8 %, </w:t>
      </w:r>
      <w:r w:rsidR="00DC4FB4">
        <w:rPr>
          <w:rFonts w:cstheme="minorHAnsi"/>
        </w:rPr>
        <w:t>CEE-4</w:t>
      </w:r>
      <w:r w:rsidRPr="00597771">
        <w:rPr>
          <w:rFonts w:cstheme="minorHAnsi"/>
        </w:rPr>
        <w:t xml:space="preserve"> 22 %). Največje odstopanje bruto marže Slovenije v primerjavi z državami EU beležijo kemična (8,8 o.t.), prehrambn</w:t>
      </w:r>
      <w:r>
        <w:rPr>
          <w:rFonts w:cstheme="minorHAnsi"/>
        </w:rPr>
        <w:t>a</w:t>
      </w:r>
      <w:r w:rsidRPr="00597771">
        <w:rPr>
          <w:rFonts w:cstheme="minorHAnsi"/>
        </w:rPr>
        <w:t xml:space="preserve"> (3 o.t.)</w:t>
      </w:r>
      <w:r>
        <w:rPr>
          <w:rFonts w:cstheme="minorHAnsi"/>
        </w:rPr>
        <w:t xml:space="preserve"> in</w:t>
      </w:r>
      <w:r w:rsidRPr="00597771">
        <w:rPr>
          <w:rFonts w:cstheme="minorHAnsi"/>
        </w:rPr>
        <w:t xml:space="preserve"> lesna industrija (2,8 o.t.), kjer Slovenija beleži višjo bruto maržo. V primerjavi z državami </w:t>
      </w:r>
      <w:r w:rsidR="00DC4FB4">
        <w:rPr>
          <w:rFonts w:cstheme="minorHAnsi"/>
        </w:rPr>
        <w:t>CEE-4</w:t>
      </w:r>
      <w:r w:rsidRPr="00597771">
        <w:rPr>
          <w:rFonts w:cstheme="minorHAnsi"/>
        </w:rPr>
        <w:t xml:space="preserve"> so </w:t>
      </w:r>
      <w:r>
        <w:rPr>
          <w:rFonts w:cstheme="minorHAnsi"/>
        </w:rPr>
        <w:t xml:space="preserve">bila </w:t>
      </w:r>
      <w:r w:rsidRPr="00597771">
        <w:rPr>
          <w:rFonts w:cstheme="minorHAnsi"/>
        </w:rPr>
        <w:t xml:space="preserve">največja odstopanja v </w:t>
      </w:r>
      <w:r>
        <w:rPr>
          <w:rFonts w:cstheme="minorHAnsi"/>
        </w:rPr>
        <w:t xml:space="preserve">slovenski </w:t>
      </w:r>
      <w:r w:rsidRPr="00597771">
        <w:rPr>
          <w:rFonts w:cstheme="minorHAnsi"/>
        </w:rPr>
        <w:t>kemični (10,1 o.t.), elektro (8</w:t>
      </w:r>
      <w:r>
        <w:rPr>
          <w:rFonts w:cstheme="minorHAnsi"/>
        </w:rPr>
        <w:t>,</w:t>
      </w:r>
      <w:r w:rsidRPr="00597771">
        <w:rPr>
          <w:rFonts w:cstheme="minorHAnsi"/>
        </w:rPr>
        <w:t xml:space="preserve">2 o.t.) in strojni industriji (6,4 o.t.).   </w:t>
      </w:r>
    </w:p>
    <w:p w14:paraId="0D8E7AB4" w14:textId="6EB2F05F" w:rsidR="004F5CB6" w:rsidRPr="00597771" w:rsidRDefault="004F5CB6" w:rsidP="004F5CB6">
      <w:pPr>
        <w:jc w:val="both"/>
        <w:rPr>
          <w:rFonts w:cstheme="minorHAnsi"/>
        </w:rPr>
      </w:pPr>
      <w:r w:rsidRPr="00597771">
        <w:rPr>
          <w:rFonts w:cstheme="minorHAnsi"/>
          <w:b/>
          <w:bCs/>
        </w:rPr>
        <w:t xml:space="preserve">Delež bruto investicij v opredmetena osnovna sredstva v primerjavi </w:t>
      </w:r>
      <w:r w:rsidR="00840683">
        <w:rPr>
          <w:rFonts w:cstheme="minorHAnsi"/>
          <w:b/>
          <w:bCs/>
        </w:rPr>
        <w:t>s</w:t>
      </w:r>
      <w:r w:rsidRPr="00597771">
        <w:rPr>
          <w:rFonts w:cstheme="minorHAnsi"/>
          <w:b/>
          <w:bCs/>
        </w:rPr>
        <w:t xml:space="preserve"> prihodki</w:t>
      </w:r>
      <w:r w:rsidRPr="00597771">
        <w:rPr>
          <w:rFonts w:cstheme="minorHAnsi"/>
        </w:rPr>
        <w:t xml:space="preserve"> </w:t>
      </w:r>
      <w:r>
        <w:rPr>
          <w:rFonts w:cstheme="minorHAnsi"/>
        </w:rPr>
        <w:t>je bil v Sloveniji</w:t>
      </w:r>
      <w:r w:rsidRPr="00597771">
        <w:rPr>
          <w:rFonts w:cstheme="minorHAnsi"/>
        </w:rPr>
        <w:t xml:space="preserve"> malenkostno višj</w:t>
      </w:r>
      <w:r>
        <w:rPr>
          <w:rFonts w:cstheme="minorHAnsi"/>
        </w:rPr>
        <w:t>i</w:t>
      </w:r>
      <w:r w:rsidRPr="00597771">
        <w:rPr>
          <w:rFonts w:cstheme="minorHAnsi"/>
        </w:rPr>
        <w:t xml:space="preserve"> kot v državah </w:t>
      </w:r>
      <w:r w:rsidR="00DC4FB4">
        <w:rPr>
          <w:rFonts w:cstheme="minorHAnsi"/>
        </w:rPr>
        <w:t>CEE-4</w:t>
      </w:r>
      <w:r w:rsidRPr="00597771">
        <w:rPr>
          <w:rFonts w:cstheme="minorHAnsi"/>
        </w:rPr>
        <w:t xml:space="preserve"> ter višj</w:t>
      </w:r>
      <w:r>
        <w:rPr>
          <w:rFonts w:cstheme="minorHAnsi"/>
        </w:rPr>
        <w:t>i</w:t>
      </w:r>
      <w:r w:rsidRPr="00597771">
        <w:rPr>
          <w:rFonts w:cstheme="minorHAnsi"/>
        </w:rPr>
        <w:t xml:space="preserve"> kot v državah EU-27 (SLO 5,6 %, EU 4,2 %, </w:t>
      </w:r>
      <w:r w:rsidR="00DC4FB4">
        <w:rPr>
          <w:rFonts w:cstheme="minorHAnsi"/>
        </w:rPr>
        <w:t>CEE-4</w:t>
      </w:r>
      <w:r w:rsidRPr="00597771">
        <w:rPr>
          <w:rFonts w:cstheme="minorHAnsi"/>
        </w:rPr>
        <w:t xml:space="preserve"> 5,2 %). K višjemu </w:t>
      </w:r>
      <w:r>
        <w:rPr>
          <w:rFonts w:cstheme="minorHAnsi"/>
        </w:rPr>
        <w:t>s</w:t>
      </w:r>
      <w:r w:rsidRPr="00597771">
        <w:rPr>
          <w:rFonts w:cstheme="minorHAnsi"/>
        </w:rPr>
        <w:t xml:space="preserve">lovenskemu deležu investicij v prihodkih v primerjavi z EU-27 </w:t>
      </w:r>
      <w:r>
        <w:rPr>
          <w:rFonts w:cstheme="minorHAnsi"/>
        </w:rPr>
        <w:t>so pripomogl</w:t>
      </w:r>
      <w:r w:rsidR="00402D08">
        <w:rPr>
          <w:rFonts w:cstheme="minorHAnsi"/>
        </w:rPr>
        <w:t>e</w:t>
      </w:r>
      <w:r>
        <w:rPr>
          <w:rFonts w:cstheme="minorHAnsi"/>
        </w:rPr>
        <w:t xml:space="preserve"> predvsem</w:t>
      </w:r>
      <w:r w:rsidRPr="00597771">
        <w:rPr>
          <w:rFonts w:cstheme="minorHAnsi"/>
        </w:rPr>
        <w:t xml:space="preserve"> lesna, strojna in tekstilna industrija. V primerjavi z državami </w:t>
      </w:r>
      <w:r w:rsidR="00DC4FB4">
        <w:rPr>
          <w:rFonts w:cstheme="minorHAnsi"/>
        </w:rPr>
        <w:t>CEE-4</w:t>
      </w:r>
      <w:r w:rsidRPr="00597771">
        <w:rPr>
          <w:rFonts w:cstheme="minorHAnsi"/>
        </w:rPr>
        <w:t xml:space="preserve"> so odstopanja deleža investicij v prihodkih manjš</w:t>
      </w:r>
      <w:r w:rsidR="00C02B3F">
        <w:rPr>
          <w:rFonts w:cstheme="minorHAnsi"/>
        </w:rPr>
        <w:t>a. Višj</w:t>
      </w:r>
      <w:r w:rsidR="000831E0">
        <w:rPr>
          <w:rFonts w:cstheme="minorHAnsi"/>
        </w:rPr>
        <w:t>i</w:t>
      </w:r>
      <w:r w:rsidR="00C02B3F">
        <w:rPr>
          <w:rFonts w:cstheme="minorHAnsi"/>
        </w:rPr>
        <w:t xml:space="preserve"> </w:t>
      </w:r>
      <w:r w:rsidR="00B41F3F">
        <w:rPr>
          <w:rFonts w:cstheme="minorHAnsi"/>
        </w:rPr>
        <w:t xml:space="preserve">deleži </w:t>
      </w:r>
      <w:r w:rsidR="00C02B3F">
        <w:rPr>
          <w:rFonts w:cstheme="minorHAnsi"/>
        </w:rPr>
        <w:t xml:space="preserve">so v slovenski </w:t>
      </w:r>
      <w:r w:rsidRPr="00597771">
        <w:rPr>
          <w:rFonts w:cstheme="minorHAnsi"/>
        </w:rPr>
        <w:t xml:space="preserve">lesni, elektro in kemični industriji, </w:t>
      </w:r>
      <w:r w:rsidR="000831E0" w:rsidRPr="00597771">
        <w:rPr>
          <w:rFonts w:cstheme="minorHAnsi"/>
        </w:rPr>
        <w:t xml:space="preserve">za </w:t>
      </w:r>
      <w:r w:rsidR="000831E0">
        <w:rPr>
          <w:rFonts w:cstheme="minorHAnsi"/>
        </w:rPr>
        <w:t>CEE-4</w:t>
      </w:r>
      <w:r w:rsidR="000831E0" w:rsidRPr="00597771">
        <w:rPr>
          <w:rFonts w:cstheme="minorHAnsi"/>
        </w:rPr>
        <w:t xml:space="preserve"> pa </w:t>
      </w:r>
      <w:r w:rsidRPr="00597771">
        <w:rPr>
          <w:rFonts w:cstheme="minorHAnsi"/>
        </w:rPr>
        <w:t>zaostaja</w:t>
      </w:r>
      <w:r w:rsidR="00402D08">
        <w:rPr>
          <w:rFonts w:cstheme="minorHAnsi"/>
        </w:rPr>
        <w:t>jo</w:t>
      </w:r>
      <w:r w:rsidRPr="00597771">
        <w:rPr>
          <w:rFonts w:cstheme="minorHAnsi"/>
        </w:rPr>
        <w:t xml:space="preserve">  v papirni industriji in drugih predelovalnih dejavnostih</w:t>
      </w:r>
      <w:r w:rsidRPr="00FD4C45">
        <w:rPr>
          <w:rFonts w:cstheme="minorHAnsi"/>
        </w:rPr>
        <w:t>.</w:t>
      </w:r>
      <w:r w:rsidRPr="00597771">
        <w:rPr>
          <w:rFonts w:cstheme="minorHAnsi"/>
        </w:rPr>
        <w:t xml:space="preserve">  </w:t>
      </w:r>
    </w:p>
    <w:p w14:paraId="2E0604A3" w14:textId="3EA06E8D" w:rsidR="004F5CB6" w:rsidRPr="005026D5" w:rsidRDefault="004F5CB6" w:rsidP="004F5CB6">
      <w:pPr>
        <w:jc w:val="both"/>
        <w:rPr>
          <w:rFonts w:cstheme="minorHAnsi"/>
        </w:rPr>
      </w:pPr>
      <w:r w:rsidRPr="005026D5">
        <w:rPr>
          <w:rFonts w:cstheme="minorHAnsi"/>
        </w:rPr>
        <w:t xml:space="preserve">Slovenija </w:t>
      </w:r>
      <w:r>
        <w:rPr>
          <w:rFonts w:cstheme="minorHAnsi"/>
        </w:rPr>
        <w:t xml:space="preserve">je </w:t>
      </w:r>
      <w:r w:rsidRPr="005026D5">
        <w:rPr>
          <w:rFonts w:cstheme="minorHAnsi"/>
        </w:rPr>
        <w:t xml:space="preserve">v 2017 </w:t>
      </w:r>
      <w:r>
        <w:rPr>
          <w:rFonts w:cstheme="minorHAnsi"/>
        </w:rPr>
        <w:t xml:space="preserve">ustvarila </w:t>
      </w:r>
      <w:r w:rsidRPr="005026D5">
        <w:rPr>
          <w:rFonts w:cstheme="minorHAnsi"/>
        </w:rPr>
        <w:t xml:space="preserve">višjo </w:t>
      </w:r>
      <w:r w:rsidRPr="00EC75FE">
        <w:rPr>
          <w:rFonts w:cstheme="minorHAnsi"/>
          <w:b/>
          <w:bCs/>
        </w:rPr>
        <w:t>dodano vrednost na zaposlenega</w:t>
      </w:r>
      <w:r w:rsidRPr="005026D5">
        <w:rPr>
          <w:rFonts w:cstheme="minorHAnsi"/>
        </w:rPr>
        <w:t xml:space="preserve"> v predelovalnih dejavnostih (44,3 tisoč EUR)</w:t>
      </w:r>
      <w:r w:rsidR="008763C8">
        <w:rPr>
          <w:rFonts w:cstheme="minorHAnsi"/>
        </w:rPr>
        <w:t>,</w:t>
      </w:r>
      <w:r w:rsidRPr="005026D5">
        <w:rPr>
          <w:rFonts w:cstheme="minorHAnsi"/>
        </w:rPr>
        <w:t xml:space="preserve"> kot </w:t>
      </w:r>
      <w:r>
        <w:rPr>
          <w:rFonts w:cstheme="minorHAnsi"/>
        </w:rPr>
        <w:t>je</w:t>
      </w:r>
      <w:r w:rsidRPr="005026D5">
        <w:rPr>
          <w:rFonts w:cstheme="minorHAnsi"/>
        </w:rPr>
        <w:t xml:space="preserve"> znaša</w:t>
      </w:r>
      <w:r>
        <w:rPr>
          <w:rFonts w:cstheme="minorHAnsi"/>
        </w:rPr>
        <w:t>la</w:t>
      </w:r>
      <w:r w:rsidRPr="005026D5">
        <w:rPr>
          <w:rFonts w:cstheme="minorHAnsi"/>
        </w:rPr>
        <w:t xml:space="preserve"> mediana v državah </w:t>
      </w:r>
      <w:r w:rsidR="00DC4FB4">
        <w:rPr>
          <w:rFonts w:cstheme="minorHAnsi"/>
        </w:rPr>
        <w:t>CEE-4</w:t>
      </w:r>
      <w:r w:rsidRPr="005026D5">
        <w:rPr>
          <w:rFonts w:cstheme="minorHAnsi"/>
        </w:rPr>
        <w:t xml:space="preserve"> (33</w:t>
      </w:r>
      <w:r w:rsidR="00E97E98">
        <w:rPr>
          <w:rFonts w:cstheme="minorHAnsi"/>
        </w:rPr>
        <w:t>.000</w:t>
      </w:r>
      <w:r w:rsidRPr="005026D5">
        <w:rPr>
          <w:rFonts w:cstheme="minorHAnsi"/>
        </w:rPr>
        <w:t xml:space="preserve"> EUR), ter nižjo</w:t>
      </w:r>
      <w:r w:rsidR="00E97E98">
        <w:rPr>
          <w:rFonts w:cstheme="minorHAnsi"/>
        </w:rPr>
        <w:t>,</w:t>
      </w:r>
      <w:r w:rsidRPr="005026D5">
        <w:rPr>
          <w:rFonts w:cstheme="minorHAnsi"/>
        </w:rPr>
        <w:t xml:space="preserve"> kot </w:t>
      </w:r>
      <w:r>
        <w:rPr>
          <w:rFonts w:cstheme="minorHAnsi"/>
        </w:rPr>
        <w:t xml:space="preserve">je </w:t>
      </w:r>
      <w:r w:rsidRPr="005026D5">
        <w:rPr>
          <w:rFonts w:cstheme="minorHAnsi"/>
        </w:rPr>
        <w:t>znaša</w:t>
      </w:r>
      <w:r>
        <w:rPr>
          <w:rFonts w:cstheme="minorHAnsi"/>
        </w:rPr>
        <w:t>la</w:t>
      </w:r>
      <w:r w:rsidRPr="005026D5">
        <w:rPr>
          <w:rFonts w:cstheme="minorHAnsi"/>
        </w:rPr>
        <w:t xml:space="preserve"> median</w:t>
      </w:r>
      <w:r>
        <w:rPr>
          <w:rFonts w:cstheme="minorHAnsi"/>
        </w:rPr>
        <w:t>a</w:t>
      </w:r>
      <w:r w:rsidRPr="005026D5">
        <w:rPr>
          <w:rFonts w:cstheme="minorHAnsi"/>
        </w:rPr>
        <w:t xml:space="preserve"> v državah EU-27 (43,7 tisoč EUR). Slovenija </w:t>
      </w:r>
      <w:r w:rsidR="00160860" w:rsidRPr="005026D5">
        <w:rPr>
          <w:rFonts w:cstheme="minorHAnsi"/>
        </w:rPr>
        <w:t xml:space="preserve">je </w:t>
      </w:r>
      <w:r w:rsidRPr="005026D5">
        <w:rPr>
          <w:rFonts w:cstheme="minorHAnsi"/>
        </w:rPr>
        <w:t>v primerjavi z državami EU-27 po ustvarjeni dodani vrednosti na zaposlenega najbolj pridobila</w:t>
      </w:r>
      <w:r w:rsidR="00160860">
        <w:rPr>
          <w:rFonts w:cstheme="minorHAnsi"/>
        </w:rPr>
        <w:t>,</w:t>
      </w:r>
      <w:r w:rsidRPr="005026D5">
        <w:rPr>
          <w:rFonts w:cstheme="minorHAnsi"/>
        </w:rPr>
        <w:t xml:space="preserve"> oz</w:t>
      </w:r>
      <w:r w:rsidR="00160860">
        <w:rPr>
          <w:rFonts w:cstheme="minorHAnsi"/>
        </w:rPr>
        <w:t>iroma</w:t>
      </w:r>
      <w:r w:rsidRPr="005026D5">
        <w:rPr>
          <w:rFonts w:cstheme="minorHAnsi"/>
        </w:rPr>
        <w:t xml:space="preserve"> najbolj prehiteva, med drugimi predelovalnimi dejavnostmi, v drugih predelovalnih dejavnostih (za 14</w:t>
      </w:r>
      <w:r w:rsidR="00160860">
        <w:rPr>
          <w:rFonts w:cstheme="minorHAnsi"/>
        </w:rPr>
        <w:t>.000</w:t>
      </w:r>
      <w:r w:rsidRPr="005026D5">
        <w:rPr>
          <w:rFonts w:cstheme="minorHAnsi"/>
        </w:rPr>
        <w:t xml:space="preserve"> EUR), tekstilni (za dobrih 3</w:t>
      </w:r>
      <w:r w:rsidR="00160860">
        <w:rPr>
          <w:rFonts w:cstheme="minorHAnsi"/>
        </w:rPr>
        <w:t xml:space="preserve">.000 </w:t>
      </w:r>
      <w:r w:rsidRPr="005026D5">
        <w:rPr>
          <w:rFonts w:cstheme="minorHAnsi"/>
        </w:rPr>
        <w:t>EUR), prehrambni (slabih 3</w:t>
      </w:r>
      <w:r w:rsidR="00160860">
        <w:rPr>
          <w:rFonts w:cstheme="minorHAnsi"/>
        </w:rPr>
        <w:t>.000</w:t>
      </w:r>
      <w:r w:rsidRPr="005026D5">
        <w:rPr>
          <w:rFonts w:cstheme="minorHAnsi"/>
        </w:rPr>
        <w:t xml:space="preserve"> EUR) </w:t>
      </w:r>
      <w:r w:rsidR="008763C8">
        <w:rPr>
          <w:rFonts w:cstheme="minorHAnsi"/>
        </w:rPr>
        <w:t xml:space="preserve">in </w:t>
      </w:r>
      <w:r w:rsidRPr="005026D5">
        <w:rPr>
          <w:rFonts w:cstheme="minorHAnsi"/>
        </w:rPr>
        <w:t>lesni industriji (za dobrih 2</w:t>
      </w:r>
      <w:r w:rsidR="00160860">
        <w:rPr>
          <w:rFonts w:cstheme="minorHAnsi"/>
        </w:rPr>
        <w:t>.000</w:t>
      </w:r>
      <w:r w:rsidRPr="005026D5">
        <w:rPr>
          <w:rFonts w:cstheme="minorHAnsi"/>
        </w:rPr>
        <w:t xml:space="preserve"> EUR dodane vrednosti na zaposlenega). Na drugi strani za EU-27 (mediana) Slovenija najbolj zaostaja v kemični (8</w:t>
      </w:r>
      <w:r w:rsidR="00160860">
        <w:rPr>
          <w:rFonts w:cstheme="minorHAnsi"/>
        </w:rPr>
        <w:t xml:space="preserve">.000 </w:t>
      </w:r>
      <w:r w:rsidRPr="005026D5">
        <w:rPr>
          <w:rFonts w:cstheme="minorHAnsi"/>
        </w:rPr>
        <w:t>EUR)</w:t>
      </w:r>
      <w:r w:rsidR="008763C8">
        <w:rPr>
          <w:rFonts w:cstheme="minorHAnsi"/>
        </w:rPr>
        <w:t>,</w:t>
      </w:r>
      <w:r w:rsidRPr="005026D5">
        <w:rPr>
          <w:rFonts w:cstheme="minorHAnsi"/>
        </w:rPr>
        <w:t xml:space="preserve"> elektro (za dobrih 3</w:t>
      </w:r>
      <w:r w:rsidR="00160860">
        <w:rPr>
          <w:rFonts w:cstheme="minorHAnsi"/>
        </w:rPr>
        <w:t xml:space="preserve">.000 </w:t>
      </w:r>
      <w:r w:rsidRPr="005026D5">
        <w:rPr>
          <w:rFonts w:cstheme="minorHAnsi"/>
        </w:rPr>
        <w:t>EUR) in papirni industriji (dobrih 2</w:t>
      </w:r>
      <w:r w:rsidR="00160860">
        <w:rPr>
          <w:rFonts w:cstheme="minorHAnsi"/>
        </w:rPr>
        <w:t>.000</w:t>
      </w:r>
      <w:r w:rsidRPr="005026D5">
        <w:rPr>
          <w:rFonts w:cstheme="minorHAnsi"/>
        </w:rPr>
        <w:t xml:space="preserve"> EUR). Slovenija </w:t>
      </w:r>
      <w:r w:rsidR="00160860">
        <w:rPr>
          <w:rFonts w:cstheme="minorHAnsi"/>
        </w:rPr>
        <w:t xml:space="preserve">je </w:t>
      </w:r>
      <w:r w:rsidRPr="005026D5">
        <w:rPr>
          <w:rFonts w:cstheme="minorHAnsi"/>
        </w:rPr>
        <w:t xml:space="preserve">v primerjavi z državami </w:t>
      </w:r>
      <w:r w:rsidR="00DC4FB4">
        <w:rPr>
          <w:rFonts w:cstheme="minorHAnsi"/>
        </w:rPr>
        <w:t>CEE-4</w:t>
      </w:r>
      <w:r w:rsidRPr="005026D5">
        <w:rPr>
          <w:rFonts w:cstheme="minorHAnsi"/>
        </w:rPr>
        <w:t xml:space="preserve">  po ustvarjeni dodani vrednosti na zaposlenega najbolj pridobila</w:t>
      </w:r>
      <w:r w:rsidR="00160860">
        <w:rPr>
          <w:rFonts w:cstheme="minorHAnsi"/>
        </w:rPr>
        <w:t>,</w:t>
      </w:r>
      <w:r w:rsidRPr="005026D5">
        <w:rPr>
          <w:rFonts w:cstheme="minorHAnsi"/>
        </w:rPr>
        <w:t xml:space="preserve"> oz</w:t>
      </w:r>
      <w:r w:rsidR="00160860">
        <w:rPr>
          <w:rFonts w:cstheme="minorHAnsi"/>
        </w:rPr>
        <w:t>iroma</w:t>
      </w:r>
      <w:r w:rsidR="00160860" w:rsidRPr="005026D5">
        <w:rPr>
          <w:rFonts w:cstheme="minorHAnsi"/>
        </w:rPr>
        <w:t xml:space="preserve"> </w:t>
      </w:r>
      <w:r w:rsidRPr="005026D5">
        <w:rPr>
          <w:rFonts w:cstheme="minorHAnsi"/>
        </w:rPr>
        <w:t>najbolj prehiteva, med drugimi predelovalnimi dejavnostmi, v kemični industriji (za 20</w:t>
      </w:r>
      <w:r w:rsidR="00160860">
        <w:rPr>
          <w:rFonts w:cstheme="minorHAnsi"/>
        </w:rPr>
        <w:t>.000</w:t>
      </w:r>
      <w:r w:rsidRPr="005026D5">
        <w:rPr>
          <w:rFonts w:cstheme="minorHAnsi"/>
        </w:rPr>
        <w:t xml:space="preserve"> EUR) ter drugih predelovalnih dejavnostih (za več kot 19</w:t>
      </w:r>
      <w:r w:rsidR="00160860">
        <w:rPr>
          <w:rFonts w:cstheme="minorHAnsi"/>
        </w:rPr>
        <w:t>.000</w:t>
      </w:r>
      <w:r w:rsidRPr="005026D5">
        <w:rPr>
          <w:rFonts w:cstheme="minorHAnsi"/>
        </w:rPr>
        <w:t xml:space="preserve"> EUR), </w:t>
      </w:r>
      <w:r w:rsidR="008763C8">
        <w:rPr>
          <w:rFonts w:cstheme="minorHAnsi"/>
        </w:rPr>
        <w:t xml:space="preserve">pa </w:t>
      </w:r>
      <w:r w:rsidRPr="005026D5">
        <w:rPr>
          <w:rFonts w:cstheme="minorHAnsi"/>
        </w:rPr>
        <w:t>tudi v tekstilni, lesni</w:t>
      </w:r>
      <w:r w:rsidR="008763C8">
        <w:rPr>
          <w:rFonts w:cstheme="minorHAnsi"/>
        </w:rPr>
        <w:t>,</w:t>
      </w:r>
      <w:r w:rsidRPr="005026D5">
        <w:rPr>
          <w:rFonts w:cstheme="minorHAnsi"/>
        </w:rPr>
        <w:t xml:space="preserve"> kovinski in nekovinski industriji (med</w:t>
      </w:r>
      <w:r>
        <w:rPr>
          <w:rFonts w:cstheme="minorHAnsi"/>
        </w:rPr>
        <w:t xml:space="preserve"> </w:t>
      </w:r>
      <w:r w:rsidRPr="005026D5">
        <w:rPr>
          <w:rFonts w:cstheme="minorHAnsi"/>
        </w:rPr>
        <w:t xml:space="preserve">12-14 tisoč EUR). Slovenija tako po dodani vrednosti na zaposlenega beleži v vseh predelovalnih panogah višjo dodano vrednost kot pa primerljive panoge v </w:t>
      </w:r>
      <w:r w:rsidR="00DC4FB4">
        <w:rPr>
          <w:rFonts w:cstheme="minorHAnsi"/>
        </w:rPr>
        <w:t>CEE-4</w:t>
      </w:r>
      <w:r w:rsidRPr="005026D5">
        <w:rPr>
          <w:rFonts w:cstheme="minorHAnsi"/>
        </w:rPr>
        <w:t xml:space="preserve"> (mediana).</w:t>
      </w:r>
    </w:p>
    <w:p w14:paraId="37ECB25D" w14:textId="77777777" w:rsidR="00120E6B" w:rsidRPr="00120E6B" w:rsidRDefault="00120E6B" w:rsidP="00120E6B">
      <w:pPr>
        <w:spacing w:after="0"/>
        <w:jc w:val="both"/>
        <w:rPr>
          <w:rFonts w:cstheme="minorHAnsi"/>
          <w:b/>
          <w:bCs/>
          <w:color w:val="8AB833" w:themeColor="accent2"/>
        </w:rPr>
      </w:pPr>
      <w:r w:rsidRPr="00120E6B">
        <w:rPr>
          <w:rFonts w:asciiTheme="majorHAnsi" w:eastAsia="Times New Roman" w:hAnsiTheme="majorHAnsi" w:cs="Arial"/>
          <w:b/>
          <w:bCs/>
          <w:color w:val="8AB833" w:themeColor="accent2"/>
          <w:lang w:eastAsia="sl-SI"/>
        </w:rPr>
        <w:t>Odstopanje Slovenije</w:t>
      </w:r>
      <w:r w:rsidRPr="00120E6B">
        <w:rPr>
          <w:rStyle w:val="Sprotnaopomba-sklic"/>
          <w:rFonts w:asciiTheme="majorHAnsi" w:eastAsia="Times New Roman" w:hAnsiTheme="majorHAnsi" w:cs="Arial"/>
          <w:b/>
          <w:bCs/>
          <w:color w:val="8AB833" w:themeColor="accent2"/>
          <w:lang w:eastAsia="sl-SI"/>
        </w:rPr>
        <w:footnoteReference w:id="51"/>
      </w:r>
      <w:r w:rsidRPr="00120E6B">
        <w:rPr>
          <w:rFonts w:asciiTheme="majorHAnsi" w:eastAsia="Times New Roman" w:hAnsiTheme="majorHAnsi" w:cs="Arial"/>
          <w:b/>
          <w:bCs/>
          <w:color w:val="8AB833" w:themeColor="accent2"/>
          <w:lang w:eastAsia="sl-SI"/>
        </w:rPr>
        <w:t xml:space="preserve"> po </w:t>
      </w:r>
      <w:r w:rsidR="00692A14">
        <w:rPr>
          <w:rFonts w:asciiTheme="majorHAnsi" w:eastAsia="Times New Roman" w:hAnsiTheme="majorHAnsi" w:cs="Arial"/>
          <w:b/>
          <w:bCs/>
          <w:color w:val="8AB833" w:themeColor="accent2"/>
          <w:lang w:eastAsia="sl-SI"/>
        </w:rPr>
        <w:t xml:space="preserve">oddelkih </w:t>
      </w:r>
      <w:r w:rsidR="00692A14" w:rsidRPr="00120E6B">
        <w:rPr>
          <w:rFonts w:asciiTheme="majorHAnsi" w:eastAsia="Times New Roman" w:hAnsiTheme="majorHAnsi" w:cs="Arial"/>
          <w:b/>
          <w:bCs/>
          <w:color w:val="8AB833" w:themeColor="accent2"/>
          <w:lang w:eastAsia="sl-SI"/>
        </w:rPr>
        <w:t xml:space="preserve">predelovalnih </w:t>
      </w:r>
      <w:r w:rsidR="00692A14">
        <w:rPr>
          <w:rFonts w:asciiTheme="majorHAnsi" w:eastAsia="Times New Roman" w:hAnsiTheme="majorHAnsi" w:cs="Arial"/>
          <w:b/>
          <w:bCs/>
          <w:color w:val="8AB833" w:themeColor="accent2"/>
          <w:lang w:eastAsia="sl-SI"/>
        </w:rPr>
        <w:t>dejavnosti</w:t>
      </w:r>
      <w:r w:rsidR="00692A14" w:rsidRPr="00120E6B">
        <w:rPr>
          <w:rFonts w:asciiTheme="majorHAnsi" w:eastAsia="Times New Roman" w:hAnsiTheme="majorHAnsi" w:cs="Arial"/>
          <w:b/>
          <w:bCs/>
          <w:color w:val="8AB833" w:themeColor="accent2"/>
          <w:lang w:eastAsia="sl-SI"/>
        </w:rPr>
        <w:t xml:space="preserve"> </w:t>
      </w:r>
      <w:r w:rsidRPr="00120E6B">
        <w:rPr>
          <w:rFonts w:asciiTheme="majorHAnsi" w:eastAsia="Times New Roman" w:hAnsiTheme="majorHAnsi" w:cs="Arial"/>
          <w:b/>
          <w:bCs/>
          <w:color w:val="8AB833" w:themeColor="accent2"/>
          <w:lang w:eastAsia="sl-SI"/>
        </w:rPr>
        <w:t>v primerjavi z mediano kazalnika</w:t>
      </w:r>
      <w:r w:rsidR="001C7D9F">
        <w:rPr>
          <w:rFonts w:asciiTheme="majorHAnsi" w:eastAsia="Times New Roman" w:hAnsiTheme="majorHAnsi" w:cs="Arial"/>
          <w:b/>
          <w:bCs/>
          <w:color w:val="8AB833" w:themeColor="accent2"/>
          <w:lang w:eastAsia="sl-SI"/>
        </w:rPr>
        <w:t xml:space="preserve"> pri</w:t>
      </w:r>
      <w:r w:rsidRPr="00120E6B">
        <w:rPr>
          <w:rFonts w:asciiTheme="majorHAnsi" w:eastAsia="Times New Roman" w:hAnsiTheme="majorHAnsi" w:cs="Arial"/>
          <w:b/>
          <w:bCs/>
          <w:color w:val="8AB833" w:themeColor="accent2"/>
          <w:lang w:eastAsia="sl-SI"/>
        </w:rPr>
        <w:t xml:space="preserve"> </w:t>
      </w:r>
      <w:r w:rsidR="001C7D9F">
        <w:rPr>
          <w:rFonts w:asciiTheme="majorHAnsi" w:eastAsia="Times New Roman" w:hAnsiTheme="majorHAnsi" w:cs="Arial"/>
          <w:b/>
          <w:bCs/>
          <w:color w:val="8AB833" w:themeColor="accent2"/>
          <w:lang w:eastAsia="sl-SI"/>
        </w:rPr>
        <w:t>skupini srednjeevropskih držav (CEE-4)</w:t>
      </w:r>
      <w:r w:rsidRPr="00120E6B">
        <w:rPr>
          <w:rFonts w:asciiTheme="majorHAnsi" w:eastAsia="Times New Roman" w:hAnsiTheme="majorHAnsi" w:cs="Arial"/>
          <w:b/>
          <w:bCs/>
          <w:color w:val="8AB833" w:themeColor="accent2"/>
          <w:lang w:eastAsia="sl-SI"/>
        </w:rPr>
        <w:t>, 2017</w:t>
      </w:r>
    </w:p>
    <w:tbl>
      <w:tblPr>
        <w:tblStyle w:val="Tabelaseznam4poudarek21"/>
        <w:tblW w:w="9150" w:type="dxa"/>
        <w:tblLook w:val="04A0" w:firstRow="1" w:lastRow="0" w:firstColumn="1" w:lastColumn="0" w:noHBand="0" w:noVBand="1"/>
      </w:tblPr>
      <w:tblGrid>
        <w:gridCol w:w="1701"/>
        <w:gridCol w:w="1276"/>
        <w:gridCol w:w="1192"/>
        <w:gridCol w:w="1134"/>
        <w:gridCol w:w="1131"/>
        <w:gridCol w:w="1358"/>
        <w:gridCol w:w="1358"/>
      </w:tblGrid>
      <w:tr w:rsidR="009B538E" w:rsidRPr="00BE5685" w14:paraId="4F826507" w14:textId="77777777" w:rsidTr="00640727">
        <w:trPr>
          <w:cnfStyle w:val="100000000000" w:firstRow="1" w:lastRow="0" w:firstColumn="0" w:lastColumn="0" w:oddVBand="0" w:evenVBand="0" w:oddHBand="0"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0E8368C3" w14:textId="77777777" w:rsidR="00120E6B" w:rsidRPr="009B538E" w:rsidRDefault="00120E6B" w:rsidP="00640727">
            <w:pPr>
              <w:spacing w:before="0"/>
              <w:rPr>
                <w:rFonts w:asciiTheme="majorHAnsi" w:hAnsiTheme="majorHAnsi"/>
              </w:rPr>
            </w:pPr>
            <w:r w:rsidRPr="00FD4C45">
              <w:rPr>
                <w:rFonts w:asciiTheme="majorHAnsi" w:hAnsiTheme="majorHAnsi"/>
              </w:rPr>
              <w:t>Ključne skupine predelovalnih dejavnosti</w:t>
            </w:r>
          </w:p>
        </w:tc>
        <w:tc>
          <w:tcPr>
            <w:tcW w:w="1276" w:type="dxa"/>
            <w:vAlign w:val="center"/>
            <w:hideMark/>
          </w:tcPr>
          <w:p w14:paraId="6256C58C" w14:textId="77777777" w:rsidR="00120E6B" w:rsidRPr="009B538E" w:rsidRDefault="00120E6B" w:rsidP="0064072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rPr>
                <w:rFonts w:asciiTheme="majorHAnsi" w:hAnsiTheme="majorHAnsi"/>
              </w:rPr>
              <w:t>Bruto marža</w:t>
            </w:r>
          </w:p>
          <w:p w14:paraId="35E57B5B" w14:textId="77777777" w:rsidR="00120E6B" w:rsidRPr="009B538E" w:rsidRDefault="00120E6B" w:rsidP="0064072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rPr>
                <w:rFonts w:asciiTheme="majorHAnsi" w:hAnsiTheme="majorHAnsi"/>
              </w:rPr>
              <w:t>v o.t.</w:t>
            </w:r>
          </w:p>
        </w:tc>
        <w:tc>
          <w:tcPr>
            <w:tcW w:w="1137" w:type="dxa"/>
            <w:vAlign w:val="center"/>
            <w:hideMark/>
          </w:tcPr>
          <w:p w14:paraId="3FBA1053" w14:textId="77777777" w:rsidR="00120E6B" w:rsidRPr="009B538E" w:rsidRDefault="00120E6B" w:rsidP="0064072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rPr>
                <w:rFonts w:asciiTheme="majorHAnsi" w:hAnsiTheme="majorHAnsi"/>
              </w:rPr>
              <w:t>Investicije /prihodkih</w:t>
            </w:r>
          </w:p>
          <w:p w14:paraId="601117D1" w14:textId="77777777" w:rsidR="00120E6B" w:rsidRPr="009B538E" w:rsidRDefault="00120E6B" w:rsidP="0064072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rPr>
                <w:rFonts w:asciiTheme="majorHAnsi" w:hAnsiTheme="majorHAnsi"/>
              </w:rPr>
              <w:t>v o.t.</w:t>
            </w:r>
          </w:p>
        </w:tc>
        <w:tc>
          <w:tcPr>
            <w:tcW w:w="1134" w:type="dxa"/>
            <w:vAlign w:val="center"/>
            <w:hideMark/>
          </w:tcPr>
          <w:p w14:paraId="0ACB9AB3" w14:textId="77777777" w:rsidR="00120E6B" w:rsidRPr="009B538E" w:rsidRDefault="00120E6B" w:rsidP="0064072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rPr>
                <w:rFonts w:asciiTheme="majorHAnsi" w:hAnsiTheme="majorHAnsi"/>
              </w:rPr>
              <w:t>EBITDA marža</w:t>
            </w:r>
          </w:p>
          <w:p w14:paraId="3FFA7C7A" w14:textId="77777777" w:rsidR="00120E6B" w:rsidRPr="009B538E" w:rsidRDefault="00120E6B" w:rsidP="0064072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rPr>
                <w:rFonts w:asciiTheme="majorHAnsi" w:hAnsiTheme="majorHAnsi"/>
              </w:rPr>
              <w:t>v o.t.</w:t>
            </w:r>
          </w:p>
        </w:tc>
        <w:tc>
          <w:tcPr>
            <w:tcW w:w="1131" w:type="dxa"/>
            <w:vAlign w:val="center"/>
            <w:hideMark/>
          </w:tcPr>
          <w:p w14:paraId="078617AF" w14:textId="77777777" w:rsidR="00120E6B" w:rsidRPr="009B538E" w:rsidRDefault="00120E6B" w:rsidP="0064072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rPr>
                <w:rFonts w:asciiTheme="majorHAnsi" w:hAnsiTheme="majorHAnsi"/>
              </w:rPr>
              <w:t>Strošek dela v DV</w:t>
            </w:r>
          </w:p>
          <w:p w14:paraId="3E47535D" w14:textId="77777777" w:rsidR="00120E6B" w:rsidRPr="009B538E" w:rsidRDefault="00120E6B" w:rsidP="0064072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rPr>
                <w:rFonts w:asciiTheme="majorHAnsi" w:hAnsiTheme="majorHAnsi"/>
              </w:rPr>
              <w:t>v o.t.</w:t>
            </w:r>
          </w:p>
        </w:tc>
        <w:tc>
          <w:tcPr>
            <w:tcW w:w="1244" w:type="dxa"/>
            <w:vAlign w:val="center"/>
            <w:hideMark/>
          </w:tcPr>
          <w:p w14:paraId="5155F8DE" w14:textId="77777777" w:rsidR="00120E6B" w:rsidRPr="009B538E" w:rsidRDefault="00120E6B" w:rsidP="0064072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rPr>
                <w:rFonts w:asciiTheme="majorHAnsi" w:hAnsiTheme="majorHAnsi"/>
              </w:rPr>
              <w:t>DV/ zaposlenega</w:t>
            </w:r>
          </w:p>
          <w:p w14:paraId="6A392D92" w14:textId="77777777" w:rsidR="00120E6B" w:rsidRPr="009B538E" w:rsidRDefault="00120E6B" w:rsidP="0064072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p>
        </w:tc>
        <w:tc>
          <w:tcPr>
            <w:tcW w:w="1248" w:type="dxa"/>
            <w:vAlign w:val="center"/>
            <w:hideMark/>
          </w:tcPr>
          <w:p w14:paraId="2E961A79" w14:textId="77777777" w:rsidR="00120E6B" w:rsidRPr="009B538E" w:rsidRDefault="00120E6B" w:rsidP="0064072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rPr>
                <w:rFonts w:asciiTheme="majorHAnsi" w:hAnsiTheme="majorHAnsi"/>
              </w:rPr>
              <w:t>Prihodki/ zaposlenega</w:t>
            </w:r>
          </w:p>
        </w:tc>
      </w:tr>
      <w:tr w:rsidR="009B538E" w:rsidRPr="00BE5685" w14:paraId="392CEB60"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86AABE9" w14:textId="77777777" w:rsidR="00120E6B" w:rsidRPr="009B538E" w:rsidRDefault="00120E6B" w:rsidP="00640727">
            <w:pPr>
              <w:spacing w:before="0"/>
              <w:rPr>
                <w:rFonts w:asciiTheme="majorHAnsi" w:hAnsiTheme="majorHAnsi"/>
                <w:b w:val="0"/>
              </w:rPr>
            </w:pPr>
            <w:r w:rsidRPr="009B538E">
              <w:rPr>
                <w:rFonts w:asciiTheme="majorHAnsi" w:hAnsiTheme="majorHAnsi"/>
                <w:color w:val="000000" w:themeColor="text1"/>
              </w:rPr>
              <w:t>PREDEL. DEJ. SKUPAJ</w:t>
            </w:r>
          </w:p>
        </w:tc>
        <w:tc>
          <w:tcPr>
            <w:tcW w:w="1276" w:type="dxa"/>
            <w:vAlign w:val="center"/>
            <w:hideMark/>
          </w:tcPr>
          <w:p w14:paraId="0F51F8D7"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9B538E">
              <w:rPr>
                <w:rFonts w:asciiTheme="majorHAnsi" w:hAnsiTheme="majorHAnsi"/>
                <w:b/>
              </w:rPr>
              <w:t>6,5</w:t>
            </w:r>
          </w:p>
        </w:tc>
        <w:tc>
          <w:tcPr>
            <w:tcW w:w="1137" w:type="dxa"/>
            <w:vAlign w:val="center"/>
            <w:hideMark/>
          </w:tcPr>
          <w:p w14:paraId="56C418DC"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9B538E">
              <w:rPr>
                <w:rFonts w:asciiTheme="majorHAnsi" w:hAnsiTheme="majorHAnsi"/>
                <w:b/>
              </w:rPr>
              <w:t>0,5</w:t>
            </w:r>
          </w:p>
        </w:tc>
        <w:tc>
          <w:tcPr>
            <w:tcW w:w="1134" w:type="dxa"/>
            <w:vAlign w:val="center"/>
            <w:hideMark/>
          </w:tcPr>
          <w:p w14:paraId="3BFA9813"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9B538E">
              <w:rPr>
                <w:rFonts w:asciiTheme="majorHAnsi" w:hAnsiTheme="majorHAnsi"/>
                <w:b/>
              </w:rPr>
              <w:t>0,9</w:t>
            </w:r>
          </w:p>
        </w:tc>
        <w:tc>
          <w:tcPr>
            <w:tcW w:w="1131" w:type="dxa"/>
            <w:vAlign w:val="center"/>
            <w:hideMark/>
          </w:tcPr>
          <w:p w14:paraId="17A8D6D0"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9B538E">
              <w:rPr>
                <w:rFonts w:asciiTheme="majorHAnsi" w:hAnsiTheme="majorHAnsi"/>
                <w:b/>
              </w:rPr>
              <w:t>7,7</w:t>
            </w:r>
          </w:p>
        </w:tc>
        <w:tc>
          <w:tcPr>
            <w:tcW w:w="1244" w:type="dxa"/>
            <w:vAlign w:val="center"/>
            <w:hideMark/>
          </w:tcPr>
          <w:p w14:paraId="4345AF19"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9B538E">
              <w:rPr>
                <w:b/>
              </w:rPr>
              <w:t>10.839</w:t>
            </w:r>
          </w:p>
        </w:tc>
        <w:tc>
          <w:tcPr>
            <w:tcW w:w="1248" w:type="dxa"/>
            <w:vAlign w:val="center"/>
            <w:hideMark/>
          </w:tcPr>
          <w:p w14:paraId="635B1B23"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9B538E">
              <w:rPr>
                <w:b/>
              </w:rPr>
              <w:t>281</w:t>
            </w:r>
          </w:p>
        </w:tc>
      </w:tr>
      <w:tr w:rsidR="00120E6B" w:rsidRPr="00BE5685" w14:paraId="5387FC6B" w14:textId="77777777" w:rsidTr="002C098B">
        <w:tc>
          <w:tcPr>
            <w:cnfStyle w:val="001000000000" w:firstRow="0" w:lastRow="0" w:firstColumn="1" w:lastColumn="0" w:oddVBand="0" w:evenVBand="0" w:oddHBand="0" w:evenHBand="0" w:firstRowFirstColumn="0" w:firstRowLastColumn="0" w:lastRowFirstColumn="0" w:lastRowLastColumn="0"/>
            <w:tcW w:w="1980" w:type="dxa"/>
          </w:tcPr>
          <w:p w14:paraId="0B4E9DAA" w14:textId="77777777" w:rsidR="00120E6B" w:rsidRPr="009B538E" w:rsidRDefault="00120E6B" w:rsidP="00640727">
            <w:pPr>
              <w:spacing w:before="0"/>
              <w:rPr>
                <w:rFonts w:asciiTheme="majorHAnsi" w:hAnsiTheme="majorHAnsi"/>
                <w:b w:val="0"/>
              </w:rPr>
            </w:pPr>
            <w:r w:rsidRPr="00FD4C45">
              <w:rPr>
                <w:rFonts w:asciiTheme="majorHAnsi" w:hAnsiTheme="majorHAnsi"/>
                <w:color w:val="000000" w:themeColor="text1"/>
              </w:rPr>
              <w:t>Prehrambna</w:t>
            </w:r>
          </w:p>
        </w:tc>
        <w:tc>
          <w:tcPr>
            <w:tcW w:w="1276" w:type="dxa"/>
            <w:noWrap/>
            <w:vAlign w:val="center"/>
            <w:hideMark/>
          </w:tcPr>
          <w:p w14:paraId="620349CA"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4,5</w:t>
            </w:r>
          </w:p>
        </w:tc>
        <w:tc>
          <w:tcPr>
            <w:tcW w:w="1137" w:type="dxa"/>
            <w:noWrap/>
            <w:vAlign w:val="center"/>
            <w:hideMark/>
          </w:tcPr>
          <w:p w14:paraId="3332ABB7"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-0,8</w:t>
            </w:r>
          </w:p>
        </w:tc>
        <w:tc>
          <w:tcPr>
            <w:tcW w:w="1134" w:type="dxa"/>
            <w:noWrap/>
            <w:vAlign w:val="center"/>
            <w:hideMark/>
          </w:tcPr>
          <w:p w14:paraId="39F26372"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-0,1</w:t>
            </w:r>
          </w:p>
        </w:tc>
        <w:tc>
          <w:tcPr>
            <w:tcW w:w="1131" w:type="dxa"/>
            <w:noWrap/>
            <w:vAlign w:val="center"/>
            <w:hideMark/>
          </w:tcPr>
          <w:p w14:paraId="22DDEFB2"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7,4</w:t>
            </w:r>
          </w:p>
        </w:tc>
        <w:tc>
          <w:tcPr>
            <w:tcW w:w="1244" w:type="dxa"/>
            <w:noWrap/>
            <w:vAlign w:val="center"/>
            <w:hideMark/>
          </w:tcPr>
          <w:p w14:paraId="37414CFE"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9.520</w:t>
            </w:r>
          </w:p>
        </w:tc>
        <w:tc>
          <w:tcPr>
            <w:tcW w:w="1248" w:type="dxa"/>
            <w:noWrap/>
            <w:vAlign w:val="center"/>
            <w:hideMark/>
          </w:tcPr>
          <w:p w14:paraId="5F337122"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19.632</w:t>
            </w:r>
          </w:p>
        </w:tc>
      </w:tr>
      <w:tr w:rsidR="009B538E" w:rsidRPr="00BE5685" w14:paraId="577F63B8"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2EB7143" w14:textId="77777777" w:rsidR="00120E6B" w:rsidRPr="009B538E" w:rsidRDefault="00120E6B" w:rsidP="00640727">
            <w:pPr>
              <w:spacing w:before="0"/>
              <w:rPr>
                <w:rFonts w:asciiTheme="majorHAnsi" w:hAnsiTheme="majorHAnsi"/>
                <w:b w:val="0"/>
              </w:rPr>
            </w:pPr>
            <w:r w:rsidRPr="00FD4C45">
              <w:rPr>
                <w:rFonts w:asciiTheme="majorHAnsi" w:hAnsiTheme="majorHAnsi"/>
                <w:color w:val="000000" w:themeColor="text1"/>
              </w:rPr>
              <w:t>Tekstilna</w:t>
            </w:r>
          </w:p>
        </w:tc>
        <w:tc>
          <w:tcPr>
            <w:tcW w:w="1276" w:type="dxa"/>
            <w:noWrap/>
            <w:vAlign w:val="center"/>
            <w:hideMark/>
          </w:tcPr>
          <w:p w14:paraId="3D64C964"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0,3</w:t>
            </w:r>
          </w:p>
        </w:tc>
        <w:tc>
          <w:tcPr>
            <w:tcW w:w="1137" w:type="dxa"/>
            <w:noWrap/>
            <w:vAlign w:val="center"/>
            <w:hideMark/>
          </w:tcPr>
          <w:p w14:paraId="5E8EE80E"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0,4</w:t>
            </w:r>
          </w:p>
        </w:tc>
        <w:tc>
          <w:tcPr>
            <w:tcW w:w="1134" w:type="dxa"/>
            <w:noWrap/>
            <w:vAlign w:val="center"/>
            <w:hideMark/>
          </w:tcPr>
          <w:p w14:paraId="2B693C0D"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1,6</w:t>
            </w:r>
          </w:p>
        </w:tc>
        <w:tc>
          <w:tcPr>
            <w:tcW w:w="1131" w:type="dxa"/>
            <w:noWrap/>
            <w:vAlign w:val="center"/>
            <w:hideMark/>
          </w:tcPr>
          <w:p w14:paraId="7F3185D3"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-5,1</w:t>
            </w:r>
          </w:p>
        </w:tc>
        <w:tc>
          <w:tcPr>
            <w:tcW w:w="1244" w:type="dxa"/>
            <w:noWrap/>
            <w:vAlign w:val="center"/>
            <w:hideMark/>
          </w:tcPr>
          <w:p w14:paraId="29E7FE51"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13.932</w:t>
            </w:r>
          </w:p>
        </w:tc>
        <w:tc>
          <w:tcPr>
            <w:tcW w:w="1248" w:type="dxa"/>
            <w:noWrap/>
            <w:vAlign w:val="center"/>
            <w:hideMark/>
          </w:tcPr>
          <w:p w14:paraId="44143D45"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45.400</w:t>
            </w:r>
          </w:p>
        </w:tc>
      </w:tr>
      <w:tr w:rsidR="00120E6B" w:rsidRPr="00BE5685" w14:paraId="3A2FA6D9" w14:textId="77777777" w:rsidTr="002C098B">
        <w:tc>
          <w:tcPr>
            <w:cnfStyle w:val="001000000000" w:firstRow="0" w:lastRow="0" w:firstColumn="1" w:lastColumn="0" w:oddVBand="0" w:evenVBand="0" w:oddHBand="0" w:evenHBand="0" w:firstRowFirstColumn="0" w:firstRowLastColumn="0" w:lastRowFirstColumn="0" w:lastRowLastColumn="0"/>
            <w:tcW w:w="1980" w:type="dxa"/>
          </w:tcPr>
          <w:p w14:paraId="4D217A03" w14:textId="77777777" w:rsidR="00120E6B" w:rsidRPr="009B538E" w:rsidRDefault="00120E6B" w:rsidP="00640727">
            <w:pPr>
              <w:spacing w:before="0"/>
              <w:rPr>
                <w:rFonts w:asciiTheme="majorHAnsi" w:hAnsiTheme="majorHAnsi"/>
                <w:b w:val="0"/>
              </w:rPr>
            </w:pPr>
            <w:r w:rsidRPr="00FD4C45">
              <w:rPr>
                <w:rFonts w:asciiTheme="majorHAnsi" w:hAnsiTheme="majorHAnsi"/>
                <w:color w:val="000000" w:themeColor="text1"/>
              </w:rPr>
              <w:t>Lesna</w:t>
            </w:r>
          </w:p>
        </w:tc>
        <w:tc>
          <w:tcPr>
            <w:tcW w:w="1276" w:type="dxa"/>
            <w:noWrap/>
            <w:vAlign w:val="center"/>
            <w:hideMark/>
          </w:tcPr>
          <w:p w14:paraId="18529BB6"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4,8</w:t>
            </w:r>
          </w:p>
        </w:tc>
        <w:tc>
          <w:tcPr>
            <w:tcW w:w="1137" w:type="dxa"/>
            <w:noWrap/>
            <w:vAlign w:val="center"/>
            <w:hideMark/>
          </w:tcPr>
          <w:p w14:paraId="342C47B2"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1,4</w:t>
            </w:r>
          </w:p>
        </w:tc>
        <w:tc>
          <w:tcPr>
            <w:tcW w:w="1134" w:type="dxa"/>
            <w:noWrap/>
            <w:vAlign w:val="center"/>
            <w:hideMark/>
          </w:tcPr>
          <w:p w14:paraId="21C74272"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0,9</w:t>
            </w:r>
          </w:p>
        </w:tc>
        <w:tc>
          <w:tcPr>
            <w:tcW w:w="1131" w:type="dxa"/>
            <w:noWrap/>
            <w:vAlign w:val="center"/>
            <w:hideMark/>
          </w:tcPr>
          <w:p w14:paraId="744CCD87"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4,2</w:t>
            </w:r>
          </w:p>
        </w:tc>
        <w:tc>
          <w:tcPr>
            <w:tcW w:w="1244" w:type="dxa"/>
            <w:noWrap/>
            <w:vAlign w:val="center"/>
            <w:hideMark/>
          </w:tcPr>
          <w:p w14:paraId="4175A423"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12.692</w:t>
            </w:r>
          </w:p>
        </w:tc>
        <w:tc>
          <w:tcPr>
            <w:tcW w:w="1248" w:type="dxa"/>
            <w:noWrap/>
            <w:vAlign w:val="center"/>
            <w:hideMark/>
          </w:tcPr>
          <w:p w14:paraId="5926A25D"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26.859</w:t>
            </w:r>
          </w:p>
        </w:tc>
      </w:tr>
      <w:tr w:rsidR="009B538E" w:rsidRPr="00BE5685" w14:paraId="18EB1CBA"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1209D3C" w14:textId="77777777" w:rsidR="00120E6B" w:rsidRPr="009B538E" w:rsidRDefault="00120E6B" w:rsidP="00640727">
            <w:pPr>
              <w:spacing w:before="0"/>
              <w:rPr>
                <w:rFonts w:asciiTheme="majorHAnsi" w:hAnsiTheme="majorHAnsi"/>
                <w:b w:val="0"/>
              </w:rPr>
            </w:pPr>
            <w:r w:rsidRPr="00FD4C45">
              <w:rPr>
                <w:rFonts w:asciiTheme="majorHAnsi" w:hAnsiTheme="majorHAnsi"/>
                <w:color w:val="000000" w:themeColor="text1"/>
              </w:rPr>
              <w:t>Papirna</w:t>
            </w:r>
          </w:p>
        </w:tc>
        <w:tc>
          <w:tcPr>
            <w:tcW w:w="1276" w:type="dxa"/>
            <w:noWrap/>
            <w:vAlign w:val="center"/>
            <w:hideMark/>
          </w:tcPr>
          <w:p w14:paraId="6B3CEECC"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-1,6</w:t>
            </w:r>
          </w:p>
        </w:tc>
        <w:tc>
          <w:tcPr>
            <w:tcW w:w="1137" w:type="dxa"/>
            <w:noWrap/>
            <w:vAlign w:val="center"/>
            <w:hideMark/>
          </w:tcPr>
          <w:p w14:paraId="1BA1E672"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-4,2</w:t>
            </w:r>
          </w:p>
        </w:tc>
        <w:tc>
          <w:tcPr>
            <w:tcW w:w="1134" w:type="dxa"/>
            <w:noWrap/>
            <w:vAlign w:val="center"/>
            <w:hideMark/>
          </w:tcPr>
          <w:p w14:paraId="2D127144"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-3,5</w:t>
            </w:r>
          </w:p>
        </w:tc>
        <w:tc>
          <w:tcPr>
            <w:tcW w:w="1131" w:type="dxa"/>
            <w:noWrap/>
            <w:vAlign w:val="center"/>
            <w:hideMark/>
          </w:tcPr>
          <w:p w14:paraId="37900CFA"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12,5</w:t>
            </w:r>
          </w:p>
        </w:tc>
        <w:tc>
          <w:tcPr>
            <w:tcW w:w="1244" w:type="dxa"/>
            <w:noWrap/>
            <w:vAlign w:val="center"/>
            <w:hideMark/>
          </w:tcPr>
          <w:p w14:paraId="2C4EB368"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4.677</w:t>
            </w:r>
          </w:p>
        </w:tc>
        <w:tc>
          <w:tcPr>
            <w:tcW w:w="1248" w:type="dxa"/>
            <w:noWrap/>
            <w:vAlign w:val="center"/>
            <w:hideMark/>
          </w:tcPr>
          <w:p w14:paraId="6245556D"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26.011</w:t>
            </w:r>
          </w:p>
        </w:tc>
      </w:tr>
      <w:tr w:rsidR="00120E6B" w:rsidRPr="00BE5685" w14:paraId="5231D1B4" w14:textId="77777777" w:rsidTr="002C098B">
        <w:tc>
          <w:tcPr>
            <w:cnfStyle w:val="001000000000" w:firstRow="0" w:lastRow="0" w:firstColumn="1" w:lastColumn="0" w:oddVBand="0" w:evenVBand="0" w:oddHBand="0" w:evenHBand="0" w:firstRowFirstColumn="0" w:firstRowLastColumn="0" w:lastRowFirstColumn="0" w:lastRowLastColumn="0"/>
            <w:tcW w:w="1980" w:type="dxa"/>
          </w:tcPr>
          <w:p w14:paraId="0EB9D527" w14:textId="77777777" w:rsidR="00120E6B" w:rsidRPr="009B538E" w:rsidRDefault="00120E6B" w:rsidP="00640727">
            <w:pPr>
              <w:spacing w:before="0"/>
              <w:rPr>
                <w:rFonts w:asciiTheme="majorHAnsi" w:hAnsiTheme="majorHAnsi"/>
                <w:b w:val="0"/>
              </w:rPr>
            </w:pPr>
            <w:r w:rsidRPr="00FD4C45">
              <w:rPr>
                <w:rFonts w:asciiTheme="majorHAnsi" w:hAnsiTheme="majorHAnsi"/>
                <w:color w:val="000000" w:themeColor="text1"/>
              </w:rPr>
              <w:t>Kemična</w:t>
            </w:r>
          </w:p>
        </w:tc>
        <w:tc>
          <w:tcPr>
            <w:tcW w:w="1276" w:type="dxa"/>
            <w:noWrap/>
            <w:vAlign w:val="center"/>
            <w:hideMark/>
          </w:tcPr>
          <w:p w14:paraId="0A32FAE2"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10,1</w:t>
            </w:r>
          </w:p>
        </w:tc>
        <w:tc>
          <w:tcPr>
            <w:tcW w:w="1137" w:type="dxa"/>
            <w:noWrap/>
            <w:vAlign w:val="center"/>
            <w:hideMark/>
          </w:tcPr>
          <w:p w14:paraId="60CF6F0A"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0,7</w:t>
            </w:r>
          </w:p>
        </w:tc>
        <w:tc>
          <w:tcPr>
            <w:tcW w:w="1134" w:type="dxa"/>
            <w:noWrap/>
            <w:vAlign w:val="center"/>
            <w:hideMark/>
          </w:tcPr>
          <w:p w14:paraId="10E3C2A7"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3,8</w:t>
            </w:r>
          </w:p>
        </w:tc>
        <w:tc>
          <w:tcPr>
            <w:tcW w:w="1131" w:type="dxa"/>
            <w:noWrap/>
            <w:vAlign w:val="center"/>
            <w:hideMark/>
          </w:tcPr>
          <w:p w14:paraId="0CAF495A"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10,5</w:t>
            </w:r>
          </w:p>
        </w:tc>
        <w:tc>
          <w:tcPr>
            <w:tcW w:w="1244" w:type="dxa"/>
            <w:noWrap/>
            <w:vAlign w:val="center"/>
            <w:hideMark/>
          </w:tcPr>
          <w:p w14:paraId="3B9DBC84"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20.364</w:t>
            </w:r>
          </w:p>
        </w:tc>
        <w:tc>
          <w:tcPr>
            <w:tcW w:w="1248" w:type="dxa"/>
            <w:noWrap/>
            <w:vAlign w:val="center"/>
            <w:hideMark/>
          </w:tcPr>
          <w:p w14:paraId="2D55DDFC"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-25.364</w:t>
            </w:r>
          </w:p>
        </w:tc>
      </w:tr>
      <w:tr w:rsidR="009B538E" w:rsidRPr="00BE5685" w14:paraId="67A04444"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C46D954" w14:textId="77777777" w:rsidR="00120E6B" w:rsidRPr="009B538E" w:rsidRDefault="00120E6B" w:rsidP="00640727">
            <w:pPr>
              <w:spacing w:before="0"/>
              <w:rPr>
                <w:rFonts w:asciiTheme="majorHAnsi" w:hAnsiTheme="majorHAnsi"/>
                <w:b w:val="0"/>
              </w:rPr>
            </w:pPr>
            <w:r w:rsidRPr="00FD4C45">
              <w:rPr>
                <w:rFonts w:asciiTheme="majorHAnsi" w:hAnsiTheme="majorHAnsi"/>
                <w:color w:val="000000" w:themeColor="text1"/>
              </w:rPr>
              <w:t>Nekovinska</w:t>
            </w:r>
          </w:p>
        </w:tc>
        <w:tc>
          <w:tcPr>
            <w:tcW w:w="1276" w:type="dxa"/>
            <w:noWrap/>
            <w:vAlign w:val="center"/>
            <w:hideMark/>
          </w:tcPr>
          <w:p w14:paraId="250C5DC9"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3,0</w:t>
            </w:r>
          </w:p>
        </w:tc>
        <w:tc>
          <w:tcPr>
            <w:tcW w:w="1137" w:type="dxa"/>
            <w:noWrap/>
            <w:vAlign w:val="center"/>
            <w:hideMark/>
          </w:tcPr>
          <w:p w14:paraId="66769B91"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-1,8</w:t>
            </w:r>
          </w:p>
        </w:tc>
        <w:tc>
          <w:tcPr>
            <w:tcW w:w="1134" w:type="dxa"/>
            <w:noWrap/>
            <w:vAlign w:val="center"/>
            <w:hideMark/>
          </w:tcPr>
          <w:p w14:paraId="6F3B08AD"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-1,0</w:t>
            </w:r>
          </w:p>
        </w:tc>
        <w:tc>
          <w:tcPr>
            <w:tcW w:w="1131" w:type="dxa"/>
            <w:noWrap/>
            <w:vAlign w:val="center"/>
            <w:hideMark/>
          </w:tcPr>
          <w:p w14:paraId="46C8D07B"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4,8</w:t>
            </w:r>
          </w:p>
        </w:tc>
        <w:tc>
          <w:tcPr>
            <w:tcW w:w="1244" w:type="dxa"/>
            <w:noWrap/>
            <w:vAlign w:val="center"/>
            <w:hideMark/>
          </w:tcPr>
          <w:p w14:paraId="20F2CD6F"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11.711</w:t>
            </w:r>
          </w:p>
        </w:tc>
        <w:tc>
          <w:tcPr>
            <w:tcW w:w="1248" w:type="dxa"/>
            <w:noWrap/>
            <w:vAlign w:val="center"/>
            <w:hideMark/>
          </w:tcPr>
          <w:p w14:paraId="1DBFF17F"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26.965</w:t>
            </w:r>
          </w:p>
        </w:tc>
      </w:tr>
      <w:tr w:rsidR="00120E6B" w:rsidRPr="00BE5685" w14:paraId="13A5D70B" w14:textId="77777777" w:rsidTr="002C098B">
        <w:tc>
          <w:tcPr>
            <w:cnfStyle w:val="001000000000" w:firstRow="0" w:lastRow="0" w:firstColumn="1" w:lastColumn="0" w:oddVBand="0" w:evenVBand="0" w:oddHBand="0" w:evenHBand="0" w:firstRowFirstColumn="0" w:firstRowLastColumn="0" w:lastRowFirstColumn="0" w:lastRowLastColumn="0"/>
            <w:tcW w:w="1980" w:type="dxa"/>
          </w:tcPr>
          <w:p w14:paraId="0A67C836" w14:textId="77777777" w:rsidR="00120E6B" w:rsidRPr="009B538E" w:rsidRDefault="00120E6B" w:rsidP="00640727">
            <w:pPr>
              <w:spacing w:before="0"/>
              <w:rPr>
                <w:rFonts w:asciiTheme="majorHAnsi" w:hAnsiTheme="majorHAnsi"/>
                <w:b w:val="0"/>
              </w:rPr>
            </w:pPr>
            <w:r w:rsidRPr="00FD4C45">
              <w:rPr>
                <w:rFonts w:asciiTheme="majorHAnsi" w:hAnsiTheme="majorHAnsi"/>
                <w:color w:val="000000" w:themeColor="text1"/>
              </w:rPr>
              <w:t>Kovinska</w:t>
            </w:r>
          </w:p>
        </w:tc>
        <w:tc>
          <w:tcPr>
            <w:tcW w:w="1276" w:type="dxa"/>
            <w:noWrap/>
            <w:vAlign w:val="center"/>
            <w:hideMark/>
          </w:tcPr>
          <w:p w14:paraId="4A787B7C"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2,5</w:t>
            </w:r>
          </w:p>
        </w:tc>
        <w:tc>
          <w:tcPr>
            <w:tcW w:w="1137" w:type="dxa"/>
            <w:noWrap/>
            <w:vAlign w:val="center"/>
            <w:hideMark/>
          </w:tcPr>
          <w:p w14:paraId="0B2622E9"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0,4</w:t>
            </w:r>
          </w:p>
        </w:tc>
        <w:tc>
          <w:tcPr>
            <w:tcW w:w="1134" w:type="dxa"/>
            <w:noWrap/>
            <w:vAlign w:val="center"/>
            <w:hideMark/>
          </w:tcPr>
          <w:p w14:paraId="5115F679"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-0,4</w:t>
            </w:r>
          </w:p>
        </w:tc>
        <w:tc>
          <w:tcPr>
            <w:tcW w:w="1131" w:type="dxa"/>
            <w:noWrap/>
            <w:vAlign w:val="center"/>
            <w:hideMark/>
          </w:tcPr>
          <w:p w14:paraId="529D51C7"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5,9</w:t>
            </w:r>
          </w:p>
        </w:tc>
        <w:tc>
          <w:tcPr>
            <w:tcW w:w="1244" w:type="dxa"/>
            <w:noWrap/>
            <w:vAlign w:val="center"/>
            <w:hideMark/>
          </w:tcPr>
          <w:p w14:paraId="7857269E"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12.137</w:t>
            </w:r>
          </w:p>
        </w:tc>
        <w:tc>
          <w:tcPr>
            <w:tcW w:w="1248" w:type="dxa"/>
            <w:noWrap/>
            <w:vAlign w:val="center"/>
            <w:hideMark/>
          </w:tcPr>
          <w:p w14:paraId="427167BF"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34.206</w:t>
            </w:r>
          </w:p>
        </w:tc>
      </w:tr>
      <w:tr w:rsidR="009B538E" w:rsidRPr="00BE5685" w14:paraId="3CCBF423"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C376D81" w14:textId="77777777" w:rsidR="00120E6B" w:rsidRPr="009B538E" w:rsidRDefault="00120E6B" w:rsidP="00640727">
            <w:pPr>
              <w:spacing w:before="0"/>
              <w:rPr>
                <w:rFonts w:asciiTheme="majorHAnsi" w:hAnsiTheme="majorHAnsi"/>
                <w:b w:val="0"/>
              </w:rPr>
            </w:pPr>
            <w:r w:rsidRPr="00FD4C45">
              <w:rPr>
                <w:rFonts w:asciiTheme="majorHAnsi" w:hAnsiTheme="majorHAnsi"/>
                <w:color w:val="000000" w:themeColor="text1"/>
              </w:rPr>
              <w:t>Elektro</w:t>
            </w:r>
          </w:p>
        </w:tc>
        <w:tc>
          <w:tcPr>
            <w:tcW w:w="1276" w:type="dxa"/>
            <w:noWrap/>
            <w:vAlign w:val="center"/>
            <w:hideMark/>
          </w:tcPr>
          <w:p w14:paraId="5570C3A8"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8,2</w:t>
            </w:r>
          </w:p>
        </w:tc>
        <w:tc>
          <w:tcPr>
            <w:tcW w:w="1137" w:type="dxa"/>
            <w:noWrap/>
            <w:vAlign w:val="center"/>
            <w:hideMark/>
          </w:tcPr>
          <w:p w14:paraId="620EDD0B"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0,8</w:t>
            </w:r>
          </w:p>
        </w:tc>
        <w:tc>
          <w:tcPr>
            <w:tcW w:w="1134" w:type="dxa"/>
            <w:noWrap/>
            <w:vAlign w:val="center"/>
            <w:hideMark/>
          </w:tcPr>
          <w:p w14:paraId="6F42E71B"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2,8</w:t>
            </w:r>
          </w:p>
        </w:tc>
        <w:tc>
          <w:tcPr>
            <w:tcW w:w="1131" w:type="dxa"/>
            <w:noWrap/>
            <w:vAlign w:val="center"/>
            <w:hideMark/>
          </w:tcPr>
          <w:p w14:paraId="74A8D72A"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3,1</w:t>
            </w:r>
          </w:p>
        </w:tc>
        <w:tc>
          <w:tcPr>
            <w:tcW w:w="1244" w:type="dxa"/>
            <w:noWrap/>
            <w:vAlign w:val="center"/>
            <w:hideMark/>
          </w:tcPr>
          <w:p w14:paraId="0C5356E1"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10.477</w:t>
            </w:r>
          </w:p>
        </w:tc>
        <w:tc>
          <w:tcPr>
            <w:tcW w:w="1248" w:type="dxa"/>
            <w:noWrap/>
            <w:vAlign w:val="center"/>
            <w:hideMark/>
          </w:tcPr>
          <w:p w14:paraId="7438A983"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-22.085</w:t>
            </w:r>
          </w:p>
        </w:tc>
      </w:tr>
      <w:tr w:rsidR="00120E6B" w:rsidRPr="00BE5685" w14:paraId="3CDA8576" w14:textId="77777777" w:rsidTr="002C098B">
        <w:tc>
          <w:tcPr>
            <w:cnfStyle w:val="001000000000" w:firstRow="0" w:lastRow="0" w:firstColumn="1" w:lastColumn="0" w:oddVBand="0" w:evenVBand="0" w:oddHBand="0" w:evenHBand="0" w:firstRowFirstColumn="0" w:firstRowLastColumn="0" w:lastRowFirstColumn="0" w:lastRowLastColumn="0"/>
            <w:tcW w:w="1980" w:type="dxa"/>
          </w:tcPr>
          <w:p w14:paraId="7761ABC4" w14:textId="77777777" w:rsidR="00120E6B" w:rsidRPr="009B538E" w:rsidRDefault="00120E6B" w:rsidP="00640727">
            <w:pPr>
              <w:spacing w:before="0"/>
              <w:rPr>
                <w:rFonts w:asciiTheme="majorHAnsi" w:hAnsiTheme="majorHAnsi"/>
                <w:b w:val="0"/>
              </w:rPr>
            </w:pPr>
            <w:r w:rsidRPr="00FD4C45">
              <w:rPr>
                <w:rFonts w:asciiTheme="majorHAnsi" w:hAnsiTheme="majorHAnsi"/>
                <w:color w:val="000000" w:themeColor="text1"/>
              </w:rPr>
              <w:t>Strojna</w:t>
            </w:r>
          </w:p>
        </w:tc>
        <w:tc>
          <w:tcPr>
            <w:tcW w:w="1276" w:type="dxa"/>
            <w:noWrap/>
            <w:vAlign w:val="center"/>
            <w:hideMark/>
          </w:tcPr>
          <w:p w14:paraId="79078239"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6,4</w:t>
            </w:r>
          </w:p>
        </w:tc>
        <w:tc>
          <w:tcPr>
            <w:tcW w:w="1137" w:type="dxa"/>
            <w:noWrap/>
            <w:vAlign w:val="center"/>
            <w:hideMark/>
          </w:tcPr>
          <w:p w14:paraId="301BC702"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0,2</w:t>
            </w:r>
          </w:p>
        </w:tc>
        <w:tc>
          <w:tcPr>
            <w:tcW w:w="1134" w:type="dxa"/>
            <w:noWrap/>
            <w:vAlign w:val="center"/>
            <w:hideMark/>
          </w:tcPr>
          <w:p w14:paraId="34AE6CC5"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0,1</w:t>
            </w:r>
          </w:p>
        </w:tc>
        <w:tc>
          <w:tcPr>
            <w:tcW w:w="1131" w:type="dxa"/>
            <w:noWrap/>
            <w:vAlign w:val="center"/>
            <w:hideMark/>
          </w:tcPr>
          <w:p w14:paraId="228FA1A0"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rPr>
                <w:rFonts w:asciiTheme="majorHAnsi" w:hAnsiTheme="majorHAnsi"/>
              </w:rPr>
              <w:t>8,3</w:t>
            </w:r>
          </w:p>
        </w:tc>
        <w:tc>
          <w:tcPr>
            <w:tcW w:w="1244" w:type="dxa"/>
            <w:noWrap/>
            <w:vAlign w:val="center"/>
            <w:hideMark/>
          </w:tcPr>
          <w:p w14:paraId="7B384BB7"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6.296</w:t>
            </w:r>
          </w:p>
        </w:tc>
        <w:tc>
          <w:tcPr>
            <w:tcW w:w="1248" w:type="dxa"/>
            <w:noWrap/>
            <w:vAlign w:val="center"/>
            <w:hideMark/>
          </w:tcPr>
          <w:p w14:paraId="39BDAE75" w14:textId="77777777" w:rsidR="00120E6B" w:rsidRPr="009B538E" w:rsidRDefault="00120E6B"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-31.765</w:t>
            </w:r>
          </w:p>
        </w:tc>
      </w:tr>
      <w:tr w:rsidR="009B538E" w:rsidRPr="00BE5685" w14:paraId="47349EB7"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63EDA3C" w14:textId="77777777" w:rsidR="00120E6B" w:rsidRPr="009B538E" w:rsidRDefault="00120E6B" w:rsidP="00640727">
            <w:pPr>
              <w:spacing w:before="0"/>
              <w:rPr>
                <w:rFonts w:asciiTheme="majorHAnsi" w:hAnsiTheme="majorHAnsi"/>
                <w:b w:val="0"/>
              </w:rPr>
            </w:pPr>
            <w:r w:rsidRPr="00FD4C45">
              <w:rPr>
                <w:rFonts w:asciiTheme="majorHAnsi" w:hAnsiTheme="majorHAnsi"/>
                <w:color w:val="000000" w:themeColor="text1"/>
              </w:rPr>
              <w:t>Druge</w:t>
            </w:r>
          </w:p>
        </w:tc>
        <w:tc>
          <w:tcPr>
            <w:tcW w:w="1276" w:type="dxa"/>
            <w:noWrap/>
            <w:vAlign w:val="center"/>
            <w:hideMark/>
          </w:tcPr>
          <w:p w14:paraId="5446E585"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5,2</w:t>
            </w:r>
          </w:p>
        </w:tc>
        <w:tc>
          <w:tcPr>
            <w:tcW w:w="1137" w:type="dxa"/>
            <w:noWrap/>
            <w:vAlign w:val="center"/>
            <w:hideMark/>
          </w:tcPr>
          <w:p w14:paraId="3EE00239"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-2,7</w:t>
            </w:r>
          </w:p>
        </w:tc>
        <w:tc>
          <w:tcPr>
            <w:tcW w:w="1134" w:type="dxa"/>
            <w:noWrap/>
            <w:vAlign w:val="center"/>
            <w:hideMark/>
          </w:tcPr>
          <w:p w14:paraId="32C2158E"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4,0</w:t>
            </w:r>
          </w:p>
        </w:tc>
        <w:tc>
          <w:tcPr>
            <w:tcW w:w="1131" w:type="dxa"/>
            <w:noWrap/>
            <w:vAlign w:val="center"/>
            <w:hideMark/>
          </w:tcPr>
          <w:p w14:paraId="5AC1C20D"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rPr>
                <w:rFonts w:asciiTheme="majorHAnsi" w:hAnsiTheme="majorHAnsi"/>
              </w:rPr>
              <w:t>-7,4</w:t>
            </w:r>
          </w:p>
        </w:tc>
        <w:tc>
          <w:tcPr>
            <w:tcW w:w="1244" w:type="dxa"/>
            <w:noWrap/>
            <w:vAlign w:val="center"/>
            <w:hideMark/>
          </w:tcPr>
          <w:p w14:paraId="563E41EA"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19.347</w:t>
            </w:r>
          </w:p>
        </w:tc>
        <w:tc>
          <w:tcPr>
            <w:tcW w:w="1248" w:type="dxa"/>
            <w:noWrap/>
            <w:vAlign w:val="center"/>
            <w:hideMark/>
          </w:tcPr>
          <w:p w14:paraId="2D739C01" w14:textId="77777777" w:rsidR="00120E6B" w:rsidRPr="009B538E" w:rsidRDefault="00120E6B"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36.315</w:t>
            </w:r>
          </w:p>
        </w:tc>
      </w:tr>
    </w:tbl>
    <w:p w14:paraId="48B9AFD7" w14:textId="77777777" w:rsidR="00120E6B" w:rsidRPr="009B538E" w:rsidRDefault="00120E6B" w:rsidP="00120E6B">
      <w:pPr>
        <w:spacing w:before="20"/>
        <w:jc w:val="both"/>
        <w:rPr>
          <w:i/>
        </w:rPr>
      </w:pPr>
      <w:r w:rsidRPr="009B538E">
        <w:rPr>
          <w:i/>
        </w:rPr>
        <w:t>Vir: Eurostat, strukturna statistika podjetij, preračuni Analitika GZS</w:t>
      </w:r>
    </w:p>
    <w:p w14:paraId="169BB163" w14:textId="1EEE20ED" w:rsidR="004F5CB6" w:rsidRPr="005026D5" w:rsidRDefault="004F5CB6" w:rsidP="004F5CB6">
      <w:pPr>
        <w:jc w:val="both"/>
        <w:rPr>
          <w:rFonts w:cstheme="minorHAnsi"/>
        </w:rPr>
      </w:pPr>
      <w:r w:rsidRPr="005026D5">
        <w:rPr>
          <w:rFonts w:cstheme="minorHAnsi"/>
        </w:rPr>
        <w:lastRenderedPageBreak/>
        <w:t xml:space="preserve">Predelovalne dejavnosti v Sloveniji </w:t>
      </w:r>
      <w:r>
        <w:rPr>
          <w:rFonts w:cstheme="minorHAnsi"/>
        </w:rPr>
        <w:t xml:space="preserve">so </w:t>
      </w:r>
      <w:r w:rsidRPr="005026D5">
        <w:rPr>
          <w:rFonts w:cstheme="minorHAnsi"/>
        </w:rPr>
        <w:t xml:space="preserve">v </w:t>
      </w:r>
      <w:r>
        <w:rPr>
          <w:rFonts w:cstheme="minorHAnsi"/>
        </w:rPr>
        <w:t xml:space="preserve">letu </w:t>
      </w:r>
      <w:r w:rsidRPr="005026D5">
        <w:rPr>
          <w:rFonts w:cstheme="minorHAnsi"/>
        </w:rPr>
        <w:t>2017 beleži</w:t>
      </w:r>
      <w:r>
        <w:rPr>
          <w:rFonts w:cstheme="minorHAnsi"/>
        </w:rPr>
        <w:t xml:space="preserve">le </w:t>
      </w:r>
      <w:r w:rsidRPr="005026D5">
        <w:rPr>
          <w:rFonts w:cstheme="minorHAnsi"/>
        </w:rPr>
        <w:t>višji strošek dela v dodani vrednosti (59,1 %)</w:t>
      </w:r>
      <w:r w:rsidR="008763C8">
        <w:rPr>
          <w:rFonts w:cstheme="minorHAnsi"/>
        </w:rPr>
        <w:t>,</w:t>
      </w:r>
      <w:r w:rsidRPr="005026D5">
        <w:rPr>
          <w:rFonts w:cstheme="minorHAnsi"/>
        </w:rPr>
        <w:t xml:space="preserve"> kot znaša mediana v državah EU-27 (56,8 %) oz</w:t>
      </w:r>
      <w:r w:rsidR="00BF039F">
        <w:rPr>
          <w:rFonts w:cstheme="minorHAnsi"/>
        </w:rPr>
        <w:t>iroma</w:t>
      </w:r>
      <w:r w:rsidR="00BF039F" w:rsidRPr="005026D5">
        <w:rPr>
          <w:rFonts w:cstheme="minorHAnsi"/>
        </w:rPr>
        <w:t xml:space="preserve"> </w:t>
      </w:r>
      <w:r w:rsidRPr="005026D5">
        <w:rPr>
          <w:rFonts w:cstheme="minorHAnsi"/>
        </w:rPr>
        <w:t xml:space="preserve">mediana v </w:t>
      </w:r>
      <w:r w:rsidR="00DC4FB4">
        <w:rPr>
          <w:rFonts w:cstheme="minorHAnsi"/>
        </w:rPr>
        <w:t>CEE-4</w:t>
      </w:r>
      <w:r w:rsidRPr="005026D5">
        <w:rPr>
          <w:rFonts w:cstheme="minorHAnsi"/>
        </w:rPr>
        <w:t xml:space="preserve"> (51,3 %). Odstopanj</w:t>
      </w:r>
      <w:r w:rsidR="00BF039F">
        <w:rPr>
          <w:rFonts w:cstheme="minorHAnsi"/>
        </w:rPr>
        <w:t>e</w:t>
      </w:r>
      <w:r>
        <w:rPr>
          <w:rFonts w:cstheme="minorHAnsi"/>
        </w:rPr>
        <w:t xml:space="preserve"> Slovenije glede na</w:t>
      </w:r>
      <w:r w:rsidRPr="005026D5">
        <w:rPr>
          <w:rFonts w:cstheme="minorHAnsi"/>
        </w:rPr>
        <w:t xml:space="preserve"> </w:t>
      </w:r>
      <w:r w:rsidR="00DC4FB4">
        <w:rPr>
          <w:rFonts w:cstheme="minorHAnsi"/>
        </w:rPr>
        <w:t>CEE-4</w:t>
      </w:r>
      <w:r w:rsidRPr="005026D5">
        <w:rPr>
          <w:rFonts w:cstheme="minorHAnsi"/>
        </w:rPr>
        <w:t xml:space="preserve"> </w:t>
      </w:r>
      <w:r>
        <w:rPr>
          <w:rFonts w:cstheme="minorHAnsi"/>
        </w:rPr>
        <w:t xml:space="preserve">je bilo </w:t>
      </w:r>
      <w:r w:rsidRPr="005026D5">
        <w:rPr>
          <w:rFonts w:cstheme="minorHAnsi"/>
        </w:rPr>
        <w:t xml:space="preserve">največje v papirni in kemični industriji, kjer je </w:t>
      </w:r>
      <w:r>
        <w:rPr>
          <w:rFonts w:cstheme="minorHAnsi"/>
        </w:rPr>
        <w:t>bil</w:t>
      </w:r>
      <w:r w:rsidRPr="005026D5">
        <w:rPr>
          <w:rFonts w:cstheme="minorHAnsi"/>
        </w:rPr>
        <w:t xml:space="preserve"> strošek dela v dodani vrednosti v Sloveniji višji za več kot 10 o.t., kakor tudi v strojni, prehrambni in kovinski industriji (za več kot 6 o.t.). Le v tekstilni industriji in drugih predelovalnih dejavnostih je </w:t>
      </w:r>
      <w:r>
        <w:rPr>
          <w:rFonts w:cstheme="minorHAnsi"/>
        </w:rPr>
        <w:t xml:space="preserve">bil </w:t>
      </w:r>
      <w:r w:rsidRPr="005026D5">
        <w:rPr>
          <w:rFonts w:cstheme="minorHAnsi"/>
        </w:rPr>
        <w:t>strošek dela v dodani vrednosti v Sloveniji nižji</w:t>
      </w:r>
      <w:r w:rsidR="008763C8">
        <w:rPr>
          <w:rFonts w:cstheme="minorHAnsi"/>
        </w:rPr>
        <w:t>,</w:t>
      </w:r>
      <w:r w:rsidRPr="005026D5">
        <w:rPr>
          <w:rFonts w:cstheme="minorHAnsi"/>
        </w:rPr>
        <w:t xml:space="preserve"> kot znaša v </w:t>
      </w:r>
      <w:r w:rsidR="00DC4FB4">
        <w:rPr>
          <w:rFonts w:cstheme="minorHAnsi"/>
        </w:rPr>
        <w:t>CEE-4</w:t>
      </w:r>
      <w:r w:rsidRPr="005026D5">
        <w:rPr>
          <w:rFonts w:cstheme="minorHAnsi"/>
        </w:rPr>
        <w:t xml:space="preserve">. V primerjavi z državami EU-27 je </w:t>
      </w:r>
      <w:r>
        <w:rPr>
          <w:rFonts w:cstheme="minorHAnsi"/>
        </w:rPr>
        <w:t xml:space="preserve">bil </w:t>
      </w:r>
      <w:r w:rsidRPr="005026D5">
        <w:rPr>
          <w:rFonts w:cstheme="minorHAnsi"/>
        </w:rPr>
        <w:t xml:space="preserve">strošek dela v dodani vrednosti višji le v prehrambni, kemični in papirni industriji, medtem ko je </w:t>
      </w:r>
      <w:r>
        <w:rPr>
          <w:rFonts w:cstheme="minorHAnsi"/>
        </w:rPr>
        <w:t xml:space="preserve">bil </w:t>
      </w:r>
      <w:r w:rsidRPr="005026D5">
        <w:rPr>
          <w:rFonts w:cstheme="minorHAnsi"/>
        </w:rPr>
        <w:t>v ostalih pan</w:t>
      </w:r>
      <w:r w:rsidR="00B41F3F">
        <w:rPr>
          <w:rFonts w:cstheme="minorHAnsi"/>
        </w:rPr>
        <w:t>ogah n</w:t>
      </w:r>
      <w:r w:rsidRPr="005026D5">
        <w:rPr>
          <w:rFonts w:cstheme="minorHAnsi"/>
        </w:rPr>
        <w:t>i</w:t>
      </w:r>
      <w:r w:rsidR="00B41F3F">
        <w:rPr>
          <w:rFonts w:cstheme="minorHAnsi"/>
        </w:rPr>
        <w:t>ž</w:t>
      </w:r>
      <w:r w:rsidRPr="005026D5">
        <w:rPr>
          <w:rFonts w:cstheme="minorHAnsi"/>
        </w:rPr>
        <w:t xml:space="preserve">ji.  </w:t>
      </w:r>
    </w:p>
    <w:p w14:paraId="6DF0D41E" w14:textId="501114E8" w:rsidR="004F5CB6" w:rsidRPr="00597771" w:rsidRDefault="004F5CB6" w:rsidP="004F5CB6">
      <w:pPr>
        <w:jc w:val="both"/>
        <w:rPr>
          <w:rFonts w:cstheme="minorHAnsi"/>
        </w:rPr>
      </w:pPr>
      <w:r w:rsidRPr="005026D5">
        <w:rPr>
          <w:rFonts w:cstheme="minorHAnsi"/>
        </w:rPr>
        <w:t>Predelovalne dejavnosti v Sloveniji so v 2017 beležile bistveno nižje prihodke na zaposlenega kot v EU-27, ter malenkost višje</w:t>
      </w:r>
      <w:r w:rsidR="008763C8">
        <w:rPr>
          <w:rFonts w:cstheme="minorHAnsi"/>
        </w:rPr>
        <w:t>,</w:t>
      </w:r>
      <w:r w:rsidRPr="005026D5">
        <w:rPr>
          <w:rFonts w:cstheme="minorHAnsi"/>
        </w:rPr>
        <w:t xml:space="preserve"> kot znaša v </w:t>
      </w:r>
      <w:r w:rsidR="00DC4FB4">
        <w:rPr>
          <w:rFonts w:cstheme="minorHAnsi"/>
        </w:rPr>
        <w:t>CEE-4</w:t>
      </w:r>
      <w:r w:rsidRPr="005026D5">
        <w:rPr>
          <w:rFonts w:cstheme="minorHAnsi"/>
        </w:rPr>
        <w:t xml:space="preserve"> (SLO 152</w:t>
      </w:r>
      <w:r w:rsidR="000B466B">
        <w:rPr>
          <w:rFonts w:cstheme="minorHAnsi"/>
        </w:rPr>
        <w:t>.000</w:t>
      </w:r>
      <w:r w:rsidRPr="005026D5">
        <w:rPr>
          <w:rFonts w:cstheme="minorHAnsi"/>
        </w:rPr>
        <w:t xml:space="preserve"> EUR, EU-27 190</w:t>
      </w:r>
      <w:r w:rsidR="000B466B">
        <w:rPr>
          <w:rFonts w:cstheme="minorHAnsi"/>
        </w:rPr>
        <w:t>.000</w:t>
      </w:r>
      <w:r w:rsidRPr="005026D5">
        <w:rPr>
          <w:rFonts w:cstheme="minorHAnsi"/>
        </w:rPr>
        <w:t xml:space="preserve"> EUR, </w:t>
      </w:r>
      <w:r w:rsidR="00DC4FB4">
        <w:rPr>
          <w:rFonts w:cstheme="minorHAnsi"/>
        </w:rPr>
        <w:t>CEE-4</w:t>
      </w:r>
      <w:r w:rsidRPr="005026D5">
        <w:rPr>
          <w:rFonts w:cstheme="minorHAnsi"/>
        </w:rPr>
        <w:t xml:space="preserve"> 152</w:t>
      </w:r>
      <w:r w:rsidR="000B466B">
        <w:rPr>
          <w:rFonts w:cstheme="minorHAnsi"/>
        </w:rPr>
        <w:t>.000</w:t>
      </w:r>
      <w:r w:rsidRPr="005026D5">
        <w:rPr>
          <w:rFonts w:cstheme="minorHAnsi"/>
        </w:rPr>
        <w:t xml:space="preserve"> EUR). V primerjavi z EU-27 so prihodki na zaposlenega v Sloveniji </w:t>
      </w:r>
      <w:r>
        <w:rPr>
          <w:rFonts w:cstheme="minorHAnsi"/>
        </w:rPr>
        <w:t>najbolj zaostajali</w:t>
      </w:r>
      <w:r w:rsidRPr="005026D5">
        <w:rPr>
          <w:rFonts w:cstheme="minorHAnsi"/>
        </w:rPr>
        <w:t xml:space="preserve"> v kemični (</w:t>
      </w:r>
      <w:r>
        <w:rPr>
          <w:rFonts w:cstheme="minorHAnsi"/>
        </w:rPr>
        <w:t xml:space="preserve">za </w:t>
      </w:r>
      <w:r w:rsidRPr="005026D5">
        <w:rPr>
          <w:rFonts w:cstheme="minorHAnsi"/>
        </w:rPr>
        <w:t>57</w:t>
      </w:r>
      <w:r w:rsidR="000B466B">
        <w:rPr>
          <w:rFonts w:cstheme="minorHAnsi"/>
        </w:rPr>
        <w:t>.009</w:t>
      </w:r>
      <w:r w:rsidRPr="005026D5">
        <w:rPr>
          <w:rFonts w:cstheme="minorHAnsi"/>
        </w:rPr>
        <w:t xml:space="preserve"> EUR), elektro (za 46</w:t>
      </w:r>
      <w:r w:rsidR="000B466B">
        <w:rPr>
          <w:rFonts w:cstheme="minorHAnsi"/>
        </w:rPr>
        <w:t>.000</w:t>
      </w:r>
      <w:r w:rsidRPr="005026D5">
        <w:rPr>
          <w:rFonts w:cstheme="minorHAnsi"/>
        </w:rPr>
        <w:t xml:space="preserve"> EUR), strojni (32</w:t>
      </w:r>
      <w:r w:rsidR="000B466B">
        <w:rPr>
          <w:rFonts w:cstheme="minorHAnsi"/>
        </w:rPr>
        <w:t>.000</w:t>
      </w:r>
      <w:r w:rsidRPr="005026D5">
        <w:rPr>
          <w:rFonts w:cstheme="minorHAnsi"/>
        </w:rPr>
        <w:t xml:space="preserve"> EUR)</w:t>
      </w:r>
      <w:r>
        <w:rPr>
          <w:rFonts w:cstheme="minorHAnsi"/>
        </w:rPr>
        <w:t xml:space="preserve"> in</w:t>
      </w:r>
      <w:r w:rsidRPr="005026D5">
        <w:rPr>
          <w:rFonts w:cstheme="minorHAnsi"/>
        </w:rPr>
        <w:t xml:space="preserve"> nekovinski industriji (23</w:t>
      </w:r>
      <w:r w:rsidR="000B466B">
        <w:rPr>
          <w:rFonts w:cstheme="minorHAnsi"/>
        </w:rPr>
        <w:t>.000</w:t>
      </w:r>
      <w:r w:rsidRPr="005026D5">
        <w:rPr>
          <w:rFonts w:cstheme="minorHAnsi"/>
        </w:rPr>
        <w:t xml:space="preserve"> EUR)</w:t>
      </w:r>
      <w:r>
        <w:rPr>
          <w:rFonts w:cstheme="minorHAnsi"/>
        </w:rPr>
        <w:t>. L</w:t>
      </w:r>
      <w:r w:rsidRPr="005026D5">
        <w:rPr>
          <w:rFonts w:cstheme="minorHAnsi"/>
        </w:rPr>
        <w:t xml:space="preserve">e v drugih predelovalnih dejavnostih </w:t>
      </w:r>
      <w:r>
        <w:rPr>
          <w:rFonts w:cstheme="minorHAnsi"/>
        </w:rPr>
        <w:t xml:space="preserve">so bili </w:t>
      </w:r>
      <w:r w:rsidRPr="005026D5">
        <w:rPr>
          <w:rFonts w:cstheme="minorHAnsi"/>
        </w:rPr>
        <w:t>v Sloveniji višj</w:t>
      </w:r>
      <w:r>
        <w:rPr>
          <w:rFonts w:cstheme="minorHAnsi"/>
        </w:rPr>
        <w:t>i</w:t>
      </w:r>
      <w:r w:rsidRPr="005026D5">
        <w:rPr>
          <w:rFonts w:cstheme="minorHAnsi"/>
        </w:rPr>
        <w:t xml:space="preserve"> kot v EU-27. V primerjavi </w:t>
      </w:r>
      <w:r w:rsidR="00FC4BCE">
        <w:rPr>
          <w:rFonts w:cstheme="minorHAnsi"/>
        </w:rPr>
        <w:t>s</w:t>
      </w:r>
      <w:r w:rsidRPr="005026D5">
        <w:rPr>
          <w:rFonts w:cstheme="minorHAnsi"/>
        </w:rPr>
        <w:t xml:space="preserve"> </w:t>
      </w:r>
      <w:r w:rsidR="00DC4FB4">
        <w:rPr>
          <w:rFonts w:cstheme="minorHAnsi"/>
        </w:rPr>
        <w:t>CEE-4</w:t>
      </w:r>
      <w:r w:rsidRPr="005026D5">
        <w:rPr>
          <w:rFonts w:cstheme="minorHAnsi"/>
        </w:rPr>
        <w:t xml:space="preserve"> </w:t>
      </w:r>
      <w:r>
        <w:rPr>
          <w:rFonts w:cstheme="minorHAnsi"/>
        </w:rPr>
        <w:t xml:space="preserve">so </w:t>
      </w:r>
      <w:r w:rsidRPr="005026D5">
        <w:rPr>
          <w:rFonts w:cstheme="minorHAnsi"/>
        </w:rPr>
        <w:t>prihodki na zaposlenega v predelovalnih dejavnostih najbolj zaostajali v strojni in kemični industriji (za 31 oz</w:t>
      </w:r>
      <w:r w:rsidR="007F59F8">
        <w:rPr>
          <w:rFonts w:cstheme="minorHAnsi"/>
        </w:rPr>
        <w:t>iroma</w:t>
      </w:r>
      <w:r w:rsidR="007F59F8" w:rsidRPr="005026D5">
        <w:rPr>
          <w:rFonts w:cstheme="minorHAnsi"/>
        </w:rPr>
        <w:t xml:space="preserve"> </w:t>
      </w:r>
      <w:r w:rsidRPr="005026D5">
        <w:rPr>
          <w:rFonts w:cstheme="minorHAnsi"/>
        </w:rPr>
        <w:t xml:space="preserve">za 25 tisoč EUR). Slovenija </w:t>
      </w:r>
      <w:r>
        <w:rPr>
          <w:rFonts w:cstheme="minorHAnsi"/>
        </w:rPr>
        <w:t xml:space="preserve">je </w:t>
      </w:r>
      <w:r w:rsidRPr="005026D5">
        <w:rPr>
          <w:rFonts w:cstheme="minorHAnsi"/>
        </w:rPr>
        <w:t>po prihodkih na zaposlenega najbolj prehiteva</w:t>
      </w:r>
      <w:r>
        <w:rPr>
          <w:rFonts w:cstheme="minorHAnsi"/>
        </w:rPr>
        <w:t>la</w:t>
      </w:r>
      <w:r w:rsidRPr="005026D5">
        <w:rPr>
          <w:rFonts w:cstheme="minorHAnsi"/>
        </w:rPr>
        <w:t xml:space="preserve"> </w:t>
      </w:r>
      <w:r w:rsidR="00DC4FB4">
        <w:rPr>
          <w:rFonts w:cstheme="minorHAnsi"/>
        </w:rPr>
        <w:t>CEE-4</w:t>
      </w:r>
      <w:r w:rsidRPr="005026D5">
        <w:rPr>
          <w:rFonts w:cstheme="minorHAnsi"/>
        </w:rPr>
        <w:t xml:space="preserve"> v tekstilni (45</w:t>
      </w:r>
      <w:r w:rsidR="00FC4BCE">
        <w:rPr>
          <w:rFonts w:cstheme="minorHAnsi"/>
        </w:rPr>
        <w:t>.000</w:t>
      </w:r>
      <w:r w:rsidRPr="005026D5">
        <w:rPr>
          <w:rFonts w:cstheme="minorHAnsi"/>
        </w:rPr>
        <w:t xml:space="preserve"> EUR), drugi predelovalni</w:t>
      </w:r>
      <w:r>
        <w:rPr>
          <w:rFonts w:cstheme="minorHAnsi"/>
        </w:rPr>
        <w:t xml:space="preserve"> </w:t>
      </w:r>
      <w:r w:rsidRPr="005026D5">
        <w:rPr>
          <w:rFonts w:cstheme="minorHAnsi"/>
        </w:rPr>
        <w:t>(36</w:t>
      </w:r>
      <w:r w:rsidR="00FC4BCE">
        <w:rPr>
          <w:rFonts w:cstheme="minorHAnsi"/>
        </w:rPr>
        <w:t>.000</w:t>
      </w:r>
      <w:r w:rsidRPr="005026D5">
        <w:rPr>
          <w:rFonts w:cstheme="minorHAnsi"/>
        </w:rPr>
        <w:t xml:space="preserve"> EUR)</w:t>
      </w:r>
      <w:r>
        <w:rPr>
          <w:rFonts w:cstheme="minorHAnsi"/>
        </w:rPr>
        <w:t xml:space="preserve"> in</w:t>
      </w:r>
      <w:r w:rsidRPr="005026D5">
        <w:rPr>
          <w:rFonts w:cstheme="minorHAnsi"/>
        </w:rPr>
        <w:t xml:space="preserve"> kovinski </w:t>
      </w:r>
      <w:r>
        <w:rPr>
          <w:rFonts w:cstheme="minorHAnsi"/>
        </w:rPr>
        <w:t>industriji</w:t>
      </w:r>
      <w:r w:rsidRPr="005026D5">
        <w:rPr>
          <w:rFonts w:cstheme="minorHAnsi"/>
        </w:rPr>
        <w:t xml:space="preserve"> (34</w:t>
      </w:r>
      <w:r w:rsidR="00FC4BCE">
        <w:rPr>
          <w:rFonts w:cstheme="minorHAnsi"/>
        </w:rPr>
        <w:t>.000</w:t>
      </w:r>
      <w:r w:rsidRPr="005026D5">
        <w:rPr>
          <w:rFonts w:cstheme="minorHAnsi"/>
        </w:rPr>
        <w:t xml:space="preserve"> EUR).</w:t>
      </w:r>
    </w:p>
    <w:p w14:paraId="4B0662BB" w14:textId="77777777" w:rsidR="004F5CB6" w:rsidRPr="00120E6B" w:rsidRDefault="004F5CB6" w:rsidP="004F5CB6">
      <w:pPr>
        <w:spacing w:after="0"/>
        <w:jc w:val="both"/>
        <w:rPr>
          <w:rFonts w:asciiTheme="majorHAnsi" w:eastAsia="Times New Roman" w:hAnsiTheme="majorHAnsi" w:cs="Arial"/>
          <w:b/>
          <w:bCs/>
          <w:color w:val="8AB833" w:themeColor="accent2"/>
          <w:lang w:eastAsia="sl-SI"/>
        </w:rPr>
      </w:pPr>
      <w:r w:rsidRPr="00120E6B">
        <w:rPr>
          <w:rFonts w:asciiTheme="majorHAnsi" w:eastAsia="Times New Roman" w:hAnsiTheme="majorHAnsi" w:cs="Arial"/>
          <w:b/>
          <w:bCs/>
          <w:color w:val="8AB833" w:themeColor="accent2"/>
          <w:lang w:eastAsia="sl-SI"/>
        </w:rPr>
        <w:t>Odstopanje Slovenije</w:t>
      </w:r>
      <w:r w:rsidRPr="00120E6B">
        <w:rPr>
          <w:rStyle w:val="Sprotnaopomba-sklic"/>
          <w:rFonts w:asciiTheme="majorHAnsi" w:eastAsia="Times New Roman" w:hAnsiTheme="majorHAnsi" w:cs="Arial"/>
          <w:b/>
          <w:bCs/>
          <w:color w:val="8AB833" w:themeColor="accent2"/>
          <w:lang w:eastAsia="sl-SI"/>
        </w:rPr>
        <w:footnoteReference w:id="52"/>
      </w:r>
      <w:r w:rsidRPr="00120E6B">
        <w:rPr>
          <w:rFonts w:asciiTheme="majorHAnsi" w:eastAsia="Times New Roman" w:hAnsiTheme="majorHAnsi" w:cs="Arial"/>
          <w:b/>
          <w:bCs/>
          <w:color w:val="8AB833" w:themeColor="accent2"/>
          <w:lang w:eastAsia="sl-SI"/>
        </w:rPr>
        <w:t xml:space="preserve"> po </w:t>
      </w:r>
      <w:r w:rsidR="00692A14">
        <w:rPr>
          <w:rFonts w:asciiTheme="majorHAnsi" w:eastAsia="Times New Roman" w:hAnsiTheme="majorHAnsi" w:cs="Arial"/>
          <w:b/>
          <w:bCs/>
          <w:color w:val="8AB833" w:themeColor="accent2"/>
          <w:lang w:eastAsia="sl-SI"/>
        </w:rPr>
        <w:t xml:space="preserve">oddelkih </w:t>
      </w:r>
      <w:r w:rsidR="00692A14" w:rsidRPr="00120E6B">
        <w:rPr>
          <w:rFonts w:asciiTheme="majorHAnsi" w:eastAsia="Times New Roman" w:hAnsiTheme="majorHAnsi" w:cs="Arial"/>
          <w:b/>
          <w:bCs/>
          <w:color w:val="8AB833" w:themeColor="accent2"/>
          <w:lang w:eastAsia="sl-SI"/>
        </w:rPr>
        <w:t xml:space="preserve">predelovalnih </w:t>
      </w:r>
      <w:r w:rsidR="00692A14">
        <w:rPr>
          <w:rFonts w:asciiTheme="majorHAnsi" w:eastAsia="Times New Roman" w:hAnsiTheme="majorHAnsi" w:cs="Arial"/>
          <w:b/>
          <w:bCs/>
          <w:color w:val="8AB833" w:themeColor="accent2"/>
          <w:lang w:eastAsia="sl-SI"/>
        </w:rPr>
        <w:t>dejavnosti</w:t>
      </w:r>
      <w:r w:rsidR="00692A14" w:rsidRPr="00120E6B">
        <w:rPr>
          <w:rFonts w:asciiTheme="majorHAnsi" w:eastAsia="Times New Roman" w:hAnsiTheme="majorHAnsi" w:cs="Arial"/>
          <w:b/>
          <w:bCs/>
          <w:color w:val="8AB833" w:themeColor="accent2"/>
          <w:lang w:eastAsia="sl-SI"/>
        </w:rPr>
        <w:t xml:space="preserve"> </w:t>
      </w:r>
      <w:r w:rsidRPr="00120E6B">
        <w:rPr>
          <w:rFonts w:asciiTheme="majorHAnsi" w:eastAsia="Times New Roman" w:hAnsiTheme="majorHAnsi" w:cs="Arial"/>
          <w:b/>
          <w:bCs/>
          <w:color w:val="8AB833" w:themeColor="accent2"/>
          <w:lang w:eastAsia="sl-SI"/>
        </w:rPr>
        <w:t>v primerjavi z mediano kazalnika pri EU-27, 2017</w:t>
      </w:r>
    </w:p>
    <w:tbl>
      <w:tblPr>
        <w:tblStyle w:val="Tabelaseznam4poudarek21"/>
        <w:tblW w:w="9150" w:type="dxa"/>
        <w:tblLook w:val="04A0" w:firstRow="1" w:lastRow="0" w:firstColumn="1" w:lastColumn="0" w:noHBand="0" w:noVBand="1"/>
      </w:tblPr>
      <w:tblGrid>
        <w:gridCol w:w="1701"/>
        <w:gridCol w:w="1055"/>
        <w:gridCol w:w="1192"/>
        <w:gridCol w:w="1134"/>
        <w:gridCol w:w="1352"/>
        <w:gridCol w:w="1358"/>
        <w:gridCol w:w="1358"/>
      </w:tblGrid>
      <w:tr w:rsidR="009B538E" w:rsidRPr="0063544E" w14:paraId="7CDB6BEF" w14:textId="77777777" w:rsidTr="00640727">
        <w:trPr>
          <w:cnfStyle w:val="100000000000" w:firstRow="1" w:lastRow="0" w:firstColumn="0" w:lastColumn="0" w:oddVBand="0" w:evenVBand="0" w:oddHBand="0"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4F06860F" w14:textId="77777777" w:rsidR="004F5CB6" w:rsidRPr="009B538E" w:rsidRDefault="004F5CB6" w:rsidP="00640727">
            <w:pPr>
              <w:spacing w:before="0"/>
              <w:rPr>
                <w:rFonts w:asciiTheme="majorHAnsi" w:hAnsiTheme="majorHAnsi"/>
              </w:rPr>
            </w:pPr>
            <w:r w:rsidRPr="00FD4C45">
              <w:rPr>
                <w:rFonts w:asciiTheme="majorHAnsi" w:hAnsiTheme="majorHAnsi"/>
              </w:rPr>
              <w:t>Ključne skupine predelovalnih dejavnosti</w:t>
            </w:r>
          </w:p>
        </w:tc>
        <w:tc>
          <w:tcPr>
            <w:tcW w:w="1055" w:type="dxa"/>
            <w:vAlign w:val="center"/>
            <w:hideMark/>
          </w:tcPr>
          <w:p w14:paraId="4851DD64" w14:textId="77777777" w:rsidR="004F5CB6" w:rsidRPr="009B538E" w:rsidRDefault="004F5CB6" w:rsidP="0064072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rPr>
                <w:rFonts w:asciiTheme="majorHAnsi" w:hAnsiTheme="majorHAnsi"/>
              </w:rPr>
              <w:t>Bruto marža</w:t>
            </w:r>
          </w:p>
          <w:p w14:paraId="07A72D68" w14:textId="77777777" w:rsidR="004F5CB6" w:rsidRPr="009B538E" w:rsidRDefault="004F5CB6" w:rsidP="0064072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rPr>
                <w:rFonts w:asciiTheme="majorHAnsi" w:hAnsiTheme="majorHAnsi"/>
              </w:rPr>
              <w:t>v o. t.</w:t>
            </w:r>
            <w:r w:rsidRPr="00FD4C45">
              <w:rPr>
                <w:rStyle w:val="Sprotnaopomba-sklic"/>
                <w:rFonts w:asciiTheme="majorHAnsi" w:hAnsiTheme="majorHAnsi"/>
              </w:rPr>
              <w:footnoteReference w:id="53"/>
            </w:r>
          </w:p>
        </w:tc>
        <w:tc>
          <w:tcPr>
            <w:tcW w:w="1137" w:type="dxa"/>
            <w:vAlign w:val="center"/>
            <w:hideMark/>
          </w:tcPr>
          <w:p w14:paraId="3385ADB9" w14:textId="77777777" w:rsidR="004F5CB6" w:rsidRPr="009B538E" w:rsidRDefault="004F5CB6" w:rsidP="0064072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rPr>
                <w:rFonts w:asciiTheme="majorHAnsi" w:hAnsiTheme="majorHAnsi"/>
              </w:rPr>
              <w:t>Investicije /prihodkih</w:t>
            </w:r>
          </w:p>
          <w:p w14:paraId="2A665BDD" w14:textId="77777777" w:rsidR="004F5CB6" w:rsidRPr="009B538E" w:rsidRDefault="004F5CB6" w:rsidP="0064072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rPr>
                <w:rFonts w:asciiTheme="majorHAnsi" w:hAnsiTheme="majorHAnsi"/>
              </w:rPr>
              <w:t>v o. t.</w:t>
            </w:r>
          </w:p>
        </w:tc>
        <w:tc>
          <w:tcPr>
            <w:tcW w:w="1134" w:type="dxa"/>
            <w:vAlign w:val="center"/>
            <w:hideMark/>
          </w:tcPr>
          <w:p w14:paraId="33DEF5F7" w14:textId="77777777" w:rsidR="004F5CB6" w:rsidRPr="009B538E" w:rsidRDefault="004F5CB6" w:rsidP="0064072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rPr>
                <w:rFonts w:asciiTheme="majorHAnsi" w:hAnsiTheme="majorHAnsi"/>
              </w:rPr>
              <w:t>EBITDA marža</w:t>
            </w:r>
          </w:p>
          <w:p w14:paraId="0B8EE5EA" w14:textId="77777777" w:rsidR="004F5CB6" w:rsidRPr="009B538E" w:rsidRDefault="004F5CB6" w:rsidP="0064072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rPr>
                <w:rFonts w:asciiTheme="majorHAnsi" w:hAnsiTheme="majorHAnsi"/>
              </w:rPr>
              <w:t>v o. t.</w:t>
            </w:r>
            <w:r w:rsidRPr="00FD4C45">
              <w:rPr>
                <w:rStyle w:val="Sprotnaopomba-sklic"/>
                <w:rFonts w:asciiTheme="majorHAnsi" w:hAnsiTheme="majorHAnsi"/>
              </w:rPr>
              <w:footnoteReference w:id="54"/>
            </w:r>
          </w:p>
        </w:tc>
        <w:tc>
          <w:tcPr>
            <w:tcW w:w="1352" w:type="dxa"/>
            <w:vAlign w:val="center"/>
            <w:hideMark/>
          </w:tcPr>
          <w:p w14:paraId="04170C0A" w14:textId="77777777" w:rsidR="004F5CB6" w:rsidRPr="009B538E" w:rsidRDefault="004F5CB6" w:rsidP="0064072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rPr>
                <w:rFonts w:asciiTheme="majorHAnsi" w:hAnsiTheme="majorHAnsi"/>
              </w:rPr>
              <w:t>Strošek</w:t>
            </w:r>
          </w:p>
          <w:p w14:paraId="0335A0CC" w14:textId="77777777" w:rsidR="004F5CB6" w:rsidRPr="009B538E" w:rsidRDefault="004F5CB6" w:rsidP="0064072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rPr>
                <w:rFonts w:asciiTheme="majorHAnsi" w:hAnsiTheme="majorHAnsi"/>
              </w:rPr>
              <w:t>dela v DV</w:t>
            </w:r>
          </w:p>
          <w:p w14:paraId="3B665853" w14:textId="77777777" w:rsidR="004F5CB6" w:rsidRPr="009B538E" w:rsidRDefault="004F5CB6" w:rsidP="0064072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rPr>
                <w:rFonts w:asciiTheme="majorHAnsi" w:hAnsiTheme="majorHAnsi"/>
              </w:rPr>
              <w:t>v o. t.</w:t>
            </w:r>
          </w:p>
        </w:tc>
        <w:tc>
          <w:tcPr>
            <w:tcW w:w="1244" w:type="dxa"/>
            <w:vAlign w:val="center"/>
            <w:hideMark/>
          </w:tcPr>
          <w:p w14:paraId="6057340E" w14:textId="77777777" w:rsidR="004F5CB6" w:rsidRPr="009B538E" w:rsidRDefault="004F5CB6" w:rsidP="0064072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rPr>
                <w:rFonts w:asciiTheme="majorHAnsi" w:hAnsiTheme="majorHAnsi"/>
              </w:rPr>
              <w:t>DV/ zaposlenega</w:t>
            </w:r>
          </w:p>
        </w:tc>
        <w:tc>
          <w:tcPr>
            <w:tcW w:w="1248" w:type="dxa"/>
            <w:vAlign w:val="center"/>
            <w:hideMark/>
          </w:tcPr>
          <w:p w14:paraId="0C74EE02" w14:textId="77777777" w:rsidR="004F5CB6" w:rsidRPr="009B538E" w:rsidRDefault="004F5CB6" w:rsidP="0064072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rPr>
                <w:rFonts w:asciiTheme="majorHAnsi" w:hAnsiTheme="majorHAnsi"/>
              </w:rPr>
              <w:t>Prihodki/ zaposlenega</w:t>
            </w:r>
          </w:p>
        </w:tc>
      </w:tr>
      <w:tr w:rsidR="009B538E" w:rsidRPr="0063544E" w14:paraId="51CD74A1"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8C8AC49" w14:textId="77777777" w:rsidR="004F5CB6" w:rsidRPr="009B538E" w:rsidRDefault="004F5CB6" w:rsidP="00640727">
            <w:pPr>
              <w:spacing w:before="0"/>
              <w:rPr>
                <w:rFonts w:asciiTheme="majorHAnsi" w:hAnsiTheme="majorHAnsi"/>
              </w:rPr>
            </w:pPr>
            <w:r w:rsidRPr="009B538E">
              <w:rPr>
                <w:rFonts w:asciiTheme="majorHAnsi" w:hAnsiTheme="majorHAnsi"/>
                <w:color w:val="000000" w:themeColor="text1"/>
              </w:rPr>
              <w:t>PREDEL. DEJ. SKUPAJ</w:t>
            </w:r>
          </w:p>
        </w:tc>
        <w:tc>
          <w:tcPr>
            <w:tcW w:w="1055" w:type="dxa"/>
            <w:vAlign w:val="center"/>
          </w:tcPr>
          <w:p w14:paraId="158614C2"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9B538E">
              <w:rPr>
                <w:b/>
              </w:rPr>
              <w:t>4,7</w:t>
            </w:r>
          </w:p>
        </w:tc>
        <w:tc>
          <w:tcPr>
            <w:tcW w:w="1137" w:type="dxa"/>
            <w:vAlign w:val="center"/>
          </w:tcPr>
          <w:p w14:paraId="53D71EB5"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9B538E">
              <w:rPr>
                <w:b/>
              </w:rPr>
              <w:t>1,5</w:t>
            </w:r>
          </w:p>
        </w:tc>
        <w:tc>
          <w:tcPr>
            <w:tcW w:w="1134" w:type="dxa"/>
            <w:vAlign w:val="center"/>
          </w:tcPr>
          <w:p w14:paraId="7EC1E37C"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9B538E">
              <w:rPr>
                <w:b/>
              </w:rPr>
              <w:t>1,5</w:t>
            </w:r>
          </w:p>
        </w:tc>
        <w:tc>
          <w:tcPr>
            <w:tcW w:w="1352" w:type="dxa"/>
            <w:vAlign w:val="center"/>
          </w:tcPr>
          <w:p w14:paraId="6F41152A"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9B538E">
              <w:rPr>
                <w:b/>
              </w:rPr>
              <w:t>2,3</w:t>
            </w:r>
          </w:p>
        </w:tc>
        <w:tc>
          <w:tcPr>
            <w:tcW w:w="1244" w:type="dxa"/>
            <w:vAlign w:val="center"/>
          </w:tcPr>
          <w:p w14:paraId="2ED5D5AF"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9B538E">
              <w:rPr>
                <w:b/>
              </w:rPr>
              <w:t>-379</w:t>
            </w:r>
          </w:p>
        </w:tc>
        <w:tc>
          <w:tcPr>
            <w:tcW w:w="1248" w:type="dxa"/>
            <w:vAlign w:val="center"/>
          </w:tcPr>
          <w:p w14:paraId="5C7363ED"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9B538E">
              <w:rPr>
                <w:b/>
              </w:rPr>
              <w:t>-38.048</w:t>
            </w:r>
          </w:p>
        </w:tc>
      </w:tr>
      <w:tr w:rsidR="004F5CB6" w:rsidRPr="0063544E" w14:paraId="7F683B35" w14:textId="77777777" w:rsidTr="002C098B">
        <w:tc>
          <w:tcPr>
            <w:cnfStyle w:val="001000000000" w:firstRow="0" w:lastRow="0" w:firstColumn="1" w:lastColumn="0" w:oddVBand="0" w:evenVBand="0" w:oddHBand="0" w:evenHBand="0" w:firstRowFirstColumn="0" w:firstRowLastColumn="0" w:lastRowFirstColumn="0" w:lastRowLastColumn="0"/>
            <w:tcW w:w="1980" w:type="dxa"/>
          </w:tcPr>
          <w:p w14:paraId="52003627" w14:textId="77777777" w:rsidR="004F5CB6" w:rsidRPr="009B538E" w:rsidRDefault="004F5CB6" w:rsidP="00640727">
            <w:pPr>
              <w:spacing w:before="0"/>
              <w:rPr>
                <w:rFonts w:asciiTheme="majorHAnsi" w:hAnsiTheme="majorHAnsi"/>
                <w:b w:val="0"/>
              </w:rPr>
            </w:pPr>
            <w:r w:rsidRPr="00FD4C45">
              <w:rPr>
                <w:rFonts w:asciiTheme="majorHAnsi" w:hAnsiTheme="majorHAnsi"/>
                <w:color w:val="000000" w:themeColor="text1"/>
              </w:rPr>
              <w:t>Prehrambna</w:t>
            </w:r>
          </w:p>
        </w:tc>
        <w:tc>
          <w:tcPr>
            <w:tcW w:w="1055" w:type="dxa"/>
            <w:noWrap/>
            <w:vAlign w:val="center"/>
          </w:tcPr>
          <w:p w14:paraId="6D2A650F"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3,0</w:t>
            </w:r>
          </w:p>
        </w:tc>
        <w:tc>
          <w:tcPr>
            <w:tcW w:w="1137" w:type="dxa"/>
            <w:noWrap/>
            <w:vAlign w:val="center"/>
          </w:tcPr>
          <w:p w14:paraId="0E73EA10"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0,0</w:t>
            </w:r>
          </w:p>
        </w:tc>
        <w:tc>
          <w:tcPr>
            <w:tcW w:w="1134" w:type="dxa"/>
            <w:noWrap/>
            <w:vAlign w:val="center"/>
          </w:tcPr>
          <w:p w14:paraId="0FE713CC"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0,4</w:t>
            </w:r>
          </w:p>
        </w:tc>
        <w:tc>
          <w:tcPr>
            <w:tcW w:w="1352" w:type="dxa"/>
            <w:noWrap/>
            <w:vAlign w:val="center"/>
          </w:tcPr>
          <w:p w14:paraId="2EEF447D"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3,8</w:t>
            </w:r>
          </w:p>
        </w:tc>
        <w:tc>
          <w:tcPr>
            <w:tcW w:w="1244" w:type="dxa"/>
            <w:noWrap/>
            <w:vAlign w:val="center"/>
          </w:tcPr>
          <w:p w14:paraId="2C233EE9"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2.714</w:t>
            </w:r>
          </w:p>
        </w:tc>
        <w:tc>
          <w:tcPr>
            <w:tcW w:w="1248" w:type="dxa"/>
            <w:noWrap/>
            <w:vAlign w:val="center"/>
          </w:tcPr>
          <w:p w14:paraId="5F313FC4"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-4.797</w:t>
            </w:r>
          </w:p>
        </w:tc>
      </w:tr>
      <w:tr w:rsidR="009B538E" w:rsidRPr="0063544E" w14:paraId="081F9B8D"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CB46DDE" w14:textId="77777777" w:rsidR="004F5CB6" w:rsidRPr="009B538E" w:rsidRDefault="004F5CB6" w:rsidP="00640727">
            <w:pPr>
              <w:spacing w:before="0"/>
              <w:rPr>
                <w:rFonts w:asciiTheme="majorHAnsi" w:hAnsiTheme="majorHAnsi"/>
                <w:b w:val="0"/>
              </w:rPr>
            </w:pPr>
            <w:r w:rsidRPr="00FD4C45">
              <w:rPr>
                <w:rFonts w:asciiTheme="majorHAnsi" w:hAnsiTheme="majorHAnsi"/>
                <w:color w:val="000000" w:themeColor="text1"/>
              </w:rPr>
              <w:t>Tekstilna</w:t>
            </w:r>
          </w:p>
        </w:tc>
        <w:tc>
          <w:tcPr>
            <w:tcW w:w="1055" w:type="dxa"/>
            <w:noWrap/>
            <w:vAlign w:val="center"/>
          </w:tcPr>
          <w:p w14:paraId="10E7C32E"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-0,1</w:t>
            </w:r>
          </w:p>
        </w:tc>
        <w:tc>
          <w:tcPr>
            <w:tcW w:w="1137" w:type="dxa"/>
            <w:noWrap/>
            <w:vAlign w:val="center"/>
          </w:tcPr>
          <w:p w14:paraId="263773E9"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2,0</w:t>
            </w:r>
          </w:p>
        </w:tc>
        <w:tc>
          <w:tcPr>
            <w:tcW w:w="1134" w:type="dxa"/>
            <w:noWrap/>
            <w:vAlign w:val="center"/>
          </w:tcPr>
          <w:p w14:paraId="38666DF6"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1,8</w:t>
            </w:r>
          </w:p>
        </w:tc>
        <w:tc>
          <w:tcPr>
            <w:tcW w:w="1352" w:type="dxa"/>
            <w:noWrap/>
            <w:vAlign w:val="center"/>
          </w:tcPr>
          <w:p w14:paraId="4C9558AC"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-6,9</w:t>
            </w:r>
          </w:p>
        </w:tc>
        <w:tc>
          <w:tcPr>
            <w:tcW w:w="1244" w:type="dxa"/>
            <w:noWrap/>
            <w:vAlign w:val="center"/>
          </w:tcPr>
          <w:p w14:paraId="1877A451"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3.316</w:t>
            </w:r>
          </w:p>
        </w:tc>
        <w:tc>
          <w:tcPr>
            <w:tcW w:w="1248" w:type="dxa"/>
            <w:noWrap/>
            <w:vAlign w:val="center"/>
          </w:tcPr>
          <w:p w14:paraId="40E76522"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-1.271</w:t>
            </w:r>
          </w:p>
        </w:tc>
      </w:tr>
      <w:tr w:rsidR="004F5CB6" w:rsidRPr="0063544E" w14:paraId="31A72F03" w14:textId="77777777" w:rsidTr="002C098B">
        <w:tc>
          <w:tcPr>
            <w:cnfStyle w:val="001000000000" w:firstRow="0" w:lastRow="0" w:firstColumn="1" w:lastColumn="0" w:oddVBand="0" w:evenVBand="0" w:oddHBand="0" w:evenHBand="0" w:firstRowFirstColumn="0" w:firstRowLastColumn="0" w:lastRowFirstColumn="0" w:lastRowLastColumn="0"/>
            <w:tcW w:w="1980" w:type="dxa"/>
          </w:tcPr>
          <w:p w14:paraId="3F9F2DAA" w14:textId="77777777" w:rsidR="004F5CB6" w:rsidRPr="009B538E" w:rsidRDefault="004F5CB6" w:rsidP="00640727">
            <w:pPr>
              <w:spacing w:before="0"/>
              <w:rPr>
                <w:rFonts w:asciiTheme="majorHAnsi" w:hAnsiTheme="majorHAnsi"/>
                <w:b w:val="0"/>
              </w:rPr>
            </w:pPr>
            <w:r w:rsidRPr="00FD4C45">
              <w:rPr>
                <w:rFonts w:asciiTheme="majorHAnsi" w:hAnsiTheme="majorHAnsi"/>
                <w:color w:val="000000" w:themeColor="text1"/>
              </w:rPr>
              <w:t>Lesna</w:t>
            </w:r>
          </w:p>
        </w:tc>
        <w:tc>
          <w:tcPr>
            <w:tcW w:w="1055" w:type="dxa"/>
            <w:noWrap/>
            <w:vAlign w:val="center"/>
          </w:tcPr>
          <w:p w14:paraId="58A7AA7F"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2,8</w:t>
            </w:r>
          </w:p>
        </w:tc>
        <w:tc>
          <w:tcPr>
            <w:tcW w:w="1137" w:type="dxa"/>
            <w:noWrap/>
            <w:vAlign w:val="center"/>
          </w:tcPr>
          <w:p w14:paraId="3344BEE0"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2,4</w:t>
            </w:r>
          </w:p>
        </w:tc>
        <w:tc>
          <w:tcPr>
            <w:tcW w:w="1134" w:type="dxa"/>
            <w:noWrap/>
            <w:vAlign w:val="center"/>
          </w:tcPr>
          <w:p w14:paraId="6F5B7110"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0,8</w:t>
            </w:r>
          </w:p>
        </w:tc>
        <w:tc>
          <w:tcPr>
            <w:tcW w:w="1352" w:type="dxa"/>
            <w:noWrap/>
            <w:vAlign w:val="center"/>
          </w:tcPr>
          <w:p w14:paraId="220D5CEA"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0,0</w:t>
            </w:r>
          </w:p>
        </w:tc>
        <w:tc>
          <w:tcPr>
            <w:tcW w:w="1244" w:type="dxa"/>
            <w:noWrap/>
            <w:vAlign w:val="center"/>
          </w:tcPr>
          <w:p w14:paraId="75B23846"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2.096</w:t>
            </w:r>
          </w:p>
        </w:tc>
        <w:tc>
          <w:tcPr>
            <w:tcW w:w="1248" w:type="dxa"/>
            <w:noWrap/>
            <w:vAlign w:val="center"/>
          </w:tcPr>
          <w:p w14:paraId="5125C945"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0</w:t>
            </w:r>
          </w:p>
        </w:tc>
      </w:tr>
      <w:tr w:rsidR="009B538E" w:rsidRPr="0063544E" w14:paraId="08A182BB"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5C362D9" w14:textId="77777777" w:rsidR="004F5CB6" w:rsidRPr="009B538E" w:rsidRDefault="004F5CB6" w:rsidP="00640727">
            <w:pPr>
              <w:spacing w:before="0"/>
              <w:rPr>
                <w:rFonts w:asciiTheme="majorHAnsi" w:hAnsiTheme="majorHAnsi"/>
                <w:b w:val="0"/>
              </w:rPr>
            </w:pPr>
            <w:r w:rsidRPr="00FD4C45">
              <w:rPr>
                <w:rFonts w:asciiTheme="majorHAnsi" w:hAnsiTheme="majorHAnsi"/>
                <w:color w:val="000000" w:themeColor="text1"/>
              </w:rPr>
              <w:t>Papirna</w:t>
            </w:r>
          </w:p>
        </w:tc>
        <w:tc>
          <w:tcPr>
            <w:tcW w:w="1055" w:type="dxa"/>
            <w:noWrap/>
            <w:vAlign w:val="center"/>
          </w:tcPr>
          <w:p w14:paraId="63B41A16"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-2,6</w:t>
            </w:r>
          </w:p>
        </w:tc>
        <w:tc>
          <w:tcPr>
            <w:tcW w:w="1137" w:type="dxa"/>
            <w:noWrap/>
            <w:vAlign w:val="center"/>
          </w:tcPr>
          <w:p w14:paraId="0F59B68E"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-2,7</w:t>
            </w:r>
          </w:p>
        </w:tc>
        <w:tc>
          <w:tcPr>
            <w:tcW w:w="1134" w:type="dxa"/>
            <w:noWrap/>
            <w:vAlign w:val="center"/>
          </w:tcPr>
          <w:p w14:paraId="7FBD2306"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-2,4</w:t>
            </w:r>
          </w:p>
        </w:tc>
        <w:tc>
          <w:tcPr>
            <w:tcW w:w="1352" w:type="dxa"/>
            <w:noWrap/>
            <w:vAlign w:val="center"/>
          </w:tcPr>
          <w:p w14:paraId="15F59B49"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2,0</w:t>
            </w:r>
          </w:p>
        </w:tc>
        <w:tc>
          <w:tcPr>
            <w:tcW w:w="1244" w:type="dxa"/>
            <w:noWrap/>
            <w:vAlign w:val="center"/>
          </w:tcPr>
          <w:p w14:paraId="0A530DF9"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-2.310</w:t>
            </w:r>
          </w:p>
        </w:tc>
        <w:tc>
          <w:tcPr>
            <w:tcW w:w="1248" w:type="dxa"/>
            <w:noWrap/>
            <w:vAlign w:val="center"/>
          </w:tcPr>
          <w:p w14:paraId="2F4BC3C1"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0</w:t>
            </w:r>
          </w:p>
        </w:tc>
      </w:tr>
      <w:tr w:rsidR="004F5CB6" w:rsidRPr="0063544E" w14:paraId="05EE2CA4" w14:textId="77777777" w:rsidTr="002C098B">
        <w:tc>
          <w:tcPr>
            <w:cnfStyle w:val="001000000000" w:firstRow="0" w:lastRow="0" w:firstColumn="1" w:lastColumn="0" w:oddVBand="0" w:evenVBand="0" w:oddHBand="0" w:evenHBand="0" w:firstRowFirstColumn="0" w:firstRowLastColumn="0" w:lastRowFirstColumn="0" w:lastRowLastColumn="0"/>
            <w:tcW w:w="1980" w:type="dxa"/>
          </w:tcPr>
          <w:p w14:paraId="3720FB94" w14:textId="77777777" w:rsidR="004F5CB6" w:rsidRPr="009B538E" w:rsidRDefault="004F5CB6" w:rsidP="00640727">
            <w:pPr>
              <w:spacing w:before="0"/>
              <w:rPr>
                <w:rFonts w:asciiTheme="majorHAnsi" w:hAnsiTheme="majorHAnsi"/>
                <w:b w:val="0"/>
              </w:rPr>
            </w:pPr>
            <w:r w:rsidRPr="00FD4C45">
              <w:rPr>
                <w:rFonts w:asciiTheme="majorHAnsi" w:hAnsiTheme="majorHAnsi"/>
                <w:color w:val="000000" w:themeColor="text1"/>
              </w:rPr>
              <w:t>Kemična</w:t>
            </w:r>
          </w:p>
        </w:tc>
        <w:tc>
          <w:tcPr>
            <w:tcW w:w="1055" w:type="dxa"/>
            <w:noWrap/>
            <w:vAlign w:val="center"/>
          </w:tcPr>
          <w:p w14:paraId="076026B9"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8,8</w:t>
            </w:r>
          </w:p>
        </w:tc>
        <w:tc>
          <w:tcPr>
            <w:tcW w:w="1137" w:type="dxa"/>
            <w:noWrap/>
            <w:vAlign w:val="center"/>
          </w:tcPr>
          <w:p w14:paraId="0EBA4567"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1,6</w:t>
            </w:r>
          </w:p>
        </w:tc>
        <w:tc>
          <w:tcPr>
            <w:tcW w:w="1134" w:type="dxa"/>
            <w:noWrap/>
            <w:vAlign w:val="center"/>
          </w:tcPr>
          <w:p w14:paraId="1B052AC1"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4,0</w:t>
            </w:r>
          </w:p>
        </w:tc>
        <w:tc>
          <w:tcPr>
            <w:tcW w:w="1352" w:type="dxa"/>
            <w:noWrap/>
            <w:vAlign w:val="center"/>
          </w:tcPr>
          <w:p w14:paraId="3045F9A4"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2,6</w:t>
            </w:r>
          </w:p>
        </w:tc>
        <w:tc>
          <w:tcPr>
            <w:tcW w:w="1244" w:type="dxa"/>
            <w:noWrap/>
            <w:vAlign w:val="center"/>
          </w:tcPr>
          <w:p w14:paraId="0786E604"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-7.668</w:t>
            </w:r>
          </w:p>
        </w:tc>
        <w:tc>
          <w:tcPr>
            <w:tcW w:w="1248" w:type="dxa"/>
            <w:noWrap/>
            <w:vAlign w:val="center"/>
          </w:tcPr>
          <w:p w14:paraId="5D32EE55"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-56.751</w:t>
            </w:r>
          </w:p>
        </w:tc>
      </w:tr>
      <w:tr w:rsidR="009B538E" w:rsidRPr="0063544E" w14:paraId="420A8105"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D33496D" w14:textId="77777777" w:rsidR="004F5CB6" w:rsidRPr="009B538E" w:rsidRDefault="004F5CB6" w:rsidP="00640727">
            <w:pPr>
              <w:spacing w:before="0"/>
              <w:rPr>
                <w:rFonts w:asciiTheme="majorHAnsi" w:hAnsiTheme="majorHAnsi"/>
                <w:b w:val="0"/>
              </w:rPr>
            </w:pPr>
            <w:r w:rsidRPr="00FD4C45">
              <w:rPr>
                <w:rFonts w:asciiTheme="majorHAnsi" w:hAnsiTheme="majorHAnsi"/>
                <w:color w:val="000000" w:themeColor="text1"/>
              </w:rPr>
              <w:t>Nekovinska</w:t>
            </w:r>
          </w:p>
        </w:tc>
        <w:tc>
          <w:tcPr>
            <w:tcW w:w="1055" w:type="dxa"/>
            <w:noWrap/>
            <w:vAlign w:val="center"/>
          </w:tcPr>
          <w:p w14:paraId="539496C4"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2,1</w:t>
            </w:r>
          </w:p>
        </w:tc>
        <w:tc>
          <w:tcPr>
            <w:tcW w:w="1137" w:type="dxa"/>
            <w:noWrap/>
            <w:vAlign w:val="center"/>
          </w:tcPr>
          <w:p w14:paraId="0668B194"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-0,3</w:t>
            </w:r>
          </w:p>
        </w:tc>
        <w:tc>
          <w:tcPr>
            <w:tcW w:w="1134" w:type="dxa"/>
            <w:noWrap/>
            <w:vAlign w:val="center"/>
          </w:tcPr>
          <w:p w14:paraId="79711C1B"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1,7</w:t>
            </w:r>
          </w:p>
        </w:tc>
        <w:tc>
          <w:tcPr>
            <w:tcW w:w="1352" w:type="dxa"/>
            <w:noWrap/>
            <w:vAlign w:val="center"/>
          </w:tcPr>
          <w:p w14:paraId="0350317F"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-4,7</w:t>
            </w:r>
          </w:p>
        </w:tc>
        <w:tc>
          <w:tcPr>
            <w:tcW w:w="1244" w:type="dxa"/>
            <w:noWrap/>
            <w:vAlign w:val="center"/>
          </w:tcPr>
          <w:p w14:paraId="36878804"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-1.538</w:t>
            </w:r>
          </w:p>
        </w:tc>
        <w:tc>
          <w:tcPr>
            <w:tcW w:w="1248" w:type="dxa"/>
            <w:noWrap/>
            <w:vAlign w:val="center"/>
          </w:tcPr>
          <w:p w14:paraId="0879C1BF"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-23.168</w:t>
            </w:r>
          </w:p>
        </w:tc>
      </w:tr>
      <w:tr w:rsidR="004F5CB6" w:rsidRPr="0063544E" w14:paraId="36EC2631" w14:textId="77777777" w:rsidTr="002C098B">
        <w:tc>
          <w:tcPr>
            <w:cnfStyle w:val="001000000000" w:firstRow="0" w:lastRow="0" w:firstColumn="1" w:lastColumn="0" w:oddVBand="0" w:evenVBand="0" w:oddHBand="0" w:evenHBand="0" w:firstRowFirstColumn="0" w:firstRowLastColumn="0" w:lastRowFirstColumn="0" w:lastRowLastColumn="0"/>
            <w:tcW w:w="1980" w:type="dxa"/>
          </w:tcPr>
          <w:p w14:paraId="28048558" w14:textId="77777777" w:rsidR="004F5CB6" w:rsidRPr="009B538E" w:rsidRDefault="004F5CB6" w:rsidP="00640727">
            <w:pPr>
              <w:spacing w:before="0"/>
              <w:rPr>
                <w:rFonts w:asciiTheme="majorHAnsi" w:hAnsiTheme="majorHAnsi"/>
                <w:b w:val="0"/>
              </w:rPr>
            </w:pPr>
            <w:r w:rsidRPr="00FD4C45">
              <w:rPr>
                <w:rFonts w:asciiTheme="majorHAnsi" w:hAnsiTheme="majorHAnsi"/>
                <w:color w:val="000000" w:themeColor="text1"/>
              </w:rPr>
              <w:t>Kovinska</w:t>
            </w:r>
          </w:p>
        </w:tc>
        <w:tc>
          <w:tcPr>
            <w:tcW w:w="1055" w:type="dxa"/>
            <w:noWrap/>
            <w:vAlign w:val="center"/>
          </w:tcPr>
          <w:p w14:paraId="507C435B"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0,0</w:t>
            </w:r>
          </w:p>
        </w:tc>
        <w:tc>
          <w:tcPr>
            <w:tcW w:w="1137" w:type="dxa"/>
            <w:noWrap/>
            <w:vAlign w:val="center"/>
          </w:tcPr>
          <w:p w14:paraId="4A30D15A"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1,6</w:t>
            </w:r>
          </w:p>
        </w:tc>
        <w:tc>
          <w:tcPr>
            <w:tcW w:w="1134" w:type="dxa"/>
            <w:noWrap/>
            <w:vAlign w:val="center"/>
          </w:tcPr>
          <w:p w14:paraId="4DDC34A0"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0,5</w:t>
            </w:r>
          </w:p>
        </w:tc>
        <w:tc>
          <w:tcPr>
            <w:tcW w:w="1352" w:type="dxa"/>
            <w:noWrap/>
            <w:vAlign w:val="center"/>
          </w:tcPr>
          <w:p w14:paraId="13DBAA2E"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-0,7</w:t>
            </w:r>
          </w:p>
        </w:tc>
        <w:tc>
          <w:tcPr>
            <w:tcW w:w="1244" w:type="dxa"/>
            <w:noWrap/>
            <w:vAlign w:val="center"/>
          </w:tcPr>
          <w:p w14:paraId="6D1C6832"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0</w:t>
            </w:r>
          </w:p>
        </w:tc>
        <w:tc>
          <w:tcPr>
            <w:tcW w:w="1248" w:type="dxa"/>
            <w:noWrap/>
            <w:vAlign w:val="center"/>
          </w:tcPr>
          <w:p w14:paraId="75D63CEC"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-1.113</w:t>
            </w:r>
          </w:p>
        </w:tc>
      </w:tr>
      <w:tr w:rsidR="009B538E" w:rsidRPr="0063544E" w14:paraId="694E6F64"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C81F467" w14:textId="77777777" w:rsidR="004F5CB6" w:rsidRPr="009B538E" w:rsidRDefault="004F5CB6" w:rsidP="00640727">
            <w:pPr>
              <w:spacing w:before="0"/>
              <w:rPr>
                <w:rFonts w:asciiTheme="majorHAnsi" w:hAnsiTheme="majorHAnsi"/>
                <w:b w:val="0"/>
              </w:rPr>
            </w:pPr>
            <w:r w:rsidRPr="00FD4C45">
              <w:rPr>
                <w:rFonts w:asciiTheme="majorHAnsi" w:hAnsiTheme="majorHAnsi"/>
                <w:color w:val="000000" w:themeColor="text1"/>
              </w:rPr>
              <w:t>Elektro</w:t>
            </w:r>
          </w:p>
        </w:tc>
        <w:tc>
          <w:tcPr>
            <w:tcW w:w="1055" w:type="dxa"/>
            <w:noWrap/>
            <w:vAlign w:val="center"/>
          </w:tcPr>
          <w:p w14:paraId="4089DBA6"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-0,8</w:t>
            </w:r>
          </w:p>
        </w:tc>
        <w:tc>
          <w:tcPr>
            <w:tcW w:w="1137" w:type="dxa"/>
            <w:noWrap/>
            <w:vAlign w:val="center"/>
          </w:tcPr>
          <w:p w14:paraId="03BC4D0B"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1,6</w:t>
            </w:r>
          </w:p>
        </w:tc>
        <w:tc>
          <w:tcPr>
            <w:tcW w:w="1134" w:type="dxa"/>
            <w:noWrap/>
            <w:vAlign w:val="center"/>
          </w:tcPr>
          <w:p w14:paraId="69E45B63"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0,8</w:t>
            </w:r>
          </w:p>
        </w:tc>
        <w:tc>
          <w:tcPr>
            <w:tcW w:w="1352" w:type="dxa"/>
            <w:noWrap/>
            <w:vAlign w:val="center"/>
          </w:tcPr>
          <w:p w14:paraId="7892CE3C"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-0,3</w:t>
            </w:r>
          </w:p>
        </w:tc>
        <w:tc>
          <w:tcPr>
            <w:tcW w:w="1244" w:type="dxa"/>
            <w:noWrap/>
            <w:vAlign w:val="center"/>
          </w:tcPr>
          <w:p w14:paraId="32FEDBDE"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-3.419</w:t>
            </w:r>
          </w:p>
        </w:tc>
        <w:tc>
          <w:tcPr>
            <w:tcW w:w="1248" w:type="dxa"/>
            <w:noWrap/>
            <w:vAlign w:val="center"/>
          </w:tcPr>
          <w:p w14:paraId="7645A817"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-45.981</w:t>
            </w:r>
          </w:p>
        </w:tc>
      </w:tr>
      <w:tr w:rsidR="004F5CB6" w:rsidRPr="0063544E" w14:paraId="7B263751" w14:textId="77777777" w:rsidTr="002C098B">
        <w:tc>
          <w:tcPr>
            <w:cnfStyle w:val="001000000000" w:firstRow="0" w:lastRow="0" w:firstColumn="1" w:lastColumn="0" w:oddVBand="0" w:evenVBand="0" w:oddHBand="0" w:evenHBand="0" w:firstRowFirstColumn="0" w:firstRowLastColumn="0" w:lastRowFirstColumn="0" w:lastRowLastColumn="0"/>
            <w:tcW w:w="1980" w:type="dxa"/>
          </w:tcPr>
          <w:p w14:paraId="0114450B" w14:textId="77777777" w:rsidR="004F5CB6" w:rsidRPr="009B538E" w:rsidRDefault="004F5CB6" w:rsidP="00640727">
            <w:pPr>
              <w:spacing w:before="0"/>
              <w:rPr>
                <w:rFonts w:asciiTheme="majorHAnsi" w:hAnsiTheme="majorHAnsi"/>
                <w:b w:val="0"/>
              </w:rPr>
            </w:pPr>
            <w:r w:rsidRPr="00FD4C45">
              <w:rPr>
                <w:rFonts w:asciiTheme="majorHAnsi" w:hAnsiTheme="majorHAnsi"/>
                <w:color w:val="000000" w:themeColor="text1"/>
              </w:rPr>
              <w:t>Strojna</w:t>
            </w:r>
          </w:p>
        </w:tc>
        <w:tc>
          <w:tcPr>
            <w:tcW w:w="1055" w:type="dxa"/>
            <w:noWrap/>
            <w:vAlign w:val="center"/>
          </w:tcPr>
          <w:p w14:paraId="01A97830"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0,2</w:t>
            </w:r>
          </w:p>
        </w:tc>
        <w:tc>
          <w:tcPr>
            <w:tcW w:w="1137" w:type="dxa"/>
            <w:noWrap/>
            <w:vAlign w:val="center"/>
          </w:tcPr>
          <w:p w14:paraId="5D747DF6"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2,1</w:t>
            </w:r>
          </w:p>
        </w:tc>
        <w:tc>
          <w:tcPr>
            <w:tcW w:w="1134" w:type="dxa"/>
            <w:noWrap/>
            <w:vAlign w:val="center"/>
          </w:tcPr>
          <w:p w14:paraId="5911385E"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0,6</w:t>
            </w:r>
          </w:p>
        </w:tc>
        <w:tc>
          <w:tcPr>
            <w:tcW w:w="1352" w:type="dxa"/>
            <w:noWrap/>
            <w:vAlign w:val="center"/>
          </w:tcPr>
          <w:p w14:paraId="04AC5242"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-2,1</w:t>
            </w:r>
          </w:p>
        </w:tc>
        <w:tc>
          <w:tcPr>
            <w:tcW w:w="1244" w:type="dxa"/>
            <w:noWrap/>
            <w:vAlign w:val="center"/>
          </w:tcPr>
          <w:p w14:paraId="61DC54DD"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0</w:t>
            </w:r>
          </w:p>
        </w:tc>
        <w:tc>
          <w:tcPr>
            <w:tcW w:w="1248" w:type="dxa"/>
            <w:noWrap/>
            <w:vAlign w:val="center"/>
          </w:tcPr>
          <w:p w14:paraId="5CB0868A"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-32.280</w:t>
            </w:r>
          </w:p>
        </w:tc>
      </w:tr>
      <w:tr w:rsidR="009B538E" w:rsidRPr="0063544E" w14:paraId="43024696"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42520CE" w14:textId="77777777" w:rsidR="004F5CB6" w:rsidRPr="009B538E" w:rsidRDefault="004F5CB6" w:rsidP="00640727">
            <w:pPr>
              <w:spacing w:before="0"/>
              <w:rPr>
                <w:rFonts w:asciiTheme="majorHAnsi" w:hAnsiTheme="majorHAnsi"/>
                <w:b w:val="0"/>
              </w:rPr>
            </w:pPr>
            <w:r w:rsidRPr="00FD4C45">
              <w:rPr>
                <w:rFonts w:asciiTheme="majorHAnsi" w:hAnsiTheme="majorHAnsi"/>
                <w:color w:val="000000" w:themeColor="text1"/>
              </w:rPr>
              <w:t>Druge</w:t>
            </w:r>
          </w:p>
        </w:tc>
        <w:tc>
          <w:tcPr>
            <w:tcW w:w="1055" w:type="dxa"/>
            <w:noWrap/>
            <w:vAlign w:val="center"/>
          </w:tcPr>
          <w:p w14:paraId="1F683469"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2,5</w:t>
            </w:r>
          </w:p>
        </w:tc>
        <w:tc>
          <w:tcPr>
            <w:tcW w:w="1137" w:type="dxa"/>
            <w:noWrap/>
            <w:vAlign w:val="center"/>
          </w:tcPr>
          <w:p w14:paraId="7BAF751C"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0,3</w:t>
            </w:r>
          </w:p>
        </w:tc>
        <w:tc>
          <w:tcPr>
            <w:tcW w:w="1134" w:type="dxa"/>
            <w:noWrap/>
            <w:vAlign w:val="center"/>
          </w:tcPr>
          <w:p w14:paraId="152CB2A1"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4,7</w:t>
            </w:r>
          </w:p>
        </w:tc>
        <w:tc>
          <w:tcPr>
            <w:tcW w:w="1352" w:type="dxa"/>
            <w:noWrap/>
            <w:vAlign w:val="center"/>
          </w:tcPr>
          <w:p w14:paraId="6ECD7CEA"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-9,3</w:t>
            </w:r>
          </w:p>
        </w:tc>
        <w:tc>
          <w:tcPr>
            <w:tcW w:w="1244" w:type="dxa"/>
            <w:noWrap/>
            <w:vAlign w:val="center"/>
          </w:tcPr>
          <w:p w14:paraId="5C3E0036"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13.999</w:t>
            </w:r>
          </w:p>
        </w:tc>
        <w:tc>
          <w:tcPr>
            <w:tcW w:w="1248" w:type="dxa"/>
            <w:noWrap/>
            <w:vAlign w:val="center"/>
          </w:tcPr>
          <w:p w14:paraId="519B0456"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30.145</w:t>
            </w:r>
          </w:p>
        </w:tc>
      </w:tr>
    </w:tbl>
    <w:p w14:paraId="495ABF2F" w14:textId="77777777" w:rsidR="004F5CB6" w:rsidRPr="009B538E" w:rsidRDefault="004F5CB6" w:rsidP="004F5CB6">
      <w:pPr>
        <w:spacing w:before="20"/>
        <w:jc w:val="both"/>
        <w:rPr>
          <w:i/>
        </w:rPr>
      </w:pPr>
      <w:r w:rsidRPr="009B538E">
        <w:rPr>
          <w:i/>
        </w:rPr>
        <w:t>Vir: Eurostat, strukturna statistika podjetij, preračuni Analitika GZS</w:t>
      </w:r>
    </w:p>
    <w:p w14:paraId="39654DFC" w14:textId="77777777" w:rsidR="004F5CB6" w:rsidRDefault="004F5CB6" w:rsidP="004F5CB6">
      <w:pPr>
        <w:jc w:val="both"/>
        <w:rPr>
          <w:rFonts w:cstheme="minorHAnsi"/>
        </w:rPr>
      </w:pPr>
      <w:r w:rsidRPr="005026D5">
        <w:rPr>
          <w:rFonts w:cstheme="minorHAnsi"/>
        </w:rPr>
        <w:t>Delež izdatkov za RRD poslovnega sektorja v prodaji je v Sloveniji v 2017 znašal 1,5 %, kar je več</w:t>
      </w:r>
      <w:r w:rsidR="008763C8">
        <w:rPr>
          <w:rFonts w:cstheme="minorHAnsi"/>
        </w:rPr>
        <w:t>,</w:t>
      </w:r>
      <w:r w:rsidRPr="005026D5">
        <w:rPr>
          <w:rFonts w:cstheme="minorHAnsi"/>
        </w:rPr>
        <w:t xml:space="preserve"> kot znaša mediana EU-23 (0,7 %) ter mediana </w:t>
      </w:r>
      <w:r w:rsidR="00DC4FB4">
        <w:rPr>
          <w:rFonts w:cstheme="minorHAnsi"/>
        </w:rPr>
        <w:t>CEE-4</w:t>
      </w:r>
      <w:r w:rsidRPr="005026D5">
        <w:rPr>
          <w:rFonts w:cstheme="minorHAnsi"/>
        </w:rPr>
        <w:t xml:space="preserve"> (0,5 %). Podobna dinamika je beležena tudi v obdobju 2008-2017, kjer delež izdatkov za raziskave in razvoj poslovnega sektorja v prodaji v Sloveniji znaša 1,7 %, </w:t>
      </w:r>
      <w:r w:rsidR="00FC4BCE">
        <w:rPr>
          <w:rFonts w:cstheme="minorHAnsi"/>
        </w:rPr>
        <w:t xml:space="preserve">v </w:t>
      </w:r>
      <w:r w:rsidRPr="005026D5">
        <w:rPr>
          <w:rFonts w:cstheme="minorHAnsi"/>
        </w:rPr>
        <w:t xml:space="preserve">EU-23 0,6 % in </w:t>
      </w:r>
      <w:r w:rsidR="00FC4BCE">
        <w:rPr>
          <w:rFonts w:cstheme="minorHAnsi"/>
        </w:rPr>
        <w:t xml:space="preserve">v </w:t>
      </w:r>
      <w:r w:rsidR="00DC4FB4">
        <w:rPr>
          <w:rFonts w:cstheme="minorHAnsi"/>
        </w:rPr>
        <w:t>CEE-4</w:t>
      </w:r>
      <w:r w:rsidRPr="005026D5">
        <w:rPr>
          <w:rFonts w:cstheme="minorHAnsi"/>
        </w:rPr>
        <w:t xml:space="preserve"> 0,4 %. V 2017 je med EU državami najvišji delež izdatkov za RRD poslovnega sektorja v prodaji znašal na Švedskem 3,3 </w:t>
      </w:r>
      <w:r w:rsidRPr="00FD4C45">
        <w:rPr>
          <w:rFonts w:cstheme="minorHAnsi"/>
        </w:rPr>
        <w:t>%, Dansk</w:t>
      </w:r>
      <w:r w:rsidR="00AD65C3">
        <w:rPr>
          <w:rFonts w:cstheme="minorHAnsi"/>
        </w:rPr>
        <w:t>em</w:t>
      </w:r>
      <w:r w:rsidRPr="00FD4C45">
        <w:rPr>
          <w:rFonts w:cstheme="minorHAnsi"/>
        </w:rPr>
        <w:t xml:space="preserve"> </w:t>
      </w:r>
      <w:r w:rsidRPr="005026D5">
        <w:rPr>
          <w:rFonts w:cstheme="minorHAnsi"/>
        </w:rPr>
        <w:t xml:space="preserve">2,6 </w:t>
      </w:r>
      <w:r w:rsidRPr="00FD4C45">
        <w:rPr>
          <w:rFonts w:cstheme="minorHAnsi"/>
        </w:rPr>
        <w:t xml:space="preserve">%, </w:t>
      </w:r>
      <w:r w:rsidR="00AD65C3">
        <w:rPr>
          <w:rFonts w:cstheme="minorHAnsi"/>
        </w:rPr>
        <w:t>v</w:t>
      </w:r>
      <w:r w:rsidRPr="005026D5">
        <w:rPr>
          <w:rFonts w:cstheme="minorHAnsi"/>
        </w:rPr>
        <w:t xml:space="preserve"> Avstriji in Nemčiji 2,7 </w:t>
      </w:r>
      <w:r w:rsidRPr="00FD4C45">
        <w:rPr>
          <w:rFonts w:cstheme="minorHAnsi"/>
        </w:rPr>
        <w:t>%.</w:t>
      </w:r>
    </w:p>
    <w:p w14:paraId="7E6D8333" w14:textId="77777777" w:rsidR="004F5CB6" w:rsidRPr="009B538E" w:rsidRDefault="004F5CB6" w:rsidP="004F5CB6">
      <w:pPr>
        <w:spacing w:after="0"/>
      </w:pPr>
      <w:r w:rsidRPr="00120E6B">
        <w:rPr>
          <w:rFonts w:asciiTheme="majorHAnsi" w:eastAsia="Times New Roman" w:hAnsiTheme="majorHAnsi" w:cs="Arial"/>
          <w:b/>
          <w:bCs/>
          <w:color w:val="8AB833" w:themeColor="accent2"/>
          <w:lang w:eastAsia="sl-SI"/>
        </w:rPr>
        <w:t xml:space="preserve">Delež izdatkov za RRD v </w:t>
      </w:r>
      <w:r w:rsidR="00692A14">
        <w:rPr>
          <w:rFonts w:asciiTheme="majorHAnsi" w:eastAsia="Times New Roman" w:hAnsiTheme="majorHAnsi" w:cs="Arial"/>
          <w:b/>
          <w:bCs/>
          <w:color w:val="8AB833" w:themeColor="accent2"/>
          <w:lang w:eastAsia="sl-SI"/>
        </w:rPr>
        <w:t xml:space="preserve">celotnem </w:t>
      </w:r>
      <w:r w:rsidRPr="00120E6B">
        <w:rPr>
          <w:rFonts w:asciiTheme="majorHAnsi" w:eastAsia="Times New Roman" w:hAnsiTheme="majorHAnsi" w:cs="Arial"/>
          <w:b/>
          <w:bCs/>
          <w:color w:val="8AB833" w:themeColor="accent2"/>
          <w:lang w:eastAsia="sl-SI"/>
        </w:rPr>
        <w:t>poslovnem sektorju v prihodkih, v %</w:t>
      </w:r>
      <w:r w:rsidRPr="00120E6B">
        <w:rPr>
          <w:rFonts w:asciiTheme="majorHAnsi" w:eastAsia="Times New Roman" w:hAnsiTheme="majorHAnsi" w:cs="Arial"/>
          <w:b/>
          <w:bCs/>
          <w:color w:val="8AB833" w:themeColor="accent2"/>
          <w:lang w:eastAsia="sl-SI"/>
        </w:rPr>
        <w:tab/>
      </w:r>
    </w:p>
    <w:tbl>
      <w:tblPr>
        <w:tblStyle w:val="Tabelaseznam4poudarek21"/>
        <w:tblW w:w="5000" w:type="pct"/>
        <w:tblLook w:val="04A0" w:firstRow="1" w:lastRow="0" w:firstColumn="1" w:lastColumn="0" w:noHBand="0" w:noVBand="1"/>
      </w:tblPr>
      <w:tblGrid>
        <w:gridCol w:w="1916"/>
        <w:gridCol w:w="668"/>
        <w:gridCol w:w="670"/>
        <w:gridCol w:w="670"/>
        <w:gridCol w:w="669"/>
        <w:gridCol w:w="671"/>
        <w:gridCol w:w="671"/>
        <w:gridCol w:w="671"/>
        <w:gridCol w:w="669"/>
        <w:gridCol w:w="671"/>
        <w:gridCol w:w="671"/>
        <w:gridCol w:w="671"/>
      </w:tblGrid>
      <w:tr w:rsidR="004F5CB6" w:rsidRPr="0063544E" w14:paraId="4333229B" w14:textId="77777777" w:rsidTr="00640727">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032" w:type="pct"/>
            <w:noWrap/>
            <w:hideMark/>
          </w:tcPr>
          <w:p w14:paraId="4A4F46BE" w14:textId="77777777" w:rsidR="004F5CB6" w:rsidRPr="009B538E" w:rsidRDefault="004F5CB6" w:rsidP="00640727">
            <w:pPr>
              <w:spacing w:before="0"/>
              <w:rPr>
                <w:rFonts w:asciiTheme="majorHAnsi" w:hAnsiTheme="majorHAnsi"/>
                <w:color w:val="auto"/>
              </w:rPr>
            </w:pPr>
          </w:p>
        </w:tc>
        <w:tc>
          <w:tcPr>
            <w:tcW w:w="360" w:type="pct"/>
            <w:textDirection w:val="btLr"/>
            <w:vAlign w:val="center"/>
          </w:tcPr>
          <w:p w14:paraId="5E59D3BE" w14:textId="77777777" w:rsidR="004F5CB6" w:rsidRPr="009B538E" w:rsidRDefault="004F5CB6" w:rsidP="00640727">
            <w:pPr>
              <w:spacing w:before="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t>2008</w:t>
            </w:r>
          </w:p>
        </w:tc>
        <w:tc>
          <w:tcPr>
            <w:tcW w:w="361" w:type="pct"/>
            <w:textDirection w:val="btLr"/>
            <w:vAlign w:val="center"/>
          </w:tcPr>
          <w:p w14:paraId="371D0F5E" w14:textId="77777777" w:rsidR="004F5CB6" w:rsidRPr="009B538E" w:rsidRDefault="004F5CB6" w:rsidP="00640727">
            <w:pPr>
              <w:spacing w:before="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t>2009</w:t>
            </w:r>
          </w:p>
        </w:tc>
        <w:tc>
          <w:tcPr>
            <w:tcW w:w="361" w:type="pct"/>
            <w:textDirection w:val="btLr"/>
            <w:vAlign w:val="center"/>
          </w:tcPr>
          <w:p w14:paraId="70E35FD6" w14:textId="77777777" w:rsidR="004F5CB6" w:rsidRPr="009B538E" w:rsidRDefault="004F5CB6" w:rsidP="00640727">
            <w:pPr>
              <w:spacing w:before="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t>2010</w:t>
            </w:r>
          </w:p>
        </w:tc>
        <w:tc>
          <w:tcPr>
            <w:tcW w:w="360" w:type="pct"/>
            <w:textDirection w:val="btLr"/>
            <w:vAlign w:val="center"/>
          </w:tcPr>
          <w:p w14:paraId="5DE09B03" w14:textId="77777777" w:rsidR="004F5CB6" w:rsidRPr="009B538E" w:rsidRDefault="004F5CB6" w:rsidP="00640727">
            <w:pPr>
              <w:spacing w:before="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t>2011</w:t>
            </w:r>
          </w:p>
        </w:tc>
        <w:tc>
          <w:tcPr>
            <w:tcW w:w="361" w:type="pct"/>
            <w:textDirection w:val="btLr"/>
            <w:vAlign w:val="center"/>
          </w:tcPr>
          <w:p w14:paraId="0CA7AF1D" w14:textId="77777777" w:rsidR="004F5CB6" w:rsidRPr="009B538E" w:rsidRDefault="004F5CB6" w:rsidP="00640727">
            <w:pPr>
              <w:spacing w:before="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t>2012</w:t>
            </w:r>
          </w:p>
        </w:tc>
        <w:tc>
          <w:tcPr>
            <w:tcW w:w="361" w:type="pct"/>
            <w:textDirection w:val="btLr"/>
            <w:vAlign w:val="center"/>
          </w:tcPr>
          <w:p w14:paraId="17F5AA07" w14:textId="77777777" w:rsidR="004F5CB6" w:rsidRPr="009B538E" w:rsidRDefault="004F5CB6" w:rsidP="00640727">
            <w:pPr>
              <w:spacing w:before="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t>2013</w:t>
            </w:r>
          </w:p>
        </w:tc>
        <w:tc>
          <w:tcPr>
            <w:tcW w:w="361" w:type="pct"/>
            <w:textDirection w:val="btLr"/>
            <w:vAlign w:val="center"/>
          </w:tcPr>
          <w:p w14:paraId="468894C0" w14:textId="77777777" w:rsidR="004F5CB6" w:rsidRPr="009B538E" w:rsidRDefault="004F5CB6" w:rsidP="00640727">
            <w:pPr>
              <w:spacing w:before="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t>2014</w:t>
            </w:r>
          </w:p>
        </w:tc>
        <w:tc>
          <w:tcPr>
            <w:tcW w:w="360" w:type="pct"/>
            <w:textDirection w:val="btLr"/>
            <w:vAlign w:val="center"/>
          </w:tcPr>
          <w:p w14:paraId="00BF6B29" w14:textId="77777777" w:rsidR="004F5CB6" w:rsidRPr="009B538E" w:rsidRDefault="004F5CB6" w:rsidP="00640727">
            <w:pPr>
              <w:spacing w:before="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t>2015</w:t>
            </w:r>
          </w:p>
        </w:tc>
        <w:tc>
          <w:tcPr>
            <w:tcW w:w="361" w:type="pct"/>
            <w:textDirection w:val="btLr"/>
            <w:vAlign w:val="center"/>
          </w:tcPr>
          <w:p w14:paraId="4A7EBC77" w14:textId="77777777" w:rsidR="004F5CB6" w:rsidRPr="009B538E" w:rsidRDefault="004F5CB6" w:rsidP="00640727">
            <w:pPr>
              <w:spacing w:before="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t>2016</w:t>
            </w:r>
          </w:p>
        </w:tc>
        <w:tc>
          <w:tcPr>
            <w:tcW w:w="361" w:type="pct"/>
            <w:textDirection w:val="btLr"/>
            <w:vAlign w:val="center"/>
          </w:tcPr>
          <w:p w14:paraId="7B110063" w14:textId="77777777" w:rsidR="004F5CB6" w:rsidRPr="009B538E" w:rsidRDefault="004F5CB6" w:rsidP="00640727">
            <w:pPr>
              <w:spacing w:before="0"/>
              <w:ind w:left="113" w:right="11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FD4C45">
              <w:t>2017</w:t>
            </w:r>
          </w:p>
        </w:tc>
        <w:tc>
          <w:tcPr>
            <w:tcW w:w="361" w:type="pct"/>
            <w:textDirection w:val="btLr"/>
            <w:vAlign w:val="center"/>
          </w:tcPr>
          <w:p w14:paraId="5648D57E" w14:textId="77777777" w:rsidR="004F5CB6" w:rsidRPr="009B538E" w:rsidRDefault="004F5CB6" w:rsidP="00640727">
            <w:pPr>
              <w:spacing w:before="0"/>
              <w:ind w:left="113" w:right="113"/>
              <w:jc w:val="center"/>
              <w:cnfStyle w:val="100000000000" w:firstRow="1" w:lastRow="0" w:firstColumn="0" w:lastColumn="0" w:oddVBand="0" w:evenVBand="0" w:oddHBand="0" w:evenHBand="0" w:firstRowFirstColumn="0" w:firstRowLastColumn="0" w:lastRowFirstColumn="0" w:lastRowLastColumn="0"/>
              <w:rPr>
                <w:b w:val="0"/>
              </w:rPr>
            </w:pPr>
            <w:r w:rsidRPr="00FD4C45">
              <w:t>2018</w:t>
            </w:r>
          </w:p>
        </w:tc>
      </w:tr>
      <w:tr w:rsidR="004F5CB6" w:rsidRPr="0063544E" w14:paraId="6025B91F"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pct"/>
            <w:noWrap/>
            <w:vAlign w:val="center"/>
            <w:hideMark/>
          </w:tcPr>
          <w:p w14:paraId="1BC37A5D" w14:textId="77777777" w:rsidR="004F5CB6" w:rsidRPr="009B538E" w:rsidRDefault="004F5CB6" w:rsidP="00640727">
            <w:pPr>
              <w:spacing w:before="0"/>
              <w:rPr>
                <w:rFonts w:asciiTheme="majorHAnsi" w:hAnsiTheme="majorHAnsi"/>
                <w:b w:val="0"/>
              </w:rPr>
            </w:pPr>
            <w:r w:rsidRPr="00FD4C45">
              <w:lastRenderedPageBreak/>
              <w:t>EU-23 (mediana)</w:t>
            </w:r>
          </w:p>
        </w:tc>
        <w:tc>
          <w:tcPr>
            <w:tcW w:w="360" w:type="pct"/>
          </w:tcPr>
          <w:p w14:paraId="353A0466"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0,6%</w:t>
            </w:r>
          </w:p>
        </w:tc>
        <w:tc>
          <w:tcPr>
            <w:tcW w:w="361" w:type="pct"/>
          </w:tcPr>
          <w:p w14:paraId="0DC782E4"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0,6%</w:t>
            </w:r>
          </w:p>
        </w:tc>
        <w:tc>
          <w:tcPr>
            <w:tcW w:w="361" w:type="pct"/>
          </w:tcPr>
          <w:p w14:paraId="39F52365"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0,5%</w:t>
            </w:r>
          </w:p>
        </w:tc>
        <w:tc>
          <w:tcPr>
            <w:tcW w:w="360" w:type="pct"/>
          </w:tcPr>
          <w:p w14:paraId="0C5BA6DF"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0,7%</w:t>
            </w:r>
          </w:p>
        </w:tc>
        <w:tc>
          <w:tcPr>
            <w:tcW w:w="361" w:type="pct"/>
          </w:tcPr>
          <w:p w14:paraId="331D6FEF"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0,7%</w:t>
            </w:r>
          </w:p>
        </w:tc>
        <w:tc>
          <w:tcPr>
            <w:tcW w:w="361" w:type="pct"/>
          </w:tcPr>
          <w:p w14:paraId="0B5C0323"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0,6%</w:t>
            </w:r>
          </w:p>
        </w:tc>
        <w:tc>
          <w:tcPr>
            <w:tcW w:w="361" w:type="pct"/>
          </w:tcPr>
          <w:p w14:paraId="63F10AFD"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0,7%</w:t>
            </w:r>
          </w:p>
        </w:tc>
        <w:tc>
          <w:tcPr>
            <w:tcW w:w="360" w:type="pct"/>
          </w:tcPr>
          <w:p w14:paraId="313F6B5F"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0,7%</w:t>
            </w:r>
          </w:p>
        </w:tc>
        <w:tc>
          <w:tcPr>
            <w:tcW w:w="361" w:type="pct"/>
          </w:tcPr>
          <w:p w14:paraId="6906DEB8"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0,6%</w:t>
            </w:r>
          </w:p>
        </w:tc>
        <w:tc>
          <w:tcPr>
            <w:tcW w:w="361" w:type="pct"/>
          </w:tcPr>
          <w:p w14:paraId="479B366C"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0,7%</w:t>
            </w:r>
          </w:p>
        </w:tc>
        <w:tc>
          <w:tcPr>
            <w:tcW w:w="361" w:type="pct"/>
          </w:tcPr>
          <w:p w14:paraId="2883B78F"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pPr>
            <w:r w:rsidRPr="009B538E">
              <w:t>n. p.</w:t>
            </w:r>
          </w:p>
        </w:tc>
      </w:tr>
      <w:tr w:rsidR="004F5CB6" w:rsidRPr="0063544E" w14:paraId="3F18FABC" w14:textId="77777777" w:rsidTr="00640727">
        <w:tc>
          <w:tcPr>
            <w:cnfStyle w:val="001000000000" w:firstRow="0" w:lastRow="0" w:firstColumn="1" w:lastColumn="0" w:oddVBand="0" w:evenVBand="0" w:oddHBand="0" w:evenHBand="0" w:firstRowFirstColumn="0" w:firstRowLastColumn="0" w:lastRowFirstColumn="0" w:lastRowLastColumn="0"/>
            <w:tcW w:w="1032" w:type="pct"/>
            <w:noWrap/>
            <w:vAlign w:val="center"/>
            <w:hideMark/>
          </w:tcPr>
          <w:p w14:paraId="223BC1BD" w14:textId="77777777" w:rsidR="004F5CB6" w:rsidRPr="009B538E" w:rsidRDefault="00DC4FB4" w:rsidP="00640727">
            <w:pPr>
              <w:spacing w:before="0"/>
              <w:rPr>
                <w:rFonts w:asciiTheme="majorHAnsi" w:hAnsiTheme="majorHAnsi"/>
                <w:b w:val="0"/>
              </w:rPr>
            </w:pPr>
            <w:r>
              <w:t>CEE-4</w:t>
            </w:r>
            <w:r w:rsidR="004F5CB6" w:rsidRPr="00FD4C45">
              <w:t xml:space="preserve"> (mediana)</w:t>
            </w:r>
          </w:p>
        </w:tc>
        <w:tc>
          <w:tcPr>
            <w:tcW w:w="360" w:type="pct"/>
            <w:noWrap/>
          </w:tcPr>
          <w:p w14:paraId="69844394"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0,3%</w:t>
            </w:r>
          </w:p>
        </w:tc>
        <w:tc>
          <w:tcPr>
            <w:tcW w:w="361" w:type="pct"/>
            <w:noWrap/>
          </w:tcPr>
          <w:p w14:paraId="12216F64"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0,3%</w:t>
            </w:r>
          </w:p>
        </w:tc>
        <w:tc>
          <w:tcPr>
            <w:tcW w:w="361" w:type="pct"/>
          </w:tcPr>
          <w:p w14:paraId="27BB1503"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0,4%</w:t>
            </w:r>
          </w:p>
        </w:tc>
        <w:tc>
          <w:tcPr>
            <w:tcW w:w="360" w:type="pct"/>
          </w:tcPr>
          <w:p w14:paraId="4F21EB15"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0,3%</w:t>
            </w:r>
          </w:p>
        </w:tc>
        <w:tc>
          <w:tcPr>
            <w:tcW w:w="361" w:type="pct"/>
          </w:tcPr>
          <w:p w14:paraId="63445A0C"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0,4%</w:t>
            </w:r>
          </w:p>
        </w:tc>
        <w:tc>
          <w:tcPr>
            <w:tcW w:w="361" w:type="pct"/>
          </w:tcPr>
          <w:p w14:paraId="503F5AE5"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0,4%</w:t>
            </w:r>
          </w:p>
        </w:tc>
        <w:tc>
          <w:tcPr>
            <w:tcW w:w="361" w:type="pct"/>
          </w:tcPr>
          <w:p w14:paraId="298EE98C"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0,4%</w:t>
            </w:r>
          </w:p>
        </w:tc>
        <w:tc>
          <w:tcPr>
            <w:tcW w:w="360" w:type="pct"/>
          </w:tcPr>
          <w:p w14:paraId="6AA257FA"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0,4%</w:t>
            </w:r>
          </w:p>
        </w:tc>
        <w:tc>
          <w:tcPr>
            <w:tcW w:w="361" w:type="pct"/>
          </w:tcPr>
          <w:p w14:paraId="711613E5"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0,4%</w:t>
            </w:r>
          </w:p>
        </w:tc>
        <w:tc>
          <w:tcPr>
            <w:tcW w:w="361" w:type="pct"/>
          </w:tcPr>
          <w:p w14:paraId="77061E9E"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B538E">
              <w:t>0,5%</w:t>
            </w:r>
          </w:p>
        </w:tc>
        <w:tc>
          <w:tcPr>
            <w:tcW w:w="361" w:type="pct"/>
          </w:tcPr>
          <w:p w14:paraId="40D178ED" w14:textId="77777777" w:rsidR="004F5CB6" w:rsidRPr="009B538E" w:rsidRDefault="004F5CB6" w:rsidP="00640727">
            <w:pPr>
              <w:spacing w:before="0"/>
              <w:jc w:val="right"/>
              <w:cnfStyle w:val="000000000000" w:firstRow="0" w:lastRow="0" w:firstColumn="0" w:lastColumn="0" w:oddVBand="0" w:evenVBand="0" w:oddHBand="0" w:evenHBand="0" w:firstRowFirstColumn="0" w:firstRowLastColumn="0" w:lastRowFirstColumn="0" w:lastRowLastColumn="0"/>
            </w:pPr>
            <w:r w:rsidRPr="009B538E">
              <w:t>n. p.</w:t>
            </w:r>
          </w:p>
        </w:tc>
      </w:tr>
      <w:tr w:rsidR="004F5CB6" w:rsidRPr="0063544E" w14:paraId="729B7D98" w14:textId="77777777" w:rsidTr="00640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pct"/>
            <w:noWrap/>
            <w:vAlign w:val="center"/>
            <w:hideMark/>
          </w:tcPr>
          <w:p w14:paraId="3C57C195" w14:textId="77777777" w:rsidR="004F5CB6" w:rsidRPr="009B538E" w:rsidRDefault="004F5CB6" w:rsidP="00640727">
            <w:pPr>
              <w:spacing w:before="0"/>
              <w:rPr>
                <w:rFonts w:asciiTheme="majorHAnsi" w:hAnsiTheme="majorHAnsi"/>
                <w:b w:val="0"/>
              </w:rPr>
            </w:pPr>
            <w:r w:rsidRPr="00FD4C45">
              <w:t>Slovenija</w:t>
            </w:r>
          </w:p>
        </w:tc>
        <w:tc>
          <w:tcPr>
            <w:tcW w:w="360" w:type="pct"/>
            <w:noWrap/>
          </w:tcPr>
          <w:p w14:paraId="0DAA4F51"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1,3%</w:t>
            </w:r>
          </w:p>
        </w:tc>
        <w:tc>
          <w:tcPr>
            <w:tcW w:w="361" w:type="pct"/>
            <w:noWrap/>
          </w:tcPr>
          <w:p w14:paraId="59B19643"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1,6%</w:t>
            </w:r>
          </w:p>
        </w:tc>
        <w:tc>
          <w:tcPr>
            <w:tcW w:w="361" w:type="pct"/>
          </w:tcPr>
          <w:p w14:paraId="0CDE7F41"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1,7%</w:t>
            </w:r>
          </w:p>
        </w:tc>
        <w:tc>
          <w:tcPr>
            <w:tcW w:w="360" w:type="pct"/>
          </w:tcPr>
          <w:p w14:paraId="4EC49E34"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1,8%</w:t>
            </w:r>
          </w:p>
        </w:tc>
        <w:tc>
          <w:tcPr>
            <w:tcW w:w="361" w:type="pct"/>
          </w:tcPr>
          <w:p w14:paraId="67F61691"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1,8%</w:t>
            </w:r>
          </w:p>
        </w:tc>
        <w:tc>
          <w:tcPr>
            <w:tcW w:w="361" w:type="pct"/>
          </w:tcPr>
          <w:p w14:paraId="66CCA52B"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2,0%</w:t>
            </w:r>
          </w:p>
        </w:tc>
        <w:tc>
          <w:tcPr>
            <w:tcW w:w="361" w:type="pct"/>
          </w:tcPr>
          <w:p w14:paraId="53E9636C"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1,8%</w:t>
            </w:r>
          </w:p>
        </w:tc>
        <w:tc>
          <w:tcPr>
            <w:tcW w:w="360" w:type="pct"/>
          </w:tcPr>
          <w:p w14:paraId="3B98094A"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1,8%</w:t>
            </w:r>
          </w:p>
        </w:tc>
        <w:tc>
          <w:tcPr>
            <w:tcW w:w="361" w:type="pct"/>
          </w:tcPr>
          <w:p w14:paraId="52A93AAB"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1,7%</w:t>
            </w:r>
          </w:p>
        </w:tc>
        <w:tc>
          <w:tcPr>
            <w:tcW w:w="361" w:type="pct"/>
          </w:tcPr>
          <w:p w14:paraId="413C8358"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B538E">
              <w:t>1,5%</w:t>
            </w:r>
          </w:p>
        </w:tc>
        <w:tc>
          <w:tcPr>
            <w:tcW w:w="361" w:type="pct"/>
          </w:tcPr>
          <w:p w14:paraId="49879CE9" w14:textId="77777777" w:rsidR="004F5CB6" w:rsidRPr="009B538E" w:rsidRDefault="004F5CB6" w:rsidP="00640727">
            <w:pPr>
              <w:spacing w:before="0"/>
              <w:jc w:val="right"/>
              <w:cnfStyle w:val="000000100000" w:firstRow="0" w:lastRow="0" w:firstColumn="0" w:lastColumn="0" w:oddVBand="0" w:evenVBand="0" w:oddHBand="1" w:evenHBand="0" w:firstRowFirstColumn="0" w:firstRowLastColumn="0" w:lastRowFirstColumn="0" w:lastRowLastColumn="0"/>
            </w:pPr>
            <w:r w:rsidRPr="009B538E">
              <w:t>1,6%</w:t>
            </w:r>
          </w:p>
        </w:tc>
      </w:tr>
    </w:tbl>
    <w:p w14:paraId="522E2016" w14:textId="77777777" w:rsidR="00120E6B" w:rsidRDefault="004F5CB6" w:rsidP="009B538E">
      <w:pPr>
        <w:spacing w:before="20"/>
        <w:jc w:val="both"/>
        <w:rPr>
          <w:rFonts w:cstheme="minorHAnsi"/>
        </w:rPr>
      </w:pPr>
      <w:r w:rsidRPr="009B538E">
        <w:rPr>
          <w:i/>
        </w:rPr>
        <w:t>Vir: Eurostat, preračuni Analitika GZS</w:t>
      </w:r>
      <w:r w:rsidR="00120E6B">
        <w:rPr>
          <w:rFonts w:cstheme="minorHAnsi"/>
        </w:rPr>
        <w:br w:type="page"/>
      </w:r>
    </w:p>
    <w:p w14:paraId="4E91CD2C" w14:textId="17E555E0" w:rsidR="0061555C" w:rsidRPr="00964361" w:rsidRDefault="0061555C" w:rsidP="00405849">
      <w:pPr>
        <w:jc w:val="both"/>
        <w:rPr>
          <w:rFonts w:cstheme="minorHAnsi"/>
        </w:rPr>
      </w:pPr>
      <w:r w:rsidRPr="00964361">
        <w:rPr>
          <w:rFonts w:cstheme="minorHAnsi"/>
        </w:rPr>
        <w:lastRenderedPageBreak/>
        <w:t xml:space="preserve">Predelovalne dejavnosti v Sloveniji so v 2017 beležile bistveno nižje prihodke na zaposlenega kot v EU-27 (mediana), ter malenkost višje kot v </w:t>
      </w:r>
      <w:r w:rsidR="00DC4FB4">
        <w:rPr>
          <w:rFonts w:cstheme="minorHAnsi"/>
        </w:rPr>
        <w:t>CEE-4</w:t>
      </w:r>
      <w:r w:rsidRPr="00964361">
        <w:rPr>
          <w:rFonts w:cstheme="minorHAnsi"/>
        </w:rPr>
        <w:t xml:space="preserve"> (mediana). </w:t>
      </w:r>
      <w:r w:rsidR="00C02B3F">
        <w:rPr>
          <w:rFonts w:cstheme="minorHAnsi"/>
        </w:rPr>
        <w:t>Predelovalna dejavnost je v Sloveniji ustvarila</w:t>
      </w:r>
      <w:r w:rsidRPr="00964361">
        <w:rPr>
          <w:rFonts w:cstheme="minorHAnsi"/>
        </w:rPr>
        <w:t xml:space="preserve"> višjo </w:t>
      </w:r>
      <w:r w:rsidRPr="00964361">
        <w:rPr>
          <w:rFonts w:cstheme="minorHAnsi"/>
          <w:b/>
          <w:bCs/>
        </w:rPr>
        <w:t>dodano vrednost na zaposlenega</w:t>
      </w:r>
      <w:r w:rsidRPr="00964361">
        <w:rPr>
          <w:rFonts w:cstheme="minorHAnsi"/>
        </w:rPr>
        <w:t xml:space="preserve"> (43,3 tisoč EUR)</w:t>
      </w:r>
      <w:r w:rsidR="00FC4BCE">
        <w:rPr>
          <w:rFonts w:cstheme="minorHAnsi"/>
        </w:rPr>
        <w:t>,</w:t>
      </w:r>
      <w:r w:rsidRPr="00964361">
        <w:rPr>
          <w:rFonts w:cstheme="minorHAnsi"/>
        </w:rPr>
        <w:t xml:space="preserve"> </w:t>
      </w:r>
      <w:r w:rsidR="00C02B3F">
        <w:rPr>
          <w:rFonts w:cstheme="minorHAnsi"/>
        </w:rPr>
        <w:t>kot</w:t>
      </w:r>
      <w:r w:rsidRPr="00964361">
        <w:rPr>
          <w:rFonts w:cstheme="minorHAnsi"/>
        </w:rPr>
        <w:t xml:space="preserve"> znaša mediana v državah </w:t>
      </w:r>
      <w:r w:rsidR="00DC4FB4">
        <w:rPr>
          <w:rFonts w:cstheme="minorHAnsi"/>
        </w:rPr>
        <w:t>CEE-4</w:t>
      </w:r>
      <w:r w:rsidRPr="00964361">
        <w:rPr>
          <w:rFonts w:cstheme="minorHAnsi"/>
        </w:rPr>
        <w:t xml:space="preserve"> (32,5 tisoč EUR) ter </w:t>
      </w:r>
      <w:r w:rsidR="00C02B3F">
        <w:rPr>
          <w:rFonts w:cstheme="minorHAnsi"/>
        </w:rPr>
        <w:t xml:space="preserve">nekoliko </w:t>
      </w:r>
      <w:r w:rsidRPr="00964361">
        <w:rPr>
          <w:rFonts w:cstheme="minorHAnsi"/>
        </w:rPr>
        <w:t>nižjo</w:t>
      </w:r>
      <w:r w:rsidR="00FC4BCE">
        <w:rPr>
          <w:rFonts w:cstheme="minorHAnsi"/>
        </w:rPr>
        <w:t>,</w:t>
      </w:r>
      <w:r w:rsidRPr="00964361">
        <w:rPr>
          <w:rFonts w:cstheme="minorHAnsi"/>
        </w:rPr>
        <w:t xml:space="preserve"> kot znaša median</w:t>
      </w:r>
      <w:r w:rsidR="00C02B3F">
        <w:rPr>
          <w:rFonts w:cstheme="minorHAnsi"/>
        </w:rPr>
        <w:t>a</w:t>
      </w:r>
      <w:r w:rsidRPr="00964361">
        <w:rPr>
          <w:rFonts w:cstheme="minorHAnsi"/>
        </w:rPr>
        <w:t xml:space="preserve"> </w:t>
      </w:r>
      <w:r w:rsidR="00C02B3F">
        <w:rPr>
          <w:rFonts w:cstheme="minorHAnsi"/>
        </w:rPr>
        <w:t>d</w:t>
      </w:r>
      <w:r w:rsidRPr="00964361">
        <w:rPr>
          <w:rFonts w:cstheme="minorHAnsi"/>
        </w:rPr>
        <w:t xml:space="preserve">ržav EU-27 (43,7 tisoč EUR). </w:t>
      </w:r>
      <w:r w:rsidR="00C02B3F">
        <w:rPr>
          <w:rFonts w:cstheme="minorHAnsi"/>
        </w:rPr>
        <w:t>P</w:t>
      </w:r>
      <w:r w:rsidR="006219BF" w:rsidRPr="00964361">
        <w:rPr>
          <w:rFonts w:cstheme="minorHAnsi"/>
        </w:rPr>
        <w:t xml:space="preserve">redelovalne dejavnosti v Sloveniji </w:t>
      </w:r>
      <w:r w:rsidR="00C02B3F">
        <w:rPr>
          <w:rFonts w:cstheme="minorHAnsi"/>
        </w:rPr>
        <w:t xml:space="preserve">so </w:t>
      </w:r>
      <w:r w:rsidR="00887622" w:rsidRPr="00964361">
        <w:rPr>
          <w:rFonts w:cstheme="minorHAnsi"/>
        </w:rPr>
        <w:t>v 2017</w:t>
      </w:r>
      <w:r w:rsidR="006219BF" w:rsidRPr="00964361">
        <w:rPr>
          <w:rFonts w:cstheme="minorHAnsi"/>
        </w:rPr>
        <w:t xml:space="preserve"> belež</w:t>
      </w:r>
      <w:r w:rsidR="00873EC9" w:rsidRPr="00964361">
        <w:rPr>
          <w:rFonts w:cstheme="minorHAnsi"/>
        </w:rPr>
        <w:t xml:space="preserve">ile </w:t>
      </w:r>
      <w:r w:rsidR="00887622" w:rsidRPr="00964361">
        <w:rPr>
          <w:rFonts w:cstheme="minorHAnsi"/>
        </w:rPr>
        <w:t xml:space="preserve">višjo </w:t>
      </w:r>
      <w:r w:rsidR="00887622" w:rsidRPr="00964361">
        <w:rPr>
          <w:rFonts w:cstheme="minorHAnsi"/>
          <w:b/>
          <w:bCs/>
        </w:rPr>
        <w:t>bruto maržo</w:t>
      </w:r>
      <w:r w:rsidR="00DA00B2">
        <w:rPr>
          <w:rFonts w:cstheme="minorHAnsi"/>
          <w:b/>
          <w:bCs/>
        </w:rPr>
        <w:t>,</w:t>
      </w:r>
      <w:r w:rsidR="00887622" w:rsidRPr="00964361">
        <w:rPr>
          <w:rFonts w:cstheme="minorHAnsi"/>
        </w:rPr>
        <w:t xml:space="preserve"> kot znaša mediana v državah EU-27 ter mediana </w:t>
      </w:r>
      <w:r w:rsidR="00FA377E" w:rsidRPr="00964361">
        <w:rPr>
          <w:rFonts w:cstheme="minorHAnsi"/>
        </w:rPr>
        <w:t xml:space="preserve">v </w:t>
      </w:r>
      <w:r w:rsidR="00DC4FB4">
        <w:rPr>
          <w:rFonts w:cstheme="minorHAnsi"/>
        </w:rPr>
        <w:t>CEE-4</w:t>
      </w:r>
      <w:r w:rsidR="00FA377E" w:rsidRPr="00964361">
        <w:rPr>
          <w:rFonts w:cstheme="minorHAnsi"/>
        </w:rPr>
        <w:t xml:space="preserve"> (SLO 28,5 %, EU 23,8 %, </w:t>
      </w:r>
      <w:r w:rsidR="00DC4FB4">
        <w:rPr>
          <w:rFonts w:cstheme="minorHAnsi"/>
        </w:rPr>
        <w:t>CEE-4</w:t>
      </w:r>
      <w:r w:rsidR="00FA377E" w:rsidRPr="00964361">
        <w:rPr>
          <w:rFonts w:cstheme="minorHAnsi"/>
        </w:rPr>
        <w:t xml:space="preserve"> 22 %).</w:t>
      </w:r>
      <w:r w:rsidRPr="00964361">
        <w:rPr>
          <w:rFonts w:cstheme="minorHAnsi"/>
        </w:rPr>
        <w:t xml:space="preserve"> </w:t>
      </w:r>
      <w:r w:rsidR="00582FF1" w:rsidRPr="00964361">
        <w:rPr>
          <w:rFonts w:cstheme="minorHAnsi"/>
          <w:b/>
          <w:bCs/>
        </w:rPr>
        <w:t xml:space="preserve">Delež bruto investicij v opredmetena osnovna sredstva v primerjavi </w:t>
      </w:r>
      <w:r w:rsidR="008954A4">
        <w:rPr>
          <w:rFonts w:cstheme="minorHAnsi"/>
          <w:b/>
          <w:bCs/>
        </w:rPr>
        <w:t>s</w:t>
      </w:r>
      <w:r w:rsidR="00582FF1" w:rsidRPr="00964361">
        <w:rPr>
          <w:rFonts w:cstheme="minorHAnsi"/>
          <w:b/>
          <w:bCs/>
        </w:rPr>
        <w:t xml:space="preserve"> prihodki</w:t>
      </w:r>
      <w:r w:rsidR="00582FF1" w:rsidRPr="00964361">
        <w:rPr>
          <w:rFonts w:cstheme="minorHAnsi"/>
        </w:rPr>
        <w:t xml:space="preserve"> </w:t>
      </w:r>
      <w:r w:rsidR="00C02B3F">
        <w:rPr>
          <w:rFonts w:cstheme="minorHAnsi"/>
        </w:rPr>
        <w:t xml:space="preserve">je bil nekoliko </w:t>
      </w:r>
      <w:r w:rsidR="00582FF1" w:rsidRPr="00964361">
        <w:rPr>
          <w:rFonts w:cstheme="minorHAnsi"/>
        </w:rPr>
        <w:t>višj</w:t>
      </w:r>
      <w:r w:rsidR="00C02B3F">
        <w:rPr>
          <w:rFonts w:cstheme="minorHAnsi"/>
        </w:rPr>
        <w:t>i</w:t>
      </w:r>
      <w:r w:rsidR="00582FF1" w:rsidRPr="00964361">
        <w:rPr>
          <w:rFonts w:cstheme="minorHAnsi"/>
        </w:rPr>
        <w:t xml:space="preserve"> kot v državah </w:t>
      </w:r>
      <w:r w:rsidR="00DC4FB4">
        <w:rPr>
          <w:rFonts w:cstheme="minorHAnsi"/>
        </w:rPr>
        <w:t>CEE-4</w:t>
      </w:r>
      <w:r w:rsidR="00582FF1" w:rsidRPr="00964361">
        <w:rPr>
          <w:rFonts w:cstheme="minorHAnsi"/>
        </w:rPr>
        <w:t>, ter višj</w:t>
      </w:r>
      <w:r w:rsidR="00C02B3F">
        <w:rPr>
          <w:rFonts w:cstheme="minorHAnsi"/>
        </w:rPr>
        <w:t>i</w:t>
      </w:r>
      <w:r w:rsidR="00582FF1" w:rsidRPr="00964361">
        <w:rPr>
          <w:rFonts w:cstheme="minorHAnsi"/>
        </w:rPr>
        <w:t xml:space="preserve"> kot v državah EU-27 (SLO 5,6 %, EU 4,2 %, </w:t>
      </w:r>
      <w:r w:rsidR="00DC4FB4">
        <w:rPr>
          <w:rFonts w:cstheme="minorHAnsi"/>
        </w:rPr>
        <w:t>CEE-4</w:t>
      </w:r>
      <w:r w:rsidR="00582FF1" w:rsidRPr="00964361">
        <w:rPr>
          <w:rFonts w:cstheme="minorHAnsi"/>
        </w:rPr>
        <w:t xml:space="preserve"> 5,2 %)</w:t>
      </w:r>
      <w:r w:rsidR="00FA4B64" w:rsidRPr="00964361">
        <w:rPr>
          <w:rFonts w:cstheme="minorHAnsi"/>
        </w:rPr>
        <w:t xml:space="preserve">. </w:t>
      </w:r>
      <w:r w:rsidR="00EC4503" w:rsidRPr="00964361">
        <w:rPr>
          <w:rFonts w:cstheme="minorHAnsi"/>
        </w:rPr>
        <w:t xml:space="preserve">Predelovalne dejavnosti v Sloveniji </w:t>
      </w:r>
      <w:r w:rsidR="00C02B3F">
        <w:rPr>
          <w:rFonts w:cstheme="minorHAnsi"/>
        </w:rPr>
        <w:t xml:space="preserve">so </w:t>
      </w:r>
      <w:r w:rsidR="00EC4503" w:rsidRPr="00964361">
        <w:rPr>
          <w:rFonts w:cstheme="minorHAnsi"/>
        </w:rPr>
        <w:t>v 2017 beleži</w:t>
      </w:r>
      <w:r w:rsidR="00C02B3F">
        <w:rPr>
          <w:rFonts w:cstheme="minorHAnsi"/>
        </w:rPr>
        <w:t>le</w:t>
      </w:r>
      <w:r w:rsidR="00EC4503" w:rsidRPr="00964361">
        <w:rPr>
          <w:rFonts w:cstheme="minorHAnsi"/>
        </w:rPr>
        <w:t xml:space="preserve"> višji strošek dela v dodani vrednosti</w:t>
      </w:r>
      <w:r w:rsidR="00FC4BCE">
        <w:rPr>
          <w:rFonts w:cstheme="minorHAnsi"/>
        </w:rPr>
        <w:t>,</w:t>
      </w:r>
      <w:r w:rsidR="00EC4503" w:rsidRPr="00964361">
        <w:rPr>
          <w:rFonts w:cstheme="minorHAnsi"/>
        </w:rPr>
        <w:t xml:space="preserve"> kot znaša mediana v državah EU-27 (60,5 %) oz</w:t>
      </w:r>
      <w:r w:rsidR="00FC4BCE">
        <w:rPr>
          <w:rFonts w:cstheme="minorHAnsi"/>
        </w:rPr>
        <w:t>iroma</w:t>
      </w:r>
      <w:r w:rsidR="00FC4BCE" w:rsidRPr="00964361">
        <w:rPr>
          <w:rFonts w:cstheme="minorHAnsi"/>
        </w:rPr>
        <w:t xml:space="preserve"> </w:t>
      </w:r>
      <w:r w:rsidR="00EC4503" w:rsidRPr="00964361">
        <w:rPr>
          <w:rFonts w:cstheme="minorHAnsi"/>
        </w:rPr>
        <w:t xml:space="preserve">v </w:t>
      </w:r>
      <w:r w:rsidR="00DC4FB4">
        <w:rPr>
          <w:rFonts w:cstheme="minorHAnsi"/>
        </w:rPr>
        <w:t>CEE-4</w:t>
      </w:r>
      <w:r w:rsidR="00EC4503" w:rsidRPr="00964361">
        <w:rPr>
          <w:rFonts w:cstheme="minorHAnsi"/>
        </w:rPr>
        <w:t xml:space="preserve"> (50,7 %). </w:t>
      </w:r>
      <w:r w:rsidRPr="00964361">
        <w:rPr>
          <w:rFonts w:cstheme="minorHAnsi"/>
        </w:rPr>
        <w:t xml:space="preserve">Predelovalne dejavnosti v Sloveniji v 2017 so beležile nekoliko višjo </w:t>
      </w:r>
      <w:r w:rsidRPr="00964361">
        <w:rPr>
          <w:rFonts w:cstheme="minorHAnsi"/>
          <w:b/>
          <w:bCs/>
        </w:rPr>
        <w:t>EBITDA maržo</w:t>
      </w:r>
      <w:r w:rsidRPr="00964361">
        <w:rPr>
          <w:rFonts w:cstheme="minorHAnsi"/>
        </w:rPr>
        <w:t xml:space="preserve"> (poslovni presežek/prihodkih)</w:t>
      </w:r>
      <w:r w:rsidR="00DA00B2">
        <w:rPr>
          <w:rFonts w:cstheme="minorHAnsi"/>
        </w:rPr>
        <w:t>,</w:t>
      </w:r>
      <w:r w:rsidRPr="00964361">
        <w:rPr>
          <w:rFonts w:cstheme="minorHAnsi"/>
        </w:rPr>
        <w:t xml:space="preserve"> kot znaša mediana v državah EU-27 ter mediana</w:t>
      </w:r>
      <w:r w:rsidR="001C7D9F">
        <w:rPr>
          <w:rFonts w:cstheme="minorHAnsi"/>
        </w:rPr>
        <w:t xml:space="preserve"> skupine srednjeevropskih držav CEE-4</w:t>
      </w:r>
      <w:r w:rsidRPr="00964361">
        <w:rPr>
          <w:rFonts w:cstheme="minorHAnsi"/>
        </w:rPr>
        <w:t xml:space="preserve"> (SLO 11,7 %, EU-27 10,2 %, </w:t>
      </w:r>
      <w:r w:rsidR="00DC4FB4">
        <w:rPr>
          <w:rFonts w:cstheme="minorHAnsi"/>
        </w:rPr>
        <w:t>CEE-4</w:t>
      </w:r>
      <w:r w:rsidRPr="00964361">
        <w:rPr>
          <w:rFonts w:cstheme="minorHAnsi"/>
        </w:rPr>
        <w:t xml:space="preserve"> 10,8 %). V 10-letnem obdobju (2008-2017) so najvišjo EBITDA maržo beležil</w:t>
      </w:r>
      <w:r w:rsidR="00692A14">
        <w:rPr>
          <w:rFonts w:cstheme="minorHAnsi"/>
        </w:rPr>
        <w:t>e</w:t>
      </w:r>
      <w:r w:rsidRPr="00964361">
        <w:rPr>
          <w:rFonts w:cstheme="minorHAnsi"/>
        </w:rPr>
        <w:t xml:space="preserve"> države </w:t>
      </w:r>
      <w:r w:rsidR="00DC4FB4">
        <w:rPr>
          <w:rFonts w:cstheme="minorHAnsi"/>
        </w:rPr>
        <w:t>CEE-4</w:t>
      </w:r>
      <w:r w:rsidRPr="00964361">
        <w:rPr>
          <w:rFonts w:cstheme="minorHAnsi"/>
        </w:rPr>
        <w:t xml:space="preserve"> (mediano), ki je bila višja od zabeležene v Sloveniji. </w:t>
      </w:r>
    </w:p>
    <w:tbl>
      <w:tblPr>
        <w:tblStyle w:val="Tabelamrea4poudarek51"/>
        <w:tblW w:w="8786" w:type="dxa"/>
        <w:tblLook w:val="04A0" w:firstRow="1" w:lastRow="0" w:firstColumn="1" w:lastColumn="0" w:noHBand="0" w:noVBand="1"/>
      </w:tblPr>
      <w:tblGrid>
        <w:gridCol w:w="2405"/>
        <w:gridCol w:w="1418"/>
        <w:gridCol w:w="1701"/>
        <w:gridCol w:w="1842"/>
        <w:gridCol w:w="1420"/>
      </w:tblGrid>
      <w:tr w:rsidR="00C02B3F" w:rsidRPr="00EE3A10" w14:paraId="6A66F92E" w14:textId="77777777" w:rsidTr="00C02B3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4A790160" w14:textId="77777777" w:rsidR="00C02B3F" w:rsidRPr="00C02B3F" w:rsidRDefault="00C02B3F" w:rsidP="00C02B3F">
            <w:pPr>
              <w:spacing w:before="0"/>
              <w:rPr>
                <w:rFonts w:asciiTheme="majorHAnsi" w:eastAsia="Times New Roman" w:hAnsiTheme="majorHAnsi" w:cs="Times New Roman"/>
                <w:sz w:val="18"/>
                <w:szCs w:val="18"/>
                <w:lang w:eastAsia="sl-SI"/>
              </w:rPr>
            </w:pPr>
            <w:r w:rsidRPr="00C02B3F">
              <w:rPr>
                <w:rFonts w:asciiTheme="majorHAnsi" w:eastAsia="Times New Roman" w:hAnsiTheme="majorHAnsi" w:cs="Times New Roman"/>
                <w:sz w:val="18"/>
                <w:szCs w:val="18"/>
                <w:lang w:eastAsia="sl-SI"/>
              </w:rPr>
              <w:t>Predelovalne dejavnosti</w:t>
            </w:r>
          </w:p>
        </w:tc>
        <w:tc>
          <w:tcPr>
            <w:tcW w:w="1418" w:type="dxa"/>
            <w:noWrap/>
            <w:hideMark/>
          </w:tcPr>
          <w:p w14:paraId="1F36AB66" w14:textId="77777777" w:rsidR="00C02B3F" w:rsidRPr="00EE3A10" w:rsidRDefault="00C02B3F" w:rsidP="00C02B3F">
            <w:pPr>
              <w:spacing w:before="0"/>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sl-SI"/>
              </w:rPr>
            </w:pPr>
          </w:p>
        </w:tc>
        <w:tc>
          <w:tcPr>
            <w:tcW w:w="1701" w:type="dxa"/>
            <w:noWrap/>
            <w:vAlign w:val="center"/>
            <w:hideMark/>
          </w:tcPr>
          <w:p w14:paraId="0F5A34A2" w14:textId="77777777" w:rsidR="00C02B3F" w:rsidRPr="00C02B3F" w:rsidRDefault="00C02B3F"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EU-27</w:t>
            </w:r>
            <w:r>
              <w:rPr>
                <w:rFonts w:asciiTheme="majorHAnsi" w:eastAsia="Times New Roman" w:hAnsiTheme="majorHAnsi" w:cs="Arial"/>
                <w:b w:val="0"/>
                <w:bCs w:val="0"/>
                <w:sz w:val="18"/>
                <w:szCs w:val="18"/>
                <w:lang w:eastAsia="sl-SI"/>
              </w:rPr>
              <w:t>,</w:t>
            </w:r>
            <w:r w:rsidRPr="00C02B3F">
              <w:rPr>
                <w:rFonts w:asciiTheme="majorHAnsi" w:eastAsia="Times New Roman" w:hAnsiTheme="majorHAnsi" w:cs="Arial"/>
                <w:b w:val="0"/>
                <w:bCs w:val="0"/>
                <w:sz w:val="18"/>
                <w:szCs w:val="18"/>
                <w:lang w:eastAsia="sl-SI"/>
              </w:rPr>
              <w:t xml:space="preserve"> mediana</w:t>
            </w:r>
          </w:p>
        </w:tc>
        <w:tc>
          <w:tcPr>
            <w:tcW w:w="1842" w:type="dxa"/>
            <w:noWrap/>
            <w:vAlign w:val="center"/>
            <w:hideMark/>
          </w:tcPr>
          <w:p w14:paraId="12A1F6C2" w14:textId="77777777" w:rsidR="00C02B3F" w:rsidRPr="00C02B3F" w:rsidRDefault="00DC4FB4"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 w:val="0"/>
                <w:bCs w:val="0"/>
                <w:sz w:val="18"/>
                <w:szCs w:val="18"/>
                <w:lang w:eastAsia="sl-SI"/>
              </w:rPr>
            </w:pPr>
            <w:r>
              <w:rPr>
                <w:rFonts w:asciiTheme="majorHAnsi" w:eastAsia="Times New Roman" w:hAnsiTheme="majorHAnsi" w:cs="Arial"/>
                <w:b w:val="0"/>
                <w:bCs w:val="0"/>
                <w:sz w:val="18"/>
                <w:szCs w:val="18"/>
                <w:lang w:eastAsia="sl-SI"/>
              </w:rPr>
              <w:t>CEE-4</w:t>
            </w:r>
            <w:r w:rsidR="00C02B3F">
              <w:rPr>
                <w:rFonts w:asciiTheme="majorHAnsi" w:eastAsia="Times New Roman" w:hAnsiTheme="majorHAnsi" w:cs="Arial"/>
                <w:b w:val="0"/>
                <w:bCs w:val="0"/>
                <w:sz w:val="18"/>
                <w:szCs w:val="18"/>
                <w:lang w:eastAsia="sl-SI"/>
              </w:rPr>
              <w:t>,</w:t>
            </w:r>
            <w:r w:rsidR="00C02B3F" w:rsidRPr="00C02B3F">
              <w:rPr>
                <w:rFonts w:asciiTheme="majorHAnsi" w:eastAsia="Times New Roman" w:hAnsiTheme="majorHAnsi" w:cs="Arial"/>
                <w:b w:val="0"/>
                <w:bCs w:val="0"/>
                <w:sz w:val="18"/>
                <w:szCs w:val="18"/>
                <w:lang w:eastAsia="sl-SI"/>
              </w:rPr>
              <w:t xml:space="preserve"> mediana</w:t>
            </w:r>
          </w:p>
        </w:tc>
        <w:tc>
          <w:tcPr>
            <w:tcW w:w="1420" w:type="dxa"/>
            <w:noWrap/>
            <w:vAlign w:val="center"/>
            <w:hideMark/>
          </w:tcPr>
          <w:p w14:paraId="6A842406" w14:textId="77777777" w:rsidR="00C02B3F" w:rsidRPr="00C02B3F" w:rsidRDefault="00C02B3F"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Slovenija</w:t>
            </w:r>
          </w:p>
        </w:tc>
      </w:tr>
      <w:tr w:rsidR="0023071D" w:rsidRPr="00EE3A10" w14:paraId="36EF1958"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B725559"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Bruto marža (DV/prih.)</w:t>
            </w:r>
          </w:p>
        </w:tc>
        <w:tc>
          <w:tcPr>
            <w:tcW w:w="1418" w:type="dxa"/>
            <w:noWrap/>
            <w:hideMark/>
          </w:tcPr>
          <w:p w14:paraId="3C40DF92"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hideMark/>
          </w:tcPr>
          <w:p w14:paraId="1FCDAC46"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23,8%</w:t>
            </w:r>
          </w:p>
        </w:tc>
        <w:tc>
          <w:tcPr>
            <w:tcW w:w="1842" w:type="dxa"/>
            <w:noWrap/>
            <w:vAlign w:val="bottom"/>
            <w:hideMark/>
          </w:tcPr>
          <w:p w14:paraId="3056B0CE"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22,0%</w:t>
            </w:r>
          </w:p>
        </w:tc>
        <w:tc>
          <w:tcPr>
            <w:tcW w:w="1420" w:type="dxa"/>
            <w:noWrap/>
            <w:vAlign w:val="bottom"/>
            <w:hideMark/>
          </w:tcPr>
          <w:p w14:paraId="08C98B3B"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28,5%</w:t>
            </w:r>
          </w:p>
        </w:tc>
      </w:tr>
      <w:tr w:rsidR="0023071D" w:rsidRPr="00EE3A10" w14:paraId="1DF7EFD2"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0DAC26AE"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Bruto marža (DV/prih.)</w:t>
            </w:r>
          </w:p>
        </w:tc>
        <w:tc>
          <w:tcPr>
            <w:tcW w:w="1418" w:type="dxa"/>
            <w:noWrap/>
            <w:hideMark/>
          </w:tcPr>
          <w:p w14:paraId="20548F4B"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hideMark/>
          </w:tcPr>
          <w:p w14:paraId="6709FEEB"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20,8%</w:t>
            </w:r>
          </w:p>
        </w:tc>
        <w:tc>
          <w:tcPr>
            <w:tcW w:w="1842" w:type="dxa"/>
            <w:noWrap/>
            <w:vAlign w:val="bottom"/>
            <w:hideMark/>
          </w:tcPr>
          <w:p w14:paraId="058572F0"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21,5%</w:t>
            </w:r>
          </w:p>
        </w:tc>
        <w:tc>
          <w:tcPr>
            <w:tcW w:w="1420" w:type="dxa"/>
            <w:noWrap/>
            <w:vAlign w:val="bottom"/>
            <w:hideMark/>
          </w:tcPr>
          <w:p w14:paraId="6B971470"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27,1%</w:t>
            </w:r>
          </w:p>
        </w:tc>
      </w:tr>
      <w:tr w:rsidR="0023071D" w:rsidRPr="00EE3A10" w14:paraId="3135DB40"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BB80AC1"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Investicije/prihodkih</w:t>
            </w:r>
          </w:p>
        </w:tc>
        <w:tc>
          <w:tcPr>
            <w:tcW w:w="1418" w:type="dxa"/>
            <w:noWrap/>
            <w:hideMark/>
          </w:tcPr>
          <w:p w14:paraId="6E81622E"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hideMark/>
          </w:tcPr>
          <w:p w14:paraId="74A07745"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4,2%</w:t>
            </w:r>
          </w:p>
        </w:tc>
        <w:tc>
          <w:tcPr>
            <w:tcW w:w="1842" w:type="dxa"/>
            <w:noWrap/>
            <w:vAlign w:val="bottom"/>
            <w:hideMark/>
          </w:tcPr>
          <w:p w14:paraId="4B0C75F2"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5,2%</w:t>
            </w:r>
          </w:p>
        </w:tc>
        <w:tc>
          <w:tcPr>
            <w:tcW w:w="1420" w:type="dxa"/>
            <w:noWrap/>
            <w:vAlign w:val="bottom"/>
            <w:hideMark/>
          </w:tcPr>
          <w:p w14:paraId="3815A3B3"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5,6%</w:t>
            </w:r>
          </w:p>
        </w:tc>
      </w:tr>
      <w:tr w:rsidR="0023071D" w:rsidRPr="00EE3A10" w14:paraId="49D6F791"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7A28FC31"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Investicije/prihodkih</w:t>
            </w:r>
          </w:p>
        </w:tc>
        <w:tc>
          <w:tcPr>
            <w:tcW w:w="1418" w:type="dxa"/>
            <w:noWrap/>
            <w:hideMark/>
          </w:tcPr>
          <w:p w14:paraId="115FCAC1"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hideMark/>
          </w:tcPr>
          <w:p w14:paraId="22F217C5"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3,8%</w:t>
            </w:r>
          </w:p>
        </w:tc>
        <w:tc>
          <w:tcPr>
            <w:tcW w:w="1842" w:type="dxa"/>
            <w:noWrap/>
            <w:vAlign w:val="bottom"/>
            <w:hideMark/>
          </w:tcPr>
          <w:p w14:paraId="3C86A93F"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4,8%</w:t>
            </w:r>
          </w:p>
        </w:tc>
        <w:tc>
          <w:tcPr>
            <w:tcW w:w="1420" w:type="dxa"/>
            <w:noWrap/>
            <w:vAlign w:val="bottom"/>
            <w:hideMark/>
          </w:tcPr>
          <w:p w14:paraId="1517B712"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5,4%</w:t>
            </w:r>
          </w:p>
        </w:tc>
      </w:tr>
      <w:tr w:rsidR="0023071D" w:rsidRPr="00EE3A10" w14:paraId="471C3021"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6E46132"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EBITDA marža</w:t>
            </w:r>
          </w:p>
        </w:tc>
        <w:tc>
          <w:tcPr>
            <w:tcW w:w="1418" w:type="dxa"/>
            <w:noWrap/>
            <w:hideMark/>
          </w:tcPr>
          <w:p w14:paraId="1271AE1B"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hideMark/>
          </w:tcPr>
          <w:p w14:paraId="2E310DB6"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10,2%</w:t>
            </w:r>
          </w:p>
        </w:tc>
        <w:tc>
          <w:tcPr>
            <w:tcW w:w="1842" w:type="dxa"/>
            <w:noWrap/>
            <w:vAlign w:val="bottom"/>
            <w:hideMark/>
          </w:tcPr>
          <w:p w14:paraId="2AE7D908"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10,8%</w:t>
            </w:r>
          </w:p>
        </w:tc>
        <w:tc>
          <w:tcPr>
            <w:tcW w:w="1420" w:type="dxa"/>
            <w:noWrap/>
            <w:vAlign w:val="bottom"/>
            <w:hideMark/>
          </w:tcPr>
          <w:p w14:paraId="1B7DE08D"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11,7%</w:t>
            </w:r>
          </w:p>
        </w:tc>
      </w:tr>
      <w:tr w:rsidR="0023071D" w:rsidRPr="00EE3A10" w14:paraId="3972D44E"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1F6F3097"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EBITDA marža</w:t>
            </w:r>
          </w:p>
        </w:tc>
        <w:tc>
          <w:tcPr>
            <w:tcW w:w="1418" w:type="dxa"/>
            <w:noWrap/>
            <w:hideMark/>
          </w:tcPr>
          <w:p w14:paraId="07A7D917"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hideMark/>
          </w:tcPr>
          <w:p w14:paraId="4D3FFEBA"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9,2%</w:t>
            </w:r>
          </w:p>
        </w:tc>
        <w:tc>
          <w:tcPr>
            <w:tcW w:w="1842" w:type="dxa"/>
            <w:noWrap/>
            <w:vAlign w:val="bottom"/>
            <w:hideMark/>
          </w:tcPr>
          <w:p w14:paraId="2B1C0854"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10,6%</w:t>
            </w:r>
          </w:p>
        </w:tc>
        <w:tc>
          <w:tcPr>
            <w:tcW w:w="1420" w:type="dxa"/>
            <w:noWrap/>
            <w:vAlign w:val="bottom"/>
            <w:hideMark/>
          </w:tcPr>
          <w:p w14:paraId="6D78416D"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10,0%</w:t>
            </w:r>
          </w:p>
        </w:tc>
      </w:tr>
      <w:tr w:rsidR="0023071D" w:rsidRPr="00EE3A10" w14:paraId="7FD6CF66"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54788C9"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Strošek dela v DV</w:t>
            </w:r>
          </w:p>
        </w:tc>
        <w:tc>
          <w:tcPr>
            <w:tcW w:w="1418" w:type="dxa"/>
            <w:noWrap/>
            <w:hideMark/>
          </w:tcPr>
          <w:p w14:paraId="24572F55"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hideMark/>
          </w:tcPr>
          <w:p w14:paraId="3FBF9F14"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56,8%</w:t>
            </w:r>
          </w:p>
        </w:tc>
        <w:tc>
          <w:tcPr>
            <w:tcW w:w="1842" w:type="dxa"/>
            <w:noWrap/>
            <w:vAlign w:val="bottom"/>
            <w:hideMark/>
          </w:tcPr>
          <w:p w14:paraId="35469BE1"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51,3%</w:t>
            </w:r>
          </w:p>
        </w:tc>
        <w:tc>
          <w:tcPr>
            <w:tcW w:w="1420" w:type="dxa"/>
            <w:noWrap/>
            <w:vAlign w:val="bottom"/>
            <w:hideMark/>
          </w:tcPr>
          <w:p w14:paraId="70D6E9DE"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59,1%</w:t>
            </w:r>
          </w:p>
        </w:tc>
      </w:tr>
      <w:tr w:rsidR="0023071D" w:rsidRPr="00EE3A10" w14:paraId="5F2FCC66"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6EDF6FAB"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Strošek dela v DV</w:t>
            </w:r>
          </w:p>
        </w:tc>
        <w:tc>
          <w:tcPr>
            <w:tcW w:w="1418" w:type="dxa"/>
            <w:noWrap/>
            <w:hideMark/>
          </w:tcPr>
          <w:p w14:paraId="0CCBD774"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hideMark/>
          </w:tcPr>
          <w:p w14:paraId="03153903"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48,6%</w:t>
            </w:r>
          </w:p>
        </w:tc>
        <w:tc>
          <w:tcPr>
            <w:tcW w:w="1842" w:type="dxa"/>
            <w:noWrap/>
            <w:vAlign w:val="bottom"/>
            <w:hideMark/>
          </w:tcPr>
          <w:p w14:paraId="6038E096"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50,7%</w:t>
            </w:r>
          </w:p>
        </w:tc>
        <w:tc>
          <w:tcPr>
            <w:tcW w:w="1420" w:type="dxa"/>
            <w:noWrap/>
            <w:vAlign w:val="bottom"/>
            <w:hideMark/>
          </w:tcPr>
          <w:p w14:paraId="010CB2B0"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63,0%</w:t>
            </w:r>
          </w:p>
        </w:tc>
      </w:tr>
      <w:tr w:rsidR="0023071D" w:rsidRPr="00EE3A10" w14:paraId="3FCB7E05"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7C14351"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DV/zaposlenega</w:t>
            </w:r>
          </w:p>
        </w:tc>
        <w:tc>
          <w:tcPr>
            <w:tcW w:w="1418" w:type="dxa"/>
            <w:noWrap/>
            <w:hideMark/>
          </w:tcPr>
          <w:p w14:paraId="5C404CB2" w14:textId="77777777" w:rsidR="0023071D" w:rsidRPr="00C02B3F"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2017</w:t>
            </w:r>
          </w:p>
        </w:tc>
        <w:tc>
          <w:tcPr>
            <w:tcW w:w="1701" w:type="dxa"/>
            <w:noWrap/>
            <w:vAlign w:val="bottom"/>
            <w:hideMark/>
          </w:tcPr>
          <w:p w14:paraId="29CB3370"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43.703</w:t>
            </w:r>
          </w:p>
        </w:tc>
        <w:tc>
          <w:tcPr>
            <w:tcW w:w="1842" w:type="dxa"/>
            <w:noWrap/>
            <w:vAlign w:val="bottom"/>
            <w:hideMark/>
          </w:tcPr>
          <w:p w14:paraId="7381234E"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32.485</w:t>
            </w:r>
          </w:p>
        </w:tc>
        <w:tc>
          <w:tcPr>
            <w:tcW w:w="1420" w:type="dxa"/>
            <w:noWrap/>
            <w:vAlign w:val="bottom"/>
            <w:hideMark/>
          </w:tcPr>
          <w:p w14:paraId="3C345C73"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43.324</w:t>
            </w:r>
          </w:p>
        </w:tc>
      </w:tr>
      <w:tr w:rsidR="0023071D" w:rsidRPr="00EE3A10" w14:paraId="6E815976"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7CAE6246"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DV/zaposlenega</w:t>
            </w:r>
          </w:p>
        </w:tc>
        <w:tc>
          <w:tcPr>
            <w:tcW w:w="1418" w:type="dxa"/>
            <w:noWrap/>
            <w:hideMark/>
          </w:tcPr>
          <w:p w14:paraId="48FD1D2D" w14:textId="77777777" w:rsidR="0023071D" w:rsidRPr="00C02B3F"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Ø  2008-2017</w:t>
            </w:r>
          </w:p>
        </w:tc>
        <w:tc>
          <w:tcPr>
            <w:tcW w:w="1701" w:type="dxa"/>
            <w:noWrap/>
            <w:vAlign w:val="bottom"/>
            <w:hideMark/>
          </w:tcPr>
          <w:p w14:paraId="31552A08"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40.244</w:t>
            </w:r>
          </w:p>
        </w:tc>
        <w:tc>
          <w:tcPr>
            <w:tcW w:w="1842" w:type="dxa"/>
            <w:noWrap/>
            <w:vAlign w:val="bottom"/>
            <w:hideMark/>
          </w:tcPr>
          <w:p w14:paraId="2B3A30DA"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29.453</w:t>
            </w:r>
          </w:p>
        </w:tc>
        <w:tc>
          <w:tcPr>
            <w:tcW w:w="1420" w:type="dxa"/>
            <w:noWrap/>
            <w:vAlign w:val="bottom"/>
            <w:hideMark/>
          </w:tcPr>
          <w:p w14:paraId="7270DAA8"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35.596</w:t>
            </w:r>
          </w:p>
        </w:tc>
      </w:tr>
      <w:tr w:rsidR="0023071D" w:rsidRPr="00EE3A10" w14:paraId="737DF698"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351FC93"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Prihodki/zaposlenega</w:t>
            </w:r>
          </w:p>
        </w:tc>
        <w:tc>
          <w:tcPr>
            <w:tcW w:w="1418" w:type="dxa"/>
            <w:noWrap/>
            <w:hideMark/>
          </w:tcPr>
          <w:p w14:paraId="2B538538"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hideMark/>
          </w:tcPr>
          <w:p w14:paraId="3E2A8BE3"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190.061</w:t>
            </w:r>
          </w:p>
        </w:tc>
        <w:tc>
          <w:tcPr>
            <w:tcW w:w="1842" w:type="dxa"/>
            <w:noWrap/>
            <w:vAlign w:val="bottom"/>
            <w:hideMark/>
          </w:tcPr>
          <w:p w14:paraId="01455571"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151.732</w:t>
            </w:r>
          </w:p>
        </w:tc>
        <w:tc>
          <w:tcPr>
            <w:tcW w:w="1420" w:type="dxa"/>
            <w:noWrap/>
            <w:vAlign w:val="bottom"/>
            <w:hideMark/>
          </w:tcPr>
          <w:p w14:paraId="5BEB7896"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152.013</w:t>
            </w:r>
          </w:p>
        </w:tc>
      </w:tr>
      <w:tr w:rsidR="0023071D" w:rsidRPr="00EE3A10" w14:paraId="4712D22C"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426A244C"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Prihodki/zaposlenega</w:t>
            </w:r>
          </w:p>
        </w:tc>
        <w:tc>
          <w:tcPr>
            <w:tcW w:w="1418" w:type="dxa"/>
            <w:noWrap/>
            <w:hideMark/>
          </w:tcPr>
          <w:p w14:paraId="7CFF53D8"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hideMark/>
          </w:tcPr>
          <w:p w14:paraId="6A40764F"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193.828</w:t>
            </w:r>
          </w:p>
        </w:tc>
        <w:tc>
          <w:tcPr>
            <w:tcW w:w="1842" w:type="dxa"/>
            <w:noWrap/>
            <w:vAlign w:val="bottom"/>
            <w:hideMark/>
          </w:tcPr>
          <w:p w14:paraId="4607A3D1"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136.875</w:t>
            </w:r>
          </w:p>
        </w:tc>
        <w:tc>
          <w:tcPr>
            <w:tcW w:w="1420" w:type="dxa"/>
            <w:noWrap/>
            <w:vAlign w:val="bottom"/>
            <w:hideMark/>
          </w:tcPr>
          <w:p w14:paraId="2E247114"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131.390</w:t>
            </w:r>
          </w:p>
        </w:tc>
      </w:tr>
    </w:tbl>
    <w:p w14:paraId="3815CDE2" w14:textId="77777777" w:rsidR="003372D7" w:rsidRPr="00E205E2" w:rsidRDefault="003372D7" w:rsidP="003372D7">
      <w:pPr>
        <w:spacing w:before="20"/>
        <w:jc w:val="both"/>
        <w:rPr>
          <w:rFonts w:cstheme="minorHAnsi"/>
          <w:i/>
          <w:iCs/>
          <w:sz w:val="18"/>
          <w:szCs w:val="18"/>
        </w:rPr>
      </w:pPr>
      <w:r w:rsidRPr="00E205E2">
        <w:rPr>
          <w:rFonts w:cstheme="minorHAnsi"/>
          <w:i/>
          <w:iCs/>
          <w:sz w:val="18"/>
          <w:szCs w:val="18"/>
        </w:rPr>
        <w:t xml:space="preserve">Vir: </w:t>
      </w:r>
      <w:r>
        <w:rPr>
          <w:rFonts w:cstheme="minorHAnsi"/>
          <w:i/>
          <w:iCs/>
          <w:sz w:val="18"/>
          <w:szCs w:val="18"/>
        </w:rPr>
        <w:t>Eurostat</w:t>
      </w:r>
      <w:r w:rsidRPr="00E205E2">
        <w:rPr>
          <w:rFonts w:cstheme="minorHAnsi"/>
          <w:i/>
          <w:iCs/>
          <w:sz w:val="18"/>
          <w:szCs w:val="18"/>
        </w:rPr>
        <w:t>, strukturna statistika podjetij, preračuni Analitika GZS</w:t>
      </w:r>
    </w:p>
    <w:p w14:paraId="37882028" w14:textId="2698548D" w:rsidR="00405849" w:rsidRPr="00964361" w:rsidRDefault="006E08D8" w:rsidP="00405849">
      <w:pPr>
        <w:jc w:val="both"/>
        <w:rPr>
          <w:rFonts w:cstheme="minorHAnsi"/>
        </w:rPr>
      </w:pPr>
      <w:r>
        <w:rPr>
          <w:rFonts w:cstheme="minorHAnsi"/>
        </w:rPr>
        <w:t>V</w:t>
      </w:r>
      <w:r w:rsidRPr="00964361">
        <w:rPr>
          <w:rFonts w:cstheme="minorHAnsi"/>
        </w:rPr>
        <w:t xml:space="preserve"> prehrambni industriji je </w:t>
      </w:r>
      <w:r w:rsidR="00C571DD" w:rsidRPr="00964361">
        <w:rPr>
          <w:rFonts w:cstheme="minorHAnsi"/>
        </w:rPr>
        <w:t xml:space="preserve">Slovenija </w:t>
      </w:r>
      <w:r w:rsidRPr="00964361">
        <w:rPr>
          <w:rFonts w:cstheme="minorHAnsi"/>
        </w:rPr>
        <w:t xml:space="preserve">v 2017 </w:t>
      </w:r>
      <w:r w:rsidR="00C571DD" w:rsidRPr="00964361">
        <w:rPr>
          <w:rFonts w:cstheme="minorHAnsi"/>
        </w:rPr>
        <w:t xml:space="preserve">ustvarila višjo </w:t>
      </w:r>
      <w:r w:rsidR="00C571DD" w:rsidRPr="00964361">
        <w:rPr>
          <w:rFonts w:cstheme="minorHAnsi"/>
          <w:b/>
          <w:bCs/>
        </w:rPr>
        <w:t>dodano vrednost na zaposlenega</w:t>
      </w:r>
      <w:r w:rsidR="00C571DD" w:rsidRPr="00964361">
        <w:rPr>
          <w:rFonts w:cstheme="minorHAnsi"/>
        </w:rPr>
        <w:t xml:space="preserve"> (35</w:t>
      </w:r>
      <w:r w:rsidR="00FC4BCE">
        <w:rPr>
          <w:rFonts w:cstheme="minorHAnsi"/>
        </w:rPr>
        <w:t>.000</w:t>
      </w:r>
      <w:r w:rsidR="00C571DD" w:rsidRPr="00964361">
        <w:rPr>
          <w:rFonts w:cstheme="minorHAnsi"/>
        </w:rPr>
        <w:t xml:space="preserve"> EUR)</w:t>
      </w:r>
      <w:r w:rsidR="00FC4BCE">
        <w:rPr>
          <w:rFonts w:cstheme="minorHAnsi"/>
        </w:rPr>
        <w:t>,</w:t>
      </w:r>
      <w:r w:rsidR="00C571DD" w:rsidRPr="00964361">
        <w:rPr>
          <w:rFonts w:cstheme="minorHAnsi"/>
        </w:rPr>
        <w:t xml:space="preserve"> kot znaša mediana v državah </w:t>
      </w:r>
      <w:r w:rsidR="00DC4FB4">
        <w:rPr>
          <w:rFonts w:cstheme="minorHAnsi"/>
        </w:rPr>
        <w:t>CEE-4</w:t>
      </w:r>
      <w:r w:rsidR="00C571DD" w:rsidRPr="00964361">
        <w:rPr>
          <w:rFonts w:cstheme="minorHAnsi"/>
        </w:rPr>
        <w:t xml:space="preserve"> (25</w:t>
      </w:r>
      <w:r w:rsidR="00FC4BCE">
        <w:rPr>
          <w:rFonts w:cstheme="minorHAnsi"/>
        </w:rPr>
        <w:t>.000</w:t>
      </w:r>
      <w:r w:rsidR="00C571DD" w:rsidRPr="00964361">
        <w:rPr>
          <w:rFonts w:cstheme="minorHAnsi"/>
        </w:rPr>
        <w:t xml:space="preserve"> EUR) ter mediana v državah EU-27 (32</w:t>
      </w:r>
      <w:r w:rsidR="00FC4BCE">
        <w:rPr>
          <w:rFonts w:cstheme="minorHAnsi"/>
        </w:rPr>
        <w:t>.000</w:t>
      </w:r>
      <w:r w:rsidR="00C571DD" w:rsidRPr="00964361">
        <w:rPr>
          <w:rFonts w:cstheme="minorHAnsi"/>
        </w:rPr>
        <w:t xml:space="preserve"> EUR). V </w:t>
      </w:r>
      <w:r w:rsidR="008954A4">
        <w:rPr>
          <w:rFonts w:cstheme="minorHAnsi"/>
        </w:rPr>
        <w:t>o</w:t>
      </w:r>
      <w:r w:rsidR="00F07BBC" w:rsidRPr="00964361">
        <w:rPr>
          <w:rFonts w:cstheme="minorHAnsi"/>
        </w:rPr>
        <w:t>bdobju</w:t>
      </w:r>
      <w:r w:rsidR="00C571DD" w:rsidRPr="00964361">
        <w:rPr>
          <w:rFonts w:cstheme="minorHAnsi"/>
        </w:rPr>
        <w:t xml:space="preserve"> 2008-2017 je </w:t>
      </w:r>
      <w:r w:rsidR="00C571DD" w:rsidRPr="00964361">
        <w:rPr>
          <w:rFonts w:cstheme="minorHAnsi"/>
          <w:b/>
          <w:bCs/>
        </w:rPr>
        <w:t>dodana vrednost na zaposlenega</w:t>
      </w:r>
      <w:r w:rsidR="00C571DD" w:rsidRPr="00964361">
        <w:rPr>
          <w:rFonts w:cstheme="minorHAnsi"/>
        </w:rPr>
        <w:t xml:space="preserve"> v prehrambni industriji v Sloveniji višja od mediane </w:t>
      </w:r>
      <w:r w:rsidR="00DC4FB4">
        <w:rPr>
          <w:rFonts w:cstheme="minorHAnsi"/>
        </w:rPr>
        <w:t>CEE-4</w:t>
      </w:r>
      <w:r w:rsidR="00C571DD" w:rsidRPr="00964361">
        <w:rPr>
          <w:rFonts w:cstheme="minorHAnsi"/>
        </w:rPr>
        <w:t xml:space="preserve"> in nižja od mediane EU-27.</w:t>
      </w:r>
    </w:p>
    <w:tbl>
      <w:tblPr>
        <w:tblStyle w:val="Tabelamrea4poudarek51"/>
        <w:tblW w:w="8786" w:type="dxa"/>
        <w:tblLook w:val="04A0" w:firstRow="1" w:lastRow="0" w:firstColumn="1" w:lastColumn="0" w:noHBand="0" w:noVBand="1"/>
      </w:tblPr>
      <w:tblGrid>
        <w:gridCol w:w="2405"/>
        <w:gridCol w:w="1418"/>
        <w:gridCol w:w="1701"/>
        <w:gridCol w:w="1842"/>
        <w:gridCol w:w="1420"/>
      </w:tblGrid>
      <w:tr w:rsidR="00405849" w:rsidRPr="00EE3A10" w14:paraId="0A3CCD64" w14:textId="77777777" w:rsidTr="00C02B3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7C467C30" w14:textId="77777777" w:rsidR="00405849" w:rsidRPr="00EE3A10" w:rsidRDefault="00405849" w:rsidP="00C02B3F">
            <w:pPr>
              <w:spacing w:before="0"/>
              <w:rPr>
                <w:rFonts w:asciiTheme="majorHAnsi" w:eastAsia="Times New Roman" w:hAnsiTheme="majorHAnsi" w:cs="Times New Roman"/>
                <w:sz w:val="18"/>
                <w:szCs w:val="18"/>
                <w:lang w:eastAsia="sl-SI"/>
              </w:rPr>
            </w:pPr>
            <w:r w:rsidRPr="00E00254">
              <w:rPr>
                <w:rFonts w:asciiTheme="majorHAnsi" w:eastAsia="Times New Roman" w:hAnsiTheme="majorHAnsi" w:cs="Times New Roman"/>
                <w:sz w:val="18"/>
                <w:szCs w:val="18"/>
                <w:lang w:eastAsia="sl-SI"/>
              </w:rPr>
              <w:t xml:space="preserve">Prehrambna industrija </w:t>
            </w:r>
          </w:p>
        </w:tc>
        <w:tc>
          <w:tcPr>
            <w:tcW w:w="1418" w:type="dxa"/>
            <w:noWrap/>
            <w:hideMark/>
          </w:tcPr>
          <w:p w14:paraId="37173F97" w14:textId="77777777" w:rsidR="00405849" w:rsidRPr="00EE3A10" w:rsidRDefault="00405849" w:rsidP="00405849">
            <w:pPr>
              <w:spacing w:before="0"/>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sl-SI"/>
              </w:rPr>
            </w:pPr>
          </w:p>
        </w:tc>
        <w:tc>
          <w:tcPr>
            <w:tcW w:w="1701" w:type="dxa"/>
            <w:noWrap/>
            <w:vAlign w:val="center"/>
            <w:hideMark/>
          </w:tcPr>
          <w:p w14:paraId="11EF4AF7" w14:textId="77777777" w:rsidR="00405849" w:rsidRPr="00C02B3F" w:rsidRDefault="00405849" w:rsidP="00405849">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EU-27</w:t>
            </w:r>
            <w:r w:rsidR="00C02B3F">
              <w:rPr>
                <w:rFonts w:asciiTheme="majorHAnsi" w:eastAsia="Times New Roman" w:hAnsiTheme="majorHAnsi" w:cs="Arial"/>
                <w:b w:val="0"/>
                <w:bCs w:val="0"/>
                <w:sz w:val="18"/>
                <w:szCs w:val="18"/>
                <w:lang w:eastAsia="sl-SI"/>
              </w:rPr>
              <w:t>,</w:t>
            </w:r>
            <w:r w:rsidRPr="00C02B3F">
              <w:rPr>
                <w:rFonts w:asciiTheme="majorHAnsi" w:eastAsia="Times New Roman" w:hAnsiTheme="majorHAnsi" w:cs="Arial"/>
                <w:b w:val="0"/>
                <w:bCs w:val="0"/>
                <w:sz w:val="18"/>
                <w:szCs w:val="18"/>
                <w:lang w:eastAsia="sl-SI"/>
              </w:rPr>
              <w:t xml:space="preserve"> mediana</w:t>
            </w:r>
          </w:p>
        </w:tc>
        <w:tc>
          <w:tcPr>
            <w:tcW w:w="1842" w:type="dxa"/>
            <w:noWrap/>
            <w:vAlign w:val="center"/>
            <w:hideMark/>
          </w:tcPr>
          <w:p w14:paraId="241BA7AB" w14:textId="77777777" w:rsidR="00405849" w:rsidRPr="00C02B3F" w:rsidRDefault="00DC4FB4" w:rsidP="00405849">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 w:val="0"/>
                <w:bCs w:val="0"/>
                <w:sz w:val="18"/>
                <w:szCs w:val="18"/>
                <w:lang w:eastAsia="sl-SI"/>
              </w:rPr>
            </w:pPr>
            <w:r>
              <w:rPr>
                <w:rFonts w:asciiTheme="majorHAnsi" w:eastAsia="Times New Roman" w:hAnsiTheme="majorHAnsi" w:cs="Arial"/>
                <w:b w:val="0"/>
                <w:bCs w:val="0"/>
                <w:sz w:val="18"/>
                <w:szCs w:val="18"/>
                <w:lang w:eastAsia="sl-SI"/>
              </w:rPr>
              <w:t>CEE-4</w:t>
            </w:r>
            <w:r w:rsidR="00C02B3F">
              <w:rPr>
                <w:rFonts w:asciiTheme="majorHAnsi" w:eastAsia="Times New Roman" w:hAnsiTheme="majorHAnsi" w:cs="Arial"/>
                <w:b w:val="0"/>
                <w:bCs w:val="0"/>
                <w:sz w:val="18"/>
                <w:szCs w:val="18"/>
                <w:lang w:eastAsia="sl-SI"/>
              </w:rPr>
              <w:t>,</w:t>
            </w:r>
            <w:r w:rsidR="00405849" w:rsidRPr="00C02B3F">
              <w:rPr>
                <w:rFonts w:asciiTheme="majorHAnsi" w:eastAsia="Times New Roman" w:hAnsiTheme="majorHAnsi" w:cs="Arial"/>
                <w:b w:val="0"/>
                <w:bCs w:val="0"/>
                <w:sz w:val="18"/>
                <w:szCs w:val="18"/>
                <w:lang w:eastAsia="sl-SI"/>
              </w:rPr>
              <w:t xml:space="preserve"> mediana</w:t>
            </w:r>
          </w:p>
        </w:tc>
        <w:tc>
          <w:tcPr>
            <w:tcW w:w="1420" w:type="dxa"/>
            <w:noWrap/>
            <w:vAlign w:val="center"/>
            <w:hideMark/>
          </w:tcPr>
          <w:p w14:paraId="53FC1EF7" w14:textId="77777777" w:rsidR="00405849" w:rsidRPr="00C02B3F" w:rsidRDefault="00405849" w:rsidP="00405849">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Slovenija</w:t>
            </w:r>
          </w:p>
        </w:tc>
      </w:tr>
      <w:tr w:rsidR="0023071D" w:rsidRPr="00EE3A10" w14:paraId="67677FA0"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9A018C5"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Bruto marža (DV/prih.)</w:t>
            </w:r>
          </w:p>
        </w:tc>
        <w:tc>
          <w:tcPr>
            <w:tcW w:w="1418" w:type="dxa"/>
            <w:noWrap/>
            <w:hideMark/>
          </w:tcPr>
          <w:p w14:paraId="6DE3142E"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3B8A2804"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20,3%</w:t>
            </w:r>
          </w:p>
        </w:tc>
        <w:tc>
          <w:tcPr>
            <w:tcW w:w="1842" w:type="dxa"/>
            <w:noWrap/>
            <w:vAlign w:val="bottom"/>
          </w:tcPr>
          <w:p w14:paraId="3E2DEC4F"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18,8%</w:t>
            </w:r>
          </w:p>
        </w:tc>
        <w:tc>
          <w:tcPr>
            <w:tcW w:w="1420" w:type="dxa"/>
            <w:noWrap/>
            <w:vAlign w:val="bottom"/>
          </w:tcPr>
          <w:p w14:paraId="02CF57CA"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23,3%</w:t>
            </w:r>
          </w:p>
        </w:tc>
      </w:tr>
      <w:tr w:rsidR="0023071D" w:rsidRPr="00EE3A10" w14:paraId="315ED550"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08981385"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Bruto marža (DV/prih.)</w:t>
            </w:r>
          </w:p>
        </w:tc>
        <w:tc>
          <w:tcPr>
            <w:tcW w:w="1418" w:type="dxa"/>
            <w:noWrap/>
            <w:hideMark/>
          </w:tcPr>
          <w:p w14:paraId="4D317922"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7E00E072"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20,6%</w:t>
            </w:r>
          </w:p>
        </w:tc>
        <w:tc>
          <w:tcPr>
            <w:tcW w:w="1842" w:type="dxa"/>
            <w:noWrap/>
            <w:vAlign w:val="bottom"/>
          </w:tcPr>
          <w:p w14:paraId="02AF601E"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18,9%</w:t>
            </w:r>
          </w:p>
        </w:tc>
        <w:tc>
          <w:tcPr>
            <w:tcW w:w="1420" w:type="dxa"/>
            <w:noWrap/>
            <w:vAlign w:val="bottom"/>
          </w:tcPr>
          <w:p w14:paraId="1D070530"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22,0%</w:t>
            </w:r>
          </w:p>
        </w:tc>
      </w:tr>
      <w:tr w:rsidR="0023071D" w:rsidRPr="00EE3A10" w14:paraId="320BA918"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1E2A247F"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Investicije/prihodkih</w:t>
            </w:r>
          </w:p>
        </w:tc>
        <w:tc>
          <w:tcPr>
            <w:tcW w:w="1418" w:type="dxa"/>
            <w:noWrap/>
            <w:hideMark/>
          </w:tcPr>
          <w:p w14:paraId="51C6EC16"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575BDA90"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4,4%</w:t>
            </w:r>
          </w:p>
        </w:tc>
        <w:tc>
          <w:tcPr>
            <w:tcW w:w="1842" w:type="dxa"/>
            <w:noWrap/>
            <w:vAlign w:val="bottom"/>
          </w:tcPr>
          <w:p w14:paraId="79DCA698"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5,2%</w:t>
            </w:r>
          </w:p>
        </w:tc>
        <w:tc>
          <w:tcPr>
            <w:tcW w:w="1420" w:type="dxa"/>
            <w:noWrap/>
            <w:vAlign w:val="bottom"/>
          </w:tcPr>
          <w:p w14:paraId="20EFFEB8"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4,4%</w:t>
            </w:r>
          </w:p>
        </w:tc>
      </w:tr>
      <w:tr w:rsidR="0023071D" w:rsidRPr="00EE3A10" w14:paraId="4EB097B7"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0462C5CE"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Investicije/prihodkih</w:t>
            </w:r>
          </w:p>
        </w:tc>
        <w:tc>
          <w:tcPr>
            <w:tcW w:w="1418" w:type="dxa"/>
            <w:noWrap/>
            <w:hideMark/>
          </w:tcPr>
          <w:p w14:paraId="5C4B1945"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48155710"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3,9%</w:t>
            </w:r>
          </w:p>
        </w:tc>
        <w:tc>
          <w:tcPr>
            <w:tcW w:w="1842" w:type="dxa"/>
            <w:noWrap/>
            <w:vAlign w:val="bottom"/>
          </w:tcPr>
          <w:p w14:paraId="75B9E956"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4,2%</w:t>
            </w:r>
          </w:p>
        </w:tc>
        <w:tc>
          <w:tcPr>
            <w:tcW w:w="1420" w:type="dxa"/>
            <w:noWrap/>
            <w:vAlign w:val="bottom"/>
          </w:tcPr>
          <w:p w14:paraId="783970FD"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4,1%</w:t>
            </w:r>
          </w:p>
        </w:tc>
      </w:tr>
      <w:tr w:rsidR="0023071D" w:rsidRPr="00EE3A10" w14:paraId="6B28E30A"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67B9206B"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EBITDA marža</w:t>
            </w:r>
          </w:p>
        </w:tc>
        <w:tc>
          <w:tcPr>
            <w:tcW w:w="1418" w:type="dxa"/>
            <w:noWrap/>
            <w:hideMark/>
          </w:tcPr>
          <w:p w14:paraId="441D9A03"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3EAA4992"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8,4%</w:t>
            </w:r>
          </w:p>
        </w:tc>
        <w:tc>
          <w:tcPr>
            <w:tcW w:w="1842" w:type="dxa"/>
            <w:noWrap/>
            <w:vAlign w:val="bottom"/>
          </w:tcPr>
          <w:p w14:paraId="25D52FC5"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8,9%</w:t>
            </w:r>
          </w:p>
        </w:tc>
        <w:tc>
          <w:tcPr>
            <w:tcW w:w="1420" w:type="dxa"/>
            <w:noWrap/>
            <w:vAlign w:val="bottom"/>
          </w:tcPr>
          <w:p w14:paraId="7E966836"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8,8%</w:t>
            </w:r>
          </w:p>
        </w:tc>
      </w:tr>
      <w:tr w:rsidR="0023071D" w:rsidRPr="00EE3A10" w14:paraId="3CAF2794"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1A9AE78D"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EBITDA marža</w:t>
            </w:r>
          </w:p>
        </w:tc>
        <w:tc>
          <w:tcPr>
            <w:tcW w:w="1418" w:type="dxa"/>
            <w:noWrap/>
            <w:hideMark/>
          </w:tcPr>
          <w:p w14:paraId="43B1DBDF"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194CD713"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8,4%</w:t>
            </w:r>
          </w:p>
        </w:tc>
        <w:tc>
          <w:tcPr>
            <w:tcW w:w="1842" w:type="dxa"/>
            <w:noWrap/>
            <w:vAlign w:val="bottom"/>
          </w:tcPr>
          <w:p w14:paraId="33E3BE4F"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8,8%</w:t>
            </w:r>
          </w:p>
        </w:tc>
        <w:tc>
          <w:tcPr>
            <w:tcW w:w="1420" w:type="dxa"/>
            <w:noWrap/>
            <w:vAlign w:val="bottom"/>
          </w:tcPr>
          <w:p w14:paraId="43089E56"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7,9%</w:t>
            </w:r>
          </w:p>
        </w:tc>
      </w:tr>
      <w:tr w:rsidR="0023071D" w:rsidRPr="00EE3A10" w14:paraId="34348E91"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68E268B"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Strošek dela v DV</w:t>
            </w:r>
          </w:p>
        </w:tc>
        <w:tc>
          <w:tcPr>
            <w:tcW w:w="1418" w:type="dxa"/>
            <w:noWrap/>
            <w:hideMark/>
          </w:tcPr>
          <w:p w14:paraId="36696ACE"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05331F2E"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58,5%</w:t>
            </w:r>
          </w:p>
        </w:tc>
        <w:tc>
          <w:tcPr>
            <w:tcW w:w="1842" w:type="dxa"/>
            <w:noWrap/>
            <w:vAlign w:val="bottom"/>
          </w:tcPr>
          <w:p w14:paraId="153FDFFC"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54,9%</w:t>
            </w:r>
          </w:p>
        </w:tc>
        <w:tc>
          <w:tcPr>
            <w:tcW w:w="1420" w:type="dxa"/>
            <w:noWrap/>
            <w:vAlign w:val="bottom"/>
          </w:tcPr>
          <w:p w14:paraId="4E8089D5"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62,3%</w:t>
            </w:r>
          </w:p>
        </w:tc>
      </w:tr>
      <w:tr w:rsidR="0023071D" w:rsidRPr="00EE3A10" w14:paraId="470D90AC"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5F4E1083"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Strošek dela v DV</w:t>
            </w:r>
          </w:p>
        </w:tc>
        <w:tc>
          <w:tcPr>
            <w:tcW w:w="1418" w:type="dxa"/>
            <w:noWrap/>
            <w:hideMark/>
          </w:tcPr>
          <w:p w14:paraId="50DC6880"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32A1DA75"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57,0%</w:t>
            </w:r>
          </w:p>
        </w:tc>
        <w:tc>
          <w:tcPr>
            <w:tcW w:w="1842" w:type="dxa"/>
            <w:noWrap/>
            <w:vAlign w:val="bottom"/>
          </w:tcPr>
          <w:p w14:paraId="064679D2"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53,3%</w:t>
            </w:r>
          </w:p>
        </w:tc>
        <w:tc>
          <w:tcPr>
            <w:tcW w:w="1420" w:type="dxa"/>
            <w:noWrap/>
            <w:vAlign w:val="bottom"/>
          </w:tcPr>
          <w:p w14:paraId="58BC336C"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64,1%</w:t>
            </w:r>
          </w:p>
        </w:tc>
      </w:tr>
      <w:tr w:rsidR="0023071D" w:rsidRPr="00EE3A10" w14:paraId="694D456E"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6E73F989"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DV/zaposlenega</w:t>
            </w:r>
          </w:p>
        </w:tc>
        <w:tc>
          <w:tcPr>
            <w:tcW w:w="1418" w:type="dxa"/>
            <w:noWrap/>
            <w:hideMark/>
          </w:tcPr>
          <w:p w14:paraId="723901EA" w14:textId="77777777" w:rsidR="0023071D" w:rsidRPr="00C02B3F"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2017</w:t>
            </w:r>
          </w:p>
        </w:tc>
        <w:tc>
          <w:tcPr>
            <w:tcW w:w="1701" w:type="dxa"/>
            <w:noWrap/>
            <w:vAlign w:val="bottom"/>
          </w:tcPr>
          <w:p w14:paraId="100B65AC"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31.685</w:t>
            </w:r>
          </w:p>
        </w:tc>
        <w:tc>
          <w:tcPr>
            <w:tcW w:w="1842" w:type="dxa"/>
            <w:noWrap/>
            <w:vAlign w:val="bottom"/>
          </w:tcPr>
          <w:p w14:paraId="20482E1C"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24.879</w:t>
            </w:r>
          </w:p>
        </w:tc>
        <w:tc>
          <w:tcPr>
            <w:tcW w:w="1420" w:type="dxa"/>
            <w:noWrap/>
            <w:vAlign w:val="bottom"/>
          </w:tcPr>
          <w:p w14:paraId="0C1DAB9C"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34.399</w:t>
            </w:r>
          </w:p>
        </w:tc>
      </w:tr>
      <w:tr w:rsidR="0023071D" w:rsidRPr="00EE3A10" w14:paraId="58710CA5"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546D6AEC"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DV/zaposlenega</w:t>
            </w:r>
          </w:p>
        </w:tc>
        <w:tc>
          <w:tcPr>
            <w:tcW w:w="1418" w:type="dxa"/>
            <w:noWrap/>
            <w:hideMark/>
          </w:tcPr>
          <w:p w14:paraId="04ABB109" w14:textId="77777777" w:rsidR="0023071D" w:rsidRPr="00C02B3F"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Ø  2008-2017</w:t>
            </w:r>
          </w:p>
        </w:tc>
        <w:tc>
          <w:tcPr>
            <w:tcW w:w="1701" w:type="dxa"/>
            <w:noWrap/>
            <w:vAlign w:val="bottom"/>
          </w:tcPr>
          <w:p w14:paraId="49B35CD1"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34.876</w:t>
            </w:r>
          </w:p>
        </w:tc>
        <w:tc>
          <w:tcPr>
            <w:tcW w:w="1842" w:type="dxa"/>
            <w:noWrap/>
            <w:vAlign w:val="bottom"/>
          </w:tcPr>
          <w:p w14:paraId="00FCA0C3"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22.691</w:t>
            </w:r>
          </w:p>
        </w:tc>
        <w:tc>
          <w:tcPr>
            <w:tcW w:w="1420" w:type="dxa"/>
            <w:noWrap/>
            <w:vAlign w:val="bottom"/>
          </w:tcPr>
          <w:p w14:paraId="76AFFC5A"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30.891</w:t>
            </w:r>
          </w:p>
        </w:tc>
      </w:tr>
      <w:tr w:rsidR="0023071D" w:rsidRPr="00EE3A10" w14:paraId="6D8DD0ED"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3FEF661"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Prihodki/zaposlenega</w:t>
            </w:r>
          </w:p>
        </w:tc>
        <w:tc>
          <w:tcPr>
            <w:tcW w:w="1418" w:type="dxa"/>
            <w:noWrap/>
            <w:hideMark/>
          </w:tcPr>
          <w:p w14:paraId="673E91F2" w14:textId="77777777" w:rsidR="0023071D" w:rsidRPr="00C02B3F"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2017</w:t>
            </w:r>
          </w:p>
        </w:tc>
        <w:tc>
          <w:tcPr>
            <w:tcW w:w="1701" w:type="dxa"/>
            <w:noWrap/>
            <w:vAlign w:val="bottom"/>
          </w:tcPr>
          <w:p w14:paraId="6671DF48"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152.605</w:t>
            </w:r>
          </w:p>
        </w:tc>
        <w:tc>
          <w:tcPr>
            <w:tcW w:w="1842" w:type="dxa"/>
            <w:noWrap/>
            <w:vAlign w:val="bottom"/>
          </w:tcPr>
          <w:p w14:paraId="398FBC5A"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128.176</w:t>
            </w:r>
          </w:p>
        </w:tc>
        <w:tc>
          <w:tcPr>
            <w:tcW w:w="1420" w:type="dxa"/>
            <w:noWrap/>
            <w:vAlign w:val="bottom"/>
          </w:tcPr>
          <w:p w14:paraId="5A399173" w14:textId="77777777" w:rsidR="0023071D" w:rsidRPr="00120E6B"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147.808</w:t>
            </w:r>
          </w:p>
        </w:tc>
      </w:tr>
      <w:tr w:rsidR="0023071D" w:rsidRPr="00EE3A10" w14:paraId="6F49FD35"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7495005E"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Prihodki/zaposlenega</w:t>
            </w:r>
          </w:p>
        </w:tc>
        <w:tc>
          <w:tcPr>
            <w:tcW w:w="1418" w:type="dxa"/>
            <w:noWrap/>
            <w:hideMark/>
          </w:tcPr>
          <w:p w14:paraId="133C0220"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002A2F5D"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169.683</w:t>
            </w:r>
          </w:p>
        </w:tc>
        <w:tc>
          <w:tcPr>
            <w:tcW w:w="1842" w:type="dxa"/>
            <w:noWrap/>
            <w:vAlign w:val="bottom"/>
          </w:tcPr>
          <w:p w14:paraId="6D67BCED"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120.100</w:t>
            </w:r>
          </w:p>
        </w:tc>
        <w:tc>
          <w:tcPr>
            <w:tcW w:w="1420" w:type="dxa"/>
            <w:noWrap/>
            <w:vAlign w:val="bottom"/>
          </w:tcPr>
          <w:p w14:paraId="3FC7CE81" w14:textId="77777777" w:rsidR="0023071D" w:rsidRPr="00120E6B"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120E6B">
              <w:rPr>
                <w:rFonts w:asciiTheme="majorHAnsi" w:hAnsiTheme="majorHAnsi" w:cs="Arial"/>
                <w:sz w:val="18"/>
                <w:szCs w:val="18"/>
              </w:rPr>
              <w:t>140.322</w:t>
            </w:r>
          </w:p>
        </w:tc>
      </w:tr>
    </w:tbl>
    <w:p w14:paraId="0483CC00" w14:textId="77777777" w:rsidR="003372D7" w:rsidRPr="00E205E2" w:rsidRDefault="003372D7" w:rsidP="003372D7">
      <w:pPr>
        <w:spacing w:before="20"/>
        <w:jc w:val="both"/>
        <w:rPr>
          <w:rFonts w:cstheme="minorHAnsi"/>
          <w:i/>
          <w:iCs/>
          <w:sz w:val="18"/>
          <w:szCs w:val="18"/>
        </w:rPr>
      </w:pPr>
      <w:r w:rsidRPr="00E205E2">
        <w:rPr>
          <w:rFonts w:cstheme="minorHAnsi"/>
          <w:i/>
          <w:iCs/>
          <w:sz w:val="18"/>
          <w:szCs w:val="18"/>
        </w:rPr>
        <w:t xml:space="preserve">Vir: </w:t>
      </w:r>
      <w:r>
        <w:rPr>
          <w:rFonts w:cstheme="minorHAnsi"/>
          <w:i/>
          <w:iCs/>
          <w:sz w:val="18"/>
          <w:szCs w:val="18"/>
        </w:rPr>
        <w:t>Eurostat</w:t>
      </w:r>
      <w:r w:rsidRPr="00E205E2">
        <w:rPr>
          <w:rFonts w:cstheme="minorHAnsi"/>
          <w:i/>
          <w:iCs/>
          <w:sz w:val="18"/>
          <w:szCs w:val="18"/>
        </w:rPr>
        <w:t>, strukturna statistika podjetij, preračuni Analitika GZS</w:t>
      </w:r>
    </w:p>
    <w:p w14:paraId="4F35C549" w14:textId="09A8348D" w:rsidR="00E00254" w:rsidRDefault="00DA00B2" w:rsidP="00405849">
      <w:pPr>
        <w:jc w:val="both"/>
        <w:rPr>
          <w:sz w:val="16"/>
          <w:szCs w:val="18"/>
        </w:rPr>
      </w:pPr>
      <w:r>
        <w:rPr>
          <w:rFonts w:cstheme="minorHAnsi"/>
        </w:rPr>
        <w:t>V</w:t>
      </w:r>
      <w:r w:rsidRPr="00405849">
        <w:rPr>
          <w:rFonts w:cstheme="minorHAnsi"/>
        </w:rPr>
        <w:t xml:space="preserve"> tekstilni industriji je </w:t>
      </w:r>
      <w:r w:rsidR="00C571DD" w:rsidRPr="00405849">
        <w:rPr>
          <w:rFonts w:cstheme="minorHAnsi"/>
        </w:rPr>
        <w:t xml:space="preserve">Slovenija </w:t>
      </w:r>
      <w:r w:rsidR="009012F8" w:rsidRPr="00405849">
        <w:rPr>
          <w:rFonts w:cstheme="minorHAnsi"/>
        </w:rPr>
        <w:t xml:space="preserve">v 2017 </w:t>
      </w:r>
      <w:r w:rsidR="00C571DD" w:rsidRPr="00405849">
        <w:rPr>
          <w:rFonts w:cstheme="minorHAnsi"/>
        </w:rPr>
        <w:t xml:space="preserve">ustvarila višjo </w:t>
      </w:r>
      <w:r w:rsidR="00C571DD" w:rsidRPr="00405849">
        <w:rPr>
          <w:rFonts w:cstheme="minorHAnsi"/>
          <w:b/>
          <w:bCs/>
        </w:rPr>
        <w:t>dodano vrednost na zaposlenega</w:t>
      </w:r>
      <w:r w:rsidR="00C571DD" w:rsidRPr="00405849">
        <w:rPr>
          <w:rFonts w:cstheme="minorHAnsi"/>
        </w:rPr>
        <w:t xml:space="preserve"> (28</w:t>
      </w:r>
      <w:r w:rsidR="00FC4BCE">
        <w:rPr>
          <w:rFonts w:cstheme="minorHAnsi"/>
        </w:rPr>
        <w:t>.000</w:t>
      </w:r>
      <w:r w:rsidR="00C571DD" w:rsidRPr="00405849">
        <w:rPr>
          <w:rFonts w:cstheme="minorHAnsi"/>
        </w:rPr>
        <w:t xml:space="preserve"> EUR)</w:t>
      </w:r>
      <w:r w:rsidR="00FC4BCE">
        <w:rPr>
          <w:rFonts w:cstheme="minorHAnsi"/>
        </w:rPr>
        <w:t>,</w:t>
      </w:r>
      <w:r w:rsidR="00C571DD" w:rsidRPr="00405849">
        <w:rPr>
          <w:rFonts w:cstheme="minorHAnsi"/>
        </w:rPr>
        <w:t xml:space="preserve"> kot znaša mediana v državah </w:t>
      </w:r>
      <w:r w:rsidR="00DC4FB4">
        <w:rPr>
          <w:rFonts w:cstheme="minorHAnsi"/>
        </w:rPr>
        <w:t>CEE-4</w:t>
      </w:r>
      <w:r w:rsidR="00C571DD" w:rsidRPr="00405849">
        <w:rPr>
          <w:rFonts w:cstheme="minorHAnsi"/>
        </w:rPr>
        <w:t xml:space="preserve"> (14 tisoč EUR) ter mediana v državah EU-27 (24</w:t>
      </w:r>
      <w:r w:rsidR="00FC4BCE">
        <w:rPr>
          <w:rFonts w:cstheme="minorHAnsi"/>
        </w:rPr>
        <w:t>.000</w:t>
      </w:r>
      <w:r w:rsidR="00C571DD" w:rsidRPr="00405849">
        <w:rPr>
          <w:rFonts w:cstheme="minorHAnsi"/>
        </w:rPr>
        <w:t xml:space="preserve"> EUR). V </w:t>
      </w:r>
      <w:r w:rsidR="008954A4">
        <w:rPr>
          <w:rFonts w:cstheme="minorHAnsi"/>
        </w:rPr>
        <w:t>o</w:t>
      </w:r>
      <w:r w:rsidR="00F07BBC" w:rsidRPr="00405849">
        <w:rPr>
          <w:rFonts w:cstheme="minorHAnsi"/>
        </w:rPr>
        <w:t>bdobju</w:t>
      </w:r>
      <w:r w:rsidR="00C571DD" w:rsidRPr="00405849">
        <w:rPr>
          <w:rFonts w:cstheme="minorHAnsi"/>
        </w:rPr>
        <w:t xml:space="preserve"> 2008-2017 je </w:t>
      </w:r>
      <w:r w:rsidR="00C571DD" w:rsidRPr="00405849">
        <w:rPr>
          <w:rFonts w:cstheme="minorHAnsi"/>
          <w:b/>
          <w:bCs/>
        </w:rPr>
        <w:t>dodana vrednost na zaposlenega</w:t>
      </w:r>
      <w:r w:rsidR="00C571DD" w:rsidRPr="00405849">
        <w:rPr>
          <w:rFonts w:cstheme="minorHAnsi"/>
        </w:rPr>
        <w:t xml:space="preserve"> v tekstilni industriji v Sloveniji višja tako od mediane </w:t>
      </w:r>
      <w:r w:rsidR="00DC4FB4">
        <w:rPr>
          <w:rFonts w:cstheme="minorHAnsi"/>
        </w:rPr>
        <w:t>CEE-4</w:t>
      </w:r>
      <w:r w:rsidR="00C571DD" w:rsidRPr="00405849">
        <w:rPr>
          <w:rFonts w:cstheme="minorHAnsi"/>
        </w:rPr>
        <w:t xml:space="preserve"> </w:t>
      </w:r>
      <w:r w:rsidR="00FC4BCE">
        <w:rPr>
          <w:rFonts w:cstheme="minorHAnsi"/>
        </w:rPr>
        <w:t>kot</w:t>
      </w:r>
      <w:r w:rsidR="00FC4BCE" w:rsidRPr="00405849">
        <w:rPr>
          <w:rFonts w:cstheme="minorHAnsi"/>
        </w:rPr>
        <w:t xml:space="preserve"> </w:t>
      </w:r>
      <w:r w:rsidR="00C571DD" w:rsidRPr="00405849">
        <w:rPr>
          <w:rFonts w:cstheme="minorHAnsi"/>
        </w:rPr>
        <w:t>EU-27.</w:t>
      </w:r>
    </w:p>
    <w:p w14:paraId="5CDE5E94" w14:textId="77777777" w:rsidR="008F3CC9" w:rsidRDefault="008F3CC9">
      <w:r>
        <w:rPr>
          <w:b/>
          <w:bCs/>
        </w:rPr>
        <w:br w:type="page"/>
      </w:r>
    </w:p>
    <w:tbl>
      <w:tblPr>
        <w:tblStyle w:val="Tabelamrea4poudarek51"/>
        <w:tblW w:w="8786" w:type="dxa"/>
        <w:tblLook w:val="04A0" w:firstRow="1" w:lastRow="0" w:firstColumn="1" w:lastColumn="0" w:noHBand="0" w:noVBand="1"/>
      </w:tblPr>
      <w:tblGrid>
        <w:gridCol w:w="2405"/>
        <w:gridCol w:w="1418"/>
        <w:gridCol w:w="1701"/>
        <w:gridCol w:w="1842"/>
        <w:gridCol w:w="1420"/>
      </w:tblGrid>
      <w:tr w:rsidR="00C02B3F" w:rsidRPr="00EE3A10" w14:paraId="5B0CFADF" w14:textId="77777777" w:rsidTr="00C02B3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59DF4488" w14:textId="77777777" w:rsidR="00C02B3F" w:rsidRPr="00EE3A10" w:rsidRDefault="00C02B3F" w:rsidP="00C02B3F">
            <w:pPr>
              <w:spacing w:before="0"/>
              <w:rPr>
                <w:rFonts w:asciiTheme="majorHAnsi" w:eastAsia="Times New Roman" w:hAnsiTheme="majorHAnsi" w:cs="Times New Roman"/>
                <w:sz w:val="18"/>
                <w:szCs w:val="18"/>
                <w:lang w:eastAsia="sl-SI"/>
              </w:rPr>
            </w:pPr>
            <w:r w:rsidRPr="00E00254">
              <w:rPr>
                <w:rFonts w:asciiTheme="majorHAnsi" w:eastAsia="Times New Roman" w:hAnsiTheme="majorHAnsi" w:cs="Times New Roman"/>
                <w:sz w:val="18"/>
                <w:szCs w:val="18"/>
                <w:lang w:eastAsia="sl-SI"/>
              </w:rPr>
              <w:lastRenderedPageBreak/>
              <w:t>Tekstilna industrija</w:t>
            </w:r>
          </w:p>
        </w:tc>
        <w:tc>
          <w:tcPr>
            <w:tcW w:w="1418" w:type="dxa"/>
            <w:noWrap/>
            <w:hideMark/>
          </w:tcPr>
          <w:p w14:paraId="6554FD68" w14:textId="77777777" w:rsidR="00C02B3F" w:rsidRPr="00EE3A10" w:rsidRDefault="00C02B3F" w:rsidP="00C02B3F">
            <w:pPr>
              <w:spacing w:before="0"/>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sl-SI"/>
              </w:rPr>
            </w:pPr>
          </w:p>
        </w:tc>
        <w:tc>
          <w:tcPr>
            <w:tcW w:w="1701" w:type="dxa"/>
            <w:noWrap/>
            <w:vAlign w:val="center"/>
            <w:hideMark/>
          </w:tcPr>
          <w:p w14:paraId="088A5D1F" w14:textId="77777777" w:rsidR="00C02B3F" w:rsidRPr="00EE3A10" w:rsidRDefault="00C02B3F"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b w:val="0"/>
                <w:bCs w:val="0"/>
                <w:sz w:val="18"/>
                <w:szCs w:val="18"/>
                <w:lang w:eastAsia="sl-SI"/>
              </w:rPr>
              <w:t>EU-27</w:t>
            </w:r>
            <w:r>
              <w:rPr>
                <w:rFonts w:asciiTheme="majorHAnsi" w:eastAsia="Times New Roman" w:hAnsiTheme="majorHAnsi" w:cs="Arial"/>
                <w:b w:val="0"/>
                <w:bCs w:val="0"/>
                <w:sz w:val="18"/>
                <w:szCs w:val="18"/>
                <w:lang w:eastAsia="sl-SI"/>
              </w:rPr>
              <w:t>,</w:t>
            </w:r>
            <w:r w:rsidRPr="00C02B3F">
              <w:rPr>
                <w:rFonts w:asciiTheme="majorHAnsi" w:eastAsia="Times New Roman" w:hAnsiTheme="majorHAnsi" w:cs="Arial"/>
                <w:b w:val="0"/>
                <w:bCs w:val="0"/>
                <w:sz w:val="18"/>
                <w:szCs w:val="18"/>
                <w:lang w:eastAsia="sl-SI"/>
              </w:rPr>
              <w:t xml:space="preserve"> mediana</w:t>
            </w:r>
          </w:p>
        </w:tc>
        <w:tc>
          <w:tcPr>
            <w:tcW w:w="1842" w:type="dxa"/>
            <w:noWrap/>
            <w:vAlign w:val="center"/>
            <w:hideMark/>
          </w:tcPr>
          <w:p w14:paraId="3F2315AD" w14:textId="77777777" w:rsidR="00C02B3F" w:rsidRPr="00EE3A10" w:rsidRDefault="00DC4FB4"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Pr>
                <w:rFonts w:asciiTheme="majorHAnsi" w:eastAsia="Times New Roman" w:hAnsiTheme="majorHAnsi" w:cs="Arial"/>
                <w:b w:val="0"/>
                <w:bCs w:val="0"/>
                <w:sz w:val="18"/>
                <w:szCs w:val="18"/>
                <w:lang w:eastAsia="sl-SI"/>
              </w:rPr>
              <w:t>CEE-4</w:t>
            </w:r>
            <w:r w:rsidR="00C02B3F">
              <w:rPr>
                <w:rFonts w:asciiTheme="majorHAnsi" w:eastAsia="Times New Roman" w:hAnsiTheme="majorHAnsi" w:cs="Arial"/>
                <w:b w:val="0"/>
                <w:bCs w:val="0"/>
                <w:sz w:val="18"/>
                <w:szCs w:val="18"/>
                <w:lang w:eastAsia="sl-SI"/>
              </w:rPr>
              <w:t>,</w:t>
            </w:r>
            <w:r w:rsidR="00C02B3F" w:rsidRPr="00C02B3F">
              <w:rPr>
                <w:rFonts w:asciiTheme="majorHAnsi" w:eastAsia="Times New Roman" w:hAnsiTheme="majorHAnsi" w:cs="Arial"/>
                <w:b w:val="0"/>
                <w:bCs w:val="0"/>
                <w:sz w:val="18"/>
                <w:szCs w:val="18"/>
                <w:lang w:eastAsia="sl-SI"/>
              </w:rPr>
              <w:t xml:space="preserve"> mediana</w:t>
            </w:r>
          </w:p>
        </w:tc>
        <w:tc>
          <w:tcPr>
            <w:tcW w:w="1420" w:type="dxa"/>
            <w:noWrap/>
            <w:vAlign w:val="center"/>
            <w:hideMark/>
          </w:tcPr>
          <w:p w14:paraId="40035627" w14:textId="77777777" w:rsidR="00C02B3F" w:rsidRPr="00EE3A10" w:rsidRDefault="00C02B3F"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b w:val="0"/>
                <w:bCs w:val="0"/>
                <w:sz w:val="18"/>
                <w:szCs w:val="18"/>
                <w:lang w:eastAsia="sl-SI"/>
              </w:rPr>
              <w:t>Slovenija</w:t>
            </w:r>
          </w:p>
        </w:tc>
      </w:tr>
      <w:tr w:rsidR="0023071D" w:rsidRPr="00EE3A10" w14:paraId="0129643C"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1C011BA6"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Bruto marža (DV/prih.)</w:t>
            </w:r>
          </w:p>
        </w:tc>
        <w:tc>
          <w:tcPr>
            <w:tcW w:w="1418" w:type="dxa"/>
            <w:noWrap/>
            <w:hideMark/>
          </w:tcPr>
          <w:p w14:paraId="718E7296"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00CEE90B"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30,4%</w:t>
            </w:r>
          </w:p>
        </w:tc>
        <w:tc>
          <w:tcPr>
            <w:tcW w:w="1842" w:type="dxa"/>
            <w:noWrap/>
            <w:vAlign w:val="bottom"/>
          </w:tcPr>
          <w:p w14:paraId="1CCF0AEA"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30,0%</w:t>
            </w:r>
          </w:p>
        </w:tc>
        <w:tc>
          <w:tcPr>
            <w:tcW w:w="1420" w:type="dxa"/>
            <w:noWrap/>
            <w:vAlign w:val="bottom"/>
          </w:tcPr>
          <w:p w14:paraId="4DE26429"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30,3%</w:t>
            </w:r>
          </w:p>
        </w:tc>
      </w:tr>
      <w:tr w:rsidR="0023071D" w:rsidRPr="00EE3A10" w14:paraId="1280244E"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2BF6F9CF"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Bruto marža (DV/prih.)</w:t>
            </w:r>
          </w:p>
        </w:tc>
        <w:tc>
          <w:tcPr>
            <w:tcW w:w="1418" w:type="dxa"/>
            <w:noWrap/>
            <w:hideMark/>
          </w:tcPr>
          <w:p w14:paraId="3CDA53E4"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1ED12111"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30,0%</w:t>
            </w:r>
          </w:p>
        </w:tc>
        <w:tc>
          <w:tcPr>
            <w:tcW w:w="1842" w:type="dxa"/>
            <w:noWrap/>
            <w:vAlign w:val="bottom"/>
          </w:tcPr>
          <w:p w14:paraId="57EE530E"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30,0%</w:t>
            </w:r>
          </w:p>
        </w:tc>
        <w:tc>
          <w:tcPr>
            <w:tcW w:w="1420" w:type="dxa"/>
            <w:noWrap/>
            <w:vAlign w:val="bottom"/>
          </w:tcPr>
          <w:p w14:paraId="6CF51DAB"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29,6%</w:t>
            </w:r>
          </w:p>
        </w:tc>
      </w:tr>
      <w:tr w:rsidR="0023071D" w:rsidRPr="00EE3A10" w14:paraId="019B3702"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8FD8F7D"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Investicije/prihodkih</w:t>
            </w:r>
          </w:p>
        </w:tc>
        <w:tc>
          <w:tcPr>
            <w:tcW w:w="1418" w:type="dxa"/>
            <w:noWrap/>
            <w:hideMark/>
          </w:tcPr>
          <w:p w14:paraId="12768F5F"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6966E4A2"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3,0%</w:t>
            </w:r>
          </w:p>
        </w:tc>
        <w:tc>
          <w:tcPr>
            <w:tcW w:w="1842" w:type="dxa"/>
            <w:noWrap/>
            <w:vAlign w:val="bottom"/>
          </w:tcPr>
          <w:p w14:paraId="2B5E12BD"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4,6%</w:t>
            </w:r>
          </w:p>
        </w:tc>
        <w:tc>
          <w:tcPr>
            <w:tcW w:w="1420" w:type="dxa"/>
            <w:noWrap/>
            <w:vAlign w:val="bottom"/>
          </w:tcPr>
          <w:p w14:paraId="5301A81D"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5,0%</w:t>
            </w:r>
          </w:p>
        </w:tc>
      </w:tr>
      <w:tr w:rsidR="0023071D" w:rsidRPr="00EE3A10" w14:paraId="1D3FE3B2"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3A99EC5E"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Investicije/prihodkih</w:t>
            </w:r>
          </w:p>
        </w:tc>
        <w:tc>
          <w:tcPr>
            <w:tcW w:w="1418" w:type="dxa"/>
            <w:noWrap/>
            <w:hideMark/>
          </w:tcPr>
          <w:p w14:paraId="3E0DA52C"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2C8651D1"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3,8%</w:t>
            </w:r>
          </w:p>
        </w:tc>
        <w:tc>
          <w:tcPr>
            <w:tcW w:w="1842" w:type="dxa"/>
            <w:noWrap/>
            <w:vAlign w:val="bottom"/>
          </w:tcPr>
          <w:p w14:paraId="37FD87AF"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4,9%</w:t>
            </w:r>
          </w:p>
        </w:tc>
        <w:tc>
          <w:tcPr>
            <w:tcW w:w="1420" w:type="dxa"/>
            <w:noWrap/>
            <w:vAlign w:val="bottom"/>
          </w:tcPr>
          <w:p w14:paraId="144B065D"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3,9%</w:t>
            </w:r>
          </w:p>
        </w:tc>
      </w:tr>
      <w:tr w:rsidR="0023071D" w:rsidRPr="00EE3A10" w14:paraId="42D48DC9"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70EE933"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EBITDA marža</w:t>
            </w:r>
          </w:p>
        </w:tc>
        <w:tc>
          <w:tcPr>
            <w:tcW w:w="1418" w:type="dxa"/>
            <w:noWrap/>
            <w:hideMark/>
          </w:tcPr>
          <w:p w14:paraId="52151295"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0D76BBCB"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9,3%</w:t>
            </w:r>
          </w:p>
        </w:tc>
        <w:tc>
          <w:tcPr>
            <w:tcW w:w="1842" w:type="dxa"/>
            <w:noWrap/>
            <w:vAlign w:val="bottom"/>
          </w:tcPr>
          <w:p w14:paraId="1F0F102C"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9,4%</w:t>
            </w:r>
          </w:p>
        </w:tc>
        <w:tc>
          <w:tcPr>
            <w:tcW w:w="1420" w:type="dxa"/>
            <w:noWrap/>
            <w:vAlign w:val="bottom"/>
          </w:tcPr>
          <w:p w14:paraId="1FEC2F05"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11,1%</w:t>
            </w:r>
          </w:p>
        </w:tc>
      </w:tr>
      <w:tr w:rsidR="0023071D" w:rsidRPr="00EE3A10" w14:paraId="6E55DF1B"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6F502FFC"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EBITDA marža</w:t>
            </w:r>
          </w:p>
        </w:tc>
        <w:tc>
          <w:tcPr>
            <w:tcW w:w="1418" w:type="dxa"/>
            <w:noWrap/>
            <w:hideMark/>
          </w:tcPr>
          <w:p w14:paraId="724DB9D3"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2ADEC76B"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8,9%</w:t>
            </w:r>
          </w:p>
        </w:tc>
        <w:tc>
          <w:tcPr>
            <w:tcW w:w="1842" w:type="dxa"/>
            <w:noWrap/>
            <w:vAlign w:val="bottom"/>
          </w:tcPr>
          <w:p w14:paraId="3F951FC6"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10,1%</w:t>
            </w:r>
          </w:p>
        </w:tc>
        <w:tc>
          <w:tcPr>
            <w:tcW w:w="1420" w:type="dxa"/>
            <w:noWrap/>
            <w:vAlign w:val="bottom"/>
          </w:tcPr>
          <w:p w14:paraId="56F0C8D8"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6,6%</w:t>
            </w:r>
          </w:p>
        </w:tc>
      </w:tr>
      <w:tr w:rsidR="0023071D" w:rsidRPr="00EE3A10" w14:paraId="14C8DC2D"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6F5D0A70"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Strošek dela v DV</w:t>
            </w:r>
          </w:p>
        </w:tc>
        <w:tc>
          <w:tcPr>
            <w:tcW w:w="1418" w:type="dxa"/>
            <w:noWrap/>
            <w:hideMark/>
          </w:tcPr>
          <w:p w14:paraId="5F665FCD"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757611B6"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70,5%</w:t>
            </w:r>
          </w:p>
        </w:tc>
        <w:tc>
          <w:tcPr>
            <w:tcW w:w="1842" w:type="dxa"/>
            <w:noWrap/>
            <w:vAlign w:val="bottom"/>
          </w:tcPr>
          <w:p w14:paraId="4D9275F1"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68,7%</w:t>
            </w:r>
          </w:p>
        </w:tc>
        <w:tc>
          <w:tcPr>
            <w:tcW w:w="1420" w:type="dxa"/>
            <w:noWrap/>
            <w:vAlign w:val="bottom"/>
          </w:tcPr>
          <w:p w14:paraId="06C37E17"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63,5%</w:t>
            </w:r>
          </w:p>
        </w:tc>
      </w:tr>
      <w:tr w:rsidR="0023071D" w:rsidRPr="00EE3A10" w14:paraId="38C73FC4"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78B35714"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Strošek dela v DV</w:t>
            </w:r>
          </w:p>
        </w:tc>
        <w:tc>
          <w:tcPr>
            <w:tcW w:w="1418" w:type="dxa"/>
            <w:noWrap/>
            <w:hideMark/>
          </w:tcPr>
          <w:p w14:paraId="132084F7"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6199C461"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73,3%</w:t>
            </w:r>
          </w:p>
        </w:tc>
        <w:tc>
          <w:tcPr>
            <w:tcW w:w="1842" w:type="dxa"/>
            <w:noWrap/>
            <w:vAlign w:val="bottom"/>
          </w:tcPr>
          <w:p w14:paraId="630FB678"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66,3%</w:t>
            </w:r>
          </w:p>
        </w:tc>
        <w:tc>
          <w:tcPr>
            <w:tcW w:w="1420" w:type="dxa"/>
            <w:noWrap/>
            <w:vAlign w:val="bottom"/>
          </w:tcPr>
          <w:p w14:paraId="6CD815BF"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77,8%</w:t>
            </w:r>
          </w:p>
        </w:tc>
      </w:tr>
      <w:tr w:rsidR="0023071D" w:rsidRPr="00EE3A10" w14:paraId="22982F2F"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EE613F3"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DV/zaposlenega</w:t>
            </w:r>
          </w:p>
        </w:tc>
        <w:tc>
          <w:tcPr>
            <w:tcW w:w="1418" w:type="dxa"/>
            <w:noWrap/>
            <w:hideMark/>
          </w:tcPr>
          <w:p w14:paraId="6B9831A2" w14:textId="77777777" w:rsidR="0023071D" w:rsidRPr="00C02B3F"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2017</w:t>
            </w:r>
          </w:p>
        </w:tc>
        <w:tc>
          <w:tcPr>
            <w:tcW w:w="1701" w:type="dxa"/>
            <w:noWrap/>
            <w:vAlign w:val="bottom"/>
          </w:tcPr>
          <w:p w14:paraId="48B50452"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24.906</w:t>
            </w:r>
          </w:p>
        </w:tc>
        <w:tc>
          <w:tcPr>
            <w:tcW w:w="1842" w:type="dxa"/>
            <w:noWrap/>
            <w:vAlign w:val="bottom"/>
          </w:tcPr>
          <w:p w14:paraId="637389FD"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14.290</w:t>
            </w:r>
          </w:p>
        </w:tc>
        <w:tc>
          <w:tcPr>
            <w:tcW w:w="1420" w:type="dxa"/>
            <w:noWrap/>
            <w:vAlign w:val="bottom"/>
          </w:tcPr>
          <w:p w14:paraId="6281A4B2"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28.222</w:t>
            </w:r>
          </w:p>
        </w:tc>
      </w:tr>
      <w:tr w:rsidR="0023071D" w:rsidRPr="00EE3A10" w14:paraId="659A9979"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4356F4D7"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DV/zaposlenega</w:t>
            </w:r>
          </w:p>
        </w:tc>
        <w:tc>
          <w:tcPr>
            <w:tcW w:w="1418" w:type="dxa"/>
            <w:noWrap/>
            <w:hideMark/>
          </w:tcPr>
          <w:p w14:paraId="79FBC2FB" w14:textId="77777777" w:rsidR="0023071D" w:rsidRPr="00C02B3F"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Ø  2008-2017</w:t>
            </w:r>
          </w:p>
        </w:tc>
        <w:tc>
          <w:tcPr>
            <w:tcW w:w="1701" w:type="dxa"/>
            <w:noWrap/>
            <w:vAlign w:val="bottom"/>
          </w:tcPr>
          <w:p w14:paraId="4A740015"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17.860</w:t>
            </w:r>
          </w:p>
        </w:tc>
        <w:tc>
          <w:tcPr>
            <w:tcW w:w="1842" w:type="dxa"/>
            <w:noWrap/>
            <w:vAlign w:val="bottom"/>
          </w:tcPr>
          <w:p w14:paraId="5F340ADB"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13.560</w:t>
            </w:r>
          </w:p>
        </w:tc>
        <w:tc>
          <w:tcPr>
            <w:tcW w:w="1420" w:type="dxa"/>
            <w:noWrap/>
            <w:vAlign w:val="bottom"/>
          </w:tcPr>
          <w:p w14:paraId="6A915C9B"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20.010</w:t>
            </w:r>
          </w:p>
        </w:tc>
      </w:tr>
      <w:tr w:rsidR="0023071D" w:rsidRPr="00EE3A10" w14:paraId="0078705F"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6FE97C3"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Prihodki/zaposlenega</w:t>
            </w:r>
          </w:p>
        </w:tc>
        <w:tc>
          <w:tcPr>
            <w:tcW w:w="1418" w:type="dxa"/>
            <w:noWrap/>
            <w:hideMark/>
          </w:tcPr>
          <w:p w14:paraId="201107C2" w14:textId="77777777" w:rsidR="0023071D" w:rsidRPr="00C02B3F"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2017</w:t>
            </w:r>
          </w:p>
        </w:tc>
        <w:tc>
          <w:tcPr>
            <w:tcW w:w="1701" w:type="dxa"/>
            <w:noWrap/>
            <w:vAlign w:val="bottom"/>
          </w:tcPr>
          <w:p w14:paraId="486350F4"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94.331</w:t>
            </w:r>
          </w:p>
        </w:tc>
        <w:tc>
          <w:tcPr>
            <w:tcW w:w="1842" w:type="dxa"/>
            <w:noWrap/>
            <w:vAlign w:val="bottom"/>
          </w:tcPr>
          <w:p w14:paraId="25257250"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47.661</w:t>
            </w:r>
          </w:p>
        </w:tc>
        <w:tc>
          <w:tcPr>
            <w:tcW w:w="1420" w:type="dxa"/>
            <w:noWrap/>
            <w:vAlign w:val="bottom"/>
          </w:tcPr>
          <w:p w14:paraId="289F4074"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93.060</w:t>
            </w:r>
          </w:p>
        </w:tc>
      </w:tr>
      <w:tr w:rsidR="0023071D" w:rsidRPr="00EE3A10" w14:paraId="758F07F5"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277B91E7"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Prihodki/zaposlenega</w:t>
            </w:r>
          </w:p>
        </w:tc>
        <w:tc>
          <w:tcPr>
            <w:tcW w:w="1418" w:type="dxa"/>
            <w:noWrap/>
            <w:hideMark/>
          </w:tcPr>
          <w:p w14:paraId="4A9916E5"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6E103B93"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59.504</w:t>
            </w:r>
          </w:p>
        </w:tc>
        <w:tc>
          <w:tcPr>
            <w:tcW w:w="1842" w:type="dxa"/>
            <w:noWrap/>
            <w:vAlign w:val="bottom"/>
          </w:tcPr>
          <w:p w14:paraId="7FCA599B"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45.230</w:t>
            </w:r>
          </w:p>
        </w:tc>
        <w:tc>
          <w:tcPr>
            <w:tcW w:w="1420" w:type="dxa"/>
            <w:noWrap/>
            <w:vAlign w:val="bottom"/>
          </w:tcPr>
          <w:p w14:paraId="10DC7C08"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67.602</w:t>
            </w:r>
          </w:p>
        </w:tc>
      </w:tr>
    </w:tbl>
    <w:p w14:paraId="0B314608" w14:textId="77777777" w:rsidR="003372D7" w:rsidRPr="00E205E2" w:rsidRDefault="003372D7" w:rsidP="003372D7">
      <w:pPr>
        <w:spacing w:before="20"/>
        <w:jc w:val="both"/>
        <w:rPr>
          <w:rFonts w:cstheme="minorHAnsi"/>
          <w:i/>
          <w:iCs/>
          <w:sz w:val="18"/>
          <w:szCs w:val="18"/>
        </w:rPr>
      </w:pPr>
      <w:r w:rsidRPr="00E205E2">
        <w:rPr>
          <w:rFonts w:cstheme="minorHAnsi"/>
          <w:i/>
          <w:iCs/>
          <w:sz w:val="18"/>
          <w:szCs w:val="18"/>
        </w:rPr>
        <w:t xml:space="preserve">Vir: </w:t>
      </w:r>
      <w:r>
        <w:rPr>
          <w:rFonts w:cstheme="minorHAnsi"/>
          <w:i/>
          <w:iCs/>
          <w:sz w:val="18"/>
          <w:szCs w:val="18"/>
        </w:rPr>
        <w:t>Eurostat</w:t>
      </w:r>
      <w:r w:rsidRPr="00E205E2">
        <w:rPr>
          <w:rFonts w:cstheme="minorHAnsi"/>
          <w:i/>
          <w:iCs/>
          <w:sz w:val="18"/>
          <w:szCs w:val="18"/>
        </w:rPr>
        <w:t>, strukturna statistika podjetij, preračuni Analitika GZS</w:t>
      </w:r>
    </w:p>
    <w:p w14:paraId="7C58567A" w14:textId="0A8DC5E5" w:rsidR="00345686" w:rsidRPr="00405849" w:rsidRDefault="00DA00B2" w:rsidP="00405849">
      <w:pPr>
        <w:jc w:val="both"/>
        <w:rPr>
          <w:rFonts w:cstheme="minorHAnsi"/>
        </w:rPr>
      </w:pPr>
      <w:r>
        <w:rPr>
          <w:rFonts w:cstheme="minorHAnsi"/>
        </w:rPr>
        <w:t>V</w:t>
      </w:r>
      <w:r w:rsidRPr="00405849">
        <w:rPr>
          <w:rFonts w:cstheme="minorHAnsi"/>
        </w:rPr>
        <w:t xml:space="preserve"> lesni industriji je </w:t>
      </w:r>
      <w:r w:rsidR="00345686" w:rsidRPr="00405849">
        <w:rPr>
          <w:rFonts w:cstheme="minorHAnsi"/>
        </w:rPr>
        <w:t xml:space="preserve">Slovenija </w:t>
      </w:r>
      <w:r w:rsidRPr="00405849">
        <w:rPr>
          <w:rFonts w:cstheme="minorHAnsi"/>
        </w:rPr>
        <w:t xml:space="preserve">v 2017 </w:t>
      </w:r>
      <w:r w:rsidR="00345686" w:rsidRPr="00405849">
        <w:rPr>
          <w:rFonts w:cstheme="minorHAnsi"/>
        </w:rPr>
        <w:t xml:space="preserve">ustvarila višjo </w:t>
      </w:r>
      <w:r w:rsidR="00345686" w:rsidRPr="00405849">
        <w:rPr>
          <w:rFonts w:cstheme="minorHAnsi"/>
          <w:b/>
          <w:bCs/>
        </w:rPr>
        <w:t>dodano vrednost na zaposlenega</w:t>
      </w:r>
      <w:r w:rsidR="00345686" w:rsidRPr="00405849">
        <w:rPr>
          <w:rFonts w:cstheme="minorHAnsi"/>
        </w:rPr>
        <w:t xml:space="preserve"> (31</w:t>
      </w:r>
      <w:r w:rsidR="00FC4BCE">
        <w:rPr>
          <w:rFonts w:cstheme="minorHAnsi"/>
        </w:rPr>
        <w:t>.000</w:t>
      </w:r>
      <w:r w:rsidR="00345686" w:rsidRPr="00405849">
        <w:rPr>
          <w:rFonts w:cstheme="minorHAnsi"/>
        </w:rPr>
        <w:t xml:space="preserve"> EUR)</w:t>
      </w:r>
      <w:r w:rsidR="00FC4BCE">
        <w:rPr>
          <w:rFonts w:cstheme="minorHAnsi"/>
        </w:rPr>
        <w:t>,</w:t>
      </w:r>
      <w:r w:rsidR="00345686" w:rsidRPr="00405849">
        <w:rPr>
          <w:rFonts w:cstheme="minorHAnsi"/>
        </w:rPr>
        <w:t xml:space="preserve"> kot znaša mediana v državah </w:t>
      </w:r>
      <w:r w:rsidR="00DC4FB4">
        <w:rPr>
          <w:rFonts w:cstheme="minorHAnsi"/>
        </w:rPr>
        <w:t>CEE-4</w:t>
      </w:r>
      <w:r w:rsidR="00345686" w:rsidRPr="00405849">
        <w:rPr>
          <w:rFonts w:cstheme="minorHAnsi"/>
        </w:rPr>
        <w:t xml:space="preserve"> (19</w:t>
      </w:r>
      <w:r w:rsidR="00FC4BCE">
        <w:rPr>
          <w:rFonts w:cstheme="minorHAnsi"/>
        </w:rPr>
        <w:t>.000</w:t>
      </w:r>
      <w:r w:rsidR="00345686" w:rsidRPr="00405849">
        <w:rPr>
          <w:rFonts w:cstheme="minorHAnsi"/>
        </w:rPr>
        <w:t xml:space="preserve"> EUR) ter v državah EU-27 (29</w:t>
      </w:r>
      <w:r w:rsidR="00FC4BCE">
        <w:rPr>
          <w:rFonts w:cstheme="minorHAnsi"/>
        </w:rPr>
        <w:t>.000</w:t>
      </w:r>
      <w:r w:rsidR="00345686" w:rsidRPr="00405849">
        <w:rPr>
          <w:rFonts w:cstheme="minorHAnsi"/>
        </w:rPr>
        <w:t xml:space="preserve"> EUR). V </w:t>
      </w:r>
      <w:r w:rsidR="008954A4">
        <w:rPr>
          <w:rFonts w:cstheme="minorHAnsi"/>
        </w:rPr>
        <w:t>o</w:t>
      </w:r>
      <w:r w:rsidR="00F07BBC" w:rsidRPr="00405849">
        <w:rPr>
          <w:rFonts w:cstheme="minorHAnsi"/>
        </w:rPr>
        <w:t>bdobju</w:t>
      </w:r>
      <w:r w:rsidR="00345686" w:rsidRPr="00405849">
        <w:rPr>
          <w:rFonts w:cstheme="minorHAnsi"/>
        </w:rPr>
        <w:t xml:space="preserve"> 2008-2017 je </w:t>
      </w:r>
      <w:r w:rsidR="00345686" w:rsidRPr="00405849">
        <w:rPr>
          <w:rFonts w:cstheme="minorHAnsi"/>
          <w:b/>
          <w:bCs/>
        </w:rPr>
        <w:t>dodana vrednost na zaposlenega</w:t>
      </w:r>
      <w:r w:rsidR="00345686" w:rsidRPr="00405849">
        <w:rPr>
          <w:rFonts w:cstheme="minorHAnsi"/>
        </w:rPr>
        <w:t xml:space="preserve"> v lesni industriji v Sloveniji višja od mediane </w:t>
      </w:r>
      <w:r w:rsidR="00DC4FB4">
        <w:rPr>
          <w:rFonts w:cstheme="minorHAnsi"/>
        </w:rPr>
        <w:t>CEE-4</w:t>
      </w:r>
      <w:r w:rsidR="00345686" w:rsidRPr="00405849">
        <w:rPr>
          <w:rFonts w:cstheme="minorHAnsi"/>
        </w:rPr>
        <w:t xml:space="preserve"> in nižja od mediane EU-27.</w:t>
      </w:r>
    </w:p>
    <w:tbl>
      <w:tblPr>
        <w:tblStyle w:val="Tabelamrea4poudarek51"/>
        <w:tblW w:w="8786" w:type="dxa"/>
        <w:tblLook w:val="04A0" w:firstRow="1" w:lastRow="0" w:firstColumn="1" w:lastColumn="0" w:noHBand="0" w:noVBand="1"/>
      </w:tblPr>
      <w:tblGrid>
        <w:gridCol w:w="2405"/>
        <w:gridCol w:w="1418"/>
        <w:gridCol w:w="1701"/>
        <w:gridCol w:w="1842"/>
        <w:gridCol w:w="1420"/>
      </w:tblGrid>
      <w:tr w:rsidR="00C02B3F" w:rsidRPr="00EE3A10" w14:paraId="077398E2" w14:textId="77777777" w:rsidTr="00C02B3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63FA81A7" w14:textId="77777777" w:rsidR="00C02B3F" w:rsidRPr="00EE3A10" w:rsidRDefault="00C02B3F" w:rsidP="00C02B3F">
            <w:pPr>
              <w:spacing w:before="0"/>
              <w:rPr>
                <w:rFonts w:asciiTheme="majorHAnsi" w:eastAsia="Times New Roman" w:hAnsiTheme="majorHAnsi" w:cs="Times New Roman"/>
                <w:sz w:val="18"/>
                <w:szCs w:val="18"/>
                <w:lang w:eastAsia="sl-SI"/>
              </w:rPr>
            </w:pPr>
            <w:r w:rsidRPr="00003217">
              <w:rPr>
                <w:rFonts w:asciiTheme="majorHAnsi" w:eastAsia="Times New Roman" w:hAnsiTheme="majorHAnsi" w:cs="Times New Roman"/>
                <w:sz w:val="18"/>
                <w:szCs w:val="18"/>
                <w:lang w:eastAsia="sl-SI"/>
              </w:rPr>
              <w:t>Lesna industrija</w:t>
            </w:r>
          </w:p>
        </w:tc>
        <w:tc>
          <w:tcPr>
            <w:tcW w:w="1418" w:type="dxa"/>
            <w:noWrap/>
            <w:hideMark/>
          </w:tcPr>
          <w:p w14:paraId="1C4CBCE9" w14:textId="77777777" w:rsidR="00C02B3F" w:rsidRPr="00EE3A10" w:rsidRDefault="00C02B3F" w:rsidP="00C02B3F">
            <w:pPr>
              <w:spacing w:before="0"/>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sl-SI"/>
              </w:rPr>
            </w:pPr>
          </w:p>
        </w:tc>
        <w:tc>
          <w:tcPr>
            <w:tcW w:w="1701" w:type="dxa"/>
            <w:noWrap/>
            <w:vAlign w:val="center"/>
            <w:hideMark/>
          </w:tcPr>
          <w:p w14:paraId="46F7F6EF" w14:textId="77777777" w:rsidR="00C02B3F" w:rsidRPr="00EE3A10" w:rsidRDefault="00C02B3F"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b w:val="0"/>
                <w:bCs w:val="0"/>
                <w:sz w:val="18"/>
                <w:szCs w:val="18"/>
                <w:lang w:eastAsia="sl-SI"/>
              </w:rPr>
              <w:t>EU-27</w:t>
            </w:r>
            <w:r>
              <w:rPr>
                <w:rFonts w:asciiTheme="majorHAnsi" w:eastAsia="Times New Roman" w:hAnsiTheme="majorHAnsi" w:cs="Arial"/>
                <w:b w:val="0"/>
                <w:bCs w:val="0"/>
                <w:sz w:val="18"/>
                <w:szCs w:val="18"/>
                <w:lang w:eastAsia="sl-SI"/>
              </w:rPr>
              <w:t>,</w:t>
            </w:r>
            <w:r w:rsidRPr="00C02B3F">
              <w:rPr>
                <w:rFonts w:asciiTheme="majorHAnsi" w:eastAsia="Times New Roman" w:hAnsiTheme="majorHAnsi" w:cs="Arial"/>
                <w:b w:val="0"/>
                <w:bCs w:val="0"/>
                <w:sz w:val="18"/>
                <w:szCs w:val="18"/>
                <w:lang w:eastAsia="sl-SI"/>
              </w:rPr>
              <w:t xml:space="preserve"> mediana</w:t>
            </w:r>
          </w:p>
        </w:tc>
        <w:tc>
          <w:tcPr>
            <w:tcW w:w="1842" w:type="dxa"/>
            <w:noWrap/>
            <w:vAlign w:val="center"/>
            <w:hideMark/>
          </w:tcPr>
          <w:p w14:paraId="31C902D2" w14:textId="77777777" w:rsidR="00C02B3F" w:rsidRPr="00EE3A10" w:rsidRDefault="00DC4FB4"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Pr>
                <w:rFonts w:asciiTheme="majorHAnsi" w:eastAsia="Times New Roman" w:hAnsiTheme="majorHAnsi" w:cs="Arial"/>
                <w:b w:val="0"/>
                <w:bCs w:val="0"/>
                <w:sz w:val="18"/>
                <w:szCs w:val="18"/>
                <w:lang w:eastAsia="sl-SI"/>
              </w:rPr>
              <w:t>CEE-4</w:t>
            </w:r>
            <w:r w:rsidR="00C02B3F">
              <w:rPr>
                <w:rFonts w:asciiTheme="majorHAnsi" w:eastAsia="Times New Roman" w:hAnsiTheme="majorHAnsi" w:cs="Arial"/>
                <w:b w:val="0"/>
                <w:bCs w:val="0"/>
                <w:sz w:val="18"/>
                <w:szCs w:val="18"/>
                <w:lang w:eastAsia="sl-SI"/>
              </w:rPr>
              <w:t>,</w:t>
            </w:r>
            <w:r w:rsidR="00C02B3F" w:rsidRPr="00C02B3F">
              <w:rPr>
                <w:rFonts w:asciiTheme="majorHAnsi" w:eastAsia="Times New Roman" w:hAnsiTheme="majorHAnsi" w:cs="Arial"/>
                <w:b w:val="0"/>
                <w:bCs w:val="0"/>
                <w:sz w:val="18"/>
                <w:szCs w:val="18"/>
                <w:lang w:eastAsia="sl-SI"/>
              </w:rPr>
              <w:t xml:space="preserve"> mediana</w:t>
            </w:r>
          </w:p>
        </w:tc>
        <w:tc>
          <w:tcPr>
            <w:tcW w:w="1420" w:type="dxa"/>
            <w:noWrap/>
            <w:vAlign w:val="center"/>
            <w:hideMark/>
          </w:tcPr>
          <w:p w14:paraId="077DFD85" w14:textId="77777777" w:rsidR="00C02B3F" w:rsidRPr="00EE3A10" w:rsidRDefault="00C02B3F"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b w:val="0"/>
                <w:bCs w:val="0"/>
                <w:sz w:val="18"/>
                <w:szCs w:val="18"/>
                <w:lang w:eastAsia="sl-SI"/>
              </w:rPr>
              <w:t>Slovenija</w:t>
            </w:r>
          </w:p>
        </w:tc>
      </w:tr>
      <w:tr w:rsidR="0023071D" w:rsidRPr="00EE3A10" w14:paraId="7B275D33"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8BCC71A"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Bruto marža (DV/prih.)</w:t>
            </w:r>
          </w:p>
        </w:tc>
        <w:tc>
          <w:tcPr>
            <w:tcW w:w="1418" w:type="dxa"/>
            <w:noWrap/>
            <w:hideMark/>
          </w:tcPr>
          <w:p w14:paraId="7D2F28B4"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15396FC3"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27,0%</w:t>
            </w:r>
          </w:p>
        </w:tc>
        <w:tc>
          <w:tcPr>
            <w:tcW w:w="1842" w:type="dxa"/>
            <w:noWrap/>
            <w:vAlign w:val="bottom"/>
          </w:tcPr>
          <w:p w14:paraId="578154BE"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25,0%</w:t>
            </w:r>
          </w:p>
        </w:tc>
        <w:tc>
          <w:tcPr>
            <w:tcW w:w="1420" w:type="dxa"/>
            <w:noWrap/>
            <w:vAlign w:val="bottom"/>
          </w:tcPr>
          <w:p w14:paraId="179CF31D"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29,8%</w:t>
            </w:r>
          </w:p>
        </w:tc>
      </w:tr>
      <w:tr w:rsidR="0023071D" w:rsidRPr="00EE3A10" w14:paraId="1AF35749"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302F5A2D"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Bruto marža (DV/prih.)</w:t>
            </w:r>
          </w:p>
        </w:tc>
        <w:tc>
          <w:tcPr>
            <w:tcW w:w="1418" w:type="dxa"/>
            <w:noWrap/>
            <w:hideMark/>
          </w:tcPr>
          <w:p w14:paraId="23A33283"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46D58DFA"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29,4%</w:t>
            </w:r>
          </w:p>
        </w:tc>
        <w:tc>
          <w:tcPr>
            <w:tcW w:w="1842" w:type="dxa"/>
            <w:noWrap/>
            <w:vAlign w:val="bottom"/>
          </w:tcPr>
          <w:p w14:paraId="09B4871E"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25,2%</w:t>
            </w:r>
          </w:p>
        </w:tc>
        <w:tc>
          <w:tcPr>
            <w:tcW w:w="1420" w:type="dxa"/>
            <w:noWrap/>
            <w:vAlign w:val="bottom"/>
          </w:tcPr>
          <w:p w14:paraId="6DB02E76"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29,1%</w:t>
            </w:r>
          </w:p>
        </w:tc>
      </w:tr>
      <w:tr w:rsidR="0023071D" w:rsidRPr="00EE3A10" w14:paraId="3B8CAD7E"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4684D16"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Investicije/prihodkih</w:t>
            </w:r>
          </w:p>
        </w:tc>
        <w:tc>
          <w:tcPr>
            <w:tcW w:w="1418" w:type="dxa"/>
            <w:noWrap/>
            <w:hideMark/>
          </w:tcPr>
          <w:p w14:paraId="3061F5FF"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39270989"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4,5%</w:t>
            </w:r>
          </w:p>
        </w:tc>
        <w:tc>
          <w:tcPr>
            <w:tcW w:w="1842" w:type="dxa"/>
            <w:noWrap/>
            <w:vAlign w:val="bottom"/>
          </w:tcPr>
          <w:p w14:paraId="29A594B4"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5,5%</w:t>
            </w:r>
          </w:p>
        </w:tc>
        <w:tc>
          <w:tcPr>
            <w:tcW w:w="1420" w:type="dxa"/>
            <w:noWrap/>
            <w:vAlign w:val="bottom"/>
          </w:tcPr>
          <w:p w14:paraId="50467F40"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6,9%</w:t>
            </w:r>
          </w:p>
        </w:tc>
      </w:tr>
      <w:tr w:rsidR="0023071D" w:rsidRPr="00EE3A10" w14:paraId="754DA2DA"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1EE87C30"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Investicije/prihodkih</w:t>
            </w:r>
          </w:p>
        </w:tc>
        <w:tc>
          <w:tcPr>
            <w:tcW w:w="1418" w:type="dxa"/>
            <w:noWrap/>
            <w:hideMark/>
          </w:tcPr>
          <w:p w14:paraId="57F106DE"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54A14CC9"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4,5%</w:t>
            </w:r>
          </w:p>
        </w:tc>
        <w:tc>
          <w:tcPr>
            <w:tcW w:w="1842" w:type="dxa"/>
            <w:noWrap/>
            <w:vAlign w:val="bottom"/>
          </w:tcPr>
          <w:p w14:paraId="4B0BA890"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5,9%</w:t>
            </w:r>
          </w:p>
        </w:tc>
        <w:tc>
          <w:tcPr>
            <w:tcW w:w="1420" w:type="dxa"/>
            <w:noWrap/>
            <w:vAlign w:val="bottom"/>
          </w:tcPr>
          <w:p w14:paraId="194E8B95"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5,7%</w:t>
            </w:r>
          </w:p>
        </w:tc>
      </w:tr>
      <w:tr w:rsidR="0023071D" w:rsidRPr="00EE3A10" w14:paraId="5879EEFB"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E6D693A"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EBITDA marža</w:t>
            </w:r>
          </w:p>
        </w:tc>
        <w:tc>
          <w:tcPr>
            <w:tcW w:w="1418" w:type="dxa"/>
            <w:noWrap/>
            <w:hideMark/>
          </w:tcPr>
          <w:p w14:paraId="066A9C6F"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42FFF0F1"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9,9%</w:t>
            </w:r>
          </w:p>
        </w:tc>
        <w:tc>
          <w:tcPr>
            <w:tcW w:w="1842" w:type="dxa"/>
            <w:noWrap/>
            <w:vAlign w:val="bottom"/>
          </w:tcPr>
          <w:p w14:paraId="6FCB243D"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9,7%</w:t>
            </w:r>
          </w:p>
        </w:tc>
        <w:tc>
          <w:tcPr>
            <w:tcW w:w="1420" w:type="dxa"/>
            <w:noWrap/>
            <w:vAlign w:val="bottom"/>
          </w:tcPr>
          <w:p w14:paraId="5F3A3E6E"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10,6%</w:t>
            </w:r>
          </w:p>
        </w:tc>
      </w:tr>
      <w:tr w:rsidR="0023071D" w:rsidRPr="00EE3A10" w14:paraId="749136CE"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58D1F809"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EBITDA marža</w:t>
            </w:r>
          </w:p>
        </w:tc>
        <w:tc>
          <w:tcPr>
            <w:tcW w:w="1418" w:type="dxa"/>
            <w:noWrap/>
            <w:hideMark/>
          </w:tcPr>
          <w:p w14:paraId="0A255DD8"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568DE283"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8,8%</w:t>
            </w:r>
          </w:p>
        </w:tc>
        <w:tc>
          <w:tcPr>
            <w:tcW w:w="1842" w:type="dxa"/>
            <w:noWrap/>
            <w:vAlign w:val="bottom"/>
          </w:tcPr>
          <w:p w14:paraId="1C379A87"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11,5%</w:t>
            </w:r>
          </w:p>
        </w:tc>
        <w:tc>
          <w:tcPr>
            <w:tcW w:w="1420" w:type="dxa"/>
            <w:noWrap/>
            <w:vAlign w:val="bottom"/>
          </w:tcPr>
          <w:p w14:paraId="1C2FE5D7"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7,6%</w:t>
            </w:r>
          </w:p>
        </w:tc>
      </w:tr>
      <w:tr w:rsidR="0023071D" w:rsidRPr="00EE3A10" w14:paraId="7DB6FF2D"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1F0648A"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Strošek dela v DV</w:t>
            </w:r>
          </w:p>
        </w:tc>
        <w:tc>
          <w:tcPr>
            <w:tcW w:w="1418" w:type="dxa"/>
            <w:noWrap/>
            <w:hideMark/>
          </w:tcPr>
          <w:p w14:paraId="7E4DC497"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087BD97C"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64,3%</w:t>
            </w:r>
          </w:p>
        </w:tc>
        <w:tc>
          <w:tcPr>
            <w:tcW w:w="1842" w:type="dxa"/>
            <w:noWrap/>
            <w:vAlign w:val="bottom"/>
          </w:tcPr>
          <w:p w14:paraId="12532192"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60,1%</w:t>
            </w:r>
          </w:p>
        </w:tc>
        <w:tc>
          <w:tcPr>
            <w:tcW w:w="1420" w:type="dxa"/>
            <w:noWrap/>
            <w:vAlign w:val="bottom"/>
          </w:tcPr>
          <w:p w14:paraId="1A3BA85F"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64,3%</w:t>
            </w:r>
          </w:p>
        </w:tc>
      </w:tr>
      <w:tr w:rsidR="0023071D" w:rsidRPr="00EE3A10" w14:paraId="353C47C3"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70686A2A"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Strošek dela v DV</w:t>
            </w:r>
          </w:p>
        </w:tc>
        <w:tc>
          <w:tcPr>
            <w:tcW w:w="1418" w:type="dxa"/>
            <w:noWrap/>
            <w:hideMark/>
          </w:tcPr>
          <w:p w14:paraId="70BDC12B" w14:textId="77777777" w:rsidR="0023071D" w:rsidRPr="00C02B3F"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Ø  2008-2017</w:t>
            </w:r>
          </w:p>
        </w:tc>
        <w:tc>
          <w:tcPr>
            <w:tcW w:w="1701" w:type="dxa"/>
            <w:noWrap/>
            <w:vAlign w:val="bottom"/>
          </w:tcPr>
          <w:p w14:paraId="3AA88ED3"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53,8%</w:t>
            </w:r>
          </w:p>
        </w:tc>
        <w:tc>
          <w:tcPr>
            <w:tcW w:w="1842" w:type="dxa"/>
            <w:noWrap/>
            <w:vAlign w:val="bottom"/>
          </w:tcPr>
          <w:p w14:paraId="6F7C0666"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54,5%</w:t>
            </w:r>
          </w:p>
        </w:tc>
        <w:tc>
          <w:tcPr>
            <w:tcW w:w="1420" w:type="dxa"/>
            <w:noWrap/>
            <w:vAlign w:val="bottom"/>
          </w:tcPr>
          <w:p w14:paraId="040E576B"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73,9%</w:t>
            </w:r>
          </w:p>
        </w:tc>
      </w:tr>
      <w:tr w:rsidR="0023071D" w:rsidRPr="00EE3A10" w14:paraId="3210CB46"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6499DDE7"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DV/zaposlenega</w:t>
            </w:r>
          </w:p>
        </w:tc>
        <w:tc>
          <w:tcPr>
            <w:tcW w:w="1418" w:type="dxa"/>
            <w:noWrap/>
            <w:hideMark/>
          </w:tcPr>
          <w:p w14:paraId="7DE2CD7E" w14:textId="77777777" w:rsidR="0023071D" w:rsidRPr="00C02B3F"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2017</w:t>
            </w:r>
          </w:p>
        </w:tc>
        <w:tc>
          <w:tcPr>
            <w:tcW w:w="1701" w:type="dxa"/>
            <w:noWrap/>
            <w:vAlign w:val="bottom"/>
          </w:tcPr>
          <w:p w14:paraId="00F24E2B"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29.283</w:t>
            </w:r>
          </w:p>
        </w:tc>
        <w:tc>
          <w:tcPr>
            <w:tcW w:w="1842" w:type="dxa"/>
            <w:noWrap/>
            <w:vAlign w:val="bottom"/>
          </w:tcPr>
          <w:p w14:paraId="6AAD709B"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18.687</w:t>
            </w:r>
          </w:p>
        </w:tc>
        <w:tc>
          <w:tcPr>
            <w:tcW w:w="1420" w:type="dxa"/>
            <w:noWrap/>
            <w:vAlign w:val="bottom"/>
          </w:tcPr>
          <w:p w14:paraId="1AC5D1DD"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31.379</w:t>
            </w:r>
          </w:p>
        </w:tc>
      </w:tr>
      <w:tr w:rsidR="0023071D" w:rsidRPr="00EE3A10" w14:paraId="745232D2"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49531AEA"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DV/zaposlenega</w:t>
            </w:r>
          </w:p>
        </w:tc>
        <w:tc>
          <w:tcPr>
            <w:tcW w:w="1418" w:type="dxa"/>
            <w:noWrap/>
            <w:hideMark/>
          </w:tcPr>
          <w:p w14:paraId="143C5EB9" w14:textId="77777777" w:rsidR="0023071D" w:rsidRPr="00C02B3F"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Ø  2008-2017</w:t>
            </w:r>
          </w:p>
        </w:tc>
        <w:tc>
          <w:tcPr>
            <w:tcW w:w="1701" w:type="dxa"/>
            <w:noWrap/>
            <w:vAlign w:val="bottom"/>
          </w:tcPr>
          <w:p w14:paraId="6B0A9F45"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31.509</w:t>
            </w:r>
          </w:p>
        </w:tc>
        <w:tc>
          <w:tcPr>
            <w:tcW w:w="1842" w:type="dxa"/>
            <w:noWrap/>
            <w:vAlign w:val="bottom"/>
          </w:tcPr>
          <w:p w14:paraId="118CFF86"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19.179</w:t>
            </w:r>
          </w:p>
        </w:tc>
        <w:tc>
          <w:tcPr>
            <w:tcW w:w="1420" w:type="dxa"/>
            <w:noWrap/>
            <w:vAlign w:val="bottom"/>
          </w:tcPr>
          <w:p w14:paraId="6933690E"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23.213</w:t>
            </w:r>
          </w:p>
        </w:tc>
      </w:tr>
      <w:tr w:rsidR="0023071D" w:rsidRPr="00EE3A10" w14:paraId="26233D36"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1074A258"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Prihodki/zaposlenega</w:t>
            </w:r>
          </w:p>
        </w:tc>
        <w:tc>
          <w:tcPr>
            <w:tcW w:w="1418" w:type="dxa"/>
            <w:noWrap/>
            <w:hideMark/>
          </w:tcPr>
          <w:p w14:paraId="6584CDC7" w14:textId="77777777" w:rsidR="0023071D" w:rsidRPr="00C02B3F"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2017</w:t>
            </w:r>
          </w:p>
        </w:tc>
        <w:tc>
          <w:tcPr>
            <w:tcW w:w="1701" w:type="dxa"/>
            <w:noWrap/>
            <w:vAlign w:val="bottom"/>
          </w:tcPr>
          <w:p w14:paraId="32D733E5"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105.127</w:t>
            </w:r>
          </w:p>
        </w:tc>
        <w:tc>
          <w:tcPr>
            <w:tcW w:w="1842" w:type="dxa"/>
            <w:noWrap/>
            <w:vAlign w:val="bottom"/>
          </w:tcPr>
          <w:p w14:paraId="04EEA18D"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78.268</w:t>
            </w:r>
          </w:p>
        </w:tc>
        <w:tc>
          <w:tcPr>
            <w:tcW w:w="1420" w:type="dxa"/>
            <w:noWrap/>
            <w:vAlign w:val="bottom"/>
          </w:tcPr>
          <w:p w14:paraId="51B84B07"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105.127</w:t>
            </w:r>
          </w:p>
        </w:tc>
      </w:tr>
      <w:tr w:rsidR="0023071D" w:rsidRPr="00EE3A10" w14:paraId="5B51FFEF"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30F00926"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Prihodki/zaposlenega</w:t>
            </w:r>
          </w:p>
        </w:tc>
        <w:tc>
          <w:tcPr>
            <w:tcW w:w="1418" w:type="dxa"/>
            <w:noWrap/>
            <w:hideMark/>
          </w:tcPr>
          <w:p w14:paraId="039BCA0E"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0AA326FF"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107.325</w:t>
            </w:r>
          </w:p>
        </w:tc>
        <w:tc>
          <w:tcPr>
            <w:tcW w:w="1842" w:type="dxa"/>
            <w:noWrap/>
            <w:vAlign w:val="bottom"/>
          </w:tcPr>
          <w:p w14:paraId="301BC90C"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76.121</w:t>
            </w:r>
          </w:p>
        </w:tc>
        <w:tc>
          <w:tcPr>
            <w:tcW w:w="1420" w:type="dxa"/>
            <w:noWrap/>
            <w:vAlign w:val="bottom"/>
          </w:tcPr>
          <w:p w14:paraId="34FCA4FB"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79.670</w:t>
            </w:r>
          </w:p>
        </w:tc>
      </w:tr>
    </w:tbl>
    <w:p w14:paraId="73D449FD" w14:textId="77777777" w:rsidR="003372D7" w:rsidRPr="00E205E2" w:rsidRDefault="003372D7" w:rsidP="003372D7">
      <w:pPr>
        <w:spacing w:before="20"/>
        <w:jc w:val="both"/>
        <w:rPr>
          <w:rFonts w:cstheme="minorHAnsi"/>
          <w:i/>
          <w:iCs/>
          <w:sz w:val="18"/>
          <w:szCs w:val="18"/>
        </w:rPr>
      </w:pPr>
      <w:r w:rsidRPr="00E205E2">
        <w:rPr>
          <w:rFonts w:cstheme="minorHAnsi"/>
          <w:i/>
          <w:iCs/>
          <w:sz w:val="18"/>
          <w:szCs w:val="18"/>
        </w:rPr>
        <w:t xml:space="preserve">Vir: </w:t>
      </w:r>
      <w:r>
        <w:rPr>
          <w:rFonts w:cstheme="minorHAnsi"/>
          <w:i/>
          <w:iCs/>
          <w:sz w:val="18"/>
          <w:szCs w:val="18"/>
        </w:rPr>
        <w:t>Eurostat</w:t>
      </w:r>
      <w:r w:rsidRPr="00E205E2">
        <w:rPr>
          <w:rFonts w:cstheme="minorHAnsi"/>
          <w:i/>
          <w:iCs/>
          <w:sz w:val="18"/>
          <w:szCs w:val="18"/>
        </w:rPr>
        <w:t>, strukturna statistika podjetij, preračuni Analitika GZS</w:t>
      </w:r>
    </w:p>
    <w:p w14:paraId="32276AC5" w14:textId="689A5330" w:rsidR="00CD06F4" w:rsidRPr="00405849" w:rsidRDefault="009012F8" w:rsidP="00405849">
      <w:pPr>
        <w:jc w:val="both"/>
        <w:rPr>
          <w:rFonts w:cstheme="minorHAnsi"/>
        </w:rPr>
      </w:pPr>
      <w:r>
        <w:rPr>
          <w:rFonts w:cstheme="minorHAnsi"/>
        </w:rPr>
        <w:t>V</w:t>
      </w:r>
      <w:r w:rsidRPr="00405849">
        <w:rPr>
          <w:rFonts w:cstheme="minorHAnsi"/>
        </w:rPr>
        <w:t xml:space="preserve"> papirni industriji je </w:t>
      </w:r>
      <w:r w:rsidR="00CD06F4" w:rsidRPr="00405849">
        <w:rPr>
          <w:rFonts w:cstheme="minorHAnsi"/>
        </w:rPr>
        <w:t xml:space="preserve">Slovenija </w:t>
      </w:r>
      <w:r w:rsidRPr="00405849">
        <w:rPr>
          <w:rFonts w:cstheme="minorHAnsi"/>
        </w:rPr>
        <w:t xml:space="preserve">v 2017 </w:t>
      </w:r>
      <w:r w:rsidR="00CD06F4" w:rsidRPr="00405849">
        <w:rPr>
          <w:rFonts w:cstheme="minorHAnsi"/>
        </w:rPr>
        <w:t xml:space="preserve">ustvarila višjo </w:t>
      </w:r>
      <w:r w:rsidR="00CD06F4" w:rsidRPr="00405849">
        <w:rPr>
          <w:rFonts w:cstheme="minorHAnsi"/>
          <w:b/>
          <w:bCs/>
        </w:rPr>
        <w:t>dodano vrednost na zaposlenega</w:t>
      </w:r>
      <w:r w:rsidR="00CD06F4" w:rsidRPr="00405849">
        <w:rPr>
          <w:rFonts w:cstheme="minorHAnsi"/>
        </w:rPr>
        <w:t xml:space="preserve"> (40</w:t>
      </w:r>
      <w:r w:rsidR="00FC4BCE">
        <w:rPr>
          <w:rFonts w:cstheme="minorHAnsi"/>
        </w:rPr>
        <w:t>.000</w:t>
      </w:r>
      <w:r w:rsidR="00CD06F4" w:rsidRPr="00405849">
        <w:rPr>
          <w:rFonts w:cstheme="minorHAnsi"/>
        </w:rPr>
        <w:t xml:space="preserve"> EUR)</w:t>
      </w:r>
      <w:r w:rsidR="00FC4BCE">
        <w:rPr>
          <w:rFonts w:cstheme="minorHAnsi"/>
        </w:rPr>
        <w:t>,</w:t>
      </w:r>
      <w:r w:rsidR="00CD06F4" w:rsidRPr="00405849">
        <w:rPr>
          <w:rFonts w:cstheme="minorHAnsi"/>
        </w:rPr>
        <w:t xml:space="preserve"> kot znaša mediana v državah </w:t>
      </w:r>
      <w:r w:rsidR="00DC4FB4">
        <w:rPr>
          <w:rFonts w:cstheme="minorHAnsi"/>
        </w:rPr>
        <w:t>CEE-4</w:t>
      </w:r>
      <w:r w:rsidR="00CD06F4" w:rsidRPr="00405849">
        <w:rPr>
          <w:rFonts w:cstheme="minorHAnsi"/>
        </w:rPr>
        <w:t xml:space="preserve"> (35</w:t>
      </w:r>
      <w:r w:rsidR="00FC4BCE">
        <w:rPr>
          <w:rFonts w:cstheme="minorHAnsi"/>
        </w:rPr>
        <w:t>.000</w:t>
      </w:r>
      <w:r w:rsidR="00CD06F4" w:rsidRPr="00405849">
        <w:rPr>
          <w:rFonts w:cstheme="minorHAnsi"/>
        </w:rPr>
        <w:t xml:space="preserve"> EUR) ter nižjo</w:t>
      </w:r>
      <w:r w:rsidR="00FC4BCE">
        <w:rPr>
          <w:rFonts w:cstheme="minorHAnsi"/>
        </w:rPr>
        <w:t>,</w:t>
      </w:r>
      <w:r w:rsidR="00CD06F4" w:rsidRPr="00405849">
        <w:rPr>
          <w:rFonts w:cstheme="minorHAnsi"/>
        </w:rPr>
        <w:t xml:space="preserve"> kot znaša mediana v državah EU-27 (42</w:t>
      </w:r>
      <w:r w:rsidR="00FC4BCE">
        <w:rPr>
          <w:rFonts w:cstheme="minorHAnsi"/>
        </w:rPr>
        <w:t>.000</w:t>
      </w:r>
      <w:r w:rsidR="00CD06F4" w:rsidRPr="00405849">
        <w:rPr>
          <w:rFonts w:cstheme="minorHAnsi"/>
        </w:rPr>
        <w:t xml:space="preserve"> EUR). V </w:t>
      </w:r>
      <w:r w:rsidR="008954A4">
        <w:rPr>
          <w:rFonts w:cstheme="minorHAnsi"/>
        </w:rPr>
        <w:t>o</w:t>
      </w:r>
      <w:r w:rsidR="00F07BBC" w:rsidRPr="00405849">
        <w:rPr>
          <w:rFonts w:cstheme="minorHAnsi"/>
        </w:rPr>
        <w:t>bdobju</w:t>
      </w:r>
      <w:r w:rsidR="00CD06F4" w:rsidRPr="00405849">
        <w:rPr>
          <w:rFonts w:cstheme="minorHAnsi"/>
        </w:rPr>
        <w:t xml:space="preserve"> 2008-2017 je </w:t>
      </w:r>
      <w:r w:rsidR="00CD06F4" w:rsidRPr="00405849">
        <w:rPr>
          <w:rFonts w:cstheme="minorHAnsi"/>
          <w:b/>
          <w:bCs/>
        </w:rPr>
        <w:t>dodana vrednost na zaposlenega</w:t>
      </w:r>
      <w:r w:rsidR="00CD06F4" w:rsidRPr="00405849">
        <w:rPr>
          <w:rFonts w:cstheme="minorHAnsi"/>
        </w:rPr>
        <w:t xml:space="preserve"> v papirni industriji v Sloveniji višja od mediane </w:t>
      </w:r>
      <w:r w:rsidR="00DC4FB4">
        <w:rPr>
          <w:rFonts w:cstheme="minorHAnsi"/>
        </w:rPr>
        <w:t>CEE-4</w:t>
      </w:r>
      <w:r w:rsidR="00CD06F4" w:rsidRPr="00405849">
        <w:rPr>
          <w:rFonts w:cstheme="minorHAnsi"/>
        </w:rPr>
        <w:t xml:space="preserve"> in nižja od mediane EU-27.</w:t>
      </w:r>
    </w:p>
    <w:tbl>
      <w:tblPr>
        <w:tblStyle w:val="Tabelamrea4poudarek51"/>
        <w:tblW w:w="8786" w:type="dxa"/>
        <w:tblLook w:val="04A0" w:firstRow="1" w:lastRow="0" w:firstColumn="1" w:lastColumn="0" w:noHBand="0" w:noVBand="1"/>
      </w:tblPr>
      <w:tblGrid>
        <w:gridCol w:w="2405"/>
        <w:gridCol w:w="1418"/>
        <w:gridCol w:w="1701"/>
        <w:gridCol w:w="1842"/>
        <w:gridCol w:w="1420"/>
      </w:tblGrid>
      <w:tr w:rsidR="00C02B3F" w:rsidRPr="00EE3A10" w14:paraId="57B82C06" w14:textId="77777777" w:rsidTr="00C02B3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2D37C4C9" w14:textId="77777777" w:rsidR="00C02B3F" w:rsidRPr="00EE3A10" w:rsidRDefault="00C02B3F" w:rsidP="00C02B3F">
            <w:pPr>
              <w:spacing w:before="0"/>
              <w:rPr>
                <w:rFonts w:asciiTheme="majorHAnsi" w:eastAsia="Times New Roman" w:hAnsiTheme="majorHAnsi" w:cs="Times New Roman"/>
                <w:sz w:val="18"/>
                <w:szCs w:val="18"/>
                <w:lang w:eastAsia="sl-SI"/>
              </w:rPr>
            </w:pPr>
            <w:r w:rsidRPr="00EC51AD">
              <w:rPr>
                <w:rFonts w:asciiTheme="majorHAnsi" w:eastAsia="Times New Roman" w:hAnsiTheme="majorHAnsi" w:cs="Times New Roman"/>
                <w:sz w:val="18"/>
                <w:szCs w:val="18"/>
                <w:lang w:eastAsia="sl-SI"/>
              </w:rPr>
              <w:t>Papirna industrija</w:t>
            </w:r>
          </w:p>
        </w:tc>
        <w:tc>
          <w:tcPr>
            <w:tcW w:w="1418" w:type="dxa"/>
            <w:noWrap/>
            <w:hideMark/>
          </w:tcPr>
          <w:p w14:paraId="4F8515DB" w14:textId="77777777" w:rsidR="00C02B3F" w:rsidRPr="00EE3A10" w:rsidRDefault="00C02B3F" w:rsidP="00C02B3F">
            <w:pPr>
              <w:spacing w:before="0"/>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sl-SI"/>
              </w:rPr>
            </w:pPr>
          </w:p>
        </w:tc>
        <w:tc>
          <w:tcPr>
            <w:tcW w:w="1701" w:type="dxa"/>
            <w:noWrap/>
            <w:vAlign w:val="center"/>
            <w:hideMark/>
          </w:tcPr>
          <w:p w14:paraId="3FA44D4C" w14:textId="77777777" w:rsidR="00C02B3F" w:rsidRPr="00EE3A10" w:rsidRDefault="00C02B3F"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b w:val="0"/>
                <w:bCs w:val="0"/>
                <w:sz w:val="18"/>
                <w:szCs w:val="18"/>
                <w:lang w:eastAsia="sl-SI"/>
              </w:rPr>
              <w:t>EU-27</w:t>
            </w:r>
            <w:r>
              <w:rPr>
                <w:rFonts w:asciiTheme="majorHAnsi" w:eastAsia="Times New Roman" w:hAnsiTheme="majorHAnsi" w:cs="Arial"/>
                <w:b w:val="0"/>
                <w:bCs w:val="0"/>
                <w:sz w:val="18"/>
                <w:szCs w:val="18"/>
                <w:lang w:eastAsia="sl-SI"/>
              </w:rPr>
              <w:t>,</w:t>
            </w:r>
            <w:r w:rsidRPr="00C02B3F">
              <w:rPr>
                <w:rFonts w:asciiTheme="majorHAnsi" w:eastAsia="Times New Roman" w:hAnsiTheme="majorHAnsi" w:cs="Arial"/>
                <w:b w:val="0"/>
                <w:bCs w:val="0"/>
                <w:sz w:val="18"/>
                <w:szCs w:val="18"/>
                <w:lang w:eastAsia="sl-SI"/>
              </w:rPr>
              <w:t xml:space="preserve"> mediana</w:t>
            </w:r>
          </w:p>
        </w:tc>
        <w:tc>
          <w:tcPr>
            <w:tcW w:w="1842" w:type="dxa"/>
            <w:noWrap/>
            <w:vAlign w:val="center"/>
            <w:hideMark/>
          </w:tcPr>
          <w:p w14:paraId="1D36352D" w14:textId="77777777" w:rsidR="00C02B3F" w:rsidRPr="00EE3A10" w:rsidRDefault="00DC4FB4"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Pr>
                <w:rFonts w:asciiTheme="majorHAnsi" w:eastAsia="Times New Roman" w:hAnsiTheme="majorHAnsi" w:cs="Arial"/>
                <w:b w:val="0"/>
                <w:bCs w:val="0"/>
                <w:sz w:val="18"/>
                <w:szCs w:val="18"/>
                <w:lang w:eastAsia="sl-SI"/>
              </w:rPr>
              <w:t>CEE-4</w:t>
            </w:r>
            <w:r w:rsidR="00C02B3F">
              <w:rPr>
                <w:rFonts w:asciiTheme="majorHAnsi" w:eastAsia="Times New Roman" w:hAnsiTheme="majorHAnsi" w:cs="Arial"/>
                <w:b w:val="0"/>
                <w:bCs w:val="0"/>
                <w:sz w:val="18"/>
                <w:szCs w:val="18"/>
                <w:lang w:eastAsia="sl-SI"/>
              </w:rPr>
              <w:t>,</w:t>
            </w:r>
            <w:r w:rsidR="00C02B3F" w:rsidRPr="00C02B3F">
              <w:rPr>
                <w:rFonts w:asciiTheme="majorHAnsi" w:eastAsia="Times New Roman" w:hAnsiTheme="majorHAnsi" w:cs="Arial"/>
                <w:b w:val="0"/>
                <w:bCs w:val="0"/>
                <w:sz w:val="18"/>
                <w:szCs w:val="18"/>
                <w:lang w:eastAsia="sl-SI"/>
              </w:rPr>
              <w:t xml:space="preserve"> mediana</w:t>
            </w:r>
          </w:p>
        </w:tc>
        <w:tc>
          <w:tcPr>
            <w:tcW w:w="1420" w:type="dxa"/>
            <w:noWrap/>
            <w:vAlign w:val="center"/>
            <w:hideMark/>
          </w:tcPr>
          <w:p w14:paraId="43A2CDA6" w14:textId="77777777" w:rsidR="00C02B3F" w:rsidRPr="00EE3A10" w:rsidRDefault="00C02B3F"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b w:val="0"/>
                <w:bCs w:val="0"/>
                <w:sz w:val="18"/>
                <w:szCs w:val="18"/>
                <w:lang w:eastAsia="sl-SI"/>
              </w:rPr>
              <w:t>Slovenija</w:t>
            </w:r>
          </w:p>
        </w:tc>
      </w:tr>
      <w:tr w:rsidR="0023071D" w:rsidRPr="00EE3A10" w14:paraId="47E3C82F"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F7DD066"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Bruto marža (DV/prih.)</w:t>
            </w:r>
          </w:p>
        </w:tc>
        <w:tc>
          <w:tcPr>
            <w:tcW w:w="1418" w:type="dxa"/>
            <w:noWrap/>
            <w:hideMark/>
          </w:tcPr>
          <w:p w14:paraId="28B0BA50"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1EE86010"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28,0%</w:t>
            </w:r>
          </w:p>
        </w:tc>
        <w:tc>
          <w:tcPr>
            <w:tcW w:w="1842" w:type="dxa"/>
            <w:noWrap/>
            <w:vAlign w:val="bottom"/>
          </w:tcPr>
          <w:p w14:paraId="53BA06D9"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27,0%</w:t>
            </w:r>
          </w:p>
        </w:tc>
        <w:tc>
          <w:tcPr>
            <w:tcW w:w="1420" w:type="dxa"/>
            <w:noWrap/>
            <w:vAlign w:val="bottom"/>
          </w:tcPr>
          <w:p w14:paraId="22A5A626"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25,4%</w:t>
            </w:r>
          </w:p>
        </w:tc>
      </w:tr>
      <w:tr w:rsidR="0023071D" w:rsidRPr="00EE3A10" w14:paraId="5ABF7572"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08839EC0"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Bruto marža (DV/prih.)</w:t>
            </w:r>
          </w:p>
        </w:tc>
        <w:tc>
          <w:tcPr>
            <w:tcW w:w="1418" w:type="dxa"/>
            <w:noWrap/>
            <w:hideMark/>
          </w:tcPr>
          <w:p w14:paraId="3C6DDFE7"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5E336494"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29,4%</w:t>
            </w:r>
          </w:p>
        </w:tc>
        <w:tc>
          <w:tcPr>
            <w:tcW w:w="1842" w:type="dxa"/>
            <w:noWrap/>
            <w:vAlign w:val="bottom"/>
          </w:tcPr>
          <w:p w14:paraId="74A65C6D"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25,4%</w:t>
            </w:r>
          </w:p>
        </w:tc>
        <w:tc>
          <w:tcPr>
            <w:tcW w:w="1420" w:type="dxa"/>
            <w:noWrap/>
            <w:vAlign w:val="bottom"/>
          </w:tcPr>
          <w:p w14:paraId="2D34B98F"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25,6%</w:t>
            </w:r>
          </w:p>
        </w:tc>
      </w:tr>
      <w:tr w:rsidR="0023071D" w:rsidRPr="00EE3A10" w14:paraId="5037190A"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E096FBA"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Investicije/prihodkih</w:t>
            </w:r>
          </w:p>
        </w:tc>
        <w:tc>
          <w:tcPr>
            <w:tcW w:w="1418" w:type="dxa"/>
            <w:noWrap/>
            <w:hideMark/>
          </w:tcPr>
          <w:p w14:paraId="4B102031"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44AFC7C0"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6,9%</w:t>
            </w:r>
          </w:p>
        </w:tc>
        <w:tc>
          <w:tcPr>
            <w:tcW w:w="1842" w:type="dxa"/>
            <w:noWrap/>
            <w:vAlign w:val="bottom"/>
          </w:tcPr>
          <w:p w14:paraId="268EE353"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8,4%</w:t>
            </w:r>
          </w:p>
        </w:tc>
        <w:tc>
          <w:tcPr>
            <w:tcW w:w="1420" w:type="dxa"/>
            <w:noWrap/>
            <w:vAlign w:val="bottom"/>
          </w:tcPr>
          <w:p w14:paraId="52B3A112"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4,2%</w:t>
            </w:r>
          </w:p>
        </w:tc>
      </w:tr>
      <w:tr w:rsidR="0023071D" w:rsidRPr="00EE3A10" w14:paraId="66C04367"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6CC864E1"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Investicije/prihodkih</w:t>
            </w:r>
          </w:p>
        </w:tc>
        <w:tc>
          <w:tcPr>
            <w:tcW w:w="1418" w:type="dxa"/>
            <w:noWrap/>
            <w:hideMark/>
          </w:tcPr>
          <w:p w14:paraId="5ED2FA2E"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5ED4AD05"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5,8%</w:t>
            </w:r>
          </w:p>
        </w:tc>
        <w:tc>
          <w:tcPr>
            <w:tcW w:w="1842" w:type="dxa"/>
            <w:noWrap/>
            <w:vAlign w:val="bottom"/>
          </w:tcPr>
          <w:p w14:paraId="1FFE91C1"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7,6%</w:t>
            </w:r>
          </w:p>
        </w:tc>
        <w:tc>
          <w:tcPr>
            <w:tcW w:w="1420" w:type="dxa"/>
            <w:noWrap/>
            <w:vAlign w:val="bottom"/>
          </w:tcPr>
          <w:p w14:paraId="042A5309"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5,4%</w:t>
            </w:r>
          </w:p>
        </w:tc>
      </w:tr>
      <w:tr w:rsidR="0023071D" w:rsidRPr="00EE3A10" w14:paraId="7767C695"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8E6BD07"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EBITDA marža</w:t>
            </w:r>
          </w:p>
        </w:tc>
        <w:tc>
          <w:tcPr>
            <w:tcW w:w="1418" w:type="dxa"/>
            <w:noWrap/>
            <w:hideMark/>
          </w:tcPr>
          <w:p w14:paraId="46EEA3FD"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4C15F0DC"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12,3%</w:t>
            </w:r>
          </w:p>
        </w:tc>
        <w:tc>
          <w:tcPr>
            <w:tcW w:w="1842" w:type="dxa"/>
            <w:noWrap/>
            <w:vAlign w:val="bottom"/>
          </w:tcPr>
          <w:p w14:paraId="00C5FA7F"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13,4%</w:t>
            </w:r>
          </w:p>
        </w:tc>
        <w:tc>
          <w:tcPr>
            <w:tcW w:w="1420" w:type="dxa"/>
            <w:noWrap/>
            <w:vAlign w:val="bottom"/>
          </w:tcPr>
          <w:p w14:paraId="4627940E"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9,9%</w:t>
            </w:r>
          </w:p>
        </w:tc>
      </w:tr>
      <w:tr w:rsidR="0023071D" w:rsidRPr="00EE3A10" w14:paraId="3FC4525B"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633A4434"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EBITDA marža</w:t>
            </w:r>
          </w:p>
        </w:tc>
        <w:tc>
          <w:tcPr>
            <w:tcW w:w="1418" w:type="dxa"/>
            <w:noWrap/>
            <w:hideMark/>
          </w:tcPr>
          <w:p w14:paraId="4D576551"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2CD6B9E1"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10,7%</w:t>
            </w:r>
          </w:p>
        </w:tc>
        <w:tc>
          <w:tcPr>
            <w:tcW w:w="1842" w:type="dxa"/>
            <w:noWrap/>
            <w:vAlign w:val="bottom"/>
          </w:tcPr>
          <w:p w14:paraId="44A5C454"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12,2%</w:t>
            </w:r>
          </w:p>
        </w:tc>
        <w:tc>
          <w:tcPr>
            <w:tcW w:w="1420" w:type="dxa"/>
            <w:noWrap/>
            <w:vAlign w:val="bottom"/>
          </w:tcPr>
          <w:p w14:paraId="2669B152"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9,6%</w:t>
            </w:r>
          </w:p>
        </w:tc>
      </w:tr>
      <w:tr w:rsidR="0023071D" w:rsidRPr="00EE3A10" w14:paraId="146A9992"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69985668"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Strošek dela v DV</w:t>
            </w:r>
          </w:p>
        </w:tc>
        <w:tc>
          <w:tcPr>
            <w:tcW w:w="1418" w:type="dxa"/>
            <w:noWrap/>
            <w:hideMark/>
          </w:tcPr>
          <w:p w14:paraId="1437BC76" w14:textId="77777777" w:rsidR="0023071D" w:rsidRPr="00C02B3F"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2017</w:t>
            </w:r>
          </w:p>
        </w:tc>
        <w:tc>
          <w:tcPr>
            <w:tcW w:w="1701" w:type="dxa"/>
            <w:noWrap/>
            <w:vAlign w:val="bottom"/>
          </w:tcPr>
          <w:p w14:paraId="3945A4D4"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58,9%</w:t>
            </w:r>
          </w:p>
        </w:tc>
        <w:tc>
          <w:tcPr>
            <w:tcW w:w="1842" w:type="dxa"/>
            <w:noWrap/>
            <w:vAlign w:val="bottom"/>
          </w:tcPr>
          <w:p w14:paraId="3FD12811"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48,4%</w:t>
            </w:r>
          </w:p>
        </w:tc>
        <w:tc>
          <w:tcPr>
            <w:tcW w:w="1420" w:type="dxa"/>
            <w:noWrap/>
            <w:vAlign w:val="bottom"/>
          </w:tcPr>
          <w:p w14:paraId="55FADFDA"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60,9%</w:t>
            </w:r>
          </w:p>
        </w:tc>
      </w:tr>
      <w:tr w:rsidR="0023071D" w:rsidRPr="00EE3A10" w14:paraId="6EF3190C"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589234AE"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Strošek dela v DV</w:t>
            </w:r>
          </w:p>
        </w:tc>
        <w:tc>
          <w:tcPr>
            <w:tcW w:w="1418" w:type="dxa"/>
            <w:noWrap/>
            <w:hideMark/>
          </w:tcPr>
          <w:p w14:paraId="7BFBCB5A" w14:textId="77777777" w:rsidR="0023071D" w:rsidRPr="00C02B3F"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Ø  2008-2017</w:t>
            </w:r>
          </w:p>
        </w:tc>
        <w:tc>
          <w:tcPr>
            <w:tcW w:w="1701" w:type="dxa"/>
            <w:noWrap/>
            <w:vAlign w:val="bottom"/>
          </w:tcPr>
          <w:p w14:paraId="05B53B3A"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61,2%</w:t>
            </w:r>
          </w:p>
        </w:tc>
        <w:tc>
          <w:tcPr>
            <w:tcW w:w="1842" w:type="dxa"/>
            <w:noWrap/>
            <w:vAlign w:val="bottom"/>
          </w:tcPr>
          <w:p w14:paraId="14ADD98B"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52,1%</w:t>
            </w:r>
          </w:p>
        </w:tc>
        <w:tc>
          <w:tcPr>
            <w:tcW w:w="1420" w:type="dxa"/>
            <w:noWrap/>
            <w:vAlign w:val="bottom"/>
          </w:tcPr>
          <w:p w14:paraId="6C7F692F"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62,6%</w:t>
            </w:r>
          </w:p>
        </w:tc>
      </w:tr>
      <w:tr w:rsidR="0023071D" w:rsidRPr="00EE3A10" w14:paraId="08E229C8"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F14CDA1"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DV/zaposlenega</w:t>
            </w:r>
          </w:p>
        </w:tc>
        <w:tc>
          <w:tcPr>
            <w:tcW w:w="1418" w:type="dxa"/>
            <w:noWrap/>
            <w:hideMark/>
          </w:tcPr>
          <w:p w14:paraId="5C218575" w14:textId="77777777" w:rsidR="0023071D" w:rsidRPr="00C02B3F"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2017</w:t>
            </w:r>
          </w:p>
        </w:tc>
        <w:tc>
          <w:tcPr>
            <w:tcW w:w="1701" w:type="dxa"/>
            <w:noWrap/>
            <w:vAlign w:val="bottom"/>
          </w:tcPr>
          <w:p w14:paraId="0D09CFF8"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42.029</w:t>
            </w:r>
          </w:p>
        </w:tc>
        <w:tc>
          <w:tcPr>
            <w:tcW w:w="1842" w:type="dxa"/>
            <w:noWrap/>
            <w:vAlign w:val="bottom"/>
          </w:tcPr>
          <w:p w14:paraId="4C7C173D"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35.043</w:t>
            </w:r>
          </w:p>
        </w:tc>
        <w:tc>
          <w:tcPr>
            <w:tcW w:w="1420" w:type="dxa"/>
            <w:noWrap/>
            <w:vAlign w:val="bottom"/>
          </w:tcPr>
          <w:p w14:paraId="4F945733"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39.719</w:t>
            </w:r>
          </w:p>
        </w:tc>
      </w:tr>
      <w:tr w:rsidR="0023071D" w:rsidRPr="00EE3A10" w14:paraId="1F1A4441"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6769807F"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DV/zaposlenega</w:t>
            </w:r>
          </w:p>
        </w:tc>
        <w:tc>
          <w:tcPr>
            <w:tcW w:w="1418" w:type="dxa"/>
            <w:noWrap/>
            <w:hideMark/>
          </w:tcPr>
          <w:p w14:paraId="557373BC" w14:textId="77777777" w:rsidR="0023071D" w:rsidRPr="00C02B3F"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Ø  2008-2017</w:t>
            </w:r>
          </w:p>
        </w:tc>
        <w:tc>
          <w:tcPr>
            <w:tcW w:w="1701" w:type="dxa"/>
            <w:noWrap/>
            <w:vAlign w:val="bottom"/>
          </w:tcPr>
          <w:p w14:paraId="492BC6D7"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28.623</w:t>
            </w:r>
          </w:p>
        </w:tc>
        <w:tc>
          <w:tcPr>
            <w:tcW w:w="1842" w:type="dxa"/>
            <w:noWrap/>
            <w:vAlign w:val="bottom"/>
          </w:tcPr>
          <w:p w14:paraId="2F781440"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26.303</w:t>
            </w:r>
          </w:p>
        </w:tc>
        <w:tc>
          <w:tcPr>
            <w:tcW w:w="1420" w:type="dxa"/>
            <w:noWrap/>
            <w:vAlign w:val="bottom"/>
          </w:tcPr>
          <w:p w14:paraId="2CADB58A"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34.413</w:t>
            </w:r>
          </w:p>
        </w:tc>
      </w:tr>
      <w:tr w:rsidR="0023071D" w:rsidRPr="00EE3A10" w14:paraId="1BF02ED5"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DB93247"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Prihodki/zaposlenega</w:t>
            </w:r>
          </w:p>
        </w:tc>
        <w:tc>
          <w:tcPr>
            <w:tcW w:w="1418" w:type="dxa"/>
            <w:noWrap/>
            <w:hideMark/>
          </w:tcPr>
          <w:p w14:paraId="54CA9E44"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7C2673B0"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156.277</w:t>
            </w:r>
          </w:p>
        </w:tc>
        <w:tc>
          <w:tcPr>
            <w:tcW w:w="1842" w:type="dxa"/>
            <w:noWrap/>
            <w:vAlign w:val="bottom"/>
          </w:tcPr>
          <w:p w14:paraId="6A3110BC"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130.266</w:t>
            </w:r>
          </w:p>
        </w:tc>
        <w:tc>
          <w:tcPr>
            <w:tcW w:w="1420" w:type="dxa"/>
            <w:noWrap/>
            <w:vAlign w:val="bottom"/>
          </w:tcPr>
          <w:p w14:paraId="775BE86A"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156.277</w:t>
            </w:r>
          </w:p>
        </w:tc>
      </w:tr>
      <w:tr w:rsidR="0023071D" w:rsidRPr="00EE3A10" w14:paraId="43CAE254"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684172D3"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Prihodki/zaposlenega</w:t>
            </w:r>
          </w:p>
        </w:tc>
        <w:tc>
          <w:tcPr>
            <w:tcW w:w="1418" w:type="dxa"/>
            <w:noWrap/>
            <w:hideMark/>
          </w:tcPr>
          <w:p w14:paraId="31DEF380"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51305016"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97.229</w:t>
            </w:r>
          </w:p>
        </w:tc>
        <w:tc>
          <w:tcPr>
            <w:tcW w:w="1842" w:type="dxa"/>
            <w:noWrap/>
            <w:vAlign w:val="bottom"/>
          </w:tcPr>
          <w:p w14:paraId="457D4CFC"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103.389</w:t>
            </w:r>
          </w:p>
        </w:tc>
        <w:tc>
          <w:tcPr>
            <w:tcW w:w="1420" w:type="dxa"/>
            <w:noWrap/>
            <w:vAlign w:val="bottom"/>
          </w:tcPr>
          <w:p w14:paraId="72FF3616"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134.671</w:t>
            </w:r>
          </w:p>
        </w:tc>
      </w:tr>
    </w:tbl>
    <w:p w14:paraId="59597F90" w14:textId="77777777" w:rsidR="003372D7" w:rsidRPr="00E205E2" w:rsidRDefault="003372D7" w:rsidP="003372D7">
      <w:pPr>
        <w:spacing w:before="20"/>
        <w:jc w:val="both"/>
        <w:rPr>
          <w:rFonts w:cstheme="minorHAnsi"/>
          <w:i/>
          <w:iCs/>
          <w:sz w:val="18"/>
          <w:szCs w:val="18"/>
        </w:rPr>
      </w:pPr>
      <w:r w:rsidRPr="00E205E2">
        <w:rPr>
          <w:rFonts w:cstheme="minorHAnsi"/>
          <w:i/>
          <w:iCs/>
          <w:sz w:val="18"/>
          <w:szCs w:val="18"/>
        </w:rPr>
        <w:t xml:space="preserve">Vir: </w:t>
      </w:r>
      <w:r>
        <w:rPr>
          <w:rFonts w:cstheme="minorHAnsi"/>
          <w:i/>
          <w:iCs/>
          <w:sz w:val="18"/>
          <w:szCs w:val="18"/>
        </w:rPr>
        <w:t>Eurostat</w:t>
      </w:r>
      <w:r w:rsidRPr="00E205E2">
        <w:rPr>
          <w:rFonts w:cstheme="minorHAnsi"/>
          <w:i/>
          <w:iCs/>
          <w:sz w:val="18"/>
          <w:szCs w:val="18"/>
        </w:rPr>
        <w:t>, strukturna statistika podjetij, preračuni Analitika GZS</w:t>
      </w:r>
    </w:p>
    <w:p w14:paraId="597FA95A" w14:textId="0EDE1712" w:rsidR="008D3E98" w:rsidRDefault="006E08D8" w:rsidP="00405849">
      <w:pPr>
        <w:jc w:val="both"/>
        <w:rPr>
          <w:sz w:val="16"/>
          <w:szCs w:val="18"/>
        </w:rPr>
      </w:pPr>
      <w:r>
        <w:rPr>
          <w:rFonts w:cstheme="minorHAnsi"/>
        </w:rPr>
        <w:t>V</w:t>
      </w:r>
      <w:r w:rsidRPr="00405849">
        <w:rPr>
          <w:rFonts w:cstheme="minorHAnsi"/>
        </w:rPr>
        <w:t xml:space="preserve"> kemični industriji je </w:t>
      </w:r>
      <w:r w:rsidR="00313ACF" w:rsidRPr="00405849">
        <w:rPr>
          <w:rFonts w:cstheme="minorHAnsi"/>
        </w:rPr>
        <w:t xml:space="preserve">Slovenija </w:t>
      </w:r>
      <w:r w:rsidRPr="00405849">
        <w:rPr>
          <w:rFonts w:cstheme="minorHAnsi"/>
        </w:rPr>
        <w:t xml:space="preserve">v 2017 </w:t>
      </w:r>
      <w:r w:rsidR="00313ACF" w:rsidRPr="00405849">
        <w:rPr>
          <w:rFonts w:cstheme="minorHAnsi"/>
        </w:rPr>
        <w:t xml:space="preserve">ustvarila višjo </w:t>
      </w:r>
      <w:r w:rsidR="00313ACF" w:rsidRPr="00405849">
        <w:rPr>
          <w:rFonts w:cstheme="minorHAnsi"/>
          <w:b/>
          <w:bCs/>
        </w:rPr>
        <w:t>dodano vrednost na zaposlenega</w:t>
      </w:r>
      <w:r w:rsidR="00313ACF" w:rsidRPr="00405849">
        <w:rPr>
          <w:rFonts w:cstheme="minorHAnsi"/>
        </w:rPr>
        <w:t xml:space="preserve"> (80</w:t>
      </w:r>
      <w:r w:rsidR="00FC4BCE">
        <w:rPr>
          <w:rFonts w:cstheme="minorHAnsi"/>
        </w:rPr>
        <w:t>.000</w:t>
      </w:r>
      <w:r w:rsidR="00313ACF" w:rsidRPr="00405849">
        <w:rPr>
          <w:rFonts w:cstheme="minorHAnsi"/>
        </w:rPr>
        <w:t xml:space="preserve"> EUR)</w:t>
      </w:r>
      <w:r w:rsidR="00FC4BCE">
        <w:rPr>
          <w:rFonts w:cstheme="minorHAnsi"/>
        </w:rPr>
        <w:t>,</w:t>
      </w:r>
      <w:r w:rsidR="00313ACF" w:rsidRPr="00405849">
        <w:rPr>
          <w:rFonts w:cstheme="minorHAnsi"/>
        </w:rPr>
        <w:t xml:space="preserve"> kot znaša mediana v državah </w:t>
      </w:r>
      <w:r w:rsidR="00DC4FB4">
        <w:rPr>
          <w:rFonts w:cstheme="minorHAnsi"/>
        </w:rPr>
        <w:t>CEE-4</w:t>
      </w:r>
      <w:r w:rsidR="00313ACF" w:rsidRPr="00405849">
        <w:rPr>
          <w:rFonts w:cstheme="minorHAnsi"/>
        </w:rPr>
        <w:t xml:space="preserve"> (42</w:t>
      </w:r>
      <w:r w:rsidR="00FC4BCE">
        <w:rPr>
          <w:rFonts w:cstheme="minorHAnsi"/>
        </w:rPr>
        <w:t>.000</w:t>
      </w:r>
      <w:r w:rsidR="00313ACF" w:rsidRPr="00405849">
        <w:rPr>
          <w:rFonts w:cstheme="minorHAnsi"/>
        </w:rPr>
        <w:t xml:space="preserve"> EUR) ter v državah EU-27 (70</w:t>
      </w:r>
      <w:r w:rsidR="00FC4BCE">
        <w:rPr>
          <w:rFonts w:cstheme="minorHAnsi"/>
        </w:rPr>
        <w:t>.000</w:t>
      </w:r>
      <w:r w:rsidR="00313ACF" w:rsidRPr="00405849">
        <w:rPr>
          <w:rFonts w:cstheme="minorHAnsi"/>
        </w:rPr>
        <w:t xml:space="preserve"> EUR). V </w:t>
      </w:r>
      <w:r w:rsidR="008954A4">
        <w:rPr>
          <w:rFonts w:cstheme="minorHAnsi"/>
        </w:rPr>
        <w:t>o</w:t>
      </w:r>
      <w:r w:rsidR="00F07BBC" w:rsidRPr="00405849">
        <w:rPr>
          <w:rFonts w:cstheme="minorHAnsi"/>
        </w:rPr>
        <w:t>bdobju</w:t>
      </w:r>
      <w:r w:rsidR="00313ACF" w:rsidRPr="00405849">
        <w:rPr>
          <w:rFonts w:cstheme="minorHAnsi"/>
        </w:rPr>
        <w:t xml:space="preserve"> 2008-2017 je </w:t>
      </w:r>
      <w:r w:rsidR="00313ACF" w:rsidRPr="00405849">
        <w:rPr>
          <w:rFonts w:cstheme="minorHAnsi"/>
          <w:b/>
          <w:bCs/>
        </w:rPr>
        <w:t>dodana vrednost na zaposlenega</w:t>
      </w:r>
      <w:r w:rsidR="00313ACF" w:rsidRPr="00405849">
        <w:rPr>
          <w:rFonts w:cstheme="minorHAnsi"/>
        </w:rPr>
        <w:t xml:space="preserve"> v kemični industriji v Sloveniji višja od mediane </w:t>
      </w:r>
      <w:r w:rsidR="00DC4FB4">
        <w:rPr>
          <w:rFonts w:cstheme="minorHAnsi"/>
        </w:rPr>
        <w:t>CEE-4</w:t>
      </w:r>
      <w:r w:rsidR="00313ACF" w:rsidRPr="00405849">
        <w:rPr>
          <w:rFonts w:cstheme="minorHAnsi"/>
        </w:rPr>
        <w:t xml:space="preserve"> in mediane EU-27.</w:t>
      </w:r>
    </w:p>
    <w:tbl>
      <w:tblPr>
        <w:tblStyle w:val="Tabelamrea4poudarek51"/>
        <w:tblW w:w="8786" w:type="dxa"/>
        <w:tblLook w:val="04A0" w:firstRow="1" w:lastRow="0" w:firstColumn="1" w:lastColumn="0" w:noHBand="0" w:noVBand="1"/>
      </w:tblPr>
      <w:tblGrid>
        <w:gridCol w:w="2405"/>
        <w:gridCol w:w="1418"/>
        <w:gridCol w:w="1701"/>
        <w:gridCol w:w="1842"/>
        <w:gridCol w:w="1420"/>
      </w:tblGrid>
      <w:tr w:rsidR="00C02B3F" w:rsidRPr="00EE3A10" w14:paraId="45EFC0D6" w14:textId="77777777" w:rsidTr="00C02B3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1190CD12" w14:textId="77777777" w:rsidR="00C02B3F" w:rsidRPr="00EE3A10" w:rsidRDefault="00C02B3F" w:rsidP="00C02B3F">
            <w:pPr>
              <w:spacing w:before="0"/>
              <w:rPr>
                <w:rFonts w:asciiTheme="majorHAnsi" w:eastAsia="Times New Roman" w:hAnsiTheme="majorHAnsi" w:cs="Times New Roman"/>
                <w:sz w:val="18"/>
                <w:szCs w:val="18"/>
                <w:lang w:eastAsia="sl-SI"/>
              </w:rPr>
            </w:pPr>
            <w:r w:rsidRPr="00B662DA">
              <w:rPr>
                <w:rFonts w:asciiTheme="majorHAnsi" w:eastAsia="Times New Roman" w:hAnsiTheme="majorHAnsi" w:cs="Times New Roman"/>
                <w:sz w:val="18"/>
                <w:szCs w:val="18"/>
                <w:lang w:eastAsia="sl-SI"/>
              </w:rPr>
              <w:lastRenderedPageBreak/>
              <w:t>Kemična industrija</w:t>
            </w:r>
          </w:p>
        </w:tc>
        <w:tc>
          <w:tcPr>
            <w:tcW w:w="1418" w:type="dxa"/>
            <w:noWrap/>
            <w:hideMark/>
          </w:tcPr>
          <w:p w14:paraId="7B17EA2D" w14:textId="77777777" w:rsidR="00C02B3F" w:rsidRPr="00EE3A10" w:rsidRDefault="00C02B3F" w:rsidP="00C02B3F">
            <w:pPr>
              <w:spacing w:before="0"/>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sl-SI"/>
              </w:rPr>
            </w:pPr>
          </w:p>
        </w:tc>
        <w:tc>
          <w:tcPr>
            <w:tcW w:w="1701" w:type="dxa"/>
            <w:noWrap/>
            <w:vAlign w:val="center"/>
            <w:hideMark/>
          </w:tcPr>
          <w:p w14:paraId="5F7FBADB" w14:textId="77777777" w:rsidR="00C02B3F" w:rsidRPr="00EE3A10" w:rsidRDefault="00C02B3F"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b w:val="0"/>
                <w:bCs w:val="0"/>
                <w:sz w:val="18"/>
                <w:szCs w:val="18"/>
                <w:lang w:eastAsia="sl-SI"/>
              </w:rPr>
              <w:t>EU-27</w:t>
            </w:r>
            <w:r>
              <w:rPr>
                <w:rFonts w:asciiTheme="majorHAnsi" w:eastAsia="Times New Roman" w:hAnsiTheme="majorHAnsi" w:cs="Arial"/>
                <w:b w:val="0"/>
                <w:bCs w:val="0"/>
                <w:sz w:val="18"/>
                <w:szCs w:val="18"/>
                <w:lang w:eastAsia="sl-SI"/>
              </w:rPr>
              <w:t>,</w:t>
            </w:r>
            <w:r w:rsidRPr="00C02B3F">
              <w:rPr>
                <w:rFonts w:asciiTheme="majorHAnsi" w:eastAsia="Times New Roman" w:hAnsiTheme="majorHAnsi" w:cs="Arial"/>
                <w:b w:val="0"/>
                <w:bCs w:val="0"/>
                <w:sz w:val="18"/>
                <w:szCs w:val="18"/>
                <w:lang w:eastAsia="sl-SI"/>
              </w:rPr>
              <w:t xml:space="preserve"> mediana</w:t>
            </w:r>
          </w:p>
        </w:tc>
        <w:tc>
          <w:tcPr>
            <w:tcW w:w="1842" w:type="dxa"/>
            <w:noWrap/>
            <w:vAlign w:val="center"/>
            <w:hideMark/>
          </w:tcPr>
          <w:p w14:paraId="42303CCC" w14:textId="77777777" w:rsidR="00C02B3F" w:rsidRPr="00EE3A10" w:rsidRDefault="00DC4FB4"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Pr>
                <w:rFonts w:asciiTheme="majorHAnsi" w:eastAsia="Times New Roman" w:hAnsiTheme="majorHAnsi" w:cs="Arial"/>
                <w:b w:val="0"/>
                <w:bCs w:val="0"/>
                <w:sz w:val="18"/>
                <w:szCs w:val="18"/>
                <w:lang w:eastAsia="sl-SI"/>
              </w:rPr>
              <w:t>CEE-4</w:t>
            </w:r>
            <w:r w:rsidR="00C02B3F">
              <w:rPr>
                <w:rFonts w:asciiTheme="majorHAnsi" w:eastAsia="Times New Roman" w:hAnsiTheme="majorHAnsi" w:cs="Arial"/>
                <w:b w:val="0"/>
                <w:bCs w:val="0"/>
                <w:sz w:val="18"/>
                <w:szCs w:val="18"/>
                <w:lang w:eastAsia="sl-SI"/>
              </w:rPr>
              <w:t>,</w:t>
            </w:r>
            <w:r w:rsidR="00C02B3F" w:rsidRPr="00C02B3F">
              <w:rPr>
                <w:rFonts w:asciiTheme="majorHAnsi" w:eastAsia="Times New Roman" w:hAnsiTheme="majorHAnsi" w:cs="Arial"/>
                <w:b w:val="0"/>
                <w:bCs w:val="0"/>
                <w:sz w:val="18"/>
                <w:szCs w:val="18"/>
                <w:lang w:eastAsia="sl-SI"/>
              </w:rPr>
              <w:t xml:space="preserve"> mediana</w:t>
            </w:r>
          </w:p>
        </w:tc>
        <w:tc>
          <w:tcPr>
            <w:tcW w:w="1420" w:type="dxa"/>
            <w:noWrap/>
            <w:vAlign w:val="center"/>
            <w:hideMark/>
          </w:tcPr>
          <w:p w14:paraId="4F9944C3" w14:textId="77777777" w:rsidR="00C02B3F" w:rsidRPr="00EE3A10" w:rsidRDefault="00C02B3F"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b w:val="0"/>
                <w:bCs w:val="0"/>
                <w:sz w:val="18"/>
                <w:szCs w:val="18"/>
                <w:lang w:eastAsia="sl-SI"/>
              </w:rPr>
              <w:t>Slovenija</w:t>
            </w:r>
          </w:p>
        </w:tc>
      </w:tr>
      <w:tr w:rsidR="0023071D" w:rsidRPr="00EE3A10" w14:paraId="31C12310"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19C59CF9"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Bruto marža (DV/prih.)</w:t>
            </w:r>
          </w:p>
        </w:tc>
        <w:tc>
          <w:tcPr>
            <w:tcW w:w="1418" w:type="dxa"/>
            <w:noWrap/>
            <w:hideMark/>
          </w:tcPr>
          <w:p w14:paraId="4D23BE05"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6F3D9D2E"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24,3%</w:t>
            </w:r>
          </w:p>
        </w:tc>
        <w:tc>
          <w:tcPr>
            <w:tcW w:w="1842" w:type="dxa"/>
            <w:noWrap/>
            <w:vAlign w:val="bottom"/>
          </w:tcPr>
          <w:p w14:paraId="29C3E5F9"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23,1%</w:t>
            </w:r>
          </w:p>
        </w:tc>
        <w:tc>
          <w:tcPr>
            <w:tcW w:w="1420" w:type="dxa"/>
            <w:noWrap/>
            <w:vAlign w:val="bottom"/>
          </w:tcPr>
          <w:p w14:paraId="5B5A4976"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33,2%</w:t>
            </w:r>
          </w:p>
        </w:tc>
      </w:tr>
      <w:tr w:rsidR="0023071D" w:rsidRPr="00EE3A10" w14:paraId="3239C4D5"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596AE591"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Bruto marža (DV/prih.)</w:t>
            </w:r>
          </w:p>
        </w:tc>
        <w:tc>
          <w:tcPr>
            <w:tcW w:w="1418" w:type="dxa"/>
            <w:noWrap/>
            <w:hideMark/>
          </w:tcPr>
          <w:p w14:paraId="74F5D3D3"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15CC31ED"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19,0%</w:t>
            </w:r>
          </w:p>
        </w:tc>
        <w:tc>
          <w:tcPr>
            <w:tcW w:w="1842" w:type="dxa"/>
            <w:noWrap/>
            <w:vAlign w:val="bottom"/>
          </w:tcPr>
          <w:p w14:paraId="55A416B4"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20,4%</w:t>
            </w:r>
          </w:p>
        </w:tc>
        <w:tc>
          <w:tcPr>
            <w:tcW w:w="1420" w:type="dxa"/>
            <w:noWrap/>
            <w:vAlign w:val="bottom"/>
          </w:tcPr>
          <w:p w14:paraId="1307EDC8"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31,4%</w:t>
            </w:r>
          </w:p>
        </w:tc>
      </w:tr>
      <w:tr w:rsidR="0023071D" w:rsidRPr="00EE3A10" w14:paraId="0B8F81EA"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6D40FB8A"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Investicije/prihodkih</w:t>
            </w:r>
          </w:p>
        </w:tc>
        <w:tc>
          <w:tcPr>
            <w:tcW w:w="1418" w:type="dxa"/>
            <w:noWrap/>
            <w:hideMark/>
          </w:tcPr>
          <w:p w14:paraId="70FEC701"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79256486"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5,1%</w:t>
            </w:r>
          </w:p>
        </w:tc>
        <w:tc>
          <w:tcPr>
            <w:tcW w:w="1842" w:type="dxa"/>
            <w:noWrap/>
            <w:vAlign w:val="bottom"/>
          </w:tcPr>
          <w:p w14:paraId="2A8E6FED"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6,1%</w:t>
            </w:r>
          </w:p>
        </w:tc>
        <w:tc>
          <w:tcPr>
            <w:tcW w:w="1420" w:type="dxa"/>
            <w:noWrap/>
            <w:vAlign w:val="bottom"/>
          </w:tcPr>
          <w:p w14:paraId="3568ABB1"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6,7%</w:t>
            </w:r>
          </w:p>
        </w:tc>
      </w:tr>
      <w:tr w:rsidR="0023071D" w:rsidRPr="00EE3A10" w14:paraId="6BD77879"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1B77B4F8"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Investicije/prihodkih</w:t>
            </w:r>
          </w:p>
        </w:tc>
        <w:tc>
          <w:tcPr>
            <w:tcW w:w="1418" w:type="dxa"/>
            <w:noWrap/>
            <w:hideMark/>
          </w:tcPr>
          <w:p w14:paraId="5A664218"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20026ECF"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4,3%</w:t>
            </w:r>
          </w:p>
        </w:tc>
        <w:tc>
          <w:tcPr>
            <w:tcW w:w="1842" w:type="dxa"/>
            <w:noWrap/>
            <w:vAlign w:val="bottom"/>
          </w:tcPr>
          <w:p w14:paraId="1861B7BE"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4,6%</w:t>
            </w:r>
          </w:p>
        </w:tc>
        <w:tc>
          <w:tcPr>
            <w:tcW w:w="1420" w:type="dxa"/>
            <w:noWrap/>
            <w:vAlign w:val="bottom"/>
          </w:tcPr>
          <w:p w14:paraId="77D2C4DE"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6,7%</w:t>
            </w:r>
          </w:p>
        </w:tc>
      </w:tr>
      <w:tr w:rsidR="0023071D" w:rsidRPr="00EE3A10" w14:paraId="775691F1"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435B5AA"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EBITDA marža</w:t>
            </w:r>
          </w:p>
        </w:tc>
        <w:tc>
          <w:tcPr>
            <w:tcW w:w="1418" w:type="dxa"/>
            <w:noWrap/>
            <w:hideMark/>
          </w:tcPr>
          <w:p w14:paraId="5B871066"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678D0A7E"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12,1%</w:t>
            </w:r>
          </w:p>
        </w:tc>
        <w:tc>
          <w:tcPr>
            <w:tcW w:w="1842" w:type="dxa"/>
            <w:noWrap/>
            <w:vAlign w:val="bottom"/>
          </w:tcPr>
          <w:p w14:paraId="28D88421"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12,3%</w:t>
            </w:r>
          </w:p>
        </w:tc>
        <w:tc>
          <w:tcPr>
            <w:tcW w:w="1420" w:type="dxa"/>
            <w:noWrap/>
            <w:vAlign w:val="bottom"/>
          </w:tcPr>
          <w:p w14:paraId="15519F3D"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16,1%</w:t>
            </w:r>
          </w:p>
        </w:tc>
      </w:tr>
      <w:tr w:rsidR="0023071D" w:rsidRPr="00EE3A10" w14:paraId="33790EDB"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4F29BFE3"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EBITDA marža</w:t>
            </w:r>
          </w:p>
        </w:tc>
        <w:tc>
          <w:tcPr>
            <w:tcW w:w="1418" w:type="dxa"/>
            <w:noWrap/>
            <w:hideMark/>
          </w:tcPr>
          <w:p w14:paraId="0FB352B1"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6D780100"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10,2%</w:t>
            </w:r>
          </w:p>
        </w:tc>
        <w:tc>
          <w:tcPr>
            <w:tcW w:w="1842" w:type="dxa"/>
            <w:noWrap/>
            <w:vAlign w:val="bottom"/>
          </w:tcPr>
          <w:p w14:paraId="2FCB5FC0"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12,3%</w:t>
            </w:r>
          </w:p>
        </w:tc>
        <w:tc>
          <w:tcPr>
            <w:tcW w:w="1420" w:type="dxa"/>
            <w:noWrap/>
            <w:vAlign w:val="bottom"/>
          </w:tcPr>
          <w:p w14:paraId="2825213E"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15,0%</w:t>
            </w:r>
          </w:p>
        </w:tc>
      </w:tr>
      <w:tr w:rsidR="0023071D" w:rsidRPr="00EE3A10" w14:paraId="3C54DE11"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63BBE67"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Strošek dela v DV</w:t>
            </w:r>
          </w:p>
        </w:tc>
        <w:tc>
          <w:tcPr>
            <w:tcW w:w="1418" w:type="dxa"/>
            <w:noWrap/>
            <w:hideMark/>
          </w:tcPr>
          <w:p w14:paraId="7D043CE5"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26A12856"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48,9%</w:t>
            </w:r>
          </w:p>
        </w:tc>
        <w:tc>
          <w:tcPr>
            <w:tcW w:w="1842" w:type="dxa"/>
            <w:noWrap/>
            <w:vAlign w:val="bottom"/>
          </w:tcPr>
          <w:p w14:paraId="0F952A8F"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40,9%</w:t>
            </w:r>
          </w:p>
        </w:tc>
        <w:tc>
          <w:tcPr>
            <w:tcW w:w="1420" w:type="dxa"/>
            <w:noWrap/>
            <w:vAlign w:val="bottom"/>
          </w:tcPr>
          <w:p w14:paraId="688E7614"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51,5%</w:t>
            </w:r>
          </w:p>
        </w:tc>
      </w:tr>
      <w:tr w:rsidR="0023071D" w:rsidRPr="00EE3A10" w14:paraId="0C0C2A34"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1ED8153C"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Strošek dela v DV</w:t>
            </w:r>
          </w:p>
        </w:tc>
        <w:tc>
          <w:tcPr>
            <w:tcW w:w="1418" w:type="dxa"/>
            <w:noWrap/>
            <w:hideMark/>
          </w:tcPr>
          <w:p w14:paraId="62B35737" w14:textId="77777777" w:rsidR="0023071D" w:rsidRPr="00C02B3F"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Ø  2008-2017</w:t>
            </w:r>
          </w:p>
        </w:tc>
        <w:tc>
          <w:tcPr>
            <w:tcW w:w="1701" w:type="dxa"/>
            <w:noWrap/>
            <w:vAlign w:val="bottom"/>
          </w:tcPr>
          <w:p w14:paraId="1525D092"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42,5%</w:t>
            </w:r>
          </w:p>
        </w:tc>
        <w:tc>
          <w:tcPr>
            <w:tcW w:w="1842" w:type="dxa"/>
            <w:noWrap/>
            <w:vAlign w:val="bottom"/>
          </w:tcPr>
          <w:p w14:paraId="66BF209E"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39,8%</w:t>
            </w:r>
          </w:p>
        </w:tc>
        <w:tc>
          <w:tcPr>
            <w:tcW w:w="1420" w:type="dxa"/>
            <w:noWrap/>
            <w:vAlign w:val="bottom"/>
          </w:tcPr>
          <w:p w14:paraId="4D533459"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52,5%</w:t>
            </w:r>
          </w:p>
        </w:tc>
      </w:tr>
      <w:tr w:rsidR="0023071D" w:rsidRPr="00EE3A10" w14:paraId="0E184DD4"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9BBC7A2"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DV/zaposlenega</w:t>
            </w:r>
          </w:p>
        </w:tc>
        <w:tc>
          <w:tcPr>
            <w:tcW w:w="1418" w:type="dxa"/>
            <w:noWrap/>
            <w:hideMark/>
          </w:tcPr>
          <w:p w14:paraId="43E67B47" w14:textId="77777777" w:rsidR="0023071D" w:rsidRPr="00C02B3F"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2017</w:t>
            </w:r>
          </w:p>
        </w:tc>
        <w:tc>
          <w:tcPr>
            <w:tcW w:w="1701" w:type="dxa"/>
            <w:noWrap/>
            <w:vAlign w:val="bottom"/>
          </w:tcPr>
          <w:p w14:paraId="7C141C12"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70.364</w:t>
            </w:r>
          </w:p>
        </w:tc>
        <w:tc>
          <w:tcPr>
            <w:tcW w:w="1842" w:type="dxa"/>
            <w:noWrap/>
            <w:vAlign w:val="bottom"/>
          </w:tcPr>
          <w:p w14:paraId="2A85D11B"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42.331</w:t>
            </w:r>
          </w:p>
        </w:tc>
        <w:tc>
          <w:tcPr>
            <w:tcW w:w="1420" w:type="dxa"/>
            <w:noWrap/>
            <w:vAlign w:val="bottom"/>
          </w:tcPr>
          <w:p w14:paraId="6AB3C84E"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62.696</w:t>
            </w:r>
          </w:p>
        </w:tc>
      </w:tr>
      <w:tr w:rsidR="0023071D" w:rsidRPr="00EE3A10" w14:paraId="0B3E77A4"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556E6A4C"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DV/zaposlenega</w:t>
            </w:r>
          </w:p>
        </w:tc>
        <w:tc>
          <w:tcPr>
            <w:tcW w:w="1418" w:type="dxa"/>
            <w:noWrap/>
            <w:hideMark/>
          </w:tcPr>
          <w:p w14:paraId="07F0CCDD" w14:textId="77777777" w:rsidR="0023071D" w:rsidRPr="00C02B3F"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Ø  2008-2017</w:t>
            </w:r>
          </w:p>
        </w:tc>
        <w:tc>
          <w:tcPr>
            <w:tcW w:w="1701" w:type="dxa"/>
            <w:noWrap/>
            <w:vAlign w:val="bottom"/>
          </w:tcPr>
          <w:p w14:paraId="3BEFF94D"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67.452</w:t>
            </w:r>
          </w:p>
        </w:tc>
        <w:tc>
          <w:tcPr>
            <w:tcW w:w="1842" w:type="dxa"/>
            <w:noWrap/>
            <w:vAlign w:val="bottom"/>
          </w:tcPr>
          <w:p w14:paraId="003BCF9A"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43.443</w:t>
            </w:r>
          </w:p>
        </w:tc>
        <w:tc>
          <w:tcPr>
            <w:tcW w:w="1420" w:type="dxa"/>
            <w:noWrap/>
            <w:vAlign w:val="bottom"/>
          </w:tcPr>
          <w:p w14:paraId="1197E525"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57.548</w:t>
            </w:r>
          </w:p>
        </w:tc>
      </w:tr>
      <w:tr w:rsidR="0023071D" w:rsidRPr="00EE3A10" w14:paraId="09B6E78B"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6807D16"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Prihodki/zaposlenega</w:t>
            </w:r>
          </w:p>
        </w:tc>
        <w:tc>
          <w:tcPr>
            <w:tcW w:w="1418" w:type="dxa"/>
            <w:noWrap/>
            <w:hideMark/>
          </w:tcPr>
          <w:p w14:paraId="3A4BB554"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057818A2"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244.512</w:t>
            </w:r>
          </w:p>
        </w:tc>
        <w:tc>
          <w:tcPr>
            <w:tcW w:w="1842" w:type="dxa"/>
            <w:noWrap/>
            <w:vAlign w:val="bottom"/>
          </w:tcPr>
          <w:p w14:paraId="6B55AC68"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213.125</w:t>
            </w:r>
          </w:p>
        </w:tc>
        <w:tc>
          <w:tcPr>
            <w:tcW w:w="1420" w:type="dxa"/>
            <w:noWrap/>
            <w:vAlign w:val="bottom"/>
          </w:tcPr>
          <w:p w14:paraId="50C3FC67"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187.761</w:t>
            </w:r>
          </w:p>
        </w:tc>
      </w:tr>
      <w:tr w:rsidR="0023071D" w:rsidRPr="00EE3A10" w14:paraId="5F04A160"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48DD7718"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Prihodki/zaposlenega</w:t>
            </w:r>
          </w:p>
        </w:tc>
        <w:tc>
          <w:tcPr>
            <w:tcW w:w="1418" w:type="dxa"/>
            <w:noWrap/>
            <w:hideMark/>
          </w:tcPr>
          <w:p w14:paraId="732EA503"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5F7D675D"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354.357</w:t>
            </w:r>
          </w:p>
        </w:tc>
        <w:tc>
          <w:tcPr>
            <w:tcW w:w="1842" w:type="dxa"/>
            <w:noWrap/>
            <w:vAlign w:val="bottom"/>
          </w:tcPr>
          <w:p w14:paraId="68F33D9D"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213.357</w:t>
            </w:r>
          </w:p>
        </w:tc>
        <w:tc>
          <w:tcPr>
            <w:tcW w:w="1420" w:type="dxa"/>
            <w:noWrap/>
            <w:vAlign w:val="bottom"/>
          </w:tcPr>
          <w:p w14:paraId="568FA047"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183.034</w:t>
            </w:r>
          </w:p>
        </w:tc>
      </w:tr>
    </w:tbl>
    <w:p w14:paraId="4FAFDB0E" w14:textId="77777777" w:rsidR="003372D7" w:rsidRPr="00E205E2" w:rsidRDefault="003372D7" w:rsidP="003372D7">
      <w:pPr>
        <w:spacing w:before="20"/>
        <w:jc w:val="both"/>
        <w:rPr>
          <w:rFonts w:cstheme="minorHAnsi"/>
          <w:i/>
          <w:iCs/>
          <w:sz w:val="18"/>
          <w:szCs w:val="18"/>
        </w:rPr>
      </w:pPr>
      <w:r w:rsidRPr="00E205E2">
        <w:rPr>
          <w:rFonts w:cstheme="minorHAnsi"/>
          <w:i/>
          <w:iCs/>
          <w:sz w:val="18"/>
          <w:szCs w:val="18"/>
        </w:rPr>
        <w:t xml:space="preserve">Vir: </w:t>
      </w:r>
      <w:r>
        <w:rPr>
          <w:rFonts w:cstheme="minorHAnsi"/>
          <w:i/>
          <w:iCs/>
          <w:sz w:val="18"/>
          <w:szCs w:val="18"/>
        </w:rPr>
        <w:t>Eurostat</w:t>
      </w:r>
      <w:r w:rsidRPr="00E205E2">
        <w:rPr>
          <w:rFonts w:cstheme="minorHAnsi"/>
          <w:i/>
          <w:iCs/>
          <w:sz w:val="18"/>
          <w:szCs w:val="18"/>
        </w:rPr>
        <w:t>, strukturna statistika podjetij, preračuni Analitika GZS</w:t>
      </w:r>
    </w:p>
    <w:p w14:paraId="2873999B" w14:textId="45976CAC" w:rsidR="00996F49" w:rsidRPr="00405849" w:rsidRDefault="00F85C47" w:rsidP="00405849">
      <w:pPr>
        <w:jc w:val="both"/>
        <w:rPr>
          <w:rFonts w:cstheme="minorHAnsi"/>
        </w:rPr>
      </w:pPr>
      <w:r>
        <w:rPr>
          <w:rFonts w:cstheme="minorHAnsi"/>
        </w:rPr>
        <w:t>V</w:t>
      </w:r>
      <w:r w:rsidRPr="00405849">
        <w:rPr>
          <w:rFonts w:cstheme="minorHAnsi"/>
        </w:rPr>
        <w:t xml:space="preserve"> nekovinski industriji je </w:t>
      </w:r>
      <w:r w:rsidR="00996F49" w:rsidRPr="00405849">
        <w:rPr>
          <w:rFonts w:cstheme="minorHAnsi"/>
        </w:rPr>
        <w:t xml:space="preserve">Slovenija </w:t>
      </w:r>
      <w:r w:rsidRPr="00405849">
        <w:rPr>
          <w:rFonts w:cstheme="minorHAnsi"/>
        </w:rPr>
        <w:t xml:space="preserve">v 2017 </w:t>
      </w:r>
      <w:r w:rsidR="00996F49" w:rsidRPr="00405849">
        <w:rPr>
          <w:rFonts w:cstheme="minorHAnsi"/>
        </w:rPr>
        <w:t xml:space="preserve">ustvarila višjo </w:t>
      </w:r>
      <w:r w:rsidR="00996F49" w:rsidRPr="00405849">
        <w:rPr>
          <w:rFonts w:cstheme="minorHAnsi"/>
          <w:b/>
          <w:bCs/>
        </w:rPr>
        <w:t>dodano vrednost na zaposlenega</w:t>
      </w:r>
      <w:r w:rsidR="00996F49" w:rsidRPr="00405849">
        <w:rPr>
          <w:rFonts w:cstheme="minorHAnsi"/>
        </w:rPr>
        <w:t xml:space="preserve"> (</w:t>
      </w:r>
      <w:r w:rsidR="00070FC7" w:rsidRPr="00405849">
        <w:rPr>
          <w:rFonts w:cstheme="minorHAnsi"/>
        </w:rPr>
        <w:t>45</w:t>
      </w:r>
      <w:r w:rsidR="00F9398A">
        <w:rPr>
          <w:rFonts w:cstheme="minorHAnsi"/>
        </w:rPr>
        <w:t>.000</w:t>
      </w:r>
      <w:r w:rsidR="00996F49" w:rsidRPr="00405849">
        <w:rPr>
          <w:rFonts w:cstheme="minorHAnsi"/>
        </w:rPr>
        <w:t xml:space="preserve"> EUR)</w:t>
      </w:r>
      <w:r w:rsidR="00F9398A">
        <w:rPr>
          <w:rFonts w:cstheme="minorHAnsi"/>
        </w:rPr>
        <w:t>,</w:t>
      </w:r>
      <w:r w:rsidR="00996F49" w:rsidRPr="00405849">
        <w:rPr>
          <w:rFonts w:cstheme="minorHAnsi"/>
        </w:rPr>
        <w:t xml:space="preserve"> kot znaša mediana v državah </w:t>
      </w:r>
      <w:r w:rsidR="00DC4FB4">
        <w:rPr>
          <w:rFonts w:cstheme="minorHAnsi"/>
        </w:rPr>
        <w:t>CEE-4</w:t>
      </w:r>
      <w:r w:rsidR="00996F49" w:rsidRPr="00405849">
        <w:rPr>
          <w:rFonts w:cstheme="minorHAnsi"/>
        </w:rPr>
        <w:t xml:space="preserve"> (3</w:t>
      </w:r>
      <w:r w:rsidR="00070FC7" w:rsidRPr="00405849">
        <w:rPr>
          <w:rFonts w:cstheme="minorHAnsi"/>
        </w:rPr>
        <w:t>3</w:t>
      </w:r>
      <w:r w:rsidR="00F9398A">
        <w:rPr>
          <w:rFonts w:cstheme="minorHAnsi"/>
        </w:rPr>
        <w:t>.000</w:t>
      </w:r>
      <w:r w:rsidR="00996F49" w:rsidRPr="00405849">
        <w:rPr>
          <w:rFonts w:cstheme="minorHAnsi"/>
        </w:rPr>
        <w:t xml:space="preserve"> EUR) ter nižjo</w:t>
      </w:r>
      <w:r w:rsidR="00F9398A">
        <w:rPr>
          <w:rFonts w:cstheme="minorHAnsi"/>
        </w:rPr>
        <w:t>,</w:t>
      </w:r>
      <w:r w:rsidR="00996F49" w:rsidRPr="00405849">
        <w:rPr>
          <w:rFonts w:cstheme="minorHAnsi"/>
        </w:rPr>
        <w:t xml:space="preserve"> kot znaša mediana v državah EU-27 (4</w:t>
      </w:r>
      <w:r w:rsidR="00070FC7" w:rsidRPr="00405849">
        <w:rPr>
          <w:rFonts w:cstheme="minorHAnsi"/>
        </w:rPr>
        <w:t>7</w:t>
      </w:r>
      <w:r w:rsidR="00F9398A">
        <w:rPr>
          <w:rFonts w:cstheme="minorHAnsi"/>
        </w:rPr>
        <w:t>.000</w:t>
      </w:r>
      <w:r w:rsidR="00996F49" w:rsidRPr="00405849">
        <w:rPr>
          <w:rFonts w:cstheme="minorHAnsi"/>
        </w:rPr>
        <w:t xml:space="preserve"> EUR). V </w:t>
      </w:r>
      <w:r w:rsidR="008954A4">
        <w:rPr>
          <w:rFonts w:cstheme="minorHAnsi"/>
        </w:rPr>
        <w:t>o</w:t>
      </w:r>
      <w:r w:rsidR="00F07BBC" w:rsidRPr="00405849">
        <w:rPr>
          <w:rFonts w:cstheme="minorHAnsi"/>
        </w:rPr>
        <w:t>bdobju</w:t>
      </w:r>
      <w:r w:rsidR="00996F49" w:rsidRPr="00405849">
        <w:rPr>
          <w:rFonts w:cstheme="minorHAnsi"/>
        </w:rPr>
        <w:t xml:space="preserve"> 2008-2017 je </w:t>
      </w:r>
      <w:r w:rsidR="00996F49" w:rsidRPr="00405849">
        <w:rPr>
          <w:rFonts w:cstheme="minorHAnsi"/>
          <w:b/>
          <w:bCs/>
        </w:rPr>
        <w:t>dodana vrednost na zaposlenega</w:t>
      </w:r>
      <w:r w:rsidR="00996F49" w:rsidRPr="00405849">
        <w:rPr>
          <w:rFonts w:cstheme="minorHAnsi"/>
        </w:rPr>
        <w:t xml:space="preserve"> v nekovinski industriji v Sloveniji višja od mediane </w:t>
      </w:r>
      <w:r w:rsidR="00DC4FB4">
        <w:rPr>
          <w:rFonts w:cstheme="minorHAnsi"/>
        </w:rPr>
        <w:t>CEE-4</w:t>
      </w:r>
      <w:r w:rsidR="00996F49" w:rsidRPr="00405849">
        <w:rPr>
          <w:rFonts w:cstheme="minorHAnsi"/>
        </w:rPr>
        <w:t xml:space="preserve"> in nižja od mediane EU-27.</w:t>
      </w:r>
    </w:p>
    <w:tbl>
      <w:tblPr>
        <w:tblStyle w:val="Tabelamrea4poudarek51"/>
        <w:tblW w:w="8786" w:type="dxa"/>
        <w:tblLook w:val="04A0" w:firstRow="1" w:lastRow="0" w:firstColumn="1" w:lastColumn="0" w:noHBand="0" w:noVBand="1"/>
      </w:tblPr>
      <w:tblGrid>
        <w:gridCol w:w="2405"/>
        <w:gridCol w:w="1418"/>
        <w:gridCol w:w="1701"/>
        <w:gridCol w:w="1842"/>
        <w:gridCol w:w="1420"/>
      </w:tblGrid>
      <w:tr w:rsidR="00C02B3F" w:rsidRPr="00EE3A10" w14:paraId="45B5C967" w14:textId="77777777" w:rsidTr="00C02B3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75D889E6" w14:textId="77777777" w:rsidR="00C02B3F" w:rsidRPr="00EE3A10" w:rsidRDefault="00C02B3F" w:rsidP="00C02B3F">
            <w:pPr>
              <w:spacing w:before="0"/>
              <w:rPr>
                <w:rFonts w:asciiTheme="majorHAnsi" w:eastAsia="Times New Roman" w:hAnsiTheme="majorHAnsi" w:cs="Times New Roman"/>
                <w:sz w:val="18"/>
                <w:szCs w:val="18"/>
                <w:lang w:eastAsia="sl-SI"/>
              </w:rPr>
            </w:pPr>
            <w:r w:rsidRPr="00066967">
              <w:rPr>
                <w:rFonts w:asciiTheme="majorHAnsi" w:eastAsia="Times New Roman" w:hAnsiTheme="majorHAnsi" w:cs="Times New Roman"/>
                <w:sz w:val="18"/>
                <w:szCs w:val="18"/>
                <w:lang w:eastAsia="sl-SI"/>
              </w:rPr>
              <w:t>Nekovinsk</w:t>
            </w:r>
            <w:r>
              <w:rPr>
                <w:rFonts w:asciiTheme="majorHAnsi" w:eastAsia="Times New Roman" w:hAnsiTheme="majorHAnsi" w:cs="Times New Roman"/>
                <w:sz w:val="18"/>
                <w:szCs w:val="18"/>
                <w:lang w:eastAsia="sl-SI"/>
              </w:rPr>
              <w:t>a industrija</w:t>
            </w:r>
          </w:p>
        </w:tc>
        <w:tc>
          <w:tcPr>
            <w:tcW w:w="1418" w:type="dxa"/>
            <w:noWrap/>
            <w:hideMark/>
          </w:tcPr>
          <w:p w14:paraId="0F2F3E69" w14:textId="77777777" w:rsidR="00C02B3F" w:rsidRPr="00EE3A10" w:rsidRDefault="00C02B3F" w:rsidP="00C02B3F">
            <w:pPr>
              <w:spacing w:before="0"/>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sl-SI"/>
              </w:rPr>
            </w:pPr>
          </w:p>
        </w:tc>
        <w:tc>
          <w:tcPr>
            <w:tcW w:w="1701" w:type="dxa"/>
            <w:noWrap/>
            <w:vAlign w:val="center"/>
            <w:hideMark/>
          </w:tcPr>
          <w:p w14:paraId="2279ED61" w14:textId="77777777" w:rsidR="00C02B3F" w:rsidRPr="00EE3A10" w:rsidRDefault="00C02B3F"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b w:val="0"/>
                <w:bCs w:val="0"/>
                <w:sz w:val="18"/>
                <w:szCs w:val="18"/>
                <w:lang w:eastAsia="sl-SI"/>
              </w:rPr>
              <w:t>EU-27</w:t>
            </w:r>
            <w:r>
              <w:rPr>
                <w:rFonts w:asciiTheme="majorHAnsi" w:eastAsia="Times New Roman" w:hAnsiTheme="majorHAnsi" w:cs="Arial"/>
                <w:b w:val="0"/>
                <w:bCs w:val="0"/>
                <w:sz w:val="18"/>
                <w:szCs w:val="18"/>
                <w:lang w:eastAsia="sl-SI"/>
              </w:rPr>
              <w:t>,</w:t>
            </w:r>
            <w:r w:rsidRPr="00C02B3F">
              <w:rPr>
                <w:rFonts w:asciiTheme="majorHAnsi" w:eastAsia="Times New Roman" w:hAnsiTheme="majorHAnsi" w:cs="Arial"/>
                <w:b w:val="0"/>
                <w:bCs w:val="0"/>
                <w:sz w:val="18"/>
                <w:szCs w:val="18"/>
                <w:lang w:eastAsia="sl-SI"/>
              </w:rPr>
              <w:t xml:space="preserve"> mediana</w:t>
            </w:r>
          </w:p>
        </w:tc>
        <w:tc>
          <w:tcPr>
            <w:tcW w:w="1842" w:type="dxa"/>
            <w:noWrap/>
            <w:vAlign w:val="center"/>
            <w:hideMark/>
          </w:tcPr>
          <w:p w14:paraId="3A9474A9" w14:textId="77777777" w:rsidR="00C02B3F" w:rsidRPr="00EE3A10" w:rsidRDefault="00DC4FB4"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Pr>
                <w:rFonts w:asciiTheme="majorHAnsi" w:eastAsia="Times New Roman" w:hAnsiTheme="majorHAnsi" w:cs="Arial"/>
                <w:b w:val="0"/>
                <w:bCs w:val="0"/>
                <w:sz w:val="18"/>
                <w:szCs w:val="18"/>
                <w:lang w:eastAsia="sl-SI"/>
              </w:rPr>
              <w:t>CEE-4</w:t>
            </w:r>
            <w:r w:rsidR="00C02B3F">
              <w:rPr>
                <w:rFonts w:asciiTheme="majorHAnsi" w:eastAsia="Times New Roman" w:hAnsiTheme="majorHAnsi" w:cs="Arial"/>
                <w:b w:val="0"/>
                <w:bCs w:val="0"/>
                <w:sz w:val="18"/>
                <w:szCs w:val="18"/>
                <w:lang w:eastAsia="sl-SI"/>
              </w:rPr>
              <w:t>,</w:t>
            </w:r>
            <w:r w:rsidR="00C02B3F" w:rsidRPr="00C02B3F">
              <w:rPr>
                <w:rFonts w:asciiTheme="majorHAnsi" w:eastAsia="Times New Roman" w:hAnsiTheme="majorHAnsi" w:cs="Arial"/>
                <w:b w:val="0"/>
                <w:bCs w:val="0"/>
                <w:sz w:val="18"/>
                <w:szCs w:val="18"/>
                <w:lang w:eastAsia="sl-SI"/>
              </w:rPr>
              <w:t xml:space="preserve"> mediana</w:t>
            </w:r>
          </w:p>
        </w:tc>
        <w:tc>
          <w:tcPr>
            <w:tcW w:w="1420" w:type="dxa"/>
            <w:noWrap/>
            <w:vAlign w:val="center"/>
            <w:hideMark/>
          </w:tcPr>
          <w:p w14:paraId="6C4C49BD" w14:textId="77777777" w:rsidR="00C02B3F" w:rsidRPr="00EE3A10" w:rsidRDefault="00C02B3F"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b w:val="0"/>
                <w:bCs w:val="0"/>
                <w:sz w:val="18"/>
                <w:szCs w:val="18"/>
                <w:lang w:eastAsia="sl-SI"/>
              </w:rPr>
              <w:t>Slovenija</w:t>
            </w:r>
          </w:p>
        </w:tc>
      </w:tr>
      <w:tr w:rsidR="0023071D" w:rsidRPr="00EE3A10" w14:paraId="41F154D5"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69FC4411"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Bruto marža (DV/prih.)</w:t>
            </w:r>
          </w:p>
        </w:tc>
        <w:tc>
          <w:tcPr>
            <w:tcW w:w="1418" w:type="dxa"/>
            <w:noWrap/>
            <w:hideMark/>
          </w:tcPr>
          <w:p w14:paraId="0DCC1D3D"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6A8A7790"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30,9%</w:t>
            </w:r>
          </w:p>
        </w:tc>
        <w:tc>
          <w:tcPr>
            <w:tcW w:w="1842" w:type="dxa"/>
            <w:noWrap/>
            <w:vAlign w:val="bottom"/>
          </w:tcPr>
          <w:p w14:paraId="5D19B750"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30,1%</w:t>
            </w:r>
          </w:p>
        </w:tc>
        <w:tc>
          <w:tcPr>
            <w:tcW w:w="1420" w:type="dxa"/>
            <w:noWrap/>
            <w:vAlign w:val="bottom"/>
          </w:tcPr>
          <w:p w14:paraId="3E9A5666"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33,0%</w:t>
            </w:r>
          </w:p>
        </w:tc>
      </w:tr>
      <w:tr w:rsidR="0023071D" w:rsidRPr="00EE3A10" w14:paraId="260BB5D1"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625037AF"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Bruto marža (DV/prih.)</w:t>
            </w:r>
          </w:p>
        </w:tc>
        <w:tc>
          <w:tcPr>
            <w:tcW w:w="1418" w:type="dxa"/>
            <w:noWrap/>
            <w:hideMark/>
          </w:tcPr>
          <w:p w14:paraId="3A751947"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3957976E"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30,9%</w:t>
            </w:r>
          </w:p>
        </w:tc>
        <w:tc>
          <w:tcPr>
            <w:tcW w:w="1842" w:type="dxa"/>
            <w:noWrap/>
            <w:vAlign w:val="bottom"/>
          </w:tcPr>
          <w:p w14:paraId="70591A3E"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31,4%</w:t>
            </w:r>
          </w:p>
        </w:tc>
        <w:tc>
          <w:tcPr>
            <w:tcW w:w="1420" w:type="dxa"/>
            <w:noWrap/>
            <w:vAlign w:val="bottom"/>
          </w:tcPr>
          <w:p w14:paraId="2550C113"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29,8%</w:t>
            </w:r>
          </w:p>
        </w:tc>
      </w:tr>
      <w:tr w:rsidR="0023071D" w:rsidRPr="00EE3A10" w14:paraId="7771DC3A"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A4AEA72"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Investicije/prihodkih</w:t>
            </w:r>
          </w:p>
        </w:tc>
        <w:tc>
          <w:tcPr>
            <w:tcW w:w="1418" w:type="dxa"/>
            <w:noWrap/>
            <w:hideMark/>
          </w:tcPr>
          <w:p w14:paraId="1710D0E3"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7B2A5427"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5,1%</w:t>
            </w:r>
          </w:p>
        </w:tc>
        <w:tc>
          <w:tcPr>
            <w:tcW w:w="1842" w:type="dxa"/>
            <w:noWrap/>
            <w:vAlign w:val="bottom"/>
          </w:tcPr>
          <w:p w14:paraId="21EB4525"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6,6%</w:t>
            </w:r>
          </w:p>
        </w:tc>
        <w:tc>
          <w:tcPr>
            <w:tcW w:w="1420" w:type="dxa"/>
            <w:noWrap/>
            <w:vAlign w:val="bottom"/>
          </w:tcPr>
          <w:p w14:paraId="59C86259"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4,8%</w:t>
            </w:r>
          </w:p>
        </w:tc>
      </w:tr>
      <w:tr w:rsidR="0023071D" w:rsidRPr="00EE3A10" w14:paraId="48394323"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661A8C7D"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Investicije/prihodkih</w:t>
            </w:r>
          </w:p>
        </w:tc>
        <w:tc>
          <w:tcPr>
            <w:tcW w:w="1418" w:type="dxa"/>
            <w:noWrap/>
            <w:hideMark/>
          </w:tcPr>
          <w:p w14:paraId="238C7526"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5E76EF32"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6,1%</w:t>
            </w:r>
          </w:p>
        </w:tc>
        <w:tc>
          <w:tcPr>
            <w:tcW w:w="1842" w:type="dxa"/>
            <w:noWrap/>
            <w:vAlign w:val="bottom"/>
          </w:tcPr>
          <w:p w14:paraId="13C33A71"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6,9%</w:t>
            </w:r>
          </w:p>
        </w:tc>
        <w:tc>
          <w:tcPr>
            <w:tcW w:w="1420" w:type="dxa"/>
            <w:noWrap/>
            <w:vAlign w:val="bottom"/>
          </w:tcPr>
          <w:p w14:paraId="43A5BC65"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6,6%</w:t>
            </w:r>
          </w:p>
        </w:tc>
      </w:tr>
      <w:tr w:rsidR="0023071D" w:rsidRPr="00EE3A10" w14:paraId="352B9268"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7D16463"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EBITDA marža</w:t>
            </w:r>
          </w:p>
        </w:tc>
        <w:tc>
          <w:tcPr>
            <w:tcW w:w="1418" w:type="dxa"/>
            <w:noWrap/>
            <w:hideMark/>
          </w:tcPr>
          <w:p w14:paraId="17051F88"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3A9757A8"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13,0%</w:t>
            </w:r>
          </w:p>
        </w:tc>
        <w:tc>
          <w:tcPr>
            <w:tcW w:w="1842" w:type="dxa"/>
            <w:noWrap/>
            <w:vAlign w:val="bottom"/>
          </w:tcPr>
          <w:p w14:paraId="5B0AAB29"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15,7%</w:t>
            </w:r>
          </w:p>
        </w:tc>
        <w:tc>
          <w:tcPr>
            <w:tcW w:w="1420" w:type="dxa"/>
            <w:noWrap/>
            <w:vAlign w:val="bottom"/>
          </w:tcPr>
          <w:p w14:paraId="435529A6"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14,7%</w:t>
            </w:r>
          </w:p>
        </w:tc>
      </w:tr>
      <w:tr w:rsidR="0023071D" w:rsidRPr="00EE3A10" w14:paraId="3CD5089A"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639C7619"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EBITDA marža</w:t>
            </w:r>
          </w:p>
        </w:tc>
        <w:tc>
          <w:tcPr>
            <w:tcW w:w="1418" w:type="dxa"/>
            <w:noWrap/>
            <w:hideMark/>
          </w:tcPr>
          <w:p w14:paraId="046B8084"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2B2DFCDB"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12,5%</w:t>
            </w:r>
          </w:p>
        </w:tc>
        <w:tc>
          <w:tcPr>
            <w:tcW w:w="1842" w:type="dxa"/>
            <w:noWrap/>
            <w:vAlign w:val="bottom"/>
          </w:tcPr>
          <w:p w14:paraId="1E4A1A2E"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15,2%</w:t>
            </w:r>
          </w:p>
        </w:tc>
        <w:tc>
          <w:tcPr>
            <w:tcW w:w="1420" w:type="dxa"/>
            <w:noWrap/>
            <w:vAlign w:val="bottom"/>
          </w:tcPr>
          <w:p w14:paraId="1BDB082B"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11,1%</w:t>
            </w:r>
          </w:p>
        </w:tc>
      </w:tr>
      <w:tr w:rsidR="0023071D" w:rsidRPr="00EE3A10" w14:paraId="18659692"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3B7D183"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Strošek dela v DV</w:t>
            </w:r>
          </w:p>
        </w:tc>
        <w:tc>
          <w:tcPr>
            <w:tcW w:w="1418" w:type="dxa"/>
            <w:noWrap/>
            <w:hideMark/>
          </w:tcPr>
          <w:p w14:paraId="4DED7910"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2A4A38ED"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60,1%</w:t>
            </w:r>
          </w:p>
        </w:tc>
        <w:tc>
          <w:tcPr>
            <w:tcW w:w="1842" w:type="dxa"/>
            <w:noWrap/>
            <w:vAlign w:val="bottom"/>
          </w:tcPr>
          <w:p w14:paraId="7C7694F7"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50,6%</w:t>
            </w:r>
          </w:p>
        </w:tc>
        <w:tc>
          <w:tcPr>
            <w:tcW w:w="1420" w:type="dxa"/>
            <w:noWrap/>
            <w:vAlign w:val="bottom"/>
          </w:tcPr>
          <w:p w14:paraId="6C3DC2C3"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55,4%</w:t>
            </w:r>
          </w:p>
        </w:tc>
      </w:tr>
      <w:tr w:rsidR="0023071D" w:rsidRPr="00EE3A10" w14:paraId="0D8A7C89"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0C4E2FE4"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Strošek dela v DV</w:t>
            </w:r>
          </w:p>
        </w:tc>
        <w:tc>
          <w:tcPr>
            <w:tcW w:w="1418" w:type="dxa"/>
            <w:noWrap/>
            <w:hideMark/>
          </w:tcPr>
          <w:p w14:paraId="2E8FF0EE"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631AAFA7"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54,3%</w:t>
            </w:r>
          </w:p>
        </w:tc>
        <w:tc>
          <w:tcPr>
            <w:tcW w:w="1842" w:type="dxa"/>
            <w:noWrap/>
            <w:vAlign w:val="bottom"/>
          </w:tcPr>
          <w:p w14:paraId="11D187AA"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51,6%</w:t>
            </w:r>
          </w:p>
        </w:tc>
        <w:tc>
          <w:tcPr>
            <w:tcW w:w="1420" w:type="dxa"/>
            <w:noWrap/>
            <w:vAlign w:val="bottom"/>
          </w:tcPr>
          <w:p w14:paraId="2E4E511C"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62,8%</w:t>
            </w:r>
          </w:p>
        </w:tc>
      </w:tr>
      <w:tr w:rsidR="0023071D" w:rsidRPr="00EE3A10" w14:paraId="5C0990CC"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14D853B0"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DV/zaposlenega</w:t>
            </w:r>
          </w:p>
        </w:tc>
        <w:tc>
          <w:tcPr>
            <w:tcW w:w="1418" w:type="dxa"/>
            <w:noWrap/>
            <w:hideMark/>
          </w:tcPr>
          <w:p w14:paraId="4A0F3817" w14:textId="77777777" w:rsidR="0023071D" w:rsidRPr="00C02B3F"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2017</w:t>
            </w:r>
          </w:p>
        </w:tc>
        <w:tc>
          <w:tcPr>
            <w:tcW w:w="1701" w:type="dxa"/>
            <w:noWrap/>
            <w:vAlign w:val="bottom"/>
          </w:tcPr>
          <w:p w14:paraId="44E7AA30"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46.867</w:t>
            </w:r>
          </w:p>
        </w:tc>
        <w:tc>
          <w:tcPr>
            <w:tcW w:w="1842" w:type="dxa"/>
            <w:noWrap/>
            <w:vAlign w:val="bottom"/>
          </w:tcPr>
          <w:p w14:paraId="0678D97E"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33.618</w:t>
            </w:r>
          </w:p>
        </w:tc>
        <w:tc>
          <w:tcPr>
            <w:tcW w:w="1420" w:type="dxa"/>
            <w:noWrap/>
            <w:vAlign w:val="bottom"/>
          </w:tcPr>
          <w:p w14:paraId="653C7962"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45.329</w:t>
            </w:r>
          </w:p>
        </w:tc>
      </w:tr>
      <w:tr w:rsidR="0023071D" w:rsidRPr="00EE3A10" w14:paraId="6DA5B787"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7604C709"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DV/zaposlenega</w:t>
            </w:r>
          </w:p>
        </w:tc>
        <w:tc>
          <w:tcPr>
            <w:tcW w:w="1418" w:type="dxa"/>
            <w:noWrap/>
            <w:hideMark/>
          </w:tcPr>
          <w:p w14:paraId="305497CF" w14:textId="77777777" w:rsidR="0023071D" w:rsidRPr="00C02B3F"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Ø  2008-2017</w:t>
            </w:r>
          </w:p>
        </w:tc>
        <w:tc>
          <w:tcPr>
            <w:tcW w:w="1701" w:type="dxa"/>
            <w:noWrap/>
            <w:vAlign w:val="bottom"/>
          </w:tcPr>
          <w:p w14:paraId="3850BDA3"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43.996</w:t>
            </w:r>
          </w:p>
        </w:tc>
        <w:tc>
          <w:tcPr>
            <w:tcW w:w="1842" w:type="dxa"/>
            <w:noWrap/>
            <w:vAlign w:val="bottom"/>
          </w:tcPr>
          <w:p w14:paraId="0C87DD1A"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30.707</w:t>
            </w:r>
          </w:p>
        </w:tc>
        <w:tc>
          <w:tcPr>
            <w:tcW w:w="1420" w:type="dxa"/>
            <w:noWrap/>
            <w:vAlign w:val="bottom"/>
          </w:tcPr>
          <w:p w14:paraId="5339DB7A"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35.629</w:t>
            </w:r>
          </w:p>
        </w:tc>
      </w:tr>
      <w:tr w:rsidR="0023071D" w:rsidRPr="00EE3A10" w14:paraId="1BC7299F"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97E9894"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Prihodki/zaposlenega</w:t>
            </w:r>
          </w:p>
        </w:tc>
        <w:tc>
          <w:tcPr>
            <w:tcW w:w="1418" w:type="dxa"/>
            <w:noWrap/>
            <w:hideMark/>
          </w:tcPr>
          <w:p w14:paraId="58B013D8"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75F63A81"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160.356</w:t>
            </w:r>
          </w:p>
        </w:tc>
        <w:tc>
          <w:tcPr>
            <w:tcW w:w="1842" w:type="dxa"/>
            <w:noWrap/>
            <w:vAlign w:val="bottom"/>
          </w:tcPr>
          <w:p w14:paraId="022F5C6E"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110.223</w:t>
            </w:r>
          </w:p>
        </w:tc>
        <w:tc>
          <w:tcPr>
            <w:tcW w:w="1420" w:type="dxa"/>
            <w:noWrap/>
            <w:vAlign w:val="bottom"/>
          </w:tcPr>
          <w:p w14:paraId="6DF99B49"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137.188</w:t>
            </w:r>
          </w:p>
        </w:tc>
      </w:tr>
      <w:tr w:rsidR="0023071D" w:rsidRPr="00EE3A10" w14:paraId="134AA302"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42948B1C"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Prihodki/zaposlenega</w:t>
            </w:r>
          </w:p>
        </w:tc>
        <w:tc>
          <w:tcPr>
            <w:tcW w:w="1418" w:type="dxa"/>
            <w:noWrap/>
            <w:hideMark/>
          </w:tcPr>
          <w:p w14:paraId="57A97C8C"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1C1BFCB9"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142.197</w:t>
            </w:r>
          </w:p>
        </w:tc>
        <w:tc>
          <w:tcPr>
            <w:tcW w:w="1842" w:type="dxa"/>
            <w:noWrap/>
            <w:vAlign w:val="bottom"/>
          </w:tcPr>
          <w:p w14:paraId="78BB1454"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97.885</w:t>
            </w:r>
          </w:p>
        </w:tc>
        <w:tc>
          <w:tcPr>
            <w:tcW w:w="1420" w:type="dxa"/>
            <w:noWrap/>
            <w:vAlign w:val="bottom"/>
          </w:tcPr>
          <w:p w14:paraId="3C07D386"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119.399</w:t>
            </w:r>
          </w:p>
        </w:tc>
      </w:tr>
    </w:tbl>
    <w:p w14:paraId="315C49B6" w14:textId="77777777" w:rsidR="003372D7" w:rsidRPr="00E205E2" w:rsidRDefault="003372D7" w:rsidP="003372D7">
      <w:pPr>
        <w:spacing w:before="20"/>
        <w:jc w:val="both"/>
        <w:rPr>
          <w:rFonts w:cstheme="minorHAnsi"/>
          <w:i/>
          <w:iCs/>
          <w:sz w:val="18"/>
          <w:szCs w:val="18"/>
        </w:rPr>
      </w:pPr>
      <w:r w:rsidRPr="00E205E2">
        <w:rPr>
          <w:rFonts w:cstheme="minorHAnsi"/>
          <w:i/>
          <w:iCs/>
          <w:sz w:val="18"/>
          <w:szCs w:val="18"/>
        </w:rPr>
        <w:t xml:space="preserve">Vir: </w:t>
      </w:r>
      <w:r>
        <w:rPr>
          <w:rFonts w:cstheme="minorHAnsi"/>
          <w:i/>
          <w:iCs/>
          <w:sz w:val="18"/>
          <w:szCs w:val="18"/>
        </w:rPr>
        <w:t>Eurostat</w:t>
      </w:r>
      <w:r w:rsidRPr="00E205E2">
        <w:rPr>
          <w:rFonts w:cstheme="minorHAnsi"/>
          <w:i/>
          <w:iCs/>
          <w:sz w:val="18"/>
          <w:szCs w:val="18"/>
        </w:rPr>
        <w:t>, strukturna statistika podjetij, preračuni Analitika GZS</w:t>
      </w:r>
    </w:p>
    <w:p w14:paraId="3C84979F" w14:textId="4CBA0AD8" w:rsidR="00070FC7" w:rsidRPr="00405849" w:rsidRDefault="00F85C47" w:rsidP="00405849">
      <w:pPr>
        <w:jc w:val="both"/>
        <w:rPr>
          <w:rFonts w:cstheme="minorHAnsi"/>
        </w:rPr>
      </w:pPr>
      <w:r>
        <w:rPr>
          <w:rFonts w:cstheme="minorHAnsi"/>
        </w:rPr>
        <w:t>V</w:t>
      </w:r>
      <w:r w:rsidRPr="00405849">
        <w:rPr>
          <w:rFonts w:cstheme="minorHAnsi"/>
        </w:rPr>
        <w:t xml:space="preserve"> kovinski industriji je </w:t>
      </w:r>
      <w:r w:rsidR="00070FC7" w:rsidRPr="00405849">
        <w:rPr>
          <w:rFonts w:cstheme="minorHAnsi"/>
        </w:rPr>
        <w:t xml:space="preserve">Slovenija </w:t>
      </w:r>
      <w:r w:rsidRPr="00405849">
        <w:rPr>
          <w:rFonts w:cstheme="minorHAnsi"/>
        </w:rPr>
        <w:t xml:space="preserve">v 2017 </w:t>
      </w:r>
      <w:r w:rsidR="00070FC7" w:rsidRPr="00405849">
        <w:rPr>
          <w:rFonts w:cstheme="minorHAnsi"/>
        </w:rPr>
        <w:t xml:space="preserve">ustvarila višjo </w:t>
      </w:r>
      <w:r w:rsidR="00070FC7" w:rsidRPr="00405849">
        <w:rPr>
          <w:rFonts w:cstheme="minorHAnsi"/>
          <w:b/>
          <w:bCs/>
        </w:rPr>
        <w:t>dodano vrednost na zaposlenega</w:t>
      </w:r>
      <w:r w:rsidR="00070FC7" w:rsidRPr="00405849">
        <w:rPr>
          <w:rFonts w:cstheme="minorHAnsi"/>
        </w:rPr>
        <w:t xml:space="preserve"> (</w:t>
      </w:r>
      <w:r w:rsidR="003720A7" w:rsidRPr="00405849">
        <w:rPr>
          <w:rFonts w:cstheme="minorHAnsi"/>
        </w:rPr>
        <w:t>41</w:t>
      </w:r>
      <w:r w:rsidR="00F9398A">
        <w:rPr>
          <w:rFonts w:cstheme="minorHAnsi"/>
        </w:rPr>
        <w:t>.000</w:t>
      </w:r>
      <w:r w:rsidR="00070FC7" w:rsidRPr="00405849">
        <w:rPr>
          <w:rFonts w:cstheme="minorHAnsi"/>
        </w:rPr>
        <w:t xml:space="preserve"> EUR)</w:t>
      </w:r>
      <w:r w:rsidR="00F9398A">
        <w:rPr>
          <w:rFonts w:cstheme="minorHAnsi"/>
        </w:rPr>
        <w:t>,</w:t>
      </w:r>
      <w:r w:rsidR="00070FC7" w:rsidRPr="00405849">
        <w:rPr>
          <w:rFonts w:cstheme="minorHAnsi"/>
        </w:rPr>
        <w:t xml:space="preserve"> kot znaša mediana v državah </w:t>
      </w:r>
      <w:r w:rsidR="00DC4FB4">
        <w:rPr>
          <w:rFonts w:cstheme="minorHAnsi"/>
        </w:rPr>
        <w:t>CEE-4</w:t>
      </w:r>
      <w:r w:rsidR="00070FC7" w:rsidRPr="00405849">
        <w:rPr>
          <w:rFonts w:cstheme="minorHAnsi"/>
        </w:rPr>
        <w:t xml:space="preserve"> (</w:t>
      </w:r>
      <w:r w:rsidR="003720A7" w:rsidRPr="00405849">
        <w:rPr>
          <w:rFonts w:cstheme="minorHAnsi"/>
        </w:rPr>
        <w:t>29</w:t>
      </w:r>
      <w:r w:rsidR="00F9398A">
        <w:rPr>
          <w:rFonts w:cstheme="minorHAnsi"/>
        </w:rPr>
        <w:t>.000</w:t>
      </w:r>
      <w:r w:rsidR="00070FC7" w:rsidRPr="00405849">
        <w:rPr>
          <w:rFonts w:cstheme="minorHAnsi"/>
        </w:rPr>
        <w:t xml:space="preserve"> EUR) ter </w:t>
      </w:r>
      <w:r w:rsidR="003720A7" w:rsidRPr="00405849">
        <w:rPr>
          <w:rFonts w:cstheme="minorHAnsi"/>
        </w:rPr>
        <w:t>enako</w:t>
      </w:r>
      <w:r w:rsidR="00F9398A">
        <w:rPr>
          <w:rFonts w:cstheme="minorHAnsi"/>
        </w:rPr>
        <w:t>,</w:t>
      </w:r>
      <w:r w:rsidR="003720A7" w:rsidRPr="00405849">
        <w:rPr>
          <w:rFonts w:cstheme="minorHAnsi"/>
        </w:rPr>
        <w:t xml:space="preserve"> kot</w:t>
      </w:r>
      <w:r w:rsidR="00070FC7" w:rsidRPr="00405849">
        <w:rPr>
          <w:rFonts w:cstheme="minorHAnsi"/>
        </w:rPr>
        <w:t xml:space="preserve"> znaša mediana v državah EU-27 (</w:t>
      </w:r>
      <w:r w:rsidR="003720A7" w:rsidRPr="00405849">
        <w:rPr>
          <w:rFonts w:cstheme="minorHAnsi"/>
        </w:rPr>
        <w:t>41</w:t>
      </w:r>
      <w:r w:rsidR="00F9398A">
        <w:rPr>
          <w:rFonts w:cstheme="minorHAnsi"/>
        </w:rPr>
        <w:t>.000</w:t>
      </w:r>
      <w:r w:rsidR="00070FC7" w:rsidRPr="00405849">
        <w:rPr>
          <w:rFonts w:cstheme="minorHAnsi"/>
        </w:rPr>
        <w:t xml:space="preserve"> EUR). V </w:t>
      </w:r>
      <w:r w:rsidR="008954A4">
        <w:rPr>
          <w:rFonts w:cstheme="minorHAnsi"/>
        </w:rPr>
        <w:t>o</w:t>
      </w:r>
      <w:r w:rsidR="00F07BBC" w:rsidRPr="00405849">
        <w:rPr>
          <w:rFonts w:cstheme="minorHAnsi"/>
        </w:rPr>
        <w:t>bdobju</w:t>
      </w:r>
      <w:r w:rsidR="00070FC7" w:rsidRPr="00405849">
        <w:rPr>
          <w:rFonts w:cstheme="minorHAnsi"/>
        </w:rPr>
        <w:t xml:space="preserve"> 2008-2017 je</w:t>
      </w:r>
      <w:r w:rsidR="00405849">
        <w:rPr>
          <w:rFonts w:cstheme="minorHAnsi"/>
        </w:rPr>
        <w:t xml:space="preserve"> bila</w:t>
      </w:r>
      <w:r w:rsidR="00070FC7" w:rsidRPr="00405849">
        <w:rPr>
          <w:rFonts w:cstheme="minorHAnsi"/>
        </w:rPr>
        <w:t xml:space="preserve"> </w:t>
      </w:r>
      <w:r w:rsidR="00070FC7" w:rsidRPr="00405849">
        <w:rPr>
          <w:rFonts w:cstheme="minorHAnsi"/>
          <w:b/>
          <w:bCs/>
        </w:rPr>
        <w:t>dodana vrednost na zaposlenega</w:t>
      </w:r>
      <w:r w:rsidR="00070FC7" w:rsidRPr="00405849">
        <w:rPr>
          <w:rFonts w:cstheme="minorHAnsi"/>
        </w:rPr>
        <w:t xml:space="preserve"> v </w:t>
      </w:r>
      <w:r w:rsidR="003720A7" w:rsidRPr="00405849">
        <w:rPr>
          <w:rFonts w:cstheme="minorHAnsi"/>
        </w:rPr>
        <w:t>kovinski</w:t>
      </w:r>
      <w:r w:rsidR="00070FC7" w:rsidRPr="00405849">
        <w:rPr>
          <w:rFonts w:cstheme="minorHAnsi"/>
        </w:rPr>
        <w:t xml:space="preserve"> industriji v Sloveniji višja od mediane </w:t>
      </w:r>
      <w:r w:rsidR="00DC4FB4">
        <w:rPr>
          <w:rFonts w:cstheme="minorHAnsi"/>
        </w:rPr>
        <w:t>CEE-4</w:t>
      </w:r>
      <w:r w:rsidR="00070FC7" w:rsidRPr="00405849">
        <w:rPr>
          <w:rFonts w:cstheme="minorHAnsi"/>
        </w:rPr>
        <w:t xml:space="preserve"> in nižja od mediane EU-27.</w:t>
      </w:r>
    </w:p>
    <w:p w14:paraId="45B973B2" w14:textId="77777777" w:rsidR="00066967" w:rsidRDefault="00066967" w:rsidP="001321AD">
      <w:pPr>
        <w:pStyle w:val="Sprotnaopomba-besedilo"/>
        <w:rPr>
          <w:sz w:val="16"/>
          <w:szCs w:val="18"/>
        </w:rPr>
      </w:pPr>
    </w:p>
    <w:tbl>
      <w:tblPr>
        <w:tblStyle w:val="Tabelamrea4poudarek51"/>
        <w:tblW w:w="8786" w:type="dxa"/>
        <w:tblLook w:val="04A0" w:firstRow="1" w:lastRow="0" w:firstColumn="1" w:lastColumn="0" w:noHBand="0" w:noVBand="1"/>
      </w:tblPr>
      <w:tblGrid>
        <w:gridCol w:w="2405"/>
        <w:gridCol w:w="1418"/>
        <w:gridCol w:w="1701"/>
        <w:gridCol w:w="1842"/>
        <w:gridCol w:w="1420"/>
      </w:tblGrid>
      <w:tr w:rsidR="00C02B3F" w:rsidRPr="00EE3A10" w14:paraId="4CEBB499" w14:textId="77777777" w:rsidTr="00A14AD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69851B2" w14:textId="77777777" w:rsidR="00C02B3F" w:rsidRPr="00EE3A10" w:rsidRDefault="00C02B3F" w:rsidP="00C02B3F">
            <w:pPr>
              <w:spacing w:before="0"/>
              <w:rPr>
                <w:rFonts w:asciiTheme="majorHAnsi" w:eastAsia="Times New Roman" w:hAnsiTheme="majorHAnsi" w:cs="Times New Roman"/>
                <w:sz w:val="18"/>
                <w:szCs w:val="18"/>
                <w:lang w:eastAsia="sl-SI"/>
              </w:rPr>
            </w:pPr>
            <w:r>
              <w:rPr>
                <w:rFonts w:asciiTheme="majorHAnsi" w:eastAsia="Times New Roman" w:hAnsiTheme="majorHAnsi" w:cs="Times New Roman"/>
                <w:sz w:val="18"/>
                <w:szCs w:val="18"/>
                <w:lang w:eastAsia="sl-SI"/>
              </w:rPr>
              <w:t>Kovinska industrija</w:t>
            </w:r>
          </w:p>
        </w:tc>
        <w:tc>
          <w:tcPr>
            <w:tcW w:w="1418" w:type="dxa"/>
            <w:noWrap/>
            <w:hideMark/>
          </w:tcPr>
          <w:p w14:paraId="4C83184B" w14:textId="77777777" w:rsidR="00C02B3F" w:rsidRPr="00EE3A10" w:rsidRDefault="00C02B3F" w:rsidP="00C02B3F">
            <w:pPr>
              <w:spacing w:before="0"/>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sl-SI"/>
              </w:rPr>
            </w:pPr>
          </w:p>
        </w:tc>
        <w:tc>
          <w:tcPr>
            <w:tcW w:w="1701" w:type="dxa"/>
            <w:noWrap/>
            <w:vAlign w:val="center"/>
            <w:hideMark/>
          </w:tcPr>
          <w:p w14:paraId="5C47CE2F" w14:textId="77777777" w:rsidR="00C02B3F" w:rsidRPr="00EE3A10" w:rsidRDefault="00C02B3F"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b w:val="0"/>
                <w:bCs w:val="0"/>
                <w:sz w:val="18"/>
                <w:szCs w:val="18"/>
                <w:lang w:eastAsia="sl-SI"/>
              </w:rPr>
              <w:t>EU-27</w:t>
            </w:r>
            <w:r>
              <w:rPr>
                <w:rFonts w:asciiTheme="majorHAnsi" w:eastAsia="Times New Roman" w:hAnsiTheme="majorHAnsi" w:cs="Arial"/>
                <w:b w:val="0"/>
                <w:bCs w:val="0"/>
                <w:sz w:val="18"/>
                <w:szCs w:val="18"/>
                <w:lang w:eastAsia="sl-SI"/>
              </w:rPr>
              <w:t>,</w:t>
            </w:r>
            <w:r w:rsidRPr="00C02B3F">
              <w:rPr>
                <w:rFonts w:asciiTheme="majorHAnsi" w:eastAsia="Times New Roman" w:hAnsiTheme="majorHAnsi" w:cs="Arial"/>
                <w:b w:val="0"/>
                <w:bCs w:val="0"/>
                <w:sz w:val="18"/>
                <w:szCs w:val="18"/>
                <w:lang w:eastAsia="sl-SI"/>
              </w:rPr>
              <w:t xml:space="preserve"> mediana</w:t>
            </w:r>
          </w:p>
        </w:tc>
        <w:tc>
          <w:tcPr>
            <w:tcW w:w="1842" w:type="dxa"/>
            <w:noWrap/>
            <w:vAlign w:val="center"/>
            <w:hideMark/>
          </w:tcPr>
          <w:p w14:paraId="49BDD237" w14:textId="77777777" w:rsidR="00C02B3F" w:rsidRPr="00EE3A10" w:rsidRDefault="00DC4FB4"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Pr>
                <w:rFonts w:asciiTheme="majorHAnsi" w:eastAsia="Times New Roman" w:hAnsiTheme="majorHAnsi" w:cs="Arial"/>
                <w:b w:val="0"/>
                <w:bCs w:val="0"/>
                <w:sz w:val="18"/>
                <w:szCs w:val="18"/>
                <w:lang w:eastAsia="sl-SI"/>
              </w:rPr>
              <w:t>CEE-4</w:t>
            </w:r>
            <w:r w:rsidR="00C02B3F">
              <w:rPr>
                <w:rFonts w:asciiTheme="majorHAnsi" w:eastAsia="Times New Roman" w:hAnsiTheme="majorHAnsi" w:cs="Arial"/>
                <w:b w:val="0"/>
                <w:bCs w:val="0"/>
                <w:sz w:val="18"/>
                <w:szCs w:val="18"/>
                <w:lang w:eastAsia="sl-SI"/>
              </w:rPr>
              <w:t>,</w:t>
            </w:r>
            <w:r w:rsidR="00C02B3F" w:rsidRPr="00C02B3F">
              <w:rPr>
                <w:rFonts w:asciiTheme="majorHAnsi" w:eastAsia="Times New Roman" w:hAnsiTheme="majorHAnsi" w:cs="Arial"/>
                <w:b w:val="0"/>
                <w:bCs w:val="0"/>
                <w:sz w:val="18"/>
                <w:szCs w:val="18"/>
                <w:lang w:eastAsia="sl-SI"/>
              </w:rPr>
              <w:t xml:space="preserve"> mediana</w:t>
            </w:r>
          </w:p>
        </w:tc>
        <w:tc>
          <w:tcPr>
            <w:tcW w:w="1420" w:type="dxa"/>
            <w:noWrap/>
            <w:vAlign w:val="center"/>
            <w:hideMark/>
          </w:tcPr>
          <w:p w14:paraId="12366C76" w14:textId="77777777" w:rsidR="00C02B3F" w:rsidRPr="00EE3A10" w:rsidRDefault="00C02B3F"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b w:val="0"/>
                <w:bCs w:val="0"/>
                <w:sz w:val="18"/>
                <w:szCs w:val="18"/>
                <w:lang w:eastAsia="sl-SI"/>
              </w:rPr>
              <w:t>Slovenija</w:t>
            </w:r>
          </w:p>
        </w:tc>
      </w:tr>
      <w:tr w:rsidR="0023071D" w:rsidRPr="00EE3A10" w14:paraId="3C8E569B"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97C213C"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Bruto marža (DV/prih.)</w:t>
            </w:r>
          </w:p>
        </w:tc>
        <w:tc>
          <w:tcPr>
            <w:tcW w:w="1418" w:type="dxa"/>
            <w:noWrap/>
            <w:hideMark/>
          </w:tcPr>
          <w:p w14:paraId="7A13B17E"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608D1F8A"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sl-SI"/>
              </w:rPr>
            </w:pPr>
            <w:r w:rsidRPr="0023071D">
              <w:rPr>
                <w:rFonts w:ascii="Arial" w:hAnsi="Arial" w:cs="Arial"/>
                <w:sz w:val="18"/>
                <w:szCs w:val="18"/>
              </w:rPr>
              <w:t>28,1%</w:t>
            </w:r>
          </w:p>
        </w:tc>
        <w:tc>
          <w:tcPr>
            <w:tcW w:w="1842" w:type="dxa"/>
            <w:noWrap/>
            <w:vAlign w:val="bottom"/>
          </w:tcPr>
          <w:p w14:paraId="20FFD936"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sl-SI"/>
              </w:rPr>
            </w:pPr>
            <w:r w:rsidRPr="0023071D">
              <w:rPr>
                <w:rFonts w:ascii="Arial" w:hAnsi="Arial" w:cs="Arial"/>
                <w:sz w:val="18"/>
                <w:szCs w:val="18"/>
              </w:rPr>
              <w:t>25,7%</w:t>
            </w:r>
          </w:p>
        </w:tc>
        <w:tc>
          <w:tcPr>
            <w:tcW w:w="1420" w:type="dxa"/>
            <w:noWrap/>
            <w:vAlign w:val="bottom"/>
          </w:tcPr>
          <w:p w14:paraId="123CAB8F"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sl-SI"/>
              </w:rPr>
            </w:pPr>
            <w:r w:rsidRPr="0023071D">
              <w:rPr>
                <w:rFonts w:ascii="Arial" w:hAnsi="Arial" w:cs="Arial"/>
                <w:sz w:val="18"/>
                <w:szCs w:val="18"/>
              </w:rPr>
              <w:t>28,1%</w:t>
            </w:r>
          </w:p>
        </w:tc>
      </w:tr>
      <w:tr w:rsidR="0023071D" w:rsidRPr="00EE3A10" w14:paraId="4EAF10C2"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3B9D40FD"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Bruto marža (DV/prih.)</w:t>
            </w:r>
          </w:p>
        </w:tc>
        <w:tc>
          <w:tcPr>
            <w:tcW w:w="1418" w:type="dxa"/>
            <w:noWrap/>
            <w:hideMark/>
          </w:tcPr>
          <w:p w14:paraId="1AD30B18"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2D5D61C0"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sl-SI"/>
              </w:rPr>
            </w:pPr>
            <w:r w:rsidRPr="0023071D">
              <w:rPr>
                <w:rFonts w:ascii="Arial" w:hAnsi="Arial" w:cs="Arial"/>
                <w:sz w:val="18"/>
                <w:szCs w:val="18"/>
              </w:rPr>
              <w:t>26,2%</w:t>
            </w:r>
          </w:p>
        </w:tc>
        <w:tc>
          <w:tcPr>
            <w:tcW w:w="1842" w:type="dxa"/>
            <w:noWrap/>
            <w:vAlign w:val="bottom"/>
          </w:tcPr>
          <w:p w14:paraId="727BC7E8"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sl-SI"/>
              </w:rPr>
            </w:pPr>
            <w:r w:rsidRPr="0023071D">
              <w:rPr>
                <w:rFonts w:ascii="Arial" w:hAnsi="Arial" w:cs="Arial"/>
                <w:sz w:val="18"/>
                <w:szCs w:val="18"/>
              </w:rPr>
              <w:t>24,7%</w:t>
            </w:r>
          </w:p>
        </w:tc>
        <w:tc>
          <w:tcPr>
            <w:tcW w:w="1420" w:type="dxa"/>
            <w:noWrap/>
            <w:vAlign w:val="bottom"/>
          </w:tcPr>
          <w:p w14:paraId="11B10239"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sl-SI"/>
              </w:rPr>
            </w:pPr>
            <w:r w:rsidRPr="0023071D">
              <w:rPr>
                <w:rFonts w:ascii="Arial" w:hAnsi="Arial" w:cs="Arial"/>
                <w:sz w:val="18"/>
                <w:szCs w:val="18"/>
              </w:rPr>
              <w:t>26,2%</w:t>
            </w:r>
          </w:p>
        </w:tc>
      </w:tr>
      <w:tr w:rsidR="0023071D" w:rsidRPr="00EE3A10" w14:paraId="1B90A780"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D22CA54"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Investicije/prihodkih</w:t>
            </w:r>
          </w:p>
        </w:tc>
        <w:tc>
          <w:tcPr>
            <w:tcW w:w="1418" w:type="dxa"/>
            <w:noWrap/>
            <w:hideMark/>
          </w:tcPr>
          <w:p w14:paraId="2AB8C8EA"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0E008F07"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sl-SI"/>
              </w:rPr>
            </w:pPr>
            <w:r w:rsidRPr="0023071D">
              <w:rPr>
                <w:rFonts w:ascii="Arial" w:hAnsi="Arial" w:cs="Arial"/>
                <w:sz w:val="18"/>
                <w:szCs w:val="18"/>
              </w:rPr>
              <w:t>4,3%</w:t>
            </w:r>
          </w:p>
        </w:tc>
        <w:tc>
          <w:tcPr>
            <w:tcW w:w="1842" w:type="dxa"/>
            <w:noWrap/>
            <w:vAlign w:val="bottom"/>
          </w:tcPr>
          <w:p w14:paraId="467BC719"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sl-SI"/>
              </w:rPr>
            </w:pPr>
            <w:r w:rsidRPr="0023071D">
              <w:rPr>
                <w:rFonts w:ascii="Arial" w:hAnsi="Arial" w:cs="Arial"/>
                <w:sz w:val="18"/>
                <w:szCs w:val="18"/>
              </w:rPr>
              <w:t>5,5%</w:t>
            </w:r>
          </w:p>
        </w:tc>
        <w:tc>
          <w:tcPr>
            <w:tcW w:w="1420" w:type="dxa"/>
            <w:noWrap/>
            <w:vAlign w:val="bottom"/>
          </w:tcPr>
          <w:p w14:paraId="1591F5D5"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sl-SI"/>
              </w:rPr>
            </w:pPr>
            <w:r w:rsidRPr="0023071D">
              <w:rPr>
                <w:rFonts w:ascii="Arial" w:hAnsi="Arial" w:cs="Arial"/>
                <w:sz w:val="18"/>
                <w:szCs w:val="18"/>
              </w:rPr>
              <w:t>5,8%</w:t>
            </w:r>
          </w:p>
        </w:tc>
      </w:tr>
      <w:tr w:rsidR="0023071D" w:rsidRPr="00EE3A10" w14:paraId="79E02462"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1776990B"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Investicije/prihodkih</w:t>
            </w:r>
          </w:p>
        </w:tc>
        <w:tc>
          <w:tcPr>
            <w:tcW w:w="1418" w:type="dxa"/>
            <w:noWrap/>
            <w:hideMark/>
          </w:tcPr>
          <w:p w14:paraId="3BD9EFAC" w14:textId="77777777" w:rsidR="0023071D" w:rsidRPr="00C02B3F"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Ø  2008-2017</w:t>
            </w:r>
          </w:p>
        </w:tc>
        <w:tc>
          <w:tcPr>
            <w:tcW w:w="1701" w:type="dxa"/>
            <w:noWrap/>
            <w:vAlign w:val="bottom"/>
          </w:tcPr>
          <w:p w14:paraId="32CC6790"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5,3%</w:t>
            </w:r>
          </w:p>
        </w:tc>
        <w:tc>
          <w:tcPr>
            <w:tcW w:w="1842" w:type="dxa"/>
            <w:noWrap/>
            <w:vAlign w:val="bottom"/>
          </w:tcPr>
          <w:p w14:paraId="66ADBD20"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5,5%</w:t>
            </w:r>
          </w:p>
        </w:tc>
        <w:tc>
          <w:tcPr>
            <w:tcW w:w="1420" w:type="dxa"/>
            <w:noWrap/>
            <w:vAlign w:val="bottom"/>
          </w:tcPr>
          <w:p w14:paraId="323D6F35"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5,7%</w:t>
            </w:r>
          </w:p>
        </w:tc>
      </w:tr>
      <w:tr w:rsidR="0023071D" w:rsidRPr="00EE3A10" w14:paraId="5DB2344D"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6E0C587"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EBITDA marža</w:t>
            </w:r>
          </w:p>
        </w:tc>
        <w:tc>
          <w:tcPr>
            <w:tcW w:w="1418" w:type="dxa"/>
            <w:noWrap/>
            <w:hideMark/>
          </w:tcPr>
          <w:p w14:paraId="1806A4B0" w14:textId="77777777" w:rsidR="0023071D" w:rsidRPr="00C02B3F"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2017</w:t>
            </w:r>
          </w:p>
        </w:tc>
        <w:tc>
          <w:tcPr>
            <w:tcW w:w="1701" w:type="dxa"/>
            <w:noWrap/>
            <w:vAlign w:val="bottom"/>
          </w:tcPr>
          <w:p w14:paraId="51E8A2D8"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10,5%</w:t>
            </w:r>
          </w:p>
        </w:tc>
        <w:tc>
          <w:tcPr>
            <w:tcW w:w="1842" w:type="dxa"/>
            <w:noWrap/>
            <w:vAlign w:val="bottom"/>
          </w:tcPr>
          <w:p w14:paraId="64BC0711"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11,4%</w:t>
            </w:r>
          </w:p>
        </w:tc>
        <w:tc>
          <w:tcPr>
            <w:tcW w:w="1420" w:type="dxa"/>
            <w:noWrap/>
            <w:vAlign w:val="bottom"/>
          </w:tcPr>
          <w:p w14:paraId="1C6805C6"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11,0%</w:t>
            </w:r>
          </w:p>
        </w:tc>
      </w:tr>
      <w:tr w:rsidR="0023071D" w:rsidRPr="00EE3A10" w14:paraId="21F5319B"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188D50BB"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EBITDA marža</w:t>
            </w:r>
          </w:p>
        </w:tc>
        <w:tc>
          <w:tcPr>
            <w:tcW w:w="1418" w:type="dxa"/>
            <w:noWrap/>
            <w:hideMark/>
          </w:tcPr>
          <w:p w14:paraId="005ED8D9" w14:textId="77777777" w:rsidR="0023071D" w:rsidRPr="00C02B3F"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Ø  2008-2017</w:t>
            </w:r>
          </w:p>
        </w:tc>
        <w:tc>
          <w:tcPr>
            <w:tcW w:w="1701" w:type="dxa"/>
            <w:noWrap/>
            <w:vAlign w:val="bottom"/>
          </w:tcPr>
          <w:p w14:paraId="51B1B82D"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8,9%</w:t>
            </w:r>
          </w:p>
        </w:tc>
        <w:tc>
          <w:tcPr>
            <w:tcW w:w="1842" w:type="dxa"/>
            <w:noWrap/>
            <w:vAlign w:val="bottom"/>
          </w:tcPr>
          <w:p w14:paraId="29F36ACC"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10,4%</w:t>
            </w:r>
          </w:p>
        </w:tc>
        <w:tc>
          <w:tcPr>
            <w:tcW w:w="1420" w:type="dxa"/>
            <w:noWrap/>
            <w:vAlign w:val="bottom"/>
          </w:tcPr>
          <w:p w14:paraId="7A54CACE"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9,1%</w:t>
            </w:r>
          </w:p>
        </w:tc>
      </w:tr>
      <w:tr w:rsidR="0023071D" w:rsidRPr="00EE3A10" w14:paraId="4189E50D"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67CC905"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Strošek dela v DV</w:t>
            </w:r>
          </w:p>
        </w:tc>
        <w:tc>
          <w:tcPr>
            <w:tcW w:w="1418" w:type="dxa"/>
            <w:noWrap/>
            <w:hideMark/>
          </w:tcPr>
          <w:p w14:paraId="0C38AA1F" w14:textId="77777777" w:rsidR="0023071D" w:rsidRPr="00C02B3F"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2017</w:t>
            </w:r>
          </w:p>
        </w:tc>
        <w:tc>
          <w:tcPr>
            <w:tcW w:w="1701" w:type="dxa"/>
            <w:noWrap/>
            <w:vAlign w:val="bottom"/>
          </w:tcPr>
          <w:p w14:paraId="74E330EA"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61,5%</w:t>
            </w:r>
          </w:p>
        </w:tc>
        <w:tc>
          <w:tcPr>
            <w:tcW w:w="1842" w:type="dxa"/>
            <w:noWrap/>
            <w:vAlign w:val="bottom"/>
          </w:tcPr>
          <w:p w14:paraId="4AD8700D"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54,9%</w:t>
            </w:r>
          </w:p>
        </w:tc>
        <w:tc>
          <w:tcPr>
            <w:tcW w:w="1420" w:type="dxa"/>
            <w:noWrap/>
            <w:vAlign w:val="bottom"/>
          </w:tcPr>
          <w:p w14:paraId="6C4F840D"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60,8%</w:t>
            </w:r>
          </w:p>
        </w:tc>
      </w:tr>
      <w:tr w:rsidR="0023071D" w:rsidRPr="00EE3A10" w14:paraId="7ED1E757"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62250727"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Strošek dela v DV</w:t>
            </w:r>
          </w:p>
        </w:tc>
        <w:tc>
          <w:tcPr>
            <w:tcW w:w="1418" w:type="dxa"/>
            <w:noWrap/>
            <w:hideMark/>
          </w:tcPr>
          <w:p w14:paraId="41903E6E" w14:textId="77777777" w:rsidR="0023071D" w:rsidRPr="00C02B3F"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Ø  2008-2017</w:t>
            </w:r>
          </w:p>
        </w:tc>
        <w:tc>
          <w:tcPr>
            <w:tcW w:w="1701" w:type="dxa"/>
            <w:noWrap/>
            <w:vAlign w:val="bottom"/>
          </w:tcPr>
          <w:p w14:paraId="55B7E4F1"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58,0%</w:t>
            </w:r>
          </w:p>
        </w:tc>
        <w:tc>
          <w:tcPr>
            <w:tcW w:w="1842" w:type="dxa"/>
            <w:noWrap/>
            <w:vAlign w:val="bottom"/>
          </w:tcPr>
          <w:p w14:paraId="0AD6C95F"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58,3%</w:t>
            </w:r>
          </w:p>
        </w:tc>
        <w:tc>
          <w:tcPr>
            <w:tcW w:w="1420" w:type="dxa"/>
            <w:noWrap/>
            <w:vAlign w:val="bottom"/>
          </w:tcPr>
          <w:p w14:paraId="6CF7F07D"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65,4%</w:t>
            </w:r>
          </w:p>
        </w:tc>
      </w:tr>
      <w:tr w:rsidR="0023071D" w:rsidRPr="00EE3A10" w14:paraId="52250ED3"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5A4DF3A"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DV/zaposlenega</w:t>
            </w:r>
          </w:p>
        </w:tc>
        <w:tc>
          <w:tcPr>
            <w:tcW w:w="1418" w:type="dxa"/>
            <w:noWrap/>
            <w:hideMark/>
          </w:tcPr>
          <w:p w14:paraId="3114A031" w14:textId="77777777" w:rsidR="0023071D" w:rsidRPr="00C02B3F"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2017</w:t>
            </w:r>
          </w:p>
        </w:tc>
        <w:tc>
          <w:tcPr>
            <w:tcW w:w="1701" w:type="dxa"/>
            <w:noWrap/>
            <w:vAlign w:val="bottom"/>
          </w:tcPr>
          <w:p w14:paraId="7F5255C2"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40.664</w:t>
            </w:r>
          </w:p>
        </w:tc>
        <w:tc>
          <w:tcPr>
            <w:tcW w:w="1842" w:type="dxa"/>
            <w:noWrap/>
            <w:vAlign w:val="bottom"/>
          </w:tcPr>
          <w:p w14:paraId="14B0EB24"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28.527</w:t>
            </w:r>
          </w:p>
        </w:tc>
        <w:tc>
          <w:tcPr>
            <w:tcW w:w="1420" w:type="dxa"/>
            <w:noWrap/>
            <w:vAlign w:val="bottom"/>
          </w:tcPr>
          <w:p w14:paraId="62397AB3"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40.664</w:t>
            </w:r>
          </w:p>
        </w:tc>
      </w:tr>
      <w:tr w:rsidR="0023071D" w:rsidRPr="00EE3A10" w14:paraId="00B6CD3C"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72B6A0C5"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DV/zaposlenega</w:t>
            </w:r>
          </w:p>
        </w:tc>
        <w:tc>
          <w:tcPr>
            <w:tcW w:w="1418" w:type="dxa"/>
            <w:noWrap/>
            <w:hideMark/>
          </w:tcPr>
          <w:p w14:paraId="6342A9E3" w14:textId="77777777" w:rsidR="0023071D" w:rsidRPr="00C02B3F"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Ø  2008-2017</w:t>
            </w:r>
          </w:p>
        </w:tc>
        <w:tc>
          <w:tcPr>
            <w:tcW w:w="1701" w:type="dxa"/>
            <w:noWrap/>
            <w:vAlign w:val="bottom"/>
          </w:tcPr>
          <w:p w14:paraId="0F7C6147"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31.181</w:t>
            </w:r>
          </w:p>
        </w:tc>
        <w:tc>
          <w:tcPr>
            <w:tcW w:w="1842" w:type="dxa"/>
            <w:noWrap/>
            <w:vAlign w:val="bottom"/>
          </w:tcPr>
          <w:p w14:paraId="31ACA547"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25.213</w:t>
            </w:r>
          </w:p>
        </w:tc>
        <w:tc>
          <w:tcPr>
            <w:tcW w:w="1420" w:type="dxa"/>
            <w:noWrap/>
            <w:vAlign w:val="bottom"/>
          </w:tcPr>
          <w:p w14:paraId="474D6F62"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33.110</w:t>
            </w:r>
          </w:p>
        </w:tc>
      </w:tr>
      <w:tr w:rsidR="0023071D" w:rsidRPr="00EE3A10" w14:paraId="45F33F27"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FEC26F9"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Prihodki/zaposlenega</w:t>
            </w:r>
          </w:p>
        </w:tc>
        <w:tc>
          <w:tcPr>
            <w:tcW w:w="1418" w:type="dxa"/>
            <w:noWrap/>
            <w:hideMark/>
          </w:tcPr>
          <w:p w14:paraId="21A016CC" w14:textId="77777777" w:rsidR="0023071D" w:rsidRPr="00C02B3F"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2017</w:t>
            </w:r>
          </w:p>
        </w:tc>
        <w:tc>
          <w:tcPr>
            <w:tcW w:w="1701" w:type="dxa"/>
            <w:noWrap/>
            <w:vAlign w:val="bottom"/>
          </w:tcPr>
          <w:p w14:paraId="15974430"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145.668</w:t>
            </w:r>
          </w:p>
        </w:tc>
        <w:tc>
          <w:tcPr>
            <w:tcW w:w="1842" w:type="dxa"/>
            <w:noWrap/>
            <w:vAlign w:val="bottom"/>
          </w:tcPr>
          <w:p w14:paraId="671FA221"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110.349</w:t>
            </w:r>
          </w:p>
        </w:tc>
        <w:tc>
          <w:tcPr>
            <w:tcW w:w="1420" w:type="dxa"/>
            <w:noWrap/>
            <w:vAlign w:val="bottom"/>
          </w:tcPr>
          <w:p w14:paraId="439BAAC6"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sl-SI"/>
              </w:rPr>
            </w:pPr>
            <w:r w:rsidRPr="00C02B3F">
              <w:rPr>
                <w:rFonts w:ascii="Arial" w:hAnsi="Arial" w:cs="Arial"/>
                <w:sz w:val="18"/>
                <w:szCs w:val="18"/>
              </w:rPr>
              <w:t>144.555</w:t>
            </w:r>
          </w:p>
        </w:tc>
      </w:tr>
      <w:tr w:rsidR="0023071D" w:rsidRPr="00EE3A10" w14:paraId="25EBC8CC"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1FCA911D"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Prihodki/zaposlenega</w:t>
            </w:r>
          </w:p>
        </w:tc>
        <w:tc>
          <w:tcPr>
            <w:tcW w:w="1418" w:type="dxa"/>
            <w:noWrap/>
            <w:hideMark/>
          </w:tcPr>
          <w:p w14:paraId="392DC620"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2C168322"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sl-SI"/>
              </w:rPr>
            </w:pPr>
            <w:r w:rsidRPr="0023071D">
              <w:rPr>
                <w:rFonts w:ascii="Arial" w:hAnsi="Arial" w:cs="Arial"/>
                <w:sz w:val="18"/>
                <w:szCs w:val="18"/>
              </w:rPr>
              <w:t>119.071</w:t>
            </w:r>
          </w:p>
        </w:tc>
        <w:tc>
          <w:tcPr>
            <w:tcW w:w="1842" w:type="dxa"/>
            <w:noWrap/>
            <w:vAlign w:val="bottom"/>
          </w:tcPr>
          <w:p w14:paraId="76B16A18"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sl-SI"/>
              </w:rPr>
            </w:pPr>
            <w:r w:rsidRPr="0023071D">
              <w:rPr>
                <w:rFonts w:ascii="Arial" w:hAnsi="Arial" w:cs="Arial"/>
                <w:sz w:val="18"/>
                <w:szCs w:val="18"/>
              </w:rPr>
              <w:t>102.042</w:t>
            </w:r>
          </w:p>
        </w:tc>
        <w:tc>
          <w:tcPr>
            <w:tcW w:w="1420" w:type="dxa"/>
            <w:noWrap/>
            <w:vAlign w:val="bottom"/>
          </w:tcPr>
          <w:p w14:paraId="0F400425"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sl-SI"/>
              </w:rPr>
            </w:pPr>
            <w:r w:rsidRPr="0023071D">
              <w:rPr>
                <w:rFonts w:ascii="Arial" w:hAnsi="Arial" w:cs="Arial"/>
                <w:sz w:val="18"/>
                <w:szCs w:val="18"/>
              </w:rPr>
              <w:t>126.573</w:t>
            </w:r>
          </w:p>
        </w:tc>
      </w:tr>
    </w:tbl>
    <w:p w14:paraId="61830D47" w14:textId="77777777" w:rsidR="003372D7" w:rsidRPr="00E205E2" w:rsidRDefault="003372D7" w:rsidP="003372D7">
      <w:pPr>
        <w:spacing w:before="20"/>
        <w:jc w:val="both"/>
        <w:rPr>
          <w:rFonts w:cstheme="minorHAnsi"/>
          <w:i/>
          <w:iCs/>
          <w:sz w:val="18"/>
          <w:szCs w:val="18"/>
        </w:rPr>
      </w:pPr>
      <w:r w:rsidRPr="00E205E2">
        <w:rPr>
          <w:rFonts w:cstheme="minorHAnsi"/>
          <w:i/>
          <w:iCs/>
          <w:sz w:val="18"/>
          <w:szCs w:val="18"/>
        </w:rPr>
        <w:t xml:space="preserve">Vir: </w:t>
      </w:r>
      <w:r>
        <w:rPr>
          <w:rFonts w:cstheme="minorHAnsi"/>
          <w:i/>
          <w:iCs/>
          <w:sz w:val="18"/>
          <w:szCs w:val="18"/>
        </w:rPr>
        <w:t>Eurostat</w:t>
      </w:r>
      <w:r w:rsidRPr="00E205E2">
        <w:rPr>
          <w:rFonts w:cstheme="minorHAnsi"/>
          <w:i/>
          <w:iCs/>
          <w:sz w:val="18"/>
          <w:szCs w:val="18"/>
        </w:rPr>
        <w:t>, strukturna statistika podjetij, preračuni Analitika GZS</w:t>
      </w:r>
    </w:p>
    <w:p w14:paraId="7BA14E75" w14:textId="674B64C2" w:rsidR="00066967" w:rsidRPr="00964361" w:rsidRDefault="00F85C47" w:rsidP="00405849">
      <w:pPr>
        <w:jc w:val="both"/>
      </w:pPr>
      <w:r>
        <w:rPr>
          <w:rFonts w:cstheme="minorHAnsi"/>
        </w:rPr>
        <w:t>V</w:t>
      </w:r>
      <w:r w:rsidRPr="00964361">
        <w:rPr>
          <w:rFonts w:cstheme="minorHAnsi"/>
        </w:rPr>
        <w:t xml:space="preserve"> elektro industriji je </w:t>
      </w:r>
      <w:r w:rsidR="003720A7" w:rsidRPr="00964361">
        <w:rPr>
          <w:rFonts w:cstheme="minorHAnsi"/>
        </w:rPr>
        <w:t xml:space="preserve">Slovenija </w:t>
      </w:r>
      <w:r w:rsidRPr="00964361">
        <w:rPr>
          <w:rFonts w:cstheme="minorHAnsi"/>
        </w:rPr>
        <w:t xml:space="preserve">v 2017 </w:t>
      </w:r>
      <w:r w:rsidR="003720A7" w:rsidRPr="00964361">
        <w:rPr>
          <w:rFonts w:cstheme="minorHAnsi"/>
        </w:rPr>
        <w:t xml:space="preserve">ustvarila višjo </w:t>
      </w:r>
      <w:r w:rsidR="003720A7" w:rsidRPr="00964361">
        <w:rPr>
          <w:rFonts w:cstheme="minorHAnsi"/>
          <w:b/>
          <w:bCs/>
        </w:rPr>
        <w:t>dodano vrednost na zaposlenega</w:t>
      </w:r>
      <w:r w:rsidR="003720A7" w:rsidRPr="00964361">
        <w:rPr>
          <w:rFonts w:cstheme="minorHAnsi"/>
        </w:rPr>
        <w:t xml:space="preserve"> (41</w:t>
      </w:r>
      <w:r w:rsidR="00927F5E">
        <w:rPr>
          <w:rFonts w:cstheme="minorHAnsi"/>
        </w:rPr>
        <w:t>.000</w:t>
      </w:r>
      <w:r w:rsidR="003720A7" w:rsidRPr="00964361">
        <w:rPr>
          <w:rFonts w:cstheme="minorHAnsi"/>
        </w:rPr>
        <w:t xml:space="preserve"> EUR)</w:t>
      </w:r>
      <w:r w:rsidR="00927F5E">
        <w:rPr>
          <w:rFonts w:cstheme="minorHAnsi"/>
        </w:rPr>
        <w:t>,</w:t>
      </w:r>
      <w:r w:rsidR="003720A7" w:rsidRPr="00964361">
        <w:rPr>
          <w:rFonts w:cstheme="minorHAnsi"/>
        </w:rPr>
        <w:t xml:space="preserve"> kot znaša mediana v državah </w:t>
      </w:r>
      <w:r w:rsidR="00DC4FB4">
        <w:rPr>
          <w:rFonts w:cstheme="minorHAnsi"/>
        </w:rPr>
        <w:t>CEE-4</w:t>
      </w:r>
      <w:r w:rsidR="003720A7" w:rsidRPr="00964361">
        <w:rPr>
          <w:rFonts w:cstheme="minorHAnsi"/>
        </w:rPr>
        <w:t xml:space="preserve"> (</w:t>
      </w:r>
      <w:r w:rsidR="003700E1" w:rsidRPr="00964361">
        <w:rPr>
          <w:rFonts w:cstheme="minorHAnsi"/>
        </w:rPr>
        <w:t>31</w:t>
      </w:r>
      <w:r w:rsidR="00927F5E">
        <w:rPr>
          <w:rFonts w:cstheme="minorHAnsi"/>
        </w:rPr>
        <w:t>.000</w:t>
      </w:r>
      <w:r w:rsidR="003720A7" w:rsidRPr="00964361">
        <w:rPr>
          <w:rFonts w:cstheme="minorHAnsi"/>
        </w:rPr>
        <w:t xml:space="preserve"> EUR) ter </w:t>
      </w:r>
      <w:r w:rsidR="003700E1" w:rsidRPr="00964361">
        <w:rPr>
          <w:rFonts w:cstheme="minorHAnsi"/>
        </w:rPr>
        <w:t>nižjo</w:t>
      </w:r>
      <w:r w:rsidR="00927F5E">
        <w:rPr>
          <w:rFonts w:cstheme="minorHAnsi"/>
        </w:rPr>
        <w:t>.</w:t>
      </w:r>
      <w:r w:rsidR="003700E1" w:rsidRPr="00964361">
        <w:rPr>
          <w:rFonts w:cstheme="minorHAnsi"/>
        </w:rPr>
        <w:t xml:space="preserve"> kot</w:t>
      </w:r>
      <w:r w:rsidR="003720A7" w:rsidRPr="00964361">
        <w:rPr>
          <w:rFonts w:cstheme="minorHAnsi"/>
        </w:rPr>
        <w:t xml:space="preserve"> znaša mediana v državah EU-27 (4</w:t>
      </w:r>
      <w:r w:rsidR="003700E1" w:rsidRPr="00964361">
        <w:rPr>
          <w:rFonts w:cstheme="minorHAnsi"/>
        </w:rPr>
        <w:t>5</w:t>
      </w:r>
      <w:r w:rsidR="00927F5E">
        <w:rPr>
          <w:rFonts w:cstheme="minorHAnsi"/>
        </w:rPr>
        <w:t>.000</w:t>
      </w:r>
      <w:r w:rsidR="003720A7" w:rsidRPr="00964361">
        <w:rPr>
          <w:rFonts w:cstheme="minorHAnsi"/>
        </w:rPr>
        <w:t xml:space="preserve"> EUR). V </w:t>
      </w:r>
      <w:r w:rsidR="008954A4">
        <w:rPr>
          <w:rFonts w:cstheme="minorHAnsi"/>
        </w:rPr>
        <w:t>o</w:t>
      </w:r>
      <w:r w:rsidR="00F07BBC" w:rsidRPr="00964361">
        <w:rPr>
          <w:rFonts w:cstheme="minorHAnsi"/>
        </w:rPr>
        <w:t>bdobju</w:t>
      </w:r>
      <w:r w:rsidR="003720A7" w:rsidRPr="00964361">
        <w:rPr>
          <w:rFonts w:cstheme="minorHAnsi"/>
        </w:rPr>
        <w:t xml:space="preserve"> 2008-2017 je </w:t>
      </w:r>
      <w:r w:rsidR="003720A7" w:rsidRPr="00964361">
        <w:rPr>
          <w:rFonts w:cstheme="minorHAnsi"/>
          <w:b/>
          <w:bCs/>
        </w:rPr>
        <w:t>dodana vrednost na zaposlenega</w:t>
      </w:r>
      <w:r w:rsidR="003720A7" w:rsidRPr="00964361">
        <w:rPr>
          <w:rFonts w:cstheme="minorHAnsi"/>
        </w:rPr>
        <w:t xml:space="preserve"> v elektro industriji v Sloveniji višja od mediane </w:t>
      </w:r>
      <w:r w:rsidR="00DC4FB4">
        <w:rPr>
          <w:rFonts w:cstheme="minorHAnsi"/>
        </w:rPr>
        <w:t>CEE-4</w:t>
      </w:r>
      <w:r w:rsidR="003720A7" w:rsidRPr="00964361">
        <w:rPr>
          <w:rFonts w:cstheme="minorHAnsi"/>
        </w:rPr>
        <w:t xml:space="preserve"> in nižja od mediane EU-27.</w:t>
      </w:r>
    </w:p>
    <w:tbl>
      <w:tblPr>
        <w:tblStyle w:val="Tabelamrea4poudarek51"/>
        <w:tblW w:w="8786" w:type="dxa"/>
        <w:tblLook w:val="04A0" w:firstRow="1" w:lastRow="0" w:firstColumn="1" w:lastColumn="0" w:noHBand="0" w:noVBand="1"/>
      </w:tblPr>
      <w:tblGrid>
        <w:gridCol w:w="2405"/>
        <w:gridCol w:w="1418"/>
        <w:gridCol w:w="1701"/>
        <w:gridCol w:w="1842"/>
        <w:gridCol w:w="1420"/>
      </w:tblGrid>
      <w:tr w:rsidR="00C02B3F" w:rsidRPr="00EE3A10" w14:paraId="1C37BF34" w14:textId="77777777" w:rsidTr="00C02B3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764BCD65" w14:textId="77777777" w:rsidR="00C02B3F" w:rsidRPr="00EE3A10" w:rsidRDefault="00C02B3F" w:rsidP="00C02B3F">
            <w:pPr>
              <w:spacing w:before="0"/>
              <w:rPr>
                <w:rFonts w:asciiTheme="majorHAnsi" w:eastAsia="Times New Roman" w:hAnsiTheme="majorHAnsi" w:cs="Times New Roman"/>
                <w:sz w:val="18"/>
                <w:szCs w:val="18"/>
                <w:lang w:eastAsia="sl-SI"/>
              </w:rPr>
            </w:pPr>
            <w:r>
              <w:rPr>
                <w:rFonts w:asciiTheme="majorHAnsi" w:eastAsia="Times New Roman" w:hAnsiTheme="majorHAnsi" w:cs="Times New Roman"/>
                <w:sz w:val="18"/>
                <w:szCs w:val="18"/>
                <w:lang w:eastAsia="sl-SI"/>
              </w:rPr>
              <w:lastRenderedPageBreak/>
              <w:t>Elektro industrija</w:t>
            </w:r>
          </w:p>
        </w:tc>
        <w:tc>
          <w:tcPr>
            <w:tcW w:w="1418" w:type="dxa"/>
            <w:noWrap/>
            <w:hideMark/>
          </w:tcPr>
          <w:p w14:paraId="5513954D" w14:textId="77777777" w:rsidR="00C02B3F" w:rsidRPr="00EE3A10" w:rsidRDefault="00C02B3F" w:rsidP="00C02B3F">
            <w:pPr>
              <w:spacing w:before="0"/>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sl-SI"/>
              </w:rPr>
            </w:pPr>
          </w:p>
        </w:tc>
        <w:tc>
          <w:tcPr>
            <w:tcW w:w="1701" w:type="dxa"/>
            <w:noWrap/>
            <w:vAlign w:val="center"/>
            <w:hideMark/>
          </w:tcPr>
          <w:p w14:paraId="6B537D51" w14:textId="77777777" w:rsidR="00C02B3F" w:rsidRPr="00EE3A10" w:rsidRDefault="00C02B3F"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b w:val="0"/>
                <w:bCs w:val="0"/>
                <w:sz w:val="18"/>
                <w:szCs w:val="18"/>
                <w:lang w:eastAsia="sl-SI"/>
              </w:rPr>
              <w:t>EU-27</w:t>
            </w:r>
            <w:r>
              <w:rPr>
                <w:rFonts w:asciiTheme="majorHAnsi" w:eastAsia="Times New Roman" w:hAnsiTheme="majorHAnsi" w:cs="Arial"/>
                <w:b w:val="0"/>
                <w:bCs w:val="0"/>
                <w:sz w:val="18"/>
                <w:szCs w:val="18"/>
                <w:lang w:eastAsia="sl-SI"/>
              </w:rPr>
              <w:t>,</w:t>
            </w:r>
            <w:r w:rsidRPr="00C02B3F">
              <w:rPr>
                <w:rFonts w:asciiTheme="majorHAnsi" w:eastAsia="Times New Roman" w:hAnsiTheme="majorHAnsi" w:cs="Arial"/>
                <w:b w:val="0"/>
                <w:bCs w:val="0"/>
                <w:sz w:val="18"/>
                <w:szCs w:val="18"/>
                <w:lang w:eastAsia="sl-SI"/>
              </w:rPr>
              <w:t xml:space="preserve"> mediana</w:t>
            </w:r>
          </w:p>
        </w:tc>
        <w:tc>
          <w:tcPr>
            <w:tcW w:w="1842" w:type="dxa"/>
            <w:noWrap/>
            <w:vAlign w:val="center"/>
            <w:hideMark/>
          </w:tcPr>
          <w:p w14:paraId="7CFB7E2A" w14:textId="77777777" w:rsidR="00C02B3F" w:rsidRPr="00EE3A10" w:rsidRDefault="00DC4FB4"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Pr>
                <w:rFonts w:asciiTheme="majorHAnsi" w:eastAsia="Times New Roman" w:hAnsiTheme="majorHAnsi" w:cs="Arial"/>
                <w:b w:val="0"/>
                <w:bCs w:val="0"/>
                <w:sz w:val="18"/>
                <w:szCs w:val="18"/>
                <w:lang w:eastAsia="sl-SI"/>
              </w:rPr>
              <w:t>CEE-4</w:t>
            </w:r>
            <w:r w:rsidR="00C02B3F">
              <w:rPr>
                <w:rFonts w:asciiTheme="majorHAnsi" w:eastAsia="Times New Roman" w:hAnsiTheme="majorHAnsi" w:cs="Arial"/>
                <w:b w:val="0"/>
                <w:bCs w:val="0"/>
                <w:sz w:val="18"/>
                <w:szCs w:val="18"/>
                <w:lang w:eastAsia="sl-SI"/>
              </w:rPr>
              <w:t>,</w:t>
            </w:r>
            <w:r w:rsidR="00C02B3F" w:rsidRPr="00C02B3F">
              <w:rPr>
                <w:rFonts w:asciiTheme="majorHAnsi" w:eastAsia="Times New Roman" w:hAnsiTheme="majorHAnsi" w:cs="Arial"/>
                <w:b w:val="0"/>
                <w:bCs w:val="0"/>
                <w:sz w:val="18"/>
                <w:szCs w:val="18"/>
                <w:lang w:eastAsia="sl-SI"/>
              </w:rPr>
              <w:t xml:space="preserve"> mediana</w:t>
            </w:r>
          </w:p>
        </w:tc>
        <w:tc>
          <w:tcPr>
            <w:tcW w:w="1420" w:type="dxa"/>
            <w:noWrap/>
            <w:vAlign w:val="center"/>
            <w:hideMark/>
          </w:tcPr>
          <w:p w14:paraId="57240745" w14:textId="77777777" w:rsidR="00C02B3F" w:rsidRPr="00EE3A10" w:rsidRDefault="00C02B3F"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b w:val="0"/>
                <w:bCs w:val="0"/>
                <w:sz w:val="18"/>
                <w:szCs w:val="18"/>
                <w:lang w:eastAsia="sl-SI"/>
              </w:rPr>
              <w:t>Slovenija</w:t>
            </w:r>
          </w:p>
        </w:tc>
      </w:tr>
      <w:tr w:rsidR="0023071D" w:rsidRPr="00EE3A10" w14:paraId="5D09E8D9"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1AEFF44"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Bruto marža (DV/prih.)</w:t>
            </w:r>
          </w:p>
        </w:tc>
        <w:tc>
          <w:tcPr>
            <w:tcW w:w="1418" w:type="dxa"/>
            <w:noWrap/>
            <w:hideMark/>
          </w:tcPr>
          <w:p w14:paraId="51839138"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3F66F00E"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27,1%</w:t>
            </w:r>
          </w:p>
        </w:tc>
        <w:tc>
          <w:tcPr>
            <w:tcW w:w="1842" w:type="dxa"/>
            <w:noWrap/>
            <w:vAlign w:val="bottom"/>
          </w:tcPr>
          <w:p w14:paraId="6B141356"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18,0%</w:t>
            </w:r>
          </w:p>
        </w:tc>
        <w:tc>
          <w:tcPr>
            <w:tcW w:w="1420" w:type="dxa"/>
            <w:noWrap/>
            <w:vAlign w:val="bottom"/>
          </w:tcPr>
          <w:p w14:paraId="7C36CAAA"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26,2%</w:t>
            </w:r>
          </w:p>
        </w:tc>
      </w:tr>
      <w:tr w:rsidR="0023071D" w:rsidRPr="00EE3A10" w14:paraId="0DA6C0BF"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6036A7DE"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Bruto marža (DV/prih.)</w:t>
            </w:r>
          </w:p>
        </w:tc>
        <w:tc>
          <w:tcPr>
            <w:tcW w:w="1418" w:type="dxa"/>
            <w:noWrap/>
            <w:hideMark/>
          </w:tcPr>
          <w:p w14:paraId="2BD2E417"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5485042C"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23,7%</w:t>
            </w:r>
          </w:p>
        </w:tc>
        <w:tc>
          <w:tcPr>
            <w:tcW w:w="1842" w:type="dxa"/>
            <w:noWrap/>
            <w:vAlign w:val="bottom"/>
          </w:tcPr>
          <w:p w14:paraId="0DFDE035"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16,5%</w:t>
            </w:r>
          </w:p>
        </w:tc>
        <w:tc>
          <w:tcPr>
            <w:tcW w:w="1420" w:type="dxa"/>
            <w:noWrap/>
            <w:vAlign w:val="bottom"/>
          </w:tcPr>
          <w:p w14:paraId="5F8F0B06"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26,3%</w:t>
            </w:r>
          </w:p>
        </w:tc>
      </w:tr>
      <w:tr w:rsidR="0023071D" w:rsidRPr="00EE3A10" w14:paraId="44C60349"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13D1183"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Investicije/prihodkih</w:t>
            </w:r>
          </w:p>
        </w:tc>
        <w:tc>
          <w:tcPr>
            <w:tcW w:w="1418" w:type="dxa"/>
            <w:noWrap/>
            <w:hideMark/>
          </w:tcPr>
          <w:p w14:paraId="2ED5BC49"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58A5135C"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3,3%</w:t>
            </w:r>
          </w:p>
        </w:tc>
        <w:tc>
          <w:tcPr>
            <w:tcW w:w="1842" w:type="dxa"/>
            <w:noWrap/>
            <w:vAlign w:val="bottom"/>
          </w:tcPr>
          <w:p w14:paraId="4FE49E44"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4,0%</w:t>
            </w:r>
          </w:p>
        </w:tc>
        <w:tc>
          <w:tcPr>
            <w:tcW w:w="1420" w:type="dxa"/>
            <w:noWrap/>
            <w:vAlign w:val="bottom"/>
          </w:tcPr>
          <w:p w14:paraId="10987B7C"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4,9%</w:t>
            </w:r>
          </w:p>
        </w:tc>
      </w:tr>
      <w:tr w:rsidR="0023071D" w:rsidRPr="00EE3A10" w14:paraId="1F358CFD"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7B78ED0B"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Investicije/prihodkih</w:t>
            </w:r>
          </w:p>
        </w:tc>
        <w:tc>
          <w:tcPr>
            <w:tcW w:w="1418" w:type="dxa"/>
            <w:noWrap/>
            <w:hideMark/>
          </w:tcPr>
          <w:p w14:paraId="692AC3EB"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28AAF134"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3,0%</w:t>
            </w:r>
          </w:p>
        </w:tc>
        <w:tc>
          <w:tcPr>
            <w:tcW w:w="1842" w:type="dxa"/>
            <w:noWrap/>
            <w:vAlign w:val="bottom"/>
          </w:tcPr>
          <w:p w14:paraId="40F421C5"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2,9%</w:t>
            </w:r>
          </w:p>
        </w:tc>
        <w:tc>
          <w:tcPr>
            <w:tcW w:w="1420" w:type="dxa"/>
            <w:noWrap/>
            <w:vAlign w:val="bottom"/>
          </w:tcPr>
          <w:p w14:paraId="70C06026"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4,9%</w:t>
            </w:r>
          </w:p>
        </w:tc>
      </w:tr>
      <w:tr w:rsidR="0023071D" w:rsidRPr="00EE3A10" w14:paraId="7D036C4D"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646E9110"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EBITDA marža</w:t>
            </w:r>
          </w:p>
        </w:tc>
        <w:tc>
          <w:tcPr>
            <w:tcW w:w="1418" w:type="dxa"/>
            <w:noWrap/>
            <w:hideMark/>
          </w:tcPr>
          <w:p w14:paraId="00BFF3C6"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5EF7A80D"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9,3%</w:t>
            </w:r>
          </w:p>
        </w:tc>
        <w:tc>
          <w:tcPr>
            <w:tcW w:w="1842" w:type="dxa"/>
            <w:noWrap/>
            <w:vAlign w:val="bottom"/>
          </w:tcPr>
          <w:p w14:paraId="5DF6F29C"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7,3%</w:t>
            </w:r>
          </w:p>
        </w:tc>
        <w:tc>
          <w:tcPr>
            <w:tcW w:w="1420" w:type="dxa"/>
            <w:noWrap/>
            <w:vAlign w:val="bottom"/>
          </w:tcPr>
          <w:p w14:paraId="65C62196"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10,1%</w:t>
            </w:r>
          </w:p>
        </w:tc>
      </w:tr>
      <w:tr w:rsidR="0023071D" w:rsidRPr="00EE3A10" w14:paraId="32D3EFE4"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075ECCFF"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EBITDA marža</w:t>
            </w:r>
          </w:p>
        </w:tc>
        <w:tc>
          <w:tcPr>
            <w:tcW w:w="1418" w:type="dxa"/>
            <w:noWrap/>
            <w:hideMark/>
          </w:tcPr>
          <w:p w14:paraId="5AEB1266"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072DC300"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7,6%</w:t>
            </w:r>
          </w:p>
        </w:tc>
        <w:tc>
          <w:tcPr>
            <w:tcW w:w="1842" w:type="dxa"/>
            <w:noWrap/>
            <w:vAlign w:val="bottom"/>
          </w:tcPr>
          <w:p w14:paraId="019E98B7"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7,6%</w:t>
            </w:r>
          </w:p>
        </w:tc>
        <w:tc>
          <w:tcPr>
            <w:tcW w:w="1420" w:type="dxa"/>
            <w:noWrap/>
            <w:vAlign w:val="bottom"/>
          </w:tcPr>
          <w:p w14:paraId="3C55636C"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9,0%</w:t>
            </w:r>
          </w:p>
        </w:tc>
      </w:tr>
      <w:tr w:rsidR="0023071D" w:rsidRPr="00EE3A10" w14:paraId="7C11556C"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7A6D1FA"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Strošek dela v DV</w:t>
            </w:r>
          </w:p>
        </w:tc>
        <w:tc>
          <w:tcPr>
            <w:tcW w:w="1418" w:type="dxa"/>
            <w:noWrap/>
            <w:hideMark/>
          </w:tcPr>
          <w:p w14:paraId="25D216A0"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07BAB173"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61,8%</w:t>
            </w:r>
          </w:p>
        </w:tc>
        <w:tc>
          <w:tcPr>
            <w:tcW w:w="1842" w:type="dxa"/>
            <w:noWrap/>
            <w:vAlign w:val="bottom"/>
          </w:tcPr>
          <w:p w14:paraId="20363A88"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58,3%</w:t>
            </w:r>
          </w:p>
        </w:tc>
        <w:tc>
          <w:tcPr>
            <w:tcW w:w="1420" w:type="dxa"/>
            <w:noWrap/>
            <w:vAlign w:val="bottom"/>
          </w:tcPr>
          <w:p w14:paraId="5B703E42"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61,5%</w:t>
            </w:r>
          </w:p>
        </w:tc>
      </w:tr>
      <w:tr w:rsidR="0023071D" w:rsidRPr="00EE3A10" w14:paraId="1AE19332"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4006FC35"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Strošek dela v DV</w:t>
            </w:r>
          </w:p>
        </w:tc>
        <w:tc>
          <w:tcPr>
            <w:tcW w:w="1418" w:type="dxa"/>
            <w:noWrap/>
            <w:hideMark/>
          </w:tcPr>
          <w:p w14:paraId="67064D5A" w14:textId="77777777" w:rsidR="0023071D" w:rsidRPr="00C02B3F"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Ø  2008-2017</w:t>
            </w:r>
          </w:p>
        </w:tc>
        <w:tc>
          <w:tcPr>
            <w:tcW w:w="1701" w:type="dxa"/>
            <w:noWrap/>
            <w:vAlign w:val="bottom"/>
          </w:tcPr>
          <w:p w14:paraId="77D25633"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52,7%</w:t>
            </w:r>
          </w:p>
        </w:tc>
        <w:tc>
          <w:tcPr>
            <w:tcW w:w="1842" w:type="dxa"/>
            <w:noWrap/>
            <w:vAlign w:val="bottom"/>
          </w:tcPr>
          <w:p w14:paraId="5B41E0EE"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53,3%</w:t>
            </w:r>
          </w:p>
        </w:tc>
        <w:tc>
          <w:tcPr>
            <w:tcW w:w="1420" w:type="dxa"/>
            <w:noWrap/>
            <w:vAlign w:val="bottom"/>
          </w:tcPr>
          <w:p w14:paraId="095EF4CA"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65,9%</w:t>
            </w:r>
          </w:p>
        </w:tc>
      </w:tr>
      <w:tr w:rsidR="0023071D" w:rsidRPr="00EE3A10" w14:paraId="642545CE"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AD8A647"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DV/zaposlenega</w:t>
            </w:r>
          </w:p>
        </w:tc>
        <w:tc>
          <w:tcPr>
            <w:tcW w:w="1418" w:type="dxa"/>
            <w:noWrap/>
            <w:hideMark/>
          </w:tcPr>
          <w:p w14:paraId="446FC5B6" w14:textId="77777777" w:rsidR="0023071D" w:rsidRPr="00C02B3F"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2017</w:t>
            </w:r>
          </w:p>
        </w:tc>
        <w:tc>
          <w:tcPr>
            <w:tcW w:w="1701" w:type="dxa"/>
            <w:noWrap/>
            <w:vAlign w:val="bottom"/>
          </w:tcPr>
          <w:p w14:paraId="0F00C1BE"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45.038</w:t>
            </w:r>
          </w:p>
        </w:tc>
        <w:tc>
          <w:tcPr>
            <w:tcW w:w="1842" w:type="dxa"/>
            <w:noWrap/>
            <w:vAlign w:val="bottom"/>
          </w:tcPr>
          <w:p w14:paraId="2B155BB5"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31.143</w:t>
            </w:r>
          </w:p>
        </w:tc>
        <w:tc>
          <w:tcPr>
            <w:tcW w:w="1420" w:type="dxa"/>
            <w:noWrap/>
            <w:vAlign w:val="bottom"/>
          </w:tcPr>
          <w:p w14:paraId="6D6C05BE"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41.619</w:t>
            </w:r>
          </w:p>
        </w:tc>
      </w:tr>
      <w:tr w:rsidR="0023071D" w:rsidRPr="00EE3A10" w14:paraId="2A201ECC"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04F3CC60"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DV/zaposlenega</w:t>
            </w:r>
          </w:p>
        </w:tc>
        <w:tc>
          <w:tcPr>
            <w:tcW w:w="1418" w:type="dxa"/>
            <w:noWrap/>
            <w:hideMark/>
          </w:tcPr>
          <w:p w14:paraId="17F43EDE" w14:textId="77777777" w:rsidR="0023071D" w:rsidRPr="00C02B3F"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Ø  2008-2017</w:t>
            </w:r>
          </w:p>
        </w:tc>
        <w:tc>
          <w:tcPr>
            <w:tcW w:w="1701" w:type="dxa"/>
            <w:noWrap/>
            <w:vAlign w:val="bottom"/>
          </w:tcPr>
          <w:p w14:paraId="101C82C6"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54.585</w:t>
            </w:r>
          </w:p>
        </w:tc>
        <w:tc>
          <w:tcPr>
            <w:tcW w:w="1842" w:type="dxa"/>
            <w:noWrap/>
            <w:vAlign w:val="bottom"/>
          </w:tcPr>
          <w:p w14:paraId="30D19B48"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28.315</w:t>
            </w:r>
          </w:p>
        </w:tc>
        <w:tc>
          <w:tcPr>
            <w:tcW w:w="1420" w:type="dxa"/>
            <w:noWrap/>
            <w:vAlign w:val="bottom"/>
          </w:tcPr>
          <w:p w14:paraId="743ED938"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34.322</w:t>
            </w:r>
          </w:p>
        </w:tc>
      </w:tr>
      <w:tr w:rsidR="0023071D" w:rsidRPr="00EE3A10" w14:paraId="5A52F596"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D4A4FDA"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Prihodki/zaposlenega</w:t>
            </w:r>
          </w:p>
        </w:tc>
        <w:tc>
          <w:tcPr>
            <w:tcW w:w="1418" w:type="dxa"/>
            <w:noWrap/>
            <w:hideMark/>
          </w:tcPr>
          <w:p w14:paraId="16E62C93" w14:textId="77777777" w:rsidR="0023071D" w:rsidRPr="00C02B3F"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2017</w:t>
            </w:r>
          </w:p>
        </w:tc>
        <w:tc>
          <w:tcPr>
            <w:tcW w:w="1701" w:type="dxa"/>
            <w:noWrap/>
            <w:vAlign w:val="bottom"/>
          </w:tcPr>
          <w:p w14:paraId="1748B6BB"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204.605</w:t>
            </w:r>
          </w:p>
        </w:tc>
        <w:tc>
          <w:tcPr>
            <w:tcW w:w="1842" w:type="dxa"/>
            <w:noWrap/>
            <w:vAlign w:val="bottom"/>
          </w:tcPr>
          <w:p w14:paraId="5B96E7AB"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180.710</w:t>
            </w:r>
          </w:p>
        </w:tc>
        <w:tc>
          <w:tcPr>
            <w:tcW w:w="1420" w:type="dxa"/>
            <w:noWrap/>
            <w:vAlign w:val="bottom"/>
          </w:tcPr>
          <w:p w14:paraId="47426CC1"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158.625</w:t>
            </w:r>
          </w:p>
        </w:tc>
      </w:tr>
      <w:tr w:rsidR="0023071D" w:rsidRPr="00EE3A10" w14:paraId="0EE89F97"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3BA474A7"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Prihodki/zaposlenega</w:t>
            </w:r>
          </w:p>
        </w:tc>
        <w:tc>
          <w:tcPr>
            <w:tcW w:w="1418" w:type="dxa"/>
            <w:noWrap/>
            <w:hideMark/>
          </w:tcPr>
          <w:p w14:paraId="2F1BF97E"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5F3F33E8"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230.548</w:t>
            </w:r>
          </w:p>
        </w:tc>
        <w:tc>
          <w:tcPr>
            <w:tcW w:w="1842" w:type="dxa"/>
            <w:noWrap/>
            <w:vAlign w:val="bottom"/>
          </w:tcPr>
          <w:p w14:paraId="16B74305"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171.494</w:t>
            </w:r>
          </w:p>
        </w:tc>
        <w:tc>
          <w:tcPr>
            <w:tcW w:w="1420" w:type="dxa"/>
            <w:noWrap/>
            <w:vAlign w:val="bottom"/>
          </w:tcPr>
          <w:p w14:paraId="0F92D456"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130.402</w:t>
            </w:r>
          </w:p>
        </w:tc>
      </w:tr>
    </w:tbl>
    <w:p w14:paraId="0D3F2E1D" w14:textId="77777777" w:rsidR="003372D7" w:rsidRPr="00E205E2" w:rsidRDefault="003372D7" w:rsidP="003372D7">
      <w:pPr>
        <w:spacing w:before="20"/>
        <w:jc w:val="both"/>
        <w:rPr>
          <w:rFonts w:cstheme="minorHAnsi"/>
          <w:i/>
          <w:iCs/>
          <w:sz w:val="18"/>
          <w:szCs w:val="18"/>
        </w:rPr>
      </w:pPr>
      <w:r w:rsidRPr="00E205E2">
        <w:rPr>
          <w:rFonts w:cstheme="minorHAnsi"/>
          <w:i/>
          <w:iCs/>
          <w:sz w:val="18"/>
          <w:szCs w:val="18"/>
        </w:rPr>
        <w:t xml:space="preserve">Vir: </w:t>
      </w:r>
      <w:r>
        <w:rPr>
          <w:rFonts w:cstheme="minorHAnsi"/>
          <w:i/>
          <w:iCs/>
          <w:sz w:val="18"/>
          <w:szCs w:val="18"/>
        </w:rPr>
        <w:t>Eurostat</w:t>
      </w:r>
      <w:r w:rsidRPr="00E205E2">
        <w:rPr>
          <w:rFonts w:cstheme="minorHAnsi"/>
          <w:i/>
          <w:iCs/>
          <w:sz w:val="18"/>
          <w:szCs w:val="18"/>
        </w:rPr>
        <w:t>, strukturna statistika podjetij, preračuni Analitika GZS</w:t>
      </w:r>
    </w:p>
    <w:p w14:paraId="4BD8C23C" w14:textId="1D1D8414" w:rsidR="00066967" w:rsidRPr="00405849" w:rsidRDefault="00F85C47" w:rsidP="00B41F3F">
      <w:pPr>
        <w:jc w:val="both"/>
        <w:rPr>
          <w:sz w:val="18"/>
        </w:rPr>
      </w:pPr>
      <w:r>
        <w:rPr>
          <w:rFonts w:cstheme="minorHAnsi"/>
        </w:rPr>
        <w:t>V</w:t>
      </w:r>
      <w:r w:rsidRPr="00405849">
        <w:rPr>
          <w:rFonts w:cstheme="minorHAnsi"/>
        </w:rPr>
        <w:t xml:space="preserve"> strojni industriji je </w:t>
      </w:r>
      <w:r w:rsidR="00127C91" w:rsidRPr="00405849">
        <w:rPr>
          <w:rFonts w:cstheme="minorHAnsi"/>
        </w:rPr>
        <w:t xml:space="preserve">Slovenija </w:t>
      </w:r>
      <w:r w:rsidRPr="00405849">
        <w:rPr>
          <w:rFonts w:cstheme="minorHAnsi"/>
        </w:rPr>
        <w:t xml:space="preserve">v 2017 </w:t>
      </w:r>
      <w:r w:rsidR="00127C91" w:rsidRPr="00405849">
        <w:rPr>
          <w:rFonts w:cstheme="minorHAnsi"/>
        </w:rPr>
        <w:t xml:space="preserve">ustvarila višjo </w:t>
      </w:r>
      <w:r w:rsidR="00127C91" w:rsidRPr="00405849">
        <w:rPr>
          <w:rFonts w:cstheme="minorHAnsi"/>
          <w:b/>
          <w:bCs/>
        </w:rPr>
        <w:t>dodano vrednost na zaposlenega</w:t>
      </w:r>
      <w:r w:rsidR="00127C91" w:rsidRPr="00405849">
        <w:rPr>
          <w:rFonts w:cstheme="minorHAnsi"/>
        </w:rPr>
        <w:t xml:space="preserve"> (44</w:t>
      </w:r>
      <w:r w:rsidR="00927F5E">
        <w:rPr>
          <w:rFonts w:cstheme="minorHAnsi"/>
        </w:rPr>
        <w:t>.000</w:t>
      </w:r>
      <w:r w:rsidR="00127C91" w:rsidRPr="00405849">
        <w:rPr>
          <w:rFonts w:cstheme="minorHAnsi"/>
        </w:rPr>
        <w:t xml:space="preserve"> EUR)</w:t>
      </w:r>
      <w:r w:rsidR="00927F5E">
        <w:rPr>
          <w:rFonts w:cstheme="minorHAnsi"/>
        </w:rPr>
        <w:t>,</w:t>
      </w:r>
      <w:r w:rsidR="00127C91" w:rsidRPr="00405849">
        <w:rPr>
          <w:rFonts w:cstheme="minorHAnsi"/>
        </w:rPr>
        <w:t xml:space="preserve"> kot znaša mediana v državah </w:t>
      </w:r>
      <w:r w:rsidR="00DC4FB4">
        <w:rPr>
          <w:rFonts w:cstheme="minorHAnsi"/>
        </w:rPr>
        <w:t>CEE-4</w:t>
      </w:r>
      <w:r w:rsidR="00127C91" w:rsidRPr="00405849">
        <w:rPr>
          <w:rFonts w:cstheme="minorHAnsi"/>
        </w:rPr>
        <w:t xml:space="preserve"> (37</w:t>
      </w:r>
      <w:r w:rsidR="00927F5E">
        <w:rPr>
          <w:rFonts w:cstheme="minorHAnsi"/>
        </w:rPr>
        <w:t>.000</w:t>
      </w:r>
      <w:r w:rsidR="00927F5E" w:rsidRPr="00405849">
        <w:rPr>
          <w:rFonts w:cstheme="minorHAnsi"/>
        </w:rPr>
        <w:t xml:space="preserve"> </w:t>
      </w:r>
      <w:r w:rsidR="00127C91" w:rsidRPr="00405849">
        <w:rPr>
          <w:rFonts w:cstheme="minorHAnsi"/>
        </w:rPr>
        <w:t>EUR) ter enako</w:t>
      </w:r>
      <w:r w:rsidR="00927F5E">
        <w:rPr>
          <w:rFonts w:cstheme="minorHAnsi"/>
        </w:rPr>
        <w:t>,</w:t>
      </w:r>
      <w:r w:rsidR="00127C91" w:rsidRPr="00405849">
        <w:rPr>
          <w:rFonts w:cstheme="minorHAnsi"/>
        </w:rPr>
        <w:t xml:space="preserve"> kot znaša mediana v državah EU-27 (44</w:t>
      </w:r>
      <w:r w:rsidR="00927F5E">
        <w:rPr>
          <w:rFonts w:cstheme="minorHAnsi"/>
        </w:rPr>
        <w:t>.000</w:t>
      </w:r>
      <w:r w:rsidR="00927F5E" w:rsidRPr="00405849">
        <w:rPr>
          <w:rFonts w:cstheme="minorHAnsi"/>
        </w:rPr>
        <w:t xml:space="preserve"> </w:t>
      </w:r>
      <w:r w:rsidR="00127C91" w:rsidRPr="00405849">
        <w:rPr>
          <w:rFonts w:cstheme="minorHAnsi"/>
        </w:rPr>
        <w:t xml:space="preserve">EUR). V </w:t>
      </w:r>
      <w:r w:rsidR="008954A4">
        <w:rPr>
          <w:rFonts w:cstheme="minorHAnsi"/>
        </w:rPr>
        <w:t>o</w:t>
      </w:r>
      <w:r w:rsidR="00F07BBC" w:rsidRPr="00405849">
        <w:rPr>
          <w:rFonts w:cstheme="minorHAnsi"/>
        </w:rPr>
        <w:t>bdobju</w:t>
      </w:r>
      <w:r w:rsidR="00127C91" w:rsidRPr="00405849">
        <w:rPr>
          <w:rFonts w:cstheme="minorHAnsi"/>
        </w:rPr>
        <w:t xml:space="preserve"> 2008-2017 je </w:t>
      </w:r>
      <w:r w:rsidR="00127C91" w:rsidRPr="00405849">
        <w:rPr>
          <w:rFonts w:cstheme="minorHAnsi"/>
          <w:b/>
          <w:bCs/>
        </w:rPr>
        <w:t>dodana vrednost na zaposlenega</w:t>
      </w:r>
      <w:r w:rsidR="00127C91" w:rsidRPr="00405849">
        <w:rPr>
          <w:rFonts w:cstheme="minorHAnsi"/>
        </w:rPr>
        <w:t xml:space="preserve"> v strojni industriji v Sloveniji višja od mediane </w:t>
      </w:r>
      <w:r w:rsidR="00DC4FB4">
        <w:rPr>
          <w:rFonts w:cstheme="minorHAnsi"/>
        </w:rPr>
        <w:t>CEE-4</w:t>
      </w:r>
      <w:r w:rsidR="00127C91" w:rsidRPr="00405849">
        <w:rPr>
          <w:rFonts w:cstheme="minorHAnsi"/>
        </w:rPr>
        <w:t xml:space="preserve"> in nižja od mediane EU-27.</w:t>
      </w:r>
    </w:p>
    <w:tbl>
      <w:tblPr>
        <w:tblStyle w:val="Tabelamrea4poudarek51"/>
        <w:tblW w:w="8786" w:type="dxa"/>
        <w:tblLook w:val="04A0" w:firstRow="1" w:lastRow="0" w:firstColumn="1" w:lastColumn="0" w:noHBand="0" w:noVBand="1"/>
      </w:tblPr>
      <w:tblGrid>
        <w:gridCol w:w="2405"/>
        <w:gridCol w:w="1418"/>
        <w:gridCol w:w="1701"/>
        <w:gridCol w:w="1842"/>
        <w:gridCol w:w="1420"/>
      </w:tblGrid>
      <w:tr w:rsidR="00C02B3F" w:rsidRPr="00EE3A10" w14:paraId="526DAB00" w14:textId="77777777" w:rsidTr="00C02B3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55A05E5F" w14:textId="77777777" w:rsidR="00C02B3F" w:rsidRPr="00EE3A10" w:rsidRDefault="00C02B3F" w:rsidP="00C02B3F">
            <w:pPr>
              <w:spacing w:before="0"/>
              <w:rPr>
                <w:rFonts w:asciiTheme="majorHAnsi" w:eastAsia="Times New Roman" w:hAnsiTheme="majorHAnsi" w:cs="Times New Roman"/>
                <w:sz w:val="18"/>
                <w:szCs w:val="18"/>
                <w:lang w:eastAsia="sl-SI"/>
              </w:rPr>
            </w:pPr>
            <w:r>
              <w:rPr>
                <w:rFonts w:asciiTheme="majorHAnsi" w:eastAsia="Times New Roman" w:hAnsiTheme="majorHAnsi" w:cs="Times New Roman"/>
                <w:sz w:val="18"/>
                <w:szCs w:val="18"/>
                <w:lang w:eastAsia="sl-SI"/>
              </w:rPr>
              <w:t>Strojna industrija</w:t>
            </w:r>
          </w:p>
        </w:tc>
        <w:tc>
          <w:tcPr>
            <w:tcW w:w="1418" w:type="dxa"/>
            <w:noWrap/>
            <w:hideMark/>
          </w:tcPr>
          <w:p w14:paraId="045155E8" w14:textId="77777777" w:rsidR="00C02B3F" w:rsidRPr="00EE3A10" w:rsidRDefault="00C02B3F" w:rsidP="00C02B3F">
            <w:pPr>
              <w:spacing w:before="0"/>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sl-SI"/>
              </w:rPr>
            </w:pPr>
          </w:p>
        </w:tc>
        <w:tc>
          <w:tcPr>
            <w:tcW w:w="1701" w:type="dxa"/>
            <w:noWrap/>
            <w:vAlign w:val="center"/>
            <w:hideMark/>
          </w:tcPr>
          <w:p w14:paraId="3F594E44" w14:textId="77777777" w:rsidR="00C02B3F" w:rsidRPr="00EE3A10" w:rsidRDefault="00C02B3F"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b w:val="0"/>
                <w:bCs w:val="0"/>
                <w:sz w:val="18"/>
                <w:szCs w:val="18"/>
                <w:lang w:eastAsia="sl-SI"/>
              </w:rPr>
              <w:t>EU-27</w:t>
            </w:r>
            <w:r>
              <w:rPr>
                <w:rFonts w:asciiTheme="majorHAnsi" w:eastAsia="Times New Roman" w:hAnsiTheme="majorHAnsi" w:cs="Arial"/>
                <w:b w:val="0"/>
                <w:bCs w:val="0"/>
                <w:sz w:val="18"/>
                <w:szCs w:val="18"/>
                <w:lang w:eastAsia="sl-SI"/>
              </w:rPr>
              <w:t>,</w:t>
            </w:r>
            <w:r w:rsidRPr="00C02B3F">
              <w:rPr>
                <w:rFonts w:asciiTheme="majorHAnsi" w:eastAsia="Times New Roman" w:hAnsiTheme="majorHAnsi" w:cs="Arial"/>
                <w:b w:val="0"/>
                <w:bCs w:val="0"/>
                <w:sz w:val="18"/>
                <w:szCs w:val="18"/>
                <w:lang w:eastAsia="sl-SI"/>
              </w:rPr>
              <w:t xml:space="preserve"> mediana</w:t>
            </w:r>
          </w:p>
        </w:tc>
        <w:tc>
          <w:tcPr>
            <w:tcW w:w="1842" w:type="dxa"/>
            <w:noWrap/>
            <w:vAlign w:val="center"/>
            <w:hideMark/>
          </w:tcPr>
          <w:p w14:paraId="601C6E41" w14:textId="77777777" w:rsidR="00C02B3F" w:rsidRPr="00EE3A10" w:rsidRDefault="00DC4FB4"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Pr>
                <w:rFonts w:asciiTheme="majorHAnsi" w:eastAsia="Times New Roman" w:hAnsiTheme="majorHAnsi" w:cs="Arial"/>
                <w:b w:val="0"/>
                <w:bCs w:val="0"/>
                <w:sz w:val="18"/>
                <w:szCs w:val="18"/>
                <w:lang w:eastAsia="sl-SI"/>
              </w:rPr>
              <w:t>CEE-4</w:t>
            </w:r>
            <w:r w:rsidR="00C02B3F">
              <w:rPr>
                <w:rFonts w:asciiTheme="majorHAnsi" w:eastAsia="Times New Roman" w:hAnsiTheme="majorHAnsi" w:cs="Arial"/>
                <w:b w:val="0"/>
                <w:bCs w:val="0"/>
                <w:sz w:val="18"/>
                <w:szCs w:val="18"/>
                <w:lang w:eastAsia="sl-SI"/>
              </w:rPr>
              <w:t>,</w:t>
            </w:r>
            <w:r w:rsidR="00C02B3F" w:rsidRPr="00C02B3F">
              <w:rPr>
                <w:rFonts w:asciiTheme="majorHAnsi" w:eastAsia="Times New Roman" w:hAnsiTheme="majorHAnsi" w:cs="Arial"/>
                <w:b w:val="0"/>
                <w:bCs w:val="0"/>
                <w:sz w:val="18"/>
                <w:szCs w:val="18"/>
                <w:lang w:eastAsia="sl-SI"/>
              </w:rPr>
              <w:t xml:space="preserve"> mediana</w:t>
            </w:r>
          </w:p>
        </w:tc>
        <w:tc>
          <w:tcPr>
            <w:tcW w:w="1420" w:type="dxa"/>
            <w:noWrap/>
            <w:vAlign w:val="center"/>
            <w:hideMark/>
          </w:tcPr>
          <w:p w14:paraId="3DBE8E80" w14:textId="77777777" w:rsidR="00C02B3F" w:rsidRPr="00EE3A10" w:rsidRDefault="00C02B3F"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b w:val="0"/>
                <w:bCs w:val="0"/>
                <w:sz w:val="18"/>
                <w:szCs w:val="18"/>
                <w:lang w:eastAsia="sl-SI"/>
              </w:rPr>
              <w:t>Slovenija</w:t>
            </w:r>
          </w:p>
        </w:tc>
      </w:tr>
      <w:tr w:rsidR="0023071D" w:rsidRPr="00EE3A10" w14:paraId="211408D9"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4460B6C"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Bruto marža (DV/prih.)</w:t>
            </w:r>
          </w:p>
        </w:tc>
        <w:tc>
          <w:tcPr>
            <w:tcW w:w="1418" w:type="dxa"/>
            <w:noWrap/>
            <w:hideMark/>
          </w:tcPr>
          <w:p w14:paraId="1E3101B5"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591B3D91"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26,4%</w:t>
            </w:r>
          </w:p>
        </w:tc>
        <w:tc>
          <w:tcPr>
            <w:tcW w:w="1842" w:type="dxa"/>
            <w:noWrap/>
            <w:vAlign w:val="bottom"/>
          </w:tcPr>
          <w:p w14:paraId="0515C217"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20,3%</w:t>
            </w:r>
          </w:p>
        </w:tc>
        <w:tc>
          <w:tcPr>
            <w:tcW w:w="1420" w:type="dxa"/>
            <w:noWrap/>
            <w:vAlign w:val="bottom"/>
          </w:tcPr>
          <w:p w14:paraId="2EC39ABD"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26,6%</w:t>
            </w:r>
          </w:p>
        </w:tc>
      </w:tr>
      <w:tr w:rsidR="0023071D" w:rsidRPr="00EE3A10" w14:paraId="13EB8000"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18A42B8D"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Bruto marža (DV/prih.)</w:t>
            </w:r>
          </w:p>
        </w:tc>
        <w:tc>
          <w:tcPr>
            <w:tcW w:w="1418" w:type="dxa"/>
            <w:noWrap/>
            <w:hideMark/>
          </w:tcPr>
          <w:p w14:paraId="6D2774F8"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1DBF4981"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19,7%</w:t>
            </w:r>
          </w:p>
        </w:tc>
        <w:tc>
          <w:tcPr>
            <w:tcW w:w="1842" w:type="dxa"/>
            <w:noWrap/>
            <w:vAlign w:val="bottom"/>
          </w:tcPr>
          <w:p w14:paraId="4E7393A2"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22,2%</w:t>
            </w:r>
          </w:p>
        </w:tc>
        <w:tc>
          <w:tcPr>
            <w:tcW w:w="1420" w:type="dxa"/>
            <w:noWrap/>
            <w:vAlign w:val="bottom"/>
          </w:tcPr>
          <w:p w14:paraId="42F3896A"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25,0%</w:t>
            </w:r>
          </w:p>
        </w:tc>
      </w:tr>
      <w:tr w:rsidR="0023071D" w:rsidRPr="00EE3A10" w14:paraId="6EB27727"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C9A4755"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Investicije/prihodkih</w:t>
            </w:r>
          </w:p>
        </w:tc>
        <w:tc>
          <w:tcPr>
            <w:tcW w:w="1418" w:type="dxa"/>
            <w:noWrap/>
            <w:hideMark/>
          </w:tcPr>
          <w:p w14:paraId="55AF5EB8"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43D1A6B0"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3,5%</w:t>
            </w:r>
          </w:p>
        </w:tc>
        <w:tc>
          <w:tcPr>
            <w:tcW w:w="1842" w:type="dxa"/>
            <w:noWrap/>
            <w:vAlign w:val="bottom"/>
          </w:tcPr>
          <w:p w14:paraId="5CF492B7"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5,4%</w:t>
            </w:r>
          </w:p>
        </w:tc>
        <w:tc>
          <w:tcPr>
            <w:tcW w:w="1420" w:type="dxa"/>
            <w:noWrap/>
            <w:vAlign w:val="bottom"/>
          </w:tcPr>
          <w:p w14:paraId="2DAD5C16"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5,6%</w:t>
            </w:r>
          </w:p>
        </w:tc>
      </w:tr>
      <w:tr w:rsidR="0023071D" w:rsidRPr="00EE3A10" w14:paraId="75CFCDCB"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4F921817"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Investicije/prihodkih</w:t>
            </w:r>
          </w:p>
        </w:tc>
        <w:tc>
          <w:tcPr>
            <w:tcW w:w="1418" w:type="dxa"/>
            <w:noWrap/>
            <w:hideMark/>
          </w:tcPr>
          <w:p w14:paraId="32B30D30"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1A0DB452"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3,5%</w:t>
            </w:r>
          </w:p>
        </w:tc>
        <w:tc>
          <w:tcPr>
            <w:tcW w:w="1842" w:type="dxa"/>
            <w:noWrap/>
            <w:vAlign w:val="bottom"/>
          </w:tcPr>
          <w:p w14:paraId="1ACB6504"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4,8%</w:t>
            </w:r>
          </w:p>
        </w:tc>
        <w:tc>
          <w:tcPr>
            <w:tcW w:w="1420" w:type="dxa"/>
            <w:noWrap/>
            <w:vAlign w:val="bottom"/>
          </w:tcPr>
          <w:p w14:paraId="07EEF8EA"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4,8%</w:t>
            </w:r>
          </w:p>
        </w:tc>
      </w:tr>
      <w:tr w:rsidR="0023071D" w:rsidRPr="00EE3A10" w14:paraId="3E0EE0D2"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016EC11"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EBITDA marža</w:t>
            </w:r>
          </w:p>
        </w:tc>
        <w:tc>
          <w:tcPr>
            <w:tcW w:w="1418" w:type="dxa"/>
            <w:noWrap/>
            <w:hideMark/>
          </w:tcPr>
          <w:p w14:paraId="4A6B23D0"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0B49C206"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9,6%</w:t>
            </w:r>
          </w:p>
        </w:tc>
        <w:tc>
          <w:tcPr>
            <w:tcW w:w="1842" w:type="dxa"/>
            <w:noWrap/>
            <w:vAlign w:val="bottom"/>
          </w:tcPr>
          <w:p w14:paraId="27A52364"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10,1%</w:t>
            </w:r>
          </w:p>
        </w:tc>
        <w:tc>
          <w:tcPr>
            <w:tcW w:w="1420" w:type="dxa"/>
            <w:noWrap/>
            <w:vAlign w:val="bottom"/>
          </w:tcPr>
          <w:p w14:paraId="054B8A8C"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10,2%</w:t>
            </w:r>
          </w:p>
        </w:tc>
      </w:tr>
      <w:tr w:rsidR="0023071D" w:rsidRPr="00EE3A10" w14:paraId="4F0E62A0"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5BD3A876"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EBITDA marža</w:t>
            </w:r>
          </w:p>
        </w:tc>
        <w:tc>
          <w:tcPr>
            <w:tcW w:w="1418" w:type="dxa"/>
            <w:noWrap/>
            <w:hideMark/>
          </w:tcPr>
          <w:p w14:paraId="61F29E57"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33B169E4"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7,0%</w:t>
            </w:r>
          </w:p>
        </w:tc>
        <w:tc>
          <w:tcPr>
            <w:tcW w:w="1842" w:type="dxa"/>
            <w:noWrap/>
            <w:vAlign w:val="bottom"/>
          </w:tcPr>
          <w:p w14:paraId="38381417"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11,3%</w:t>
            </w:r>
          </w:p>
        </w:tc>
        <w:tc>
          <w:tcPr>
            <w:tcW w:w="1420" w:type="dxa"/>
            <w:noWrap/>
            <w:vAlign w:val="bottom"/>
          </w:tcPr>
          <w:p w14:paraId="5A677C0A"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8,7%</w:t>
            </w:r>
          </w:p>
        </w:tc>
      </w:tr>
      <w:tr w:rsidR="0023071D" w:rsidRPr="00EE3A10" w14:paraId="78C7CB22"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5EA698A"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Strošek dela v DV</w:t>
            </w:r>
          </w:p>
        </w:tc>
        <w:tc>
          <w:tcPr>
            <w:tcW w:w="1418" w:type="dxa"/>
            <w:noWrap/>
            <w:hideMark/>
          </w:tcPr>
          <w:p w14:paraId="3CDFD608" w14:textId="77777777" w:rsidR="0023071D" w:rsidRPr="00C02B3F"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2017</w:t>
            </w:r>
          </w:p>
        </w:tc>
        <w:tc>
          <w:tcPr>
            <w:tcW w:w="1701" w:type="dxa"/>
            <w:noWrap/>
            <w:vAlign w:val="bottom"/>
          </w:tcPr>
          <w:p w14:paraId="7222D755"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63,8%</w:t>
            </w:r>
          </w:p>
        </w:tc>
        <w:tc>
          <w:tcPr>
            <w:tcW w:w="1842" w:type="dxa"/>
            <w:noWrap/>
            <w:vAlign w:val="bottom"/>
          </w:tcPr>
          <w:p w14:paraId="3DABBD55"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53,4%</w:t>
            </w:r>
          </w:p>
        </w:tc>
        <w:tc>
          <w:tcPr>
            <w:tcW w:w="1420" w:type="dxa"/>
            <w:noWrap/>
            <w:vAlign w:val="bottom"/>
          </w:tcPr>
          <w:p w14:paraId="008B3DA0"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61,7%</w:t>
            </w:r>
          </w:p>
        </w:tc>
      </w:tr>
      <w:tr w:rsidR="0023071D" w:rsidRPr="00EE3A10" w14:paraId="5C415F80"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23C8D768"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Strošek dela v DV</w:t>
            </w:r>
          </w:p>
        </w:tc>
        <w:tc>
          <w:tcPr>
            <w:tcW w:w="1418" w:type="dxa"/>
            <w:noWrap/>
            <w:hideMark/>
          </w:tcPr>
          <w:p w14:paraId="6AFC8021" w14:textId="77777777" w:rsidR="0023071D" w:rsidRPr="00C02B3F"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Ø  2008-2017</w:t>
            </w:r>
          </w:p>
        </w:tc>
        <w:tc>
          <w:tcPr>
            <w:tcW w:w="1701" w:type="dxa"/>
            <w:noWrap/>
            <w:vAlign w:val="bottom"/>
          </w:tcPr>
          <w:p w14:paraId="73CC5989"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59,3%</w:t>
            </w:r>
          </w:p>
        </w:tc>
        <w:tc>
          <w:tcPr>
            <w:tcW w:w="1842" w:type="dxa"/>
            <w:noWrap/>
            <w:vAlign w:val="bottom"/>
          </w:tcPr>
          <w:p w14:paraId="0193DE2D"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48,3%</w:t>
            </w:r>
          </w:p>
        </w:tc>
        <w:tc>
          <w:tcPr>
            <w:tcW w:w="1420" w:type="dxa"/>
            <w:noWrap/>
            <w:vAlign w:val="bottom"/>
          </w:tcPr>
          <w:p w14:paraId="20BF0C23"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65,4%</w:t>
            </w:r>
          </w:p>
        </w:tc>
      </w:tr>
      <w:tr w:rsidR="0023071D" w:rsidRPr="00EE3A10" w14:paraId="658B765B"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2F98D19"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DV/zaposlenega</w:t>
            </w:r>
          </w:p>
        </w:tc>
        <w:tc>
          <w:tcPr>
            <w:tcW w:w="1418" w:type="dxa"/>
            <w:noWrap/>
            <w:hideMark/>
          </w:tcPr>
          <w:p w14:paraId="4AA6E746" w14:textId="77777777" w:rsidR="0023071D" w:rsidRPr="00C02B3F"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2017</w:t>
            </w:r>
          </w:p>
        </w:tc>
        <w:tc>
          <w:tcPr>
            <w:tcW w:w="1701" w:type="dxa"/>
            <w:noWrap/>
            <w:vAlign w:val="bottom"/>
          </w:tcPr>
          <w:p w14:paraId="0003578D"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43.670</w:t>
            </w:r>
          </w:p>
        </w:tc>
        <w:tc>
          <w:tcPr>
            <w:tcW w:w="1842" w:type="dxa"/>
            <w:noWrap/>
            <w:vAlign w:val="bottom"/>
          </w:tcPr>
          <w:p w14:paraId="1B427E03"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37.374</w:t>
            </w:r>
          </w:p>
        </w:tc>
        <w:tc>
          <w:tcPr>
            <w:tcW w:w="1420" w:type="dxa"/>
            <w:noWrap/>
            <w:vAlign w:val="bottom"/>
          </w:tcPr>
          <w:p w14:paraId="60E8FEFF"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43.670</w:t>
            </w:r>
          </w:p>
        </w:tc>
      </w:tr>
      <w:tr w:rsidR="0023071D" w:rsidRPr="00EE3A10" w14:paraId="29441D56"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32487101"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DV/zaposlenega</w:t>
            </w:r>
          </w:p>
        </w:tc>
        <w:tc>
          <w:tcPr>
            <w:tcW w:w="1418" w:type="dxa"/>
            <w:noWrap/>
            <w:hideMark/>
          </w:tcPr>
          <w:p w14:paraId="2023F514" w14:textId="77777777" w:rsidR="0023071D" w:rsidRPr="00C02B3F"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Ø  2008-2017</w:t>
            </w:r>
          </w:p>
        </w:tc>
        <w:tc>
          <w:tcPr>
            <w:tcW w:w="1701" w:type="dxa"/>
            <w:noWrap/>
            <w:vAlign w:val="bottom"/>
          </w:tcPr>
          <w:p w14:paraId="1E7DBF35"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45.308</w:t>
            </w:r>
          </w:p>
        </w:tc>
        <w:tc>
          <w:tcPr>
            <w:tcW w:w="1842" w:type="dxa"/>
            <w:noWrap/>
            <w:vAlign w:val="bottom"/>
          </w:tcPr>
          <w:p w14:paraId="591D1DE8"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35.744</w:t>
            </w:r>
          </w:p>
        </w:tc>
        <w:tc>
          <w:tcPr>
            <w:tcW w:w="1420" w:type="dxa"/>
            <w:noWrap/>
            <w:vAlign w:val="bottom"/>
          </w:tcPr>
          <w:p w14:paraId="4D113C53"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36.204</w:t>
            </w:r>
          </w:p>
        </w:tc>
      </w:tr>
      <w:tr w:rsidR="0023071D" w:rsidRPr="00EE3A10" w14:paraId="783F1D2F"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5263646"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Prihodki/zaposlenega</w:t>
            </w:r>
          </w:p>
        </w:tc>
        <w:tc>
          <w:tcPr>
            <w:tcW w:w="1418" w:type="dxa"/>
            <w:noWrap/>
            <w:hideMark/>
          </w:tcPr>
          <w:p w14:paraId="15FCE097" w14:textId="77777777" w:rsidR="0023071D" w:rsidRPr="00C02B3F"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2017</w:t>
            </w:r>
          </w:p>
        </w:tc>
        <w:tc>
          <w:tcPr>
            <w:tcW w:w="1701" w:type="dxa"/>
            <w:noWrap/>
            <w:vAlign w:val="bottom"/>
          </w:tcPr>
          <w:p w14:paraId="2140CD6F"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196.400</w:t>
            </w:r>
          </w:p>
        </w:tc>
        <w:tc>
          <w:tcPr>
            <w:tcW w:w="1842" w:type="dxa"/>
            <w:noWrap/>
            <w:vAlign w:val="bottom"/>
          </w:tcPr>
          <w:p w14:paraId="4E15E73A"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195.885</w:t>
            </w:r>
          </w:p>
        </w:tc>
        <w:tc>
          <w:tcPr>
            <w:tcW w:w="1420" w:type="dxa"/>
            <w:noWrap/>
            <w:vAlign w:val="bottom"/>
          </w:tcPr>
          <w:p w14:paraId="395475FC"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164.119</w:t>
            </w:r>
          </w:p>
        </w:tc>
      </w:tr>
      <w:tr w:rsidR="0023071D" w:rsidRPr="00EE3A10" w14:paraId="3C14FC0D"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284F8FB5"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Prihodki/zaposlenega</w:t>
            </w:r>
          </w:p>
        </w:tc>
        <w:tc>
          <w:tcPr>
            <w:tcW w:w="1418" w:type="dxa"/>
            <w:noWrap/>
            <w:hideMark/>
          </w:tcPr>
          <w:p w14:paraId="0F48E182"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79FFE807"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229.743</w:t>
            </w:r>
          </w:p>
        </w:tc>
        <w:tc>
          <w:tcPr>
            <w:tcW w:w="1842" w:type="dxa"/>
            <w:noWrap/>
            <w:vAlign w:val="bottom"/>
          </w:tcPr>
          <w:p w14:paraId="69755066"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161.338</w:t>
            </w:r>
          </w:p>
        </w:tc>
        <w:tc>
          <w:tcPr>
            <w:tcW w:w="1420" w:type="dxa"/>
            <w:noWrap/>
            <w:vAlign w:val="bottom"/>
          </w:tcPr>
          <w:p w14:paraId="549A3CA2"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144.915</w:t>
            </w:r>
          </w:p>
        </w:tc>
      </w:tr>
    </w:tbl>
    <w:p w14:paraId="0C165977" w14:textId="77777777" w:rsidR="003372D7" w:rsidRPr="00E205E2" w:rsidRDefault="003372D7" w:rsidP="003372D7">
      <w:pPr>
        <w:spacing w:before="20"/>
        <w:jc w:val="both"/>
        <w:rPr>
          <w:rFonts w:cstheme="minorHAnsi"/>
          <w:i/>
          <w:iCs/>
          <w:sz w:val="18"/>
          <w:szCs w:val="18"/>
        </w:rPr>
      </w:pPr>
      <w:r w:rsidRPr="00E205E2">
        <w:rPr>
          <w:rFonts w:cstheme="minorHAnsi"/>
          <w:i/>
          <w:iCs/>
          <w:sz w:val="18"/>
          <w:szCs w:val="18"/>
        </w:rPr>
        <w:t xml:space="preserve">Vir: </w:t>
      </w:r>
      <w:r>
        <w:rPr>
          <w:rFonts w:cstheme="minorHAnsi"/>
          <w:i/>
          <w:iCs/>
          <w:sz w:val="18"/>
          <w:szCs w:val="18"/>
        </w:rPr>
        <w:t>Eurostat</w:t>
      </w:r>
      <w:r w:rsidRPr="00E205E2">
        <w:rPr>
          <w:rFonts w:cstheme="minorHAnsi"/>
          <w:i/>
          <w:iCs/>
          <w:sz w:val="18"/>
          <w:szCs w:val="18"/>
        </w:rPr>
        <w:t>, strukturna statistika podjetij, preračuni Analitika GZS</w:t>
      </w:r>
    </w:p>
    <w:p w14:paraId="5072DC6F" w14:textId="6FA50477" w:rsidR="00A159AE" w:rsidRPr="00405849" w:rsidRDefault="00F85C47" w:rsidP="00405849">
      <w:pPr>
        <w:jc w:val="both"/>
        <w:rPr>
          <w:sz w:val="18"/>
        </w:rPr>
      </w:pPr>
      <w:r>
        <w:rPr>
          <w:rFonts w:cstheme="minorHAnsi"/>
        </w:rPr>
        <w:t>V</w:t>
      </w:r>
      <w:r w:rsidRPr="00405849">
        <w:rPr>
          <w:rFonts w:cstheme="minorHAnsi"/>
        </w:rPr>
        <w:t xml:space="preserve"> drugih predelovalnih dejavnostih je </w:t>
      </w:r>
      <w:r w:rsidR="00A159AE" w:rsidRPr="00405849">
        <w:rPr>
          <w:rFonts w:cstheme="minorHAnsi"/>
        </w:rPr>
        <w:t xml:space="preserve">Slovenija </w:t>
      </w:r>
      <w:r w:rsidR="00AC0394" w:rsidRPr="00405849">
        <w:rPr>
          <w:rFonts w:cstheme="minorHAnsi"/>
        </w:rPr>
        <w:t xml:space="preserve">v 2017 </w:t>
      </w:r>
      <w:r w:rsidR="00A159AE" w:rsidRPr="00405849">
        <w:rPr>
          <w:rFonts w:cstheme="minorHAnsi"/>
        </w:rPr>
        <w:t xml:space="preserve">ustvarila višjo </w:t>
      </w:r>
      <w:r w:rsidR="00A159AE" w:rsidRPr="00405849">
        <w:rPr>
          <w:rFonts w:cstheme="minorHAnsi"/>
          <w:b/>
          <w:bCs/>
        </w:rPr>
        <w:t>dodano vrednost na zaposlenega</w:t>
      </w:r>
      <w:r w:rsidR="00A159AE" w:rsidRPr="00405849">
        <w:rPr>
          <w:rFonts w:cstheme="minorHAnsi"/>
        </w:rPr>
        <w:t xml:space="preserve"> (42</w:t>
      </w:r>
      <w:r w:rsidR="00927F5E">
        <w:rPr>
          <w:rFonts w:cstheme="minorHAnsi"/>
        </w:rPr>
        <w:t>.000</w:t>
      </w:r>
      <w:r w:rsidR="00927F5E" w:rsidRPr="00405849">
        <w:rPr>
          <w:rFonts w:cstheme="minorHAnsi"/>
        </w:rPr>
        <w:t xml:space="preserve"> </w:t>
      </w:r>
      <w:r w:rsidR="00A159AE" w:rsidRPr="00405849">
        <w:rPr>
          <w:rFonts w:cstheme="minorHAnsi"/>
        </w:rPr>
        <w:t>EUR</w:t>
      </w:r>
      <w:r w:rsidR="00E20AA7">
        <w:rPr>
          <w:rFonts w:cstheme="minorHAnsi"/>
        </w:rPr>
        <w:t>)</w:t>
      </w:r>
      <w:r w:rsidR="00927F5E">
        <w:rPr>
          <w:rFonts w:cstheme="minorHAnsi"/>
        </w:rPr>
        <w:t>,</w:t>
      </w:r>
      <w:r w:rsidR="00927F5E" w:rsidRPr="00405849">
        <w:rPr>
          <w:rFonts w:cstheme="minorHAnsi"/>
        </w:rPr>
        <w:t xml:space="preserve"> </w:t>
      </w:r>
      <w:r w:rsidR="00A159AE" w:rsidRPr="00405849">
        <w:rPr>
          <w:rFonts w:cstheme="minorHAnsi"/>
        </w:rPr>
        <w:t xml:space="preserve">kot znaša mediana v državah </w:t>
      </w:r>
      <w:r w:rsidR="00DC4FB4">
        <w:rPr>
          <w:rFonts w:cstheme="minorHAnsi"/>
        </w:rPr>
        <w:t>CEE-4</w:t>
      </w:r>
      <w:r w:rsidR="00A159AE" w:rsidRPr="00405849">
        <w:rPr>
          <w:rFonts w:cstheme="minorHAnsi"/>
        </w:rPr>
        <w:t xml:space="preserve"> (23</w:t>
      </w:r>
      <w:r w:rsidR="00927F5E">
        <w:rPr>
          <w:rFonts w:cstheme="minorHAnsi"/>
        </w:rPr>
        <w:t>.000</w:t>
      </w:r>
      <w:r w:rsidR="00927F5E" w:rsidRPr="00405849">
        <w:rPr>
          <w:rFonts w:cstheme="minorHAnsi"/>
        </w:rPr>
        <w:t xml:space="preserve"> </w:t>
      </w:r>
      <w:r w:rsidR="00A159AE" w:rsidRPr="00405849">
        <w:rPr>
          <w:rFonts w:cstheme="minorHAnsi"/>
        </w:rPr>
        <w:t>EUR) ter mediana v državah EU-27 (28</w:t>
      </w:r>
      <w:r w:rsidR="00927F5E">
        <w:rPr>
          <w:rFonts w:cstheme="minorHAnsi"/>
        </w:rPr>
        <w:t>.000</w:t>
      </w:r>
      <w:r w:rsidR="00927F5E" w:rsidRPr="00405849">
        <w:rPr>
          <w:rFonts w:cstheme="minorHAnsi"/>
        </w:rPr>
        <w:t xml:space="preserve"> </w:t>
      </w:r>
      <w:r w:rsidR="00A159AE" w:rsidRPr="00405849">
        <w:rPr>
          <w:rFonts w:cstheme="minorHAnsi"/>
        </w:rPr>
        <w:t xml:space="preserve">EUR). V </w:t>
      </w:r>
      <w:r w:rsidR="008954A4">
        <w:rPr>
          <w:rFonts w:cstheme="minorHAnsi"/>
        </w:rPr>
        <w:t>o</w:t>
      </w:r>
      <w:r w:rsidR="00F07BBC" w:rsidRPr="00405849">
        <w:rPr>
          <w:rFonts w:cstheme="minorHAnsi"/>
        </w:rPr>
        <w:t>bdobju</w:t>
      </w:r>
      <w:r w:rsidR="00A159AE" w:rsidRPr="00405849">
        <w:rPr>
          <w:rFonts w:cstheme="minorHAnsi"/>
        </w:rPr>
        <w:t xml:space="preserve"> 2008-2017 je </w:t>
      </w:r>
      <w:r w:rsidR="00A159AE" w:rsidRPr="00405849">
        <w:rPr>
          <w:rFonts w:cstheme="minorHAnsi"/>
          <w:b/>
          <w:bCs/>
        </w:rPr>
        <w:t>dodana vrednost na zaposlenega</w:t>
      </w:r>
      <w:r w:rsidR="00A159AE" w:rsidRPr="00405849">
        <w:rPr>
          <w:rFonts w:cstheme="minorHAnsi"/>
        </w:rPr>
        <w:t xml:space="preserve"> v drugih predelovalnih dejavnostih v Sloveniji višja tako od mediane </w:t>
      </w:r>
      <w:r w:rsidR="00DC4FB4">
        <w:rPr>
          <w:rFonts w:cstheme="minorHAnsi"/>
        </w:rPr>
        <w:t>CEE-4</w:t>
      </w:r>
      <w:r w:rsidR="00A159AE" w:rsidRPr="00405849">
        <w:rPr>
          <w:rFonts w:cstheme="minorHAnsi"/>
        </w:rPr>
        <w:t xml:space="preserve"> </w:t>
      </w:r>
      <w:r w:rsidR="00927F5E">
        <w:rPr>
          <w:rFonts w:cstheme="minorHAnsi"/>
        </w:rPr>
        <w:t>kot</w:t>
      </w:r>
      <w:r w:rsidR="00927F5E" w:rsidRPr="00405849">
        <w:rPr>
          <w:rFonts w:cstheme="minorHAnsi"/>
        </w:rPr>
        <w:t xml:space="preserve"> </w:t>
      </w:r>
      <w:r w:rsidR="00A159AE" w:rsidRPr="00405849">
        <w:rPr>
          <w:rFonts w:cstheme="minorHAnsi"/>
        </w:rPr>
        <w:t>EU-27.</w:t>
      </w:r>
    </w:p>
    <w:tbl>
      <w:tblPr>
        <w:tblStyle w:val="Tabelamrea4poudarek51"/>
        <w:tblW w:w="8786" w:type="dxa"/>
        <w:tblLook w:val="04A0" w:firstRow="1" w:lastRow="0" w:firstColumn="1" w:lastColumn="0" w:noHBand="0" w:noVBand="1"/>
      </w:tblPr>
      <w:tblGrid>
        <w:gridCol w:w="2405"/>
        <w:gridCol w:w="1418"/>
        <w:gridCol w:w="1701"/>
        <w:gridCol w:w="1842"/>
        <w:gridCol w:w="1420"/>
      </w:tblGrid>
      <w:tr w:rsidR="00C02B3F" w:rsidRPr="00EE3A10" w14:paraId="081C6631" w14:textId="77777777" w:rsidTr="00A14AD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617F5C9F" w14:textId="77777777" w:rsidR="00C02B3F" w:rsidRPr="00EE3A10" w:rsidRDefault="00C02B3F" w:rsidP="00C02B3F">
            <w:pPr>
              <w:spacing w:before="0"/>
              <w:rPr>
                <w:rFonts w:asciiTheme="majorHAnsi" w:eastAsia="Times New Roman" w:hAnsiTheme="majorHAnsi" w:cs="Times New Roman"/>
                <w:sz w:val="18"/>
                <w:szCs w:val="18"/>
                <w:lang w:eastAsia="sl-SI"/>
              </w:rPr>
            </w:pPr>
            <w:r w:rsidRPr="00EC540E">
              <w:rPr>
                <w:rFonts w:asciiTheme="majorHAnsi" w:eastAsia="Times New Roman" w:hAnsiTheme="majorHAnsi" w:cs="Times New Roman"/>
                <w:sz w:val="18"/>
                <w:szCs w:val="18"/>
                <w:lang w:eastAsia="sl-SI"/>
              </w:rPr>
              <w:t>Dr</w:t>
            </w:r>
            <w:r>
              <w:rPr>
                <w:rFonts w:asciiTheme="majorHAnsi" w:eastAsia="Times New Roman" w:hAnsiTheme="majorHAnsi" w:cs="Times New Roman"/>
                <w:sz w:val="18"/>
                <w:szCs w:val="18"/>
                <w:lang w:eastAsia="sl-SI"/>
              </w:rPr>
              <w:t>uge</w:t>
            </w:r>
            <w:r w:rsidRPr="00EC540E">
              <w:rPr>
                <w:rFonts w:asciiTheme="majorHAnsi" w:eastAsia="Times New Roman" w:hAnsiTheme="majorHAnsi" w:cs="Times New Roman"/>
                <w:sz w:val="18"/>
                <w:szCs w:val="18"/>
                <w:lang w:eastAsia="sl-SI"/>
              </w:rPr>
              <w:t xml:space="preserve"> pred. dej.</w:t>
            </w:r>
          </w:p>
        </w:tc>
        <w:tc>
          <w:tcPr>
            <w:tcW w:w="1418" w:type="dxa"/>
            <w:noWrap/>
            <w:hideMark/>
          </w:tcPr>
          <w:p w14:paraId="6E1138D8" w14:textId="77777777" w:rsidR="00C02B3F" w:rsidRPr="00EE3A10" w:rsidRDefault="00C02B3F" w:rsidP="00C02B3F">
            <w:pPr>
              <w:spacing w:before="0"/>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sl-SI"/>
              </w:rPr>
            </w:pPr>
          </w:p>
        </w:tc>
        <w:tc>
          <w:tcPr>
            <w:tcW w:w="1701" w:type="dxa"/>
            <w:noWrap/>
            <w:vAlign w:val="center"/>
            <w:hideMark/>
          </w:tcPr>
          <w:p w14:paraId="25BEA4B1" w14:textId="77777777" w:rsidR="00C02B3F" w:rsidRPr="00EE3A10" w:rsidRDefault="00C02B3F"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b w:val="0"/>
                <w:bCs w:val="0"/>
                <w:sz w:val="18"/>
                <w:szCs w:val="18"/>
                <w:lang w:eastAsia="sl-SI"/>
              </w:rPr>
              <w:t>EU-27</w:t>
            </w:r>
            <w:r>
              <w:rPr>
                <w:rFonts w:asciiTheme="majorHAnsi" w:eastAsia="Times New Roman" w:hAnsiTheme="majorHAnsi" w:cs="Arial"/>
                <w:b w:val="0"/>
                <w:bCs w:val="0"/>
                <w:sz w:val="18"/>
                <w:szCs w:val="18"/>
                <w:lang w:eastAsia="sl-SI"/>
              </w:rPr>
              <w:t>,</w:t>
            </w:r>
            <w:r w:rsidRPr="00C02B3F">
              <w:rPr>
                <w:rFonts w:asciiTheme="majorHAnsi" w:eastAsia="Times New Roman" w:hAnsiTheme="majorHAnsi" w:cs="Arial"/>
                <w:b w:val="0"/>
                <w:bCs w:val="0"/>
                <w:sz w:val="18"/>
                <w:szCs w:val="18"/>
                <w:lang w:eastAsia="sl-SI"/>
              </w:rPr>
              <w:t xml:space="preserve"> mediana</w:t>
            </w:r>
          </w:p>
        </w:tc>
        <w:tc>
          <w:tcPr>
            <w:tcW w:w="1842" w:type="dxa"/>
            <w:noWrap/>
            <w:vAlign w:val="center"/>
            <w:hideMark/>
          </w:tcPr>
          <w:p w14:paraId="1DC0D546" w14:textId="77777777" w:rsidR="00C02B3F" w:rsidRPr="00EE3A10" w:rsidRDefault="00DC4FB4"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Pr>
                <w:rFonts w:asciiTheme="majorHAnsi" w:eastAsia="Times New Roman" w:hAnsiTheme="majorHAnsi" w:cs="Arial"/>
                <w:b w:val="0"/>
                <w:bCs w:val="0"/>
                <w:sz w:val="18"/>
                <w:szCs w:val="18"/>
                <w:lang w:eastAsia="sl-SI"/>
              </w:rPr>
              <w:t>CEE-4</w:t>
            </w:r>
            <w:r w:rsidR="00C02B3F">
              <w:rPr>
                <w:rFonts w:asciiTheme="majorHAnsi" w:eastAsia="Times New Roman" w:hAnsiTheme="majorHAnsi" w:cs="Arial"/>
                <w:b w:val="0"/>
                <w:bCs w:val="0"/>
                <w:sz w:val="18"/>
                <w:szCs w:val="18"/>
                <w:lang w:eastAsia="sl-SI"/>
              </w:rPr>
              <w:t>,</w:t>
            </w:r>
            <w:r w:rsidR="00C02B3F" w:rsidRPr="00C02B3F">
              <w:rPr>
                <w:rFonts w:asciiTheme="majorHAnsi" w:eastAsia="Times New Roman" w:hAnsiTheme="majorHAnsi" w:cs="Arial"/>
                <w:b w:val="0"/>
                <w:bCs w:val="0"/>
                <w:sz w:val="18"/>
                <w:szCs w:val="18"/>
                <w:lang w:eastAsia="sl-SI"/>
              </w:rPr>
              <w:t xml:space="preserve"> mediana</w:t>
            </w:r>
          </w:p>
        </w:tc>
        <w:tc>
          <w:tcPr>
            <w:tcW w:w="1420" w:type="dxa"/>
            <w:noWrap/>
            <w:vAlign w:val="center"/>
            <w:hideMark/>
          </w:tcPr>
          <w:p w14:paraId="09C29009" w14:textId="77777777" w:rsidR="00C02B3F" w:rsidRPr="00EE3A10" w:rsidRDefault="00C02B3F" w:rsidP="00C02B3F">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b w:val="0"/>
                <w:bCs w:val="0"/>
                <w:sz w:val="18"/>
                <w:szCs w:val="18"/>
                <w:lang w:eastAsia="sl-SI"/>
              </w:rPr>
              <w:t>Slovenija</w:t>
            </w:r>
          </w:p>
        </w:tc>
      </w:tr>
      <w:tr w:rsidR="0023071D" w:rsidRPr="00EE3A10" w14:paraId="7964DA5B"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4890CC3"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Bruto marža (DV/prih.)</w:t>
            </w:r>
          </w:p>
        </w:tc>
        <w:tc>
          <w:tcPr>
            <w:tcW w:w="1418" w:type="dxa"/>
            <w:noWrap/>
            <w:hideMark/>
          </w:tcPr>
          <w:p w14:paraId="58BB8010"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2C2CBCE1"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35,5%</w:t>
            </w:r>
          </w:p>
        </w:tc>
        <w:tc>
          <w:tcPr>
            <w:tcW w:w="1842" w:type="dxa"/>
            <w:noWrap/>
            <w:vAlign w:val="bottom"/>
          </w:tcPr>
          <w:p w14:paraId="4B56E020"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32,8%</w:t>
            </w:r>
          </w:p>
        </w:tc>
        <w:tc>
          <w:tcPr>
            <w:tcW w:w="1420" w:type="dxa"/>
            <w:noWrap/>
            <w:vAlign w:val="bottom"/>
          </w:tcPr>
          <w:p w14:paraId="5EE1040A"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38,0%</w:t>
            </w:r>
          </w:p>
        </w:tc>
      </w:tr>
      <w:tr w:rsidR="0023071D" w:rsidRPr="00EE3A10" w14:paraId="58AD325E"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2D19D663"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Bruto marža (DV/prih.)</w:t>
            </w:r>
          </w:p>
        </w:tc>
        <w:tc>
          <w:tcPr>
            <w:tcW w:w="1418" w:type="dxa"/>
            <w:noWrap/>
            <w:hideMark/>
          </w:tcPr>
          <w:p w14:paraId="53425B39"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33B26995"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30,4%</w:t>
            </w:r>
          </w:p>
        </w:tc>
        <w:tc>
          <w:tcPr>
            <w:tcW w:w="1842" w:type="dxa"/>
            <w:noWrap/>
            <w:vAlign w:val="bottom"/>
          </w:tcPr>
          <w:p w14:paraId="5E8944BB"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34,0%</w:t>
            </w:r>
          </w:p>
        </w:tc>
        <w:tc>
          <w:tcPr>
            <w:tcW w:w="1420" w:type="dxa"/>
            <w:noWrap/>
            <w:vAlign w:val="bottom"/>
          </w:tcPr>
          <w:p w14:paraId="531E9E56"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33,7%</w:t>
            </w:r>
          </w:p>
        </w:tc>
      </w:tr>
      <w:tr w:rsidR="0023071D" w:rsidRPr="00EE3A10" w14:paraId="0BAEA4CF"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77213EC"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Investicije/prihodkih</w:t>
            </w:r>
          </w:p>
        </w:tc>
        <w:tc>
          <w:tcPr>
            <w:tcW w:w="1418" w:type="dxa"/>
            <w:noWrap/>
            <w:hideMark/>
          </w:tcPr>
          <w:p w14:paraId="3E72FB0F"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5C163C60"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4,4%</w:t>
            </w:r>
          </w:p>
        </w:tc>
        <w:tc>
          <w:tcPr>
            <w:tcW w:w="1842" w:type="dxa"/>
            <w:noWrap/>
            <w:vAlign w:val="bottom"/>
          </w:tcPr>
          <w:p w14:paraId="5C17051E"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7,4%</w:t>
            </w:r>
          </w:p>
        </w:tc>
        <w:tc>
          <w:tcPr>
            <w:tcW w:w="1420" w:type="dxa"/>
            <w:noWrap/>
            <w:vAlign w:val="bottom"/>
          </w:tcPr>
          <w:p w14:paraId="7A2C2C5B"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4,7%</w:t>
            </w:r>
          </w:p>
        </w:tc>
      </w:tr>
      <w:tr w:rsidR="0023071D" w:rsidRPr="00EE3A10" w14:paraId="1DC23E05"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45F55584"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Investicije/prihodkih</w:t>
            </w:r>
          </w:p>
        </w:tc>
        <w:tc>
          <w:tcPr>
            <w:tcW w:w="1418" w:type="dxa"/>
            <w:noWrap/>
            <w:hideMark/>
          </w:tcPr>
          <w:p w14:paraId="6FDE8B42"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479148CE"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4,9%</w:t>
            </w:r>
          </w:p>
        </w:tc>
        <w:tc>
          <w:tcPr>
            <w:tcW w:w="1842" w:type="dxa"/>
            <w:noWrap/>
            <w:vAlign w:val="bottom"/>
          </w:tcPr>
          <w:p w14:paraId="2BA2DAFB"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7,6%</w:t>
            </w:r>
          </w:p>
        </w:tc>
        <w:tc>
          <w:tcPr>
            <w:tcW w:w="1420" w:type="dxa"/>
            <w:noWrap/>
            <w:vAlign w:val="bottom"/>
          </w:tcPr>
          <w:p w14:paraId="21B7A85A"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5,0%</w:t>
            </w:r>
          </w:p>
        </w:tc>
      </w:tr>
      <w:tr w:rsidR="0023071D" w:rsidRPr="00EE3A10" w14:paraId="7D29A45E"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FD1F792"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EBITDA marža</w:t>
            </w:r>
          </w:p>
        </w:tc>
        <w:tc>
          <w:tcPr>
            <w:tcW w:w="1418" w:type="dxa"/>
            <w:noWrap/>
            <w:hideMark/>
          </w:tcPr>
          <w:p w14:paraId="751366E4"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045F2447"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13,3%</w:t>
            </w:r>
          </w:p>
        </w:tc>
        <w:tc>
          <w:tcPr>
            <w:tcW w:w="1842" w:type="dxa"/>
            <w:noWrap/>
            <w:vAlign w:val="bottom"/>
          </w:tcPr>
          <w:p w14:paraId="50FF7D8D"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13,9%</w:t>
            </w:r>
          </w:p>
        </w:tc>
        <w:tc>
          <w:tcPr>
            <w:tcW w:w="1420" w:type="dxa"/>
            <w:noWrap/>
            <w:vAlign w:val="bottom"/>
          </w:tcPr>
          <w:p w14:paraId="7480682E"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18,0%</w:t>
            </w:r>
          </w:p>
        </w:tc>
      </w:tr>
      <w:tr w:rsidR="0023071D" w:rsidRPr="00EE3A10" w14:paraId="0EBE93C5"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4193AD7F"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EBITDA marža</w:t>
            </w:r>
          </w:p>
        </w:tc>
        <w:tc>
          <w:tcPr>
            <w:tcW w:w="1418" w:type="dxa"/>
            <w:noWrap/>
            <w:hideMark/>
          </w:tcPr>
          <w:p w14:paraId="5973CB02"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4A3FFED1"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11,2%</w:t>
            </w:r>
          </w:p>
        </w:tc>
        <w:tc>
          <w:tcPr>
            <w:tcW w:w="1842" w:type="dxa"/>
            <w:noWrap/>
            <w:vAlign w:val="bottom"/>
          </w:tcPr>
          <w:p w14:paraId="141F71C5"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14,5%</w:t>
            </w:r>
          </w:p>
        </w:tc>
        <w:tc>
          <w:tcPr>
            <w:tcW w:w="1420" w:type="dxa"/>
            <w:noWrap/>
            <w:vAlign w:val="bottom"/>
          </w:tcPr>
          <w:p w14:paraId="155C3DE1"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13,0%</w:t>
            </w:r>
          </w:p>
        </w:tc>
      </w:tr>
      <w:tr w:rsidR="0023071D" w:rsidRPr="00EE3A10" w14:paraId="66F2B0B0"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037946E"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Strošek dela v DV</w:t>
            </w:r>
          </w:p>
        </w:tc>
        <w:tc>
          <w:tcPr>
            <w:tcW w:w="1418" w:type="dxa"/>
            <w:noWrap/>
            <w:hideMark/>
          </w:tcPr>
          <w:p w14:paraId="2F460BB7"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2D3C3776"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62,0%</w:t>
            </w:r>
          </w:p>
        </w:tc>
        <w:tc>
          <w:tcPr>
            <w:tcW w:w="1842" w:type="dxa"/>
            <w:noWrap/>
            <w:vAlign w:val="bottom"/>
          </w:tcPr>
          <w:p w14:paraId="7A286462"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60,0%</w:t>
            </w:r>
          </w:p>
        </w:tc>
        <w:tc>
          <w:tcPr>
            <w:tcW w:w="1420" w:type="dxa"/>
            <w:noWrap/>
            <w:vAlign w:val="bottom"/>
          </w:tcPr>
          <w:p w14:paraId="7A9FFE7B"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52,6%</w:t>
            </w:r>
          </w:p>
        </w:tc>
      </w:tr>
      <w:tr w:rsidR="0023071D" w:rsidRPr="00EE3A10" w14:paraId="264A5CAC"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07714175"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Strošek dela v DV</w:t>
            </w:r>
          </w:p>
        </w:tc>
        <w:tc>
          <w:tcPr>
            <w:tcW w:w="1418" w:type="dxa"/>
            <w:noWrap/>
            <w:hideMark/>
          </w:tcPr>
          <w:p w14:paraId="1EE8E01A"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66E9FA91"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66,8%</w:t>
            </w:r>
          </w:p>
        </w:tc>
        <w:tc>
          <w:tcPr>
            <w:tcW w:w="1842" w:type="dxa"/>
            <w:noWrap/>
            <w:vAlign w:val="bottom"/>
          </w:tcPr>
          <w:p w14:paraId="393E8490"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53,9%</w:t>
            </w:r>
          </w:p>
        </w:tc>
        <w:tc>
          <w:tcPr>
            <w:tcW w:w="1420" w:type="dxa"/>
            <w:noWrap/>
            <w:vAlign w:val="bottom"/>
          </w:tcPr>
          <w:p w14:paraId="2E7053C4"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61,5%</w:t>
            </w:r>
          </w:p>
        </w:tc>
      </w:tr>
      <w:tr w:rsidR="0023071D" w:rsidRPr="00EE3A10" w14:paraId="5E30925E"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DD1FD7E"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DV/zaposlenega</w:t>
            </w:r>
          </w:p>
        </w:tc>
        <w:tc>
          <w:tcPr>
            <w:tcW w:w="1418" w:type="dxa"/>
            <w:noWrap/>
            <w:hideMark/>
          </w:tcPr>
          <w:p w14:paraId="4BF6776E" w14:textId="77777777" w:rsidR="0023071D" w:rsidRPr="00C02B3F"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2017</w:t>
            </w:r>
          </w:p>
        </w:tc>
        <w:tc>
          <w:tcPr>
            <w:tcW w:w="1701" w:type="dxa"/>
            <w:noWrap/>
            <w:vAlign w:val="bottom"/>
          </w:tcPr>
          <w:p w14:paraId="49509AB1"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27.981</w:t>
            </w:r>
          </w:p>
        </w:tc>
        <w:tc>
          <w:tcPr>
            <w:tcW w:w="1842" w:type="dxa"/>
            <w:noWrap/>
            <w:vAlign w:val="bottom"/>
          </w:tcPr>
          <w:p w14:paraId="344B4913"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22.633</w:t>
            </w:r>
          </w:p>
        </w:tc>
        <w:tc>
          <w:tcPr>
            <w:tcW w:w="1420" w:type="dxa"/>
            <w:noWrap/>
            <w:vAlign w:val="bottom"/>
          </w:tcPr>
          <w:p w14:paraId="473F3066" w14:textId="77777777" w:rsidR="0023071D" w:rsidRPr="00C02B3F"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41.979</w:t>
            </w:r>
          </w:p>
        </w:tc>
      </w:tr>
      <w:tr w:rsidR="0023071D" w:rsidRPr="00EE3A10" w14:paraId="45532F87"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086C0DC6" w14:textId="77777777" w:rsidR="0023071D" w:rsidRPr="00C02B3F" w:rsidRDefault="0023071D" w:rsidP="0023071D">
            <w:pPr>
              <w:spacing w:before="0"/>
              <w:rPr>
                <w:rFonts w:asciiTheme="majorHAnsi" w:eastAsia="Times New Roman" w:hAnsiTheme="majorHAnsi" w:cs="Arial"/>
                <w:b w:val="0"/>
                <w:bCs w:val="0"/>
                <w:sz w:val="18"/>
                <w:szCs w:val="18"/>
                <w:lang w:eastAsia="sl-SI"/>
              </w:rPr>
            </w:pPr>
            <w:r w:rsidRPr="00C02B3F">
              <w:rPr>
                <w:rFonts w:asciiTheme="majorHAnsi" w:eastAsia="Times New Roman" w:hAnsiTheme="majorHAnsi" w:cs="Arial"/>
                <w:b w:val="0"/>
                <w:bCs w:val="0"/>
                <w:sz w:val="18"/>
                <w:szCs w:val="18"/>
                <w:lang w:eastAsia="sl-SI"/>
              </w:rPr>
              <w:t>DV/zaposlenega</w:t>
            </w:r>
          </w:p>
        </w:tc>
        <w:tc>
          <w:tcPr>
            <w:tcW w:w="1418" w:type="dxa"/>
            <w:noWrap/>
            <w:hideMark/>
          </w:tcPr>
          <w:p w14:paraId="34590E71" w14:textId="77777777" w:rsidR="0023071D" w:rsidRPr="00C02B3F"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Theme="majorHAnsi" w:eastAsia="Times New Roman" w:hAnsiTheme="majorHAnsi" w:cs="Arial"/>
                <w:sz w:val="18"/>
                <w:szCs w:val="18"/>
                <w:lang w:eastAsia="sl-SI"/>
              </w:rPr>
              <w:t>Ø  2008-2017</w:t>
            </w:r>
          </w:p>
        </w:tc>
        <w:tc>
          <w:tcPr>
            <w:tcW w:w="1701" w:type="dxa"/>
            <w:noWrap/>
            <w:vAlign w:val="bottom"/>
          </w:tcPr>
          <w:p w14:paraId="578BD0A7"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24.223</w:t>
            </w:r>
          </w:p>
        </w:tc>
        <w:tc>
          <w:tcPr>
            <w:tcW w:w="1842" w:type="dxa"/>
            <w:noWrap/>
            <w:vAlign w:val="bottom"/>
          </w:tcPr>
          <w:p w14:paraId="29D07B13"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21.470</w:t>
            </w:r>
          </w:p>
        </w:tc>
        <w:tc>
          <w:tcPr>
            <w:tcW w:w="1420" w:type="dxa"/>
            <w:noWrap/>
            <w:vAlign w:val="bottom"/>
          </w:tcPr>
          <w:p w14:paraId="3E0E4AAA" w14:textId="77777777" w:rsidR="0023071D" w:rsidRPr="00C02B3F"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C02B3F">
              <w:rPr>
                <w:rFonts w:ascii="Arial" w:hAnsi="Arial" w:cs="Arial"/>
                <w:sz w:val="18"/>
                <w:szCs w:val="18"/>
              </w:rPr>
              <w:t>30.183</w:t>
            </w:r>
          </w:p>
        </w:tc>
      </w:tr>
      <w:tr w:rsidR="0023071D" w:rsidRPr="00EE3A10" w14:paraId="5F6BD34A" w14:textId="77777777" w:rsidTr="00A14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3532ABB"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Prihodki/zaposlenega</w:t>
            </w:r>
          </w:p>
        </w:tc>
        <w:tc>
          <w:tcPr>
            <w:tcW w:w="1418" w:type="dxa"/>
            <w:noWrap/>
            <w:hideMark/>
          </w:tcPr>
          <w:p w14:paraId="489B15DC" w14:textId="77777777" w:rsidR="0023071D" w:rsidRPr="00EE3A10" w:rsidRDefault="0023071D" w:rsidP="0023071D">
            <w:p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2017</w:t>
            </w:r>
          </w:p>
        </w:tc>
        <w:tc>
          <w:tcPr>
            <w:tcW w:w="1701" w:type="dxa"/>
            <w:noWrap/>
            <w:vAlign w:val="bottom"/>
          </w:tcPr>
          <w:p w14:paraId="00A26F2B"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80.362</w:t>
            </w:r>
          </w:p>
        </w:tc>
        <w:tc>
          <w:tcPr>
            <w:tcW w:w="1842" w:type="dxa"/>
            <w:noWrap/>
            <w:vAlign w:val="bottom"/>
          </w:tcPr>
          <w:p w14:paraId="728F7AB7"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74.193</w:t>
            </w:r>
          </w:p>
        </w:tc>
        <w:tc>
          <w:tcPr>
            <w:tcW w:w="1420" w:type="dxa"/>
            <w:noWrap/>
            <w:vAlign w:val="bottom"/>
          </w:tcPr>
          <w:p w14:paraId="0563C43C" w14:textId="77777777" w:rsidR="0023071D" w:rsidRPr="0023071D" w:rsidRDefault="0023071D" w:rsidP="0023071D">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110.508</w:t>
            </w:r>
          </w:p>
        </w:tc>
      </w:tr>
      <w:tr w:rsidR="0023071D" w:rsidRPr="00EE3A10" w14:paraId="298F2703" w14:textId="77777777" w:rsidTr="00A14AD0">
        <w:tc>
          <w:tcPr>
            <w:cnfStyle w:val="001000000000" w:firstRow="0" w:lastRow="0" w:firstColumn="1" w:lastColumn="0" w:oddVBand="0" w:evenVBand="0" w:oddHBand="0" w:evenHBand="0" w:firstRowFirstColumn="0" w:firstRowLastColumn="0" w:lastRowFirstColumn="0" w:lastRowLastColumn="0"/>
            <w:tcW w:w="2405" w:type="dxa"/>
            <w:noWrap/>
            <w:hideMark/>
          </w:tcPr>
          <w:p w14:paraId="46959F24" w14:textId="77777777" w:rsidR="0023071D" w:rsidRPr="00A050CD" w:rsidRDefault="0023071D" w:rsidP="0023071D">
            <w:pPr>
              <w:spacing w:before="0"/>
              <w:rPr>
                <w:rFonts w:asciiTheme="majorHAnsi" w:eastAsia="Times New Roman" w:hAnsiTheme="majorHAnsi" w:cs="Arial"/>
                <w:b w:val="0"/>
                <w:bCs w:val="0"/>
                <w:sz w:val="18"/>
                <w:szCs w:val="18"/>
                <w:lang w:eastAsia="sl-SI"/>
              </w:rPr>
            </w:pPr>
            <w:r w:rsidRPr="00A050CD">
              <w:rPr>
                <w:rFonts w:asciiTheme="majorHAnsi" w:eastAsia="Times New Roman" w:hAnsiTheme="majorHAnsi" w:cs="Arial"/>
                <w:b w:val="0"/>
                <w:bCs w:val="0"/>
                <w:sz w:val="18"/>
                <w:szCs w:val="18"/>
                <w:lang w:eastAsia="sl-SI"/>
              </w:rPr>
              <w:t>Prihodki/zaposlenega</w:t>
            </w:r>
          </w:p>
        </w:tc>
        <w:tc>
          <w:tcPr>
            <w:tcW w:w="1418" w:type="dxa"/>
            <w:noWrap/>
            <w:hideMark/>
          </w:tcPr>
          <w:p w14:paraId="7506F913" w14:textId="77777777" w:rsidR="0023071D" w:rsidRPr="00EE3A10" w:rsidRDefault="0023071D" w:rsidP="0023071D">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EE3A10">
              <w:rPr>
                <w:rFonts w:asciiTheme="majorHAnsi" w:eastAsia="Times New Roman" w:hAnsiTheme="majorHAnsi" w:cs="Arial"/>
                <w:sz w:val="18"/>
                <w:szCs w:val="18"/>
                <w:lang w:eastAsia="sl-SI"/>
              </w:rPr>
              <w:t>Ø  2008-2017</w:t>
            </w:r>
          </w:p>
        </w:tc>
        <w:tc>
          <w:tcPr>
            <w:tcW w:w="1701" w:type="dxa"/>
            <w:noWrap/>
            <w:vAlign w:val="bottom"/>
          </w:tcPr>
          <w:p w14:paraId="278E354E"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79.707</w:t>
            </w:r>
          </w:p>
        </w:tc>
        <w:tc>
          <w:tcPr>
            <w:tcW w:w="1842" w:type="dxa"/>
            <w:noWrap/>
            <w:vAlign w:val="bottom"/>
          </w:tcPr>
          <w:p w14:paraId="159FBE4A"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63.171</w:t>
            </w:r>
          </w:p>
        </w:tc>
        <w:tc>
          <w:tcPr>
            <w:tcW w:w="1420" w:type="dxa"/>
            <w:noWrap/>
            <w:vAlign w:val="bottom"/>
          </w:tcPr>
          <w:p w14:paraId="2C53E544" w14:textId="77777777" w:rsidR="0023071D" w:rsidRPr="0023071D" w:rsidRDefault="0023071D" w:rsidP="0023071D">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8"/>
                <w:szCs w:val="18"/>
                <w:lang w:eastAsia="sl-SI"/>
              </w:rPr>
            </w:pPr>
            <w:r w:rsidRPr="0023071D">
              <w:rPr>
                <w:rFonts w:ascii="Arial" w:hAnsi="Arial" w:cs="Arial"/>
                <w:sz w:val="18"/>
                <w:szCs w:val="18"/>
              </w:rPr>
              <w:t>89.558</w:t>
            </w:r>
          </w:p>
        </w:tc>
      </w:tr>
    </w:tbl>
    <w:p w14:paraId="73D8789A" w14:textId="77777777" w:rsidR="003372D7" w:rsidRPr="00E205E2" w:rsidRDefault="003372D7" w:rsidP="003372D7">
      <w:pPr>
        <w:spacing w:before="20"/>
        <w:jc w:val="both"/>
        <w:rPr>
          <w:rFonts w:cstheme="minorHAnsi"/>
          <w:i/>
          <w:iCs/>
          <w:sz w:val="18"/>
          <w:szCs w:val="18"/>
        </w:rPr>
      </w:pPr>
      <w:r w:rsidRPr="00E205E2">
        <w:rPr>
          <w:rFonts w:cstheme="minorHAnsi"/>
          <w:i/>
          <w:iCs/>
          <w:sz w:val="18"/>
          <w:szCs w:val="18"/>
        </w:rPr>
        <w:t xml:space="preserve">Vir: </w:t>
      </w:r>
      <w:r>
        <w:rPr>
          <w:rFonts w:cstheme="minorHAnsi"/>
          <w:i/>
          <w:iCs/>
          <w:sz w:val="18"/>
          <w:szCs w:val="18"/>
        </w:rPr>
        <w:t>Eurostat</w:t>
      </w:r>
      <w:r w:rsidRPr="00E205E2">
        <w:rPr>
          <w:rFonts w:cstheme="minorHAnsi"/>
          <w:i/>
          <w:iCs/>
          <w:sz w:val="18"/>
          <w:szCs w:val="18"/>
        </w:rPr>
        <w:t xml:space="preserve">, strukturna statistika podjetij, preračuni Analitika </w:t>
      </w:r>
      <w:r w:rsidR="00B3385F">
        <w:rPr>
          <w:rFonts w:cstheme="minorHAnsi"/>
          <w:i/>
          <w:iCs/>
          <w:sz w:val="18"/>
          <w:szCs w:val="18"/>
        </w:rPr>
        <w:t>GZS</w:t>
      </w:r>
    </w:p>
    <w:p w14:paraId="529795F8" w14:textId="77777777" w:rsidR="00F07BBC" w:rsidRDefault="00F07BBC" w:rsidP="00405849">
      <w:pPr>
        <w:jc w:val="both"/>
        <w:rPr>
          <w:rFonts w:cstheme="minorHAnsi"/>
        </w:rPr>
      </w:pPr>
    </w:p>
    <w:p w14:paraId="1C6125D6" w14:textId="77777777" w:rsidR="00821BE0" w:rsidRPr="009B538E" w:rsidRDefault="00821BE0">
      <w:r w:rsidRPr="009B538E">
        <w:br w:type="page"/>
      </w:r>
    </w:p>
    <w:p w14:paraId="55F534F1" w14:textId="77777777" w:rsidR="00821BE0" w:rsidRPr="00964361" w:rsidRDefault="00821BE0" w:rsidP="00821BE0">
      <w:pPr>
        <w:pStyle w:val="Napis"/>
        <w:rPr>
          <w:color w:val="549E39" w:themeColor="accent1"/>
          <w:sz w:val="20"/>
          <w:szCs w:val="20"/>
        </w:rPr>
      </w:pPr>
      <w:r w:rsidRPr="007C7F66">
        <w:rPr>
          <w:color w:val="549E39" w:themeColor="accent1"/>
          <w:sz w:val="20"/>
          <w:szCs w:val="20"/>
        </w:rPr>
        <w:lastRenderedPageBreak/>
        <w:t xml:space="preserve">Priloga </w:t>
      </w:r>
      <w:r w:rsidR="0063267A" w:rsidRPr="00964361">
        <w:rPr>
          <w:color w:val="549E39" w:themeColor="accent1"/>
          <w:sz w:val="20"/>
          <w:szCs w:val="20"/>
        </w:rPr>
        <w:fldChar w:fldCharType="begin"/>
      </w:r>
      <w:r w:rsidRPr="00964361">
        <w:rPr>
          <w:color w:val="549E39" w:themeColor="accent1"/>
          <w:sz w:val="20"/>
          <w:szCs w:val="20"/>
        </w:rPr>
        <w:instrText xml:space="preserve"> SEQ Priloga \* ARABIC </w:instrText>
      </w:r>
      <w:r w:rsidR="0063267A" w:rsidRPr="00964361">
        <w:rPr>
          <w:color w:val="549E39" w:themeColor="accent1"/>
          <w:sz w:val="20"/>
          <w:szCs w:val="20"/>
        </w:rPr>
        <w:fldChar w:fldCharType="separate"/>
      </w:r>
      <w:r w:rsidR="00A57F15">
        <w:rPr>
          <w:noProof/>
          <w:color w:val="549E39" w:themeColor="accent1"/>
          <w:sz w:val="20"/>
          <w:szCs w:val="20"/>
        </w:rPr>
        <w:t>3</w:t>
      </w:r>
      <w:r w:rsidR="0063267A" w:rsidRPr="00964361">
        <w:rPr>
          <w:color w:val="549E39" w:themeColor="accent1"/>
          <w:sz w:val="20"/>
          <w:szCs w:val="20"/>
        </w:rPr>
        <w:fldChar w:fldCharType="end"/>
      </w:r>
      <w:r w:rsidRPr="00964361">
        <w:rPr>
          <w:color w:val="549E39" w:themeColor="accent1"/>
          <w:sz w:val="20"/>
          <w:szCs w:val="20"/>
        </w:rPr>
        <w:t xml:space="preserve">: </w:t>
      </w:r>
      <w:proofErr w:type="spellStart"/>
      <w:r w:rsidRPr="00964361">
        <w:rPr>
          <w:color w:val="549E39" w:themeColor="accent1"/>
          <w:sz w:val="20"/>
          <w:szCs w:val="20"/>
        </w:rPr>
        <w:t>Megatrendi</w:t>
      </w:r>
      <w:proofErr w:type="spellEnd"/>
    </w:p>
    <w:p w14:paraId="3AFCF637" w14:textId="77777777" w:rsidR="00821BE0" w:rsidRDefault="00821BE0" w:rsidP="00821BE0">
      <w:r w:rsidRPr="001321AD">
        <w:rPr>
          <w:noProof/>
          <w:lang w:eastAsia="sl-SI"/>
        </w:rPr>
        <w:drawing>
          <wp:inline distT="0" distB="0" distL="0" distR="0" wp14:anchorId="6809E60D" wp14:editId="5ECB5C5C">
            <wp:extent cx="5632118" cy="8120380"/>
            <wp:effectExtent l="0" t="0" r="6985"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4267"/>
                    <a:stretch/>
                  </pic:blipFill>
                  <pic:spPr bwMode="auto">
                    <a:xfrm>
                      <a:off x="0" y="0"/>
                      <a:ext cx="5634919" cy="8124419"/>
                    </a:xfrm>
                    <a:prstGeom prst="rect">
                      <a:avLst/>
                    </a:prstGeom>
                    <a:noFill/>
                    <a:ln>
                      <a:noFill/>
                    </a:ln>
                    <a:extLst>
                      <a:ext uri="{53640926-AAD7-44D8-BBD7-CCE9431645EC}">
                        <a14:shadowObscured xmlns:a14="http://schemas.microsoft.com/office/drawing/2010/main"/>
                      </a:ext>
                    </a:extLst>
                  </pic:spPr>
                </pic:pic>
              </a:graphicData>
            </a:graphic>
          </wp:inline>
        </w:drawing>
      </w:r>
    </w:p>
    <w:p w14:paraId="157E6EB4" w14:textId="77777777" w:rsidR="00821BE0" w:rsidRPr="00C57729" w:rsidRDefault="00C57729" w:rsidP="00C57729">
      <w:pPr>
        <w:pStyle w:val="Sprotnaopomba-besedilo"/>
        <w:rPr>
          <w:sz w:val="16"/>
          <w:szCs w:val="18"/>
        </w:rPr>
      </w:pPr>
      <w:r w:rsidRPr="001321AD">
        <w:rPr>
          <w:sz w:val="16"/>
          <w:szCs w:val="18"/>
        </w:rPr>
        <w:t>Vir:  Avtorji študije: »</w:t>
      </w:r>
      <w:proofErr w:type="spellStart"/>
      <w:r w:rsidRPr="001321AD">
        <w:rPr>
          <w:sz w:val="16"/>
          <w:szCs w:val="18"/>
        </w:rPr>
        <w:t>How</w:t>
      </w:r>
      <w:proofErr w:type="spellEnd"/>
      <w:r w:rsidRPr="001321AD">
        <w:rPr>
          <w:sz w:val="16"/>
          <w:szCs w:val="18"/>
        </w:rPr>
        <w:t xml:space="preserve"> to </w:t>
      </w:r>
      <w:proofErr w:type="spellStart"/>
      <w:r w:rsidRPr="001321AD">
        <w:rPr>
          <w:sz w:val="16"/>
          <w:szCs w:val="18"/>
        </w:rPr>
        <w:t>tackle</w:t>
      </w:r>
      <w:proofErr w:type="spellEnd"/>
      <w:r w:rsidRPr="001321AD">
        <w:rPr>
          <w:sz w:val="16"/>
          <w:szCs w:val="18"/>
        </w:rPr>
        <w:t xml:space="preserve"> </w:t>
      </w:r>
      <w:proofErr w:type="spellStart"/>
      <w:r w:rsidRPr="001321AD">
        <w:rPr>
          <w:sz w:val="16"/>
          <w:szCs w:val="18"/>
        </w:rPr>
        <w:t>challenges</w:t>
      </w:r>
      <w:proofErr w:type="spellEnd"/>
      <w:r w:rsidRPr="001321AD">
        <w:rPr>
          <w:sz w:val="16"/>
          <w:szCs w:val="18"/>
        </w:rPr>
        <w:t xml:space="preserve"> in a </w:t>
      </w:r>
      <w:proofErr w:type="spellStart"/>
      <w:r w:rsidRPr="001321AD">
        <w:rPr>
          <w:sz w:val="16"/>
          <w:szCs w:val="18"/>
        </w:rPr>
        <w:t>future</w:t>
      </w:r>
      <w:proofErr w:type="spellEnd"/>
      <w:r w:rsidRPr="001321AD">
        <w:rPr>
          <w:sz w:val="16"/>
          <w:szCs w:val="18"/>
        </w:rPr>
        <w:t>-</w:t>
      </w:r>
      <w:proofErr w:type="spellStart"/>
      <w:r w:rsidRPr="001321AD">
        <w:rPr>
          <w:sz w:val="16"/>
          <w:szCs w:val="18"/>
        </w:rPr>
        <w:t>oriented</w:t>
      </w:r>
      <w:proofErr w:type="spellEnd"/>
      <w:r w:rsidRPr="001321AD">
        <w:rPr>
          <w:sz w:val="16"/>
          <w:szCs w:val="18"/>
        </w:rPr>
        <w:t xml:space="preserve"> EU </w:t>
      </w:r>
      <w:proofErr w:type="spellStart"/>
      <w:r w:rsidRPr="001321AD">
        <w:rPr>
          <w:sz w:val="16"/>
          <w:szCs w:val="18"/>
        </w:rPr>
        <w:t>industrial</w:t>
      </w:r>
      <w:proofErr w:type="spellEnd"/>
      <w:r w:rsidRPr="001321AD">
        <w:rPr>
          <w:sz w:val="16"/>
          <w:szCs w:val="18"/>
        </w:rPr>
        <w:t xml:space="preserve"> </w:t>
      </w:r>
      <w:proofErr w:type="spellStart"/>
      <w:r w:rsidRPr="001321AD">
        <w:rPr>
          <w:sz w:val="16"/>
          <w:szCs w:val="18"/>
        </w:rPr>
        <w:t>strategy</w:t>
      </w:r>
      <w:proofErr w:type="spellEnd"/>
      <w:r w:rsidRPr="001321AD">
        <w:rPr>
          <w:sz w:val="16"/>
          <w:szCs w:val="18"/>
        </w:rPr>
        <w:t xml:space="preserve">« na osnovi </w:t>
      </w:r>
      <w:proofErr w:type="spellStart"/>
      <w:r w:rsidRPr="001321AD">
        <w:rPr>
          <w:sz w:val="16"/>
          <w:szCs w:val="18"/>
        </w:rPr>
        <w:t>European</w:t>
      </w:r>
      <w:proofErr w:type="spellEnd"/>
      <w:r w:rsidRPr="001321AD">
        <w:rPr>
          <w:sz w:val="16"/>
          <w:szCs w:val="18"/>
        </w:rPr>
        <w:t xml:space="preserve"> </w:t>
      </w:r>
      <w:proofErr w:type="spellStart"/>
      <w:r w:rsidRPr="001321AD">
        <w:rPr>
          <w:sz w:val="16"/>
          <w:szCs w:val="18"/>
        </w:rPr>
        <w:t>Observatory</w:t>
      </w:r>
      <w:proofErr w:type="spellEnd"/>
      <w:r w:rsidRPr="001321AD">
        <w:rPr>
          <w:sz w:val="16"/>
          <w:szCs w:val="18"/>
        </w:rPr>
        <w:t xml:space="preserve"> </w:t>
      </w:r>
      <w:proofErr w:type="spellStart"/>
      <w:r w:rsidRPr="001321AD">
        <w:rPr>
          <w:sz w:val="16"/>
          <w:szCs w:val="18"/>
        </w:rPr>
        <w:t>of</w:t>
      </w:r>
      <w:proofErr w:type="spellEnd"/>
      <w:r w:rsidRPr="001321AD">
        <w:rPr>
          <w:sz w:val="16"/>
          <w:szCs w:val="18"/>
        </w:rPr>
        <w:t xml:space="preserve"> </w:t>
      </w:r>
      <w:proofErr w:type="spellStart"/>
      <w:r w:rsidRPr="001321AD">
        <w:rPr>
          <w:sz w:val="16"/>
          <w:szCs w:val="18"/>
        </w:rPr>
        <w:t>Clusters</w:t>
      </w:r>
      <w:proofErr w:type="spellEnd"/>
      <w:r w:rsidRPr="001321AD">
        <w:rPr>
          <w:sz w:val="16"/>
          <w:szCs w:val="18"/>
        </w:rPr>
        <w:t xml:space="preserve"> </w:t>
      </w:r>
      <w:proofErr w:type="spellStart"/>
      <w:r w:rsidRPr="001321AD">
        <w:rPr>
          <w:sz w:val="16"/>
          <w:szCs w:val="18"/>
        </w:rPr>
        <w:t>and</w:t>
      </w:r>
      <w:proofErr w:type="spellEnd"/>
      <w:r w:rsidRPr="001321AD">
        <w:rPr>
          <w:sz w:val="16"/>
          <w:szCs w:val="18"/>
        </w:rPr>
        <w:t xml:space="preserve"> </w:t>
      </w:r>
      <w:proofErr w:type="spellStart"/>
      <w:r w:rsidRPr="001321AD">
        <w:rPr>
          <w:sz w:val="16"/>
          <w:szCs w:val="18"/>
        </w:rPr>
        <w:t>Industrial</w:t>
      </w:r>
      <w:proofErr w:type="spellEnd"/>
      <w:r w:rsidRPr="001321AD">
        <w:rPr>
          <w:sz w:val="16"/>
          <w:szCs w:val="18"/>
        </w:rPr>
        <w:t xml:space="preserve"> </w:t>
      </w:r>
      <w:proofErr w:type="spellStart"/>
      <w:r w:rsidRPr="001321AD">
        <w:rPr>
          <w:sz w:val="16"/>
          <w:szCs w:val="18"/>
        </w:rPr>
        <w:t>Change</w:t>
      </w:r>
      <w:proofErr w:type="spellEnd"/>
      <w:r w:rsidRPr="001321AD">
        <w:rPr>
          <w:sz w:val="16"/>
          <w:szCs w:val="18"/>
        </w:rPr>
        <w:t xml:space="preserve"> (2019).</w:t>
      </w:r>
    </w:p>
    <w:sectPr w:rsidR="00821BE0" w:rsidRPr="00C57729" w:rsidSect="00EC4F01">
      <w:headerReference w:type="default" r:id="rId40"/>
      <w:footerReference w:type="default" r:id="rId4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21501" w16cex:dateUtc="2020-09-08T12:34:00Z"/>
  <w16cex:commentExtensible w16cex:durableId="2303CD9F" w16cex:dateUtc="2020-09-09T19:54:00Z"/>
  <w16cex:commentExtensible w16cex:durableId="2303CDA0" w16cex:dateUtc="2020-09-09T19:54:00Z"/>
  <w16cex:commentExtensible w16cex:durableId="2303CDA1" w16cex:dateUtc="2020-09-09T19:54:00Z"/>
  <w16cex:commentExtensible w16cex:durableId="2303CDA2" w16cex:dateUtc="2020-09-09T19:54:00Z"/>
  <w16cex:commentExtensible w16cex:durableId="2303CDA4" w16cex:dateUtc="2020-09-09T19:54:00Z"/>
  <w16cex:commentExtensible w16cex:durableId="2303CDA5" w16cex:dateUtc="2020-09-09T19:54:00Z"/>
  <w16cex:commentExtensible w16cex:durableId="2303CDA6" w16cex:dateUtc="2020-09-09T19:54:00Z"/>
  <w16cex:commentExtensible w16cex:durableId="2303CDA7" w16cex:dateUtc="2020-09-09T19:54:00Z"/>
  <w16cex:commentExtensible w16cex:durableId="2303CDA8" w16cex:dateUtc="2020-09-09T19:54:00Z"/>
  <w16cex:commentExtensible w16cex:durableId="2303CDA9" w16cex:dateUtc="2020-09-09T19:54:00Z"/>
  <w16cex:commentExtensible w16cex:durableId="2300A333" w16cex:dateUtc="2020-09-07T10:16:00Z"/>
  <w16cex:commentExtensible w16cex:durableId="230360D7" w16cex:dateUtc="2020-09-09T12:10: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E75791" w14:textId="77777777" w:rsidR="00ED7524" w:rsidRDefault="00ED7524" w:rsidP="00722A89">
      <w:pPr>
        <w:spacing w:before="0" w:after="0" w:line="240" w:lineRule="auto"/>
      </w:pPr>
      <w:r>
        <w:separator/>
      </w:r>
    </w:p>
  </w:endnote>
  <w:endnote w:type="continuationSeparator" w:id="0">
    <w:p w14:paraId="74440D24" w14:textId="77777777" w:rsidR="00ED7524" w:rsidRDefault="00ED7524" w:rsidP="00722A89">
      <w:pPr>
        <w:spacing w:before="0" w:after="0" w:line="240" w:lineRule="auto"/>
      </w:pPr>
      <w:r>
        <w:continuationSeparator/>
      </w:r>
    </w:p>
  </w:endnote>
  <w:endnote w:type="continuationNotice" w:id="1">
    <w:p w14:paraId="658F3015" w14:textId="77777777" w:rsidR="00ED7524" w:rsidRDefault="00ED752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Franklin Gothic Book">
    <w:charset w:val="EE"/>
    <w:family w:val="swiss"/>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MetaNormalCE-Roman">
    <w:altName w:val="Calibri"/>
    <w:panose1 w:val="00000000000000000000"/>
    <w:charset w:val="EE"/>
    <w:family w:val="auto"/>
    <w:notTrueType/>
    <w:pitch w:val="variable"/>
    <w:sig w:usb0="00000001" w:usb1="00000000" w:usb2="00000000" w:usb3="00000000" w:csb0="00000003" w:csb1="00000000"/>
  </w:font>
  <w:font w:name="MetaMediumCE-Roman">
    <w:panose1 w:val="00000000000000000000"/>
    <w:charset w:val="EE"/>
    <w:family w:val="auto"/>
    <w:notTrueType/>
    <w:pitch w:val="variable"/>
    <w:sig w:usb0="00000001" w:usb1="00000000" w:usb2="00000000" w:usb3="00000000" w:csb0="00000003" w:csb1="00000000"/>
  </w:font>
  <w:font w:name="Verdana-Bold">
    <w:altName w:val="Verdana"/>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80571"/>
      <w:docPartObj>
        <w:docPartGallery w:val="Page Numbers (Bottom of Page)"/>
        <w:docPartUnique/>
      </w:docPartObj>
    </w:sdtPr>
    <w:sdtEndPr>
      <w:rPr>
        <w:sz w:val="16"/>
        <w:szCs w:val="16"/>
      </w:rPr>
    </w:sdtEndPr>
    <w:sdtContent>
      <w:p w14:paraId="6EC6C5FE" w14:textId="4EBB65F0" w:rsidR="00C55975" w:rsidRPr="00F71B66" w:rsidRDefault="00C55975">
        <w:pPr>
          <w:pStyle w:val="Noga"/>
          <w:jc w:val="center"/>
          <w:rPr>
            <w:sz w:val="16"/>
            <w:szCs w:val="16"/>
          </w:rPr>
        </w:pPr>
        <w:r w:rsidRPr="00F71B66">
          <w:rPr>
            <w:sz w:val="16"/>
            <w:szCs w:val="16"/>
          </w:rPr>
          <w:fldChar w:fldCharType="begin"/>
        </w:r>
        <w:r w:rsidRPr="00F71B66">
          <w:rPr>
            <w:sz w:val="16"/>
            <w:szCs w:val="16"/>
          </w:rPr>
          <w:instrText>PAGE   \* MERGEFORMAT</w:instrText>
        </w:r>
        <w:r w:rsidRPr="00F71B66">
          <w:rPr>
            <w:sz w:val="16"/>
            <w:szCs w:val="16"/>
          </w:rPr>
          <w:fldChar w:fldCharType="separate"/>
        </w:r>
        <w:r w:rsidR="005A5657">
          <w:rPr>
            <w:noProof/>
            <w:sz w:val="16"/>
            <w:szCs w:val="16"/>
          </w:rPr>
          <w:t>1</w:t>
        </w:r>
        <w:r w:rsidRPr="00F71B66">
          <w:rPr>
            <w:noProof/>
            <w:sz w:val="16"/>
            <w:szCs w:val="16"/>
          </w:rPr>
          <w:fldChar w:fldCharType="end"/>
        </w:r>
      </w:p>
    </w:sdtContent>
  </w:sdt>
  <w:p w14:paraId="5AA689F3" w14:textId="77777777" w:rsidR="00C55975" w:rsidRDefault="00C5597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99E85D" w14:textId="77777777" w:rsidR="00ED7524" w:rsidRDefault="00ED7524" w:rsidP="00722A89">
      <w:pPr>
        <w:spacing w:before="0" w:after="0" w:line="240" w:lineRule="auto"/>
      </w:pPr>
      <w:r>
        <w:separator/>
      </w:r>
    </w:p>
  </w:footnote>
  <w:footnote w:type="continuationSeparator" w:id="0">
    <w:p w14:paraId="14E63806" w14:textId="77777777" w:rsidR="00ED7524" w:rsidRDefault="00ED7524" w:rsidP="00722A89">
      <w:pPr>
        <w:spacing w:before="0" w:after="0" w:line="240" w:lineRule="auto"/>
      </w:pPr>
      <w:r>
        <w:continuationSeparator/>
      </w:r>
    </w:p>
  </w:footnote>
  <w:footnote w:type="continuationNotice" w:id="1">
    <w:p w14:paraId="1DE074F2" w14:textId="77777777" w:rsidR="00ED7524" w:rsidRDefault="00ED7524">
      <w:pPr>
        <w:spacing w:before="0" w:after="0" w:line="240" w:lineRule="auto"/>
      </w:pPr>
    </w:p>
  </w:footnote>
  <w:footnote w:id="2">
    <w:p w14:paraId="275EC3CB" w14:textId="77777777" w:rsidR="00C55975" w:rsidRPr="00EB452D" w:rsidRDefault="00C55975" w:rsidP="000D3813">
      <w:pPr>
        <w:pStyle w:val="Sprotnaopomba-besedilo"/>
        <w:rPr>
          <w:sz w:val="16"/>
          <w:szCs w:val="16"/>
        </w:rPr>
      </w:pPr>
      <w:r w:rsidRPr="00EB452D">
        <w:rPr>
          <w:rStyle w:val="Sprotnaopomba-sklic"/>
          <w:sz w:val="16"/>
          <w:szCs w:val="16"/>
        </w:rPr>
        <w:footnoteRef/>
      </w:r>
      <w:r w:rsidRPr="00EB452D">
        <w:rPr>
          <w:sz w:val="16"/>
          <w:szCs w:val="16"/>
        </w:rPr>
        <w:t xml:space="preserve"> Vmesno spremljanje in vrednotenje delovanja SRIP-ov v obdobju 2017-2019, IER, FDV, FM UP, avgust 2019.   </w:t>
      </w:r>
    </w:p>
  </w:footnote>
  <w:footnote w:id="3">
    <w:p w14:paraId="798A0EF2" w14:textId="77777777" w:rsidR="00C55975" w:rsidRDefault="00C55975" w:rsidP="000D3813">
      <w:pPr>
        <w:pStyle w:val="Sprotnaopomba-besedilo"/>
      </w:pPr>
      <w:r w:rsidRPr="00EB452D">
        <w:rPr>
          <w:rStyle w:val="Sprotnaopomba-sklic"/>
          <w:sz w:val="16"/>
          <w:szCs w:val="16"/>
        </w:rPr>
        <w:footnoteRef/>
      </w:r>
      <w:r w:rsidRPr="00EB452D">
        <w:rPr>
          <w:sz w:val="16"/>
          <w:szCs w:val="16"/>
        </w:rPr>
        <w:t xml:space="preserve"> Priporočilo Sveta EU COM (2020) 524 </w:t>
      </w:r>
      <w:proofErr w:type="spellStart"/>
      <w:r w:rsidRPr="00EB452D">
        <w:rPr>
          <w:sz w:val="16"/>
          <w:szCs w:val="16"/>
        </w:rPr>
        <w:t>final</w:t>
      </w:r>
      <w:proofErr w:type="spellEnd"/>
      <w:r w:rsidRPr="00EB452D">
        <w:rPr>
          <w:sz w:val="16"/>
          <w:szCs w:val="16"/>
        </w:rPr>
        <w:t xml:space="preserve"> in Priporočilo EK COM (2020) 456 </w:t>
      </w:r>
      <w:proofErr w:type="spellStart"/>
      <w:r w:rsidRPr="00EB452D">
        <w:rPr>
          <w:sz w:val="16"/>
          <w:szCs w:val="16"/>
        </w:rPr>
        <w:t>final</w:t>
      </w:r>
      <w:proofErr w:type="spellEnd"/>
      <w:r w:rsidRPr="00EB452D">
        <w:rPr>
          <w:sz w:val="16"/>
          <w:szCs w:val="16"/>
        </w:rPr>
        <w:t>, oboje z dne 27. 5. 2020.</w:t>
      </w:r>
      <w:r>
        <w:rPr>
          <w:sz w:val="18"/>
          <w:szCs w:val="18"/>
        </w:rPr>
        <w:t xml:space="preserve"> </w:t>
      </w:r>
    </w:p>
  </w:footnote>
  <w:footnote w:id="4">
    <w:p w14:paraId="406C4FB4" w14:textId="636254FA" w:rsidR="00C55975" w:rsidRPr="006D79A8" w:rsidRDefault="00C55975">
      <w:pPr>
        <w:pStyle w:val="Sprotnaopomba-besedilo"/>
        <w:rPr>
          <w:sz w:val="16"/>
          <w:szCs w:val="16"/>
        </w:rPr>
      </w:pPr>
      <w:r w:rsidRPr="006D79A8">
        <w:rPr>
          <w:rStyle w:val="Sprotnaopomba-sklic"/>
          <w:sz w:val="16"/>
          <w:szCs w:val="16"/>
        </w:rPr>
        <w:footnoteRef/>
      </w:r>
      <w:r w:rsidRPr="006D79A8">
        <w:rPr>
          <w:sz w:val="16"/>
          <w:szCs w:val="16"/>
        </w:rPr>
        <w:t xml:space="preserve"> Industrija v širšem smislu vključuje tudi z njo povezane storitve</w:t>
      </w:r>
      <w:r>
        <w:rPr>
          <w:sz w:val="16"/>
          <w:szCs w:val="16"/>
        </w:rPr>
        <w:t xml:space="preserve"> (meje med industrijo in storitvami so čedalje bolj zamegljene)</w:t>
      </w:r>
      <w:r w:rsidRPr="006D79A8">
        <w:rPr>
          <w:sz w:val="16"/>
          <w:szCs w:val="16"/>
        </w:rPr>
        <w:t>.</w:t>
      </w:r>
    </w:p>
  </w:footnote>
  <w:footnote w:id="5">
    <w:p w14:paraId="163A748D" w14:textId="77777777" w:rsidR="00C55975" w:rsidRPr="00EB452D" w:rsidRDefault="00C55975">
      <w:pPr>
        <w:pStyle w:val="Sprotnaopomba-besedilo"/>
        <w:rPr>
          <w:sz w:val="16"/>
          <w:szCs w:val="16"/>
        </w:rPr>
      </w:pPr>
      <w:r w:rsidRPr="00EB452D">
        <w:rPr>
          <w:rStyle w:val="Sprotnaopomba-sklic"/>
          <w:sz w:val="16"/>
          <w:szCs w:val="16"/>
        </w:rPr>
        <w:footnoteRef/>
      </w:r>
      <w:r w:rsidRPr="00EB452D">
        <w:rPr>
          <w:sz w:val="16"/>
          <w:szCs w:val="16"/>
        </w:rPr>
        <w:t xml:space="preserve"> Navedeni cilj izhaja iz SRS 2030.</w:t>
      </w:r>
    </w:p>
  </w:footnote>
  <w:footnote w:id="6">
    <w:p w14:paraId="5B95F5A0" w14:textId="77777777" w:rsidR="00C55975" w:rsidRPr="00EB452D" w:rsidRDefault="00C55975">
      <w:pPr>
        <w:pStyle w:val="Sprotnaopomba-besedilo"/>
        <w:rPr>
          <w:sz w:val="16"/>
          <w:szCs w:val="16"/>
        </w:rPr>
      </w:pPr>
      <w:r w:rsidRPr="00EB452D">
        <w:rPr>
          <w:rStyle w:val="Sprotnaopomba-sklic"/>
          <w:sz w:val="16"/>
          <w:szCs w:val="16"/>
        </w:rPr>
        <w:footnoteRef/>
      </w:r>
      <w:r w:rsidRPr="00EB452D">
        <w:rPr>
          <w:sz w:val="16"/>
          <w:szCs w:val="16"/>
        </w:rPr>
        <w:t xml:space="preserve"> Metodologija izhaja iz spremljanja izvajanja Akcijskega načrta za krožno gospodarstvo EU (2015).</w:t>
      </w:r>
    </w:p>
  </w:footnote>
  <w:footnote w:id="7">
    <w:p w14:paraId="22FCE201" w14:textId="77777777" w:rsidR="00C55975" w:rsidRPr="00EB452D" w:rsidRDefault="00C55975" w:rsidP="00350922">
      <w:pPr>
        <w:pStyle w:val="Sprotnaopomba-besedilo"/>
        <w:rPr>
          <w:sz w:val="16"/>
          <w:szCs w:val="16"/>
        </w:rPr>
      </w:pPr>
      <w:r w:rsidRPr="00EB452D">
        <w:rPr>
          <w:rStyle w:val="Sprotnaopomba-sklic"/>
          <w:sz w:val="16"/>
          <w:szCs w:val="16"/>
        </w:rPr>
        <w:footnoteRef/>
      </w:r>
      <w:r w:rsidRPr="00EB452D">
        <w:rPr>
          <w:sz w:val="16"/>
          <w:szCs w:val="16"/>
        </w:rPr>
        <w:t xml:space="preserve"> Metodologija izhaja iz spremljanja izvajanja Akcijskega načrta za krožno gospodarstvo EU (2015).</w:t>
      </w:r>
    </w:p>
  </w:footnote>
  <w:footnote w:id="8">
    <w:p w14:paraId="5A7702E6" w14:textId="77777777" w:rsidR="00C55975" w:rsidRPr="00EB452D" w:rsidRDefault="00C55975" w:rsidP="00350922">
      <w:pPr>
        <w:pStyle w:val="Sprotnaopomba-besedilo"/>
        <w:rPr>
          <w:color w:val="0070C0"/>
          <w:sz w:val="16"/>
          <w:szCs w:val="16"/>
        </w:rPr>
      </w:pPr>
      <w:r w:rsidRPr="00EB452D">
        <w:rPr>
          <w:rStyle w:val="Sprotnaopomba-sklic"/>
          <w:sz w:val="16"/>
          <w:szCs w:val="16"/>
        </w:rPr>
        <w:footnoteRef/>
      </w:r>
      <w:r w:rsidRPr="00EB452D">
        <w:rPr>
          <w:sz w:val="16"/>
          <w:szCs w:val="16"/>
        </w:rPr>
        <w:t xml:space="preserve"> Metodologija izhaja iz spremljanja izvajanja Akcijskega načrta za krožno gospodarstvo EU (2015).</w:t>
      </w:r>
    </w:p>
  </w:footnote>
  <w:footnote w:id="9">
    <w:p w14:paraId="22B716C9" w14:textId="77777777" w:rsidR="00C55975" w:rsidRPr="00535FBB" w:rsidRDefault="00C55975" w:rsidP="000D3813">
      <w:pPr>
        <w:pStyle w:val="Sprotnaopomba-besedilo"/>
        <w:rPr>
          <w:sz w:val="18"/>
          <w:szCs w:val="18"/>
        </w:rPr>
      </w:pPr>
      <w:r w:rsidRPr="00EB452D">
        <w:rPr>
          <w:rStyle w:val="Sprotnaopomba-sklic"/>
          <w:sz w:val="16"/>
          <w:szCs w:val="16"/>
        </w:rPr>
        <w:footnoteRef/>
      </w:r>
      <w:r w:rsidRPr="00EB452D">
        <w:rPr>
          <w:sz w:val="16"/>
          <w:szCs w:val="16"/>
        </w:rPr>
        <w:t xml:space="preserve"> Cilj je odvisen od mednarodno dovoljenega poseka, ki ga določa uredba LULUCF.</w:t>
      </w:r>
    </w:p>
  </w:footnote>
  <w:footnote w:id="10">
    <w:p w14:paraId="64F1DFB4" w14:textId="77777777" w:rsidR="00C55975" w:rsidRPr="00EB452D" w:rsidRDefault="00C55975" w:rsidP="000D3813">
      <w:pPr>
        <w:pStyle w:val="Sprotnaopomba-besedilo"/>
        <w:rPr>
          <w:sz w:val="16"/>
          <w:szCs w:val="16"/>
        </w:rPr>
      </w:pPr>
      <w:r w:rsidRPr="00EB452D">
        <w:rPr>
          <w:rStyle w:val="Sprotnaopomba-sklic"/>
          <w:sz w:val="16"/>
          <w:szCs w:val="16"/>
        </w:rPr>
        <w:footnoteRef/>
      </w:r>
      <w:r w:rsidRPr="00EB452D">
        <w:rPr>
          <w:sz w:val="16"/>
          <w:szCs w:val="16"/>
        </w:rPr>
        <w:t xml:space="preserve"> Celotna zgodnja podjetniška aktivnost po raziskavi GEM.</w:t>
      </w:r>
    </w:p>
  </w:footnote>
  <w:footnote w:id="11">
    <w:p w14:paraId="2E1FEF8F" w14:textId="77777777" w:rsidR="00C55975" w:rsidRPr="00EB452D" w:rsidRDefault="00C55975">
      <w:pPr>
        <w:pStyle w:val="Sprotnaopomba-besedilo"/>
        <w:rPr>
          <w:sz w:val="16"/>
          <w:szCs w:val="16"/>
        </w:rPr>
      </w:pPr>
      <w:r w:rsidRPr="00EB452D">
        <w:rPr>
          <w:rStyle w:val="Sprotnaopomba-sklic"/>
          <w:sz w:val="16"/>
          <w:szCs w:val="16"/>
        </w:rPr>
        <w:footnoteRef/>
      </w:r>
      <w:r w:rsidRPr="00EB452D">
        <w:rPr>
          <w:sz w:val="16"/>
          <w:szCs w:val="16"/>
        </w:rPr>
        <w:t xml:space="preserve"> Metodologija GEM.</w:t>
      </w:r>
    </w:p>
  </w:footnote>
  <w:footnote w:id="12">
    <w:p w14:paraId="1A35FB65" w14:textId="77777777" w:rsidR="00C55975" w:rsidRDefault="00C55975">
      <w:pPr>
        <w:pStyle w:val="Sprotnaopomba-besedilo"/>
      </w:pPr>
      <w:r w:rsidRPr="00EB452D">
        <w:rPr>
          <w:rStyle w:val="Sprotnaopomba-sklic"/>
          <w:sz w:val="16"/>
          <w:szCs w:val="16"/>
        </w:rPr>
        <w:footnoteRef/>
      </w:r>
      <w:r w:rsidRPr="00EB452D">
        <w:rPr>
          <w:sz w:val="16"/>
          <w:szCs w:val="16"/>
        </w:rPr>
        <w:t xml:space="preserve"> Metodologija GEM.</w:t>
      </w:r>
    </w:p>
  </w:footnote>
  <w:footnote w:id="13">
    <w:p w14:paraId="23FA1F3F" w14:textId="77777777" w:rsidR="00C55975" w:rsidRPr="00EB452D" w:rsidRDefault="00C55975" w:rsidP="003C2935">
      <w:pPr>
        <w:pStyle w:val="Sprotnaopomba-besedilo"/>
        <w:rPr>
          <w:sz w:val="16"/>
          <w:szCs w:val="16"/>
        </w:rPr>
      </w:pPr>
      <w:r w:rsidRPr="00EB452D">
        <w:rPr>
          <w:rStyle w:val="Sprotnaopomba-sklic"/>
          <w:sz w:val="16"/>
          <w:szCs w:val="16"/>
        </w:rPr>
        <w:footnoteRef/>
      </w:r>
      <w:r w:rsidRPr="00EB452D">
        <w:rPr>
          <w:sz w:val="16"/>
          <w:szCs w:val="16"/>
        </w:rPr>
        <w:t xml:space="preserve"> </w:t>
      </w:r>
      <w:r w:rsidRPr="00EB452D">
        <w:rPr>
          <w:iCs/>
          <w:sz w:val="16"/>
          <w:szCs w:val="16"/>
        </w:rPr>
        <w:t>Seštevki po posameznih dejavnostih predelovalnih dejavnostih se pri nekaterih podatkih ne ujemajo s podatki za predelovalne dejavnosti skupaj, zaradi zaupnosti podatkov, kjer smo v takih primerih znotraj predelovalnih dejavnosti upoštevali le podatke za gospodarske družbe.</w:t>
      </w:r>
    </w:p>
  </w:footnote>
  <w:footnote w:id="14">
    <w:p w14:paraId="4D8D6749" w14:textId="77777777" w:rsidR="00C55975" w:rsidRDefault="00C55975">
      <w:pPr>
        <w:pStyle w:val="Sprotnaopomba-besedilo"/>
      </w:pPr>
      <w:r w:rsidRPr="00EB452D">
        <w:rPr>
          <w:rStyle w:val="Sprotnaopomba-sklic"/>
          <w:sz w:val="16"/>
          <w:szCs w:val="16"/>
        </w:rPr>
        <w:footnoteRef/>
      </w:r>
      <w:r w:rsidRPr="00EB452D">
        <w:rPr>
          <w:sz w:val="16"/>
          <w:szCs w:val="16"/>
        </w:rPr>
        <w:t xml:space="preserve"> Z</w:t>
      </w:r>
      <w:r w:rsidRPr="00EB452D">
        <w:rPr>
          <w:iCs/>
          <w:sz w:val="16"/>
          <w:szCs w:val="16"/>
        </w:rPr>
        <w:t xml:space="preserve">a </w:t>
      </w:r>
      <w:proofErr w:type="spellStart"/>
      <w:r w:rsidRPr="00EB452D">
        <w:rPr>
          <w:iCs/>
          <w:sz w:val="16"/>
          <w:szCs w:val="16"/>
        </w:rPr>
        <w:t>deflacioniranje</w:t>
      </w:r>
      <w:proofErr w:type="spellEnd"/>
      <w:r w:rsidRPr="00EB452D">
        <w:rPr>
          <w:iCs/>
          <w:sz w:val="16"/>
          <w:szCs w:val="16"/>
        </w:rPr>
        <w:t xml:space="preserve"> upoštevan deflator skupni indeks cen industrijskih proizvodov pri proizvajalcih v predelovalnih dejavnostih.</w:t>
      </w:r>
    </w:p>
  </w:footnote>
  <w:footnote w:id="15">
    <w:p w14:paraId="44C04C96" w14:textId="77777777" w:rsidR="00C55975" w:rsidRPr="00EB452D" w:rsidRDefault="00C55975" w:rsidP="003C2935">
      <w:pPr>
        <w:pStyle w:val="Sprotnaopomba-besedilo"/>
        <w:rPr>
          <w:sz w:val="16"/>
          <w:szCs w:val="16"/>
        </w:rPr>
      </w:pPr>
      <w:r w:rsidRPr="00EB452D">
        <w:rPr>
          <w:rStyle w:val="Sprotnaopomba-sklic"/>
          <w:sz w:val="16"/>
          <w:szCs w:val="16"/>
        </w:rPr>
        <w:footnoteRef/>
      </w:r>
      <w:r w:rsidRPr="00EB452D">
        <w:rPr>
          <w:sz w:val="16"/>
          <w:szCs w:val="16"/>
        </w:rPr>
        <w:t xml:space="preserve"> </w:t>
      </w:r>
      <w:r w:rsidRPr="00EB452D">
        <w:rPr>
          <w:rFonts w:cstheme="minorHAnsi"/>
          <w:sz w:val="16"/>
          <w:szCs w:val="16"/>
        </w:rPr>
        <w:t>Pri pravnih osebah, samostojnih podjetnikih ali drugih registriranih fizičnih osebah.</w:t>
      </w:r>
    </w:p>
  </w:footnote>
  <w:footnote w:id="16">
    <w:p w14:paraId="2046F401" w14:textId="77777777" w:rsidR="00C55975" w:rsidRPr="00EB452D" w:rsidRDefault="00C55975" w:rsidP="003C2935">
      <w:pPr>
        <w:pStyle w:val="Sprotnaopomba-besedilo"/>
        <w:rPr>
          <w:sz w:val="16"/>
          <w:szCs w:val="16"/>
        </w:rPr>
      </w:pPr>
      <w:r w:rsidRPr="00EB452D">
        <w:rPr>
          <w:rStyle w:val="Sprotnaopomba-sklic"/>
          <w:sz w:val="16"/>
          <w:szCs w:val="16"/>
        </w:rPr>
        <w:footnoteRef/>
      </w:r>
      <w:r w:rsidRPr="00EB452D">
        <w:rPr>
          <w:sz w:val="16"/>
          <w:szCs w:val="16"/>
        </w:rPr>
        <w:t xml:space="preserve"> Dodana vrednost v stroških faktorjev se izračuna kot bruto prihodek iz poslovnih dejavnosti po popravkih za subvencije za poslovanje in posredne davke. Dodana vrednost se v stroških faktorjev računa 'bruto', ker se popravki vrednosti (kot je npr. amortizacija) ne odštejejo. Od leta 2010 naprej se pri izračunu dodane vrednosti upoštevajo tudi subvencije, dotacije, regresi, kompenzacije in drugi prihodki, ki so povezani s poslovnimi učinki.</w:t>
      </w:r>
    </w:p>
  </w:footnote>
  <w:footnote w:id="17">
    <w:p w14:paraId="5D0B9836" w14:textId="77777777" w:rsidR="00C55975" w:rsidRPr="00EB452D" w:rsidRDefault="00C55975" w:rsidP="003C2935">
      <w:pPr>
        <w:pStyle w:val="Sprotnaopomba-besedilo"/>
        <w:rPr>
          <w:sz w:val="16"/>
          <w:szCs w:val="16"/>
        </w:rPr>
      </w:pPr>
      <w:r w:rsidRPr="00EB452D">
        <w:rPr>
          <w:rStyle w:val="Sprotnaopomba-sklic"/>
          <w:sz w:val="16"/>
          <w:szCs w:val="16"/>
        </w:rPr>
        <w:footnoteRef/>
      </w:r>
      <w:r w:rsidRPr="00EB452D">
        <w:rPr>
          <w:sz w:val="16"/>
          <w:szCs w:val="16"/>
        </w:rPr>
        <w:t xml:space="preserve"> </w:t>
      </w:r>
      <w:r w:rsidRPr="00EB452D">
        <w:rPr>
          <w:rFonts w:cstheme="minorHAnsi"/>
          <w:sz w:val="16"/>
          <w:szCs w:val="16"/>
        </w:rPr>
        <w:t>Delež dodane vrednosti v prihodkih.</w:t>
      </w:r>
    </w:p>
  </w:footnote>
  <w:footnote w:id="18">
    <w:p w14:paraId="20DB4542" w14:textId="77777777" w:rsidR="00C55975" w:rsidRPr="00EB452D" w:rsidRDefault="00C55975" w:rsidP="003C2935">
      <w:pPr>
        <w:pStyle w:val="Sprotnaopomba-besedilo"/>
        <w:rPr>
          <w:sz w:val="16"/>
          <w:szCs w:val="16"/>
        </w:rPr>
      </w:pPr>
      <w:r w:rsidRPr="00EB452D">
        <w:rPr>
          <w:rStyle w:val="Sprotnaopomba-sklic"/>
          <w:sz w:val="16"/>
          <w:szCs w:val="16"/>
        </w:rPr>
        <w:footnoteRef/>
      </w:r>
      <w:r w:rsidRPr="00EB452D">
        <w:rPr>
          <w:sz w:val="16"/>
          <w:szCs w:val="16"/>
        </w:rPr>
        <w:t xml:space="preserve"> I</w:t>
      </w:r>
      <w:r w:rsidRPr="00EB452D">
        <w:rPr>
          <w:rFonts w:cstheme="minorHAnsi"/>
          <w:sz w:val="16"/>
          <w:szCs w:val="16"/>
        </w:rPr>
        <w:t xml:space="preserve">nvesticije v vsa nova in obstoječa opredmetena osnovna sredstva (zgradbe, stroje in opremo, patente, licence, itd.), katerih doba uporabnosti je daljša kakor eno leto, vključno z </w:t>
      </w:r>
      <w:proofErr w:type="spellStart"/>
      <w:r w:rsidRPr="00EB452D">
        <w:rPr>
          <w:rFonts w:cstheme="minorHAnsi"/>
          <w:sz w:val="16"/>
          <w:szCs w:val="16"/>
        </w:rPr>
        <w:t>neproizvedenimi</w:t>
      </w:r>
      <w:proofErr w:type="spellEnd"/>
      <w:r w:rsidRPr="00EB452D">
        <w:rPr>
          <w:rFonts w:cstheme="minorHAnsi"/>
          <w:sz w:val="16"/>
          <w:szCs w:val="16"/>
        </w:rPr>
        <w:t xml:space="preserve"> opredmetenimi osnovnimi sredstvi, kakor je zemljišče.</w:t>
      </w:r>
    </w:p>
  </w:footnote>
  <w:footnote w:id="19">
    <w:p w14:paraId="16FCAF33" w14:textId="77777777" w:rsidR="00C55975" w:rsidRDefault="00C55975" w:rsidP="003C2935">
      <w:pPr>
        <w:pStyle w:val="Sprotnaopomba-besedilo"/>
        <w:rPr>
          <w:sz w:val="18"/>
          <w:szCs w:val="18"/>
        </w:rPr>
      </w:pPr>
      <w:r w:rsidRPr="00EB452D">
        <w:rPr>
          <w:rStyle w:val="Sprotnaopomba-sklic"/>
          <w:sz w:val="16"/>
          <w:szCs w:val="16"/>
        </w:rPr>
        <w:footnoteRef/>
      </w:r>
      <w:r w:rsidRPr="00EB452D">
        <w:rPr>
          <w:sz w:val="16"/>
          <w:szCs w:val="16"/>
        </w:rPr>
        <w:t xml:space="preserve"> S</w:t>
      </w:r>
      <w:r w:rsidRPr="00EB452D">
        <w:rPr>
          <w:rFonts w:cstheme="minorHAnsi"/>
          <w:sz w:val="16"/>
          <w:szCs w:val="16"/>
        </w:rPr>
        <w:t>kupni notranji izdatki za raziskave in razvoj ki se izvajajo na ozemlju Republike Slovenije.</w:t>
      </w:r>
    </w:p>
  </w:footnote>
  <w:footnote w:id="20">
    <w:p w14:paraId="76D9F02C" w14:textId="77777777" w:rsidR="00C55975" w:rsidRPr="00EB452D" w:rsidRDefault="00C55975">
      <w:pPr>
        <w:pStyle w:val="Sprotnaopomba-besedilo"/>
        <w:rPr>
          <w:sz w:val="16"/>
          <w:szCs w:val="16"/>
        </w:rPr>
      </w:pPr>
      <w:r w:rsidRPr="00EB452D">
        <w:rPr>
          <w:rStyle w:val="Sprotnaopomba-sklic"/>
          <w:sz w:val="16"/>
          <w:szCs w:val="16"/>
        </w:rPr>
        <w:footnoteRef/>
      </w:r>
      <w:r w:rsidRPr="00EB452D">
        <w:rPr>
          <w:sz w:val="16"/>
          <w:szCs w:val="16"/>
        </w:rPr>
        <w:t xml:space="preserve"> </w:t>
      </w:r>
      <w:r w:rsidRPr="00EB452D">
        <w:rPr>
          <w:rFonts w:asciiTheme="majorHAnsi" w:eastAsia="Times New Roman" w:hAnsiTheme="majorHAnsi" w:cs="Arial"/>
          <w:sz w:val="16"/>
          <w:szCs w:val="16"/>
          <w:lang w:eastAsia="sl-SI"/>
        </w:rPr>
        <w:t>V to skupino držav spadajo Poljska, Češka, Madžarska in Slovaška, ki imajo podobno strukturo gospodarstva kot Slovenija in so na podobni ravni gospodarske razvitosti.</w:t>
      </w:r>
      <w:r w:rsidRPr="00EB452D">
        <w:rPr>
          <w:sz w:val="16"/>
          <w:szCs w:val="16"/>
        </w:rPr>
        <w:t xml:space="preserve"> </w:t>
      </w:r>
    </w:p>
  </w:footnote>
  <w:footnote w:id="21">
    <w:p w14:paraId="21DFAE1D" w14:textId="77777777" w:rsidR="00C55975" w:rsidRPr="00EB452D" w:rsidRDefault="00C55975" w:rsidP="003C2935">
      <w:pPr>
        <w:pStyle w:val="Sprotnaopomba-besedilo"/>
        <w:rPr>
          <w:rFonts w:asciiTheme="majorHAnsi" w:eastAsia="Times New Roman" w:hAnsiTheme="majorHAnsi" w:cs="Arial"/>
          <w:sz w:val="16"/>
          <w:szCs w:val="16"/>
          <w:lang w:eastAsia="sl-SI"/>
        </w:rPr>
      </w:pPr>
      <w:r w:rsidRPr="00EB452D">
        <w:rPr>
          <w:rStyle w:val="Sprotnaopomba-sklic"/>
          <w:sz w:val="16"/>
          <w:szCs w:val="16"/>
        </w:rPr>
        <w:footnoteRef/>
      </w:r>
      <w:r w:rsidRPr="00EB452D">
        <w:rPr>
          <w:sz w:val="16"/>
          <w:szCs w:val="16"/>
        </w:rPr>
        <w:t xml:space="preserve"> </w:t>
      </w:r>
      <w:r w:rsidRPr="00EB452D">
        <w:rPr>
          <w:rFonts w:asciiTheme="majorHAnsi" w:eastAsia="Times New Roman" w:hAnsiTheme="majorHAnsi" w:cs="Arial"/>
          <w:sz w:val="16"/>
          <w:szCs w:val="16"/>
          <w:lang w:eastAsia="sl-SI"/>
        </w:rPr>
        <w:t>Za koliko je vrednost kazalnika v Sloveniji višja od mediane kazalnika držav EU-27.</w:t>
      </w:r>
    </w:p>
  </w:footnote>
  <w:footnote w:id="22">
    <w:p w14:paraId="1D275831" w14:textId="77777777" w:rsidR="00C55975" w:rsidRPr="00EB452D" w:rsidRDefault="00C55975" w:rsidP="003C2935">
      <w:pPr>
        <w:pStyle w:val="Sprotnaopomba-besedilo"/>
        <w:rPr>
          <w:sz w:val="16"/>
          <w:szCs w:val="16"/>
        </w:rPr>
      </w:pPr>
      <w:r w:rsidRPr="00EB452D">
        <w:rPr>
          <w:rStyle w:val="Sprotnaopomba-sklic"/>
          <w:sz w:val="16"/>
          <w:szCs w:val="16"/>
        </w:rPr>
        <w:footnoteRef/>
      </w:r>
      <w:r w:rsidRPr="00EB452D">
        <w:rPr>
          <w:sz w:val="16"/>
          <w:szCs w:val="16"/>
        </w:rPr>
        <w:t xml:space="preserve"> </w:t>
      </w:r>
      <w:r w:rsidRPr="00EB452D">
        <w:rPr>
          <w:rFonts w:asciiTheme="majorHAnsi" w:eastAsia="Times New Roman" w:hAnsiTheme="majorHAnsi" w:cs="Arial"/>
          <w:sz w:val="16"/>
          <w:szCs w:val="16"/>
          <w:lang w:eastAsia="sl-SI"/>
        </w:rPr>
        <w:t>Izračun dodane vrednosti v prihodkih.</w:t>
      </w:r>
    </w:p>
  </w:footnote>
  <w:footnote w:id="23">
    <w:p w14:paraId="096F187C" w14:textId="77777777" w:rsidR="00C55975" w:rsidRPr="00EB452D" w:rsidRDefault="00C55975" w:rsidP="003C2935">
      <w:pPr>
        <w:pStyle w:val="Sprotnaopomba-besedilo"/>
        <w:rPr>
          <w:sz w:val="16"/>
          <w:szCs w:val="16"/>
        </w:rPr>
      </w:pPr>
      <w:r w:rsidRPr="00EB452D">
        <w:rPr>
          <w:rStyle w:val="Sprotnaopomba-sklic"/>
          <w:sz w:val="16"/>
          <w:szCs w:val="16"/>
        </w:rPr>
        <w:footnoteRef/>
      </w:r>
      <w:r w:rsidRPr="00EB452D">
        <w:rPr>
          <w:sz w:val="16"/>
          <w:szCs w:val="16"/>
        </w:rPr>
        <w:t xml:space="preserve"> </w:t>
      </w:r>
      <w:r w:rsidRPr="00EB452D">
        <w:rPr>
          <w:rFonts w:asciiTheme="majorHAnsi" w:eastAsia="Times New Roman" w:hAnsiTheme="majorHAnsi" w:cs="Arial"/>
          <w:sz w:val="16"/>
          <w:szCs w:val="16"/>
          <w:lang w:eastAsia="sl-SI"/>
        </w:rPr>
        <w:t>EBITDA marža je izračun poslovnega presežka v prihodkih.</w:t>
      </w:r>
    </w:p>
  </w:footnote>
  <w:footnote w:id="24">
    <w:p w14:paraId="060B07DF" w14:textId="77777777" w:rsidR="00C55975" w:rsidRPr="00EB452D" w:rsidRDefault="00C55975">
      <w:pPr>
        <w:pStyle w:val="Sprotnaopomba-besedilo"/>
        <w:rPr>
          <w:sz w:val="16"/>
          <w:szCs w:val="16"/>
        </w:rPr>
      </w:pPr>
      <w:r w:rsidRPr="00EB452D">
        <w:rPr>
          <w:rStyle w:val="Sprotnaopomba-sklic"/>
          <w:sz w:val="16"/>
          <w:szCs w:val="16"/>
        </w:rPr>
        <w:footnoteRef/>
      </w:r>
      <w:r w:rsidRPr="00EB452D">
        <w:rPr>
          <w:sz w:val="16"/>
          <w:szCs w:val="16"/>
        </w:rPr>
        <w:t xml:space="preserve"> </w:t>
      </w:r>
      <w:hyperlink r:id="rId1" w:history="1">
        <w:r w:rsidRPr="00EB452D">
          <w:rPr>
            <w:rStyle w:val="Hiperpovezava"/>
            <w:sz w:val="16"/>
            <w:szCs w:val="16"/>
          </w:rPr>
          <w:t>https://ec.europa.eu/info/live-work-travel-eu/health/coronavirus-response/recovery-plan-europe_sl</w:t>
        </w:r>
      </w:hyperlink>
      <w:r w:rsidRPr="00EB452D">
        <w:rPr>
          <w:sz w:val="16"/>
          <w:szCs w:val="16"/>
        </w:rPr>
        <w:t xml:space="preserve">. </w:t>
      </w:r>
    </w:p>
  </w:footnote>
  <w:footnote w:id="25">
    <w:p w14:paraId="703999AD" w14:textId="77777777" w:rsidR="00C55975" w:rsidRPr="00EB452D" w:rsidRDefault="00C55975">
      <w:pPr>
        <w:pStyle w:val="Sprotnaopomba-besedilo"/>
        <w:rPr>
          <w:sz w:val="16"/>
          <w:szCs w:val="16"/>
        </w:rPr>
      </w:pPr>
      <w:r w:rsidRPr="00EB452D">
        <w:rPr>
          <w:rStyle w:val="Sprotnaopomba-sklic"/>
          <w:sz w:val="16"/>
          <w:szCs w:val="16"/>
        </w:rPr>
        <w:footnoteRef/>
      </w:r>
      <w:r w:rsidRPr="00EB452D">
        <w:rPr>
          <w:sz w:val="16"/>
          <w:szCs w:val="16"/>
        </w:rPr>
        <w:t xml:space="preserve"> </w:t>
      </w:r>
      <w:hyperlink r:id="rId2" w:history="1">
        <w:r w:rsidRPr="00EB452D">
          <w:rPr>
            <w:rStyle w:val="Hiperpovezava"/>
            <w:sz w:val="16"/>
            <w:szCs w:val="16"/>
          </w:rPr>
          <w:t>https://ec.europa.eu/slovenia/news/eu-green-deal_sl</w:t>
        </w:r>
      </w:hyperlink>
      <w:r w:rsidRPr="00EB452D">
        <w:rPr>
          <w:sz w:val="16"/>
          <w:szCs w:val="16"/>
        </w:rPr>
        <w:t xml:space="preserve">. </w:t>
      </w:r>
    </w:p>
  </w:footnote>
  <w:footnote w:id="26">
    <w:p w14:paraId="6CC96D5E" w14:textId="77777777" w:rsidR="00C55975" w:rsidRPr="00EB452D" w:rsidRDefault="00C55975" w:rsidP="008D2B46">
      <w:pPr>
        <w:pStyle w:val="Sprotnaopomba-besedilo"/>
        <w:rPr>
          <w:sz w:val="16"/>
          <w:szCs w:val="16"/>
        </w:rPr>
      </w:pPr>
      <w:r w:rsidRPr="00EB452D">
        <w:rPr>
          <w:rStyle w:val="Sprotnaopomba-sklic"/>
          <w:sz w:val="16"/>
          <w:szCs w:val="16"/>
        </w:rPr>
        <w:footnoteRef/>
      </w:r>
      <w:r w:rsidRPr="00EB452D">
        <w:rPr>
          <w:sz w:val="16"/>
          <w:szCs w:val="16"/>
        </w:rPr>
        <w:t xml:space="preserve"> </w:t>
      </w:r>
      <w:hyperlink r:id="rId3" w:anchor="documents" w:history="1">
        <w:r w:rsidRPr="00EB452D">
          <w:rPr>
            <w:rStyle w:val="Hiperpovezava"/>
            <w:sz w:val="16"/>
            <w:szCs w:val="16"/>
          </w:rPr>
          <w:t>https://ec.europa.eu/info/strategy/priorities-2019-2024/europe-fit-digital-age/european-industrial-strategy_sl#documents</w:t>
        </w:r>
      </w:hyperlink>
      <w:r w:rsidRPr="00EB452D">
        <w:rPr>
          <w:sz w:val="16"/>
          <w:szCs w:val="16"/>
        </w:rPr>
        <w:t xml:space="preserve">. </w:t>
      </w:r>
    </w:p>
  </w:footnote>
  <w:footnote w:id="27">
    <w:p w14:paraId="0675A22B" w14:textId="77777777" w:rsidR="00C55975" w:rsidRPr="00EB452D" w:rsidRDefault="00C55975">
      <w:pPr>
        <w:pStyle w:val="Sprotnaopomba-besedilo"/>
        <w:rPr>
          <w:sz w:val="16"/>
          <w:szCs w:val="16"/>
        </w:rPr>
      </w:pPr>
      <w:r w:rsidRPr="00EB452D">
        <w:rPr>
          <w:rStyle w:val="Sprotnaopomba-sklic"/>
          <w:sz w:val="16"/>
          <w:szCs w:val="16"/>
        </w:rPr>
        <w:footnoteRef/>
      </w:r>
      <w:r w:rsidRPr="00EB452D">
        <w:rPr>
          <w:sz w:val="16"/>
          <w:szCs w:val="16"/>
        </w:rPr>
        <w:t xml:space="preserve"> </w:t>
      </w:r>
      <w:hyperlink r:id="rId4" w:anchor="izkoristiti-celotni-potencial-evropskih-msp" w:history="1">
        <w:r w:rsidRPr="00EB452D">
          <w:rPr>
            <w:rStyle w:val="Hiperpovezava"/>
            <w:sz w:val="16"/>
            <w:szCs w:val="16"/>
          </w:rPr>
          <w:t>https://ec.europa.eu/info/strategy/priorities-2019-2024/europe-fit-digital-age/european-industrial-strategy_sl#izkoristiti-celotni-potencial-evropskih-msp</w:t>
        </w:r>
      </w:hyperlink>
      <w:r w:rsidRPr="00EB452D">
        <w:rPr>
          <w:sz w:val="16"/>
          <w:szCs w:val="16"/>
        </w:rPr>
        <w:t xml:space="preserve">. </w:t>
      </w:r>
    </w:p>
  </w:footnote>
  <w:footnote w:id="28">
    <w:p w14:paraId="69DAF834" w14:textId="77777777" w:rsidR="00C55975" w:rsidRPr="00EB452D" w:rsidRDefault="00C55975">
      <w:pPr>
        <w:pStyle w:val="Sprotnaopomba-besedilo"/>
        <w:rPr>
          <w:sz w:val="16"/>
          <w:szCs w:val="16"/>
        </w:rPr>
      </w:pPr>
      <w:r w:rsidRPr="00EB452D">
        <w:rPr>
          <w:rStyle w:val="Sprotnaopomba-sklic"/>
          <w:sz w:val="16"/>
          <w:szCs w:val="16"/>
        </w:rPr>
        <w:footnoteRef/>
      </w:r>
      <w:r w:rsidRPr="00EB452D">
        <w:rPr>
          <w:sz w:val="16"/>
          <w:szCs w:val="16"/>
        </w:rPr>
        <w:t xml:space="preserve"> </w:t>
      </w:r>
      <w:hyperlink r:id="rId5" w:history="1">
        <w:r w:rsidRPr="00EB452D">
          <w:rPr>
            <w:rStyle w:val="Hiperpovezava"/>
            <w:sz w:val="16"/>
            <w:szCs w:val="16"/>
          </w:rPr>
          <w:t>https://ec.europa.eu/environment/circular-economy/index_en.htm</w:t>
        </w:r>
      </w:hyperlink>
      <w:r w:rsidRPr="00EB452D">
        <w:rPr>
          <w:sz w:val="16"/>
          <w:szCs w:val="16"/>
        </w:rPr>
        <w:t xml:space="preserve">. </w:t>
      </w:r>
    </w:p>
  </w:footnote>
  <w:footnote w:id="29">
    <w:p w14:paraId="1070BFA8" w14:textId="77777777" w:rsidR="00C55975" w:rsidRDefault="00C55975" w:rsidP="003C2935">
      <w:pPr>
        <w:pStyle w:val="Sprotnaopomba-besedilo"/>
        <w:rPr>
          <w:sz w:val="18"/>
        </w:rPr>
      </w:pPr>
      <w:r>
        <w:rPr>
          <w:rStyle w:val="Sprotnaopomba-sklic"/>
        </w:rPr>
        <w:footnoteRef/>
      </w:r>
      <w:r>
        <w:t xml:space="preserve"> </w:t>
      </w:r>
      <w:hyperlink r:id="rId6" w:history="1">
        <w:r w:rsidRPr="00460360">
          <w:rPr>
            <w:rStyle w:val="Hiperpovezava"/>
            <w:sz w:val="16"/>
            <w:szCs w:val="16"/>
          </w:rPr>
          <w:t>https://www.stat.si/StatWeb/News/Index/8769</w:t>
        </w:r>
      </w:hyperlink>
      <w:r>
        <w:rPr>
          <w:sz w:val="16"/>
          <w:szCs w:val="16"/>
        </w:rPr>
        <w:t>.</w:t>
      </w:r>
      <w:r>
        <w:rPr>
          <w:sz w:val="18"/>
        </w:rPr>
        <w:t xml:space="preserve"> </w:t>
      </w:r>
    </w:p>
  </w:footnote>
  <w:footnote w:id="30">
    <w:p w14:paraId="50753E90" w14:textId="110AD25E" w:rsidR="00C55975" w:rsidRDefault="00C55975">
      <w:pPr>
        <w:pStyle w:val="Sprotnaopomba-besedilo"/>
      </w:pPr>
      <w:r>
        <w:rPr>
          <w:rStyle w:val="Sprotnaopomba-sklic"/>
        </w:rPr>
        <w:footnoteRef/>
      </w:r>
      <w:r>
        <w:t xml:space="preserve"> </w:t>
      </w:r>
      <w:r w:rsidRPr="00460360">
        <w:rPr>
          <w:sz w:val="16"/>
          <w:szCs w:val="16"/>
        </w:rPr>
        <w:t>Znižanje marže v nekaterih industrijah bo posledica konvergenc</w:t>
      </w:r>
      <w:r>
        <w:rPr>
          <w:sz w:val="16"/>
          <w:szCs w:val="16"/>
        </w:rPr>
        <w:t>e</w:t>
      </w:r>
      <w:r w:rsidRPr="00460360">
        <w:rPr>
          <w:sz w:val="16"/>
          <w:szCs w:val="16"/>
        </w:rPr>
        <w:t xml:space="preserve"> marže k EU povprečju.</w:t>
      </w:r>
    </w:p>
  </w:footnote>
  <w:footnote w:id="31">
    <w:p w14:paraId="3CEDEC6F" w14:textId="77777777" w:rsidR="00C55975" w:rsidRDefault="00C55975" w:rsidP="003C2935">
      <w:pPr>
        <w:pStyle w:val="Sprotnaopomba-besedilo"/>
      </w:pPr>
      <w:r>
        <w:rPr>
          <w:rStyle w:val="Sprotnaopomba-sklic"/>
        </w:rPr>
        <w:footnoteRef/>
      </w:r>
      <w:r>
        <w:rPr>
          <w:sz w:val="18"/>
          <w:szCs w:val="18"/>
        </w:rPr>
        <w:t xml:space="preserve"> </w:t>
      </w:r>
      <w:r w:rsidRPr="00460360">
        <w:rPr>
          <w:sz w:val="16"/>
          <w:szCs w:val="16"/>
        </w:rPr>
        <w:t xml:space="preserve">To pomeni še več povezovanja z domačim storitvenim sektorjem, </w:t>
      </w:r>
      <w:proofErr w:type="spellStart"/>
      <w:r w:rsidRPr="00460360">
        <w:rPr>
          <w:sz w:val="16"/>
          <w:szCs w:val="16"/>
        </w:rPr>
        <w:t>outsourcingom</w:t>
      </w:r>
      <w:proofErr w:type="spellEnd"/>
      <w:r w:rsidRPr="00460360">
        <w:rPr>
          <w:sz w:val="16"/>
          <w:szCs w:val="16"/>
        </w:rPr>
        <w:t xml:space="preserve"> določenih aktivnosti z visoko dodano vrednostjo (marketing, oblikovanje, PR).</w:t>
      </w:r>
    </w:p>
  </w:footnote>
  <w:footnote w:id="32">
    <w:p w14:paraId="0E943B2A" w14:textId="77777777" w:rsidR="00C55975" w:rsidRPr="006B7138" w:rsidRDefault="00C55975">
      <w:pPr>
        <w:pStyle w:val="Sprotnaopomba-besedilo"/>
        <w:rPr>
          <w:sz w:val="18"/>
        </w:rPr>
      </w:pPr>
      <w:r>
        <w:rPr>
          <w:rStyle w:val="Sprotnaopomba-sklic"/>
        </w:rPr>
        <w:footnoteRef/>
      </w:r>
      <w:r>
        <w:t xml:space="preserve"> </w:t>
      </w:r>
      <w:r w:rsidRPr="00E30392">
        <w:rPr>
          <w:sz w:val="16"/>
          <w:szCs w:val="16"/>
        </w:rPr>
        <w:t>S</w:t>
      </w:r>
      <w:r w:rsidRPr="00460360">
        <w:rPr>
          <w:sz w:val="16"/>
          <w:szCs w:val="16"/>
        </w:rPr>
        <w:t xml:space="preserve"> skupnostmi znanja in inovacij (KIC - </w:t>
      </w:r>
      <w:proofErr w:type="spellStart"/>
      <w:r w:rsidRPr="00460360">
        <w:rPr>
          <w:sz w:val="16"/>
          <w:szCs w:val="16"/>
        </w:rPr>
        <w:t>Knowledge</w:t>
      </w:r>
      <w:proofErr w:type="spellEnd"/>
      <w:r w:rsidRPr="00460360">
        <w:rPr>
          <w:sz w:val="16"/>
          <w:szCs w:val="16"/>
        </w:rPr>
        <w:t xml:space="preserve"> </w:t>
      </w:r>
      <w:proofErr w:type="spellStart"/>
      <w:r w:rsidRPr="00460360">
        <w:rPr>
          <w:sz w:val="16"/>
          <w:szCs w:val="16"/>
        </w:rPr>
        <w:t>and</w:t>
      </w:r>
      <w:proofErr w:type="spellEnd"/>
      <w:r w:rsidRPr="00460360">
        <w:rPr>
          <w:sz w:val="16"/>
          <w:szCs w:val="16"/>
        </w:rPr>
        <w:t xml:space="preserve"> </w:t>
      </w:r>
      <w:proofErr w:type="spellStart"/>
      <w:r w:rsidRPr="00460360">
        <w:rPr>
          <w:sz w:val="16"/>
          <w:szCs w:val="16"/>
        </w:rPr>
        <w:t>Innovation</w:t>
      </w:r>
      <w:proofErr w:type="spellEnd"/>
      <w:r w:rsidRPr="00460360">
        <w:rPr>
          <w:sz w:val="16"/>
          <w:szCs w:val="16"/>
        </w:rPr>
        <w:t xml:space="preserve"> </w:t>
      </w:r>
      <w:proofErr w:type="spellStart"/>
      <w:r w:rsidRPr="00460360">
        <w:rPr>
          <w:sz w:val="16"/>
          <w:szCs w:val="16"/>
        </w:rPr>
        <w:t>Community</w:t>
      </w:r>
      <w:proofErr w:type="spellEnd"/>
      <w:r w:rsidRPr="00460360">
        <w:rPr>
          <w:sz w:val="16"/>
          <w:szCs w:val="16"/>
        </w:rPr>
        <w:t>) v okviru EIT (Evropskega inštituta za inovacije in tehnologijo) ter Skupnim raziskovalnim središčem (JRC) Evropske komisije.</w:t>
      </w:r>
    </w:p>
  </w:footnote>
  <w:footnote w:id="33">
    <w:p w14:paraId="67AE6FC1" w14:textId="77777777" w:rsidR="00C55975" w:rsidRDefault="00C55975" w:rsidP="00865CE9">
      <w:pPr>
        <w:pStyle w:val="Sprotnaopomba-besedilo"/>
      </w:pPr>
      <w:r>
        <w:rPr>
          <w:rStyle w:val="Sprotnaopomba-sklic"/>
        </w:rPr>
        <w:footnoteRef/>
      </w:r>
      <w:r>
        <w:t xml:space="preserve"> </w:t>
      </w:r>
      <w:r w:rsidRPr="00460360">
        <w:rPr>
          <w:sz w:val="16"/>
          <w:szCs w:val="16"/>
        </w:rPr>
        <w:t>Povprečna letna rast (geometrijsko povprečje).</w:t>
      </w:r>
    </w:p>
  </w:footnote>
  <w:footnote w:id="34">
    <w:p w14:paraId="2A02337B" w14:textId="77777777" w:rsidR="00C55975" w:rsidRDefault="00C55975" w:rsidP="00865CE9">
      <w:pPr>
        <w:pStyle w:val="Sprotnaopomba-besedilo"/>
      </w:pPr>
      <w:r>
        <w:rPr>
          <w:rStyle w:val="Sprotnaopomba-sklic"/>
        </w:rPr>
        <w:footnoteRef/>
      </w:r>
      <w:r>
        <w:t xml:space="preserve"> </w:t>
      </w:r>
      <w:r w:rsidRPr="00460360">
        <w:rPr>
          <w:sz w:val="16"/>
          <w:szCs w:val="16"/>
        </w:rPr>
        <w:t>Povprečna letna rast (geometrijsko povprečje).</w:t>
      </w:r>
    </w:p>
  </w:footnote>
  <w:footnote w:id="35">
    <w:p w14:paraId="317DAC88" w14:textId="77777777" w:rsidR="00C55975" w:rsidRDefault="00C55975" w:rsidP="00865CE9">
      <w:pPr>
        <w:pStyle w:val="Sprotnaopomba-besedilo"/>
      </w:pPr>
      <w:r>
        <w:rPr>
          <w:rStyle w:val="Sprotnaopomba-sklic"/>
        </w:rPr>
        <w:footnoteRef/>
      </w:r>
      <w:r>
        <w:t xml:space="preserve"> </w:t>
      </w:r>
      <w:r w:rsidRPr="00460360">
        <w:rPr>
          <w:sz w:val="16"/>
          <w:szCs w:val="16"/>
        </w:rPr>
        <w:t>Povprečna letna rast (geometrijsko povprečje).</w:t>
      </w:r>
    </w:p>
  </w:footnote>
  <w:footnote w:id="36">
    <w:p w14:paraId="3D50B5BF" w14:textId="77777777" w:rsidR="00C55975" w:rsidRDefault="00C55975" w:rsidP="00865CE9">
      <w:pPr>
        <w:pStyle w:val="Sprotnaopomba-besedilo"/>
      </w:pPr>
      <w:r>
        <w:rPr>
          <w:rStyle w:val="Sprotnaopomba-sklic"/>
        </w:rPr>
        <w:footnoteRef/>
      </w:r>
      <w:r>
        <w:t xml:space="preserve"> </w:t>
      </w:r>
      <w:r w:rsidRPr="00460360">
        <w:rPr>
          <w:sz w:val="16"/>
          <w:szCs w:val="16"/>
        </w:rPr>
        <w:t>Povprečna letna rast (geometrijsko povprečje)</w:t>
      </w:r>
    </w:p>
  </w:footnote>
  <w:footnote w:id="37">
    <w:p w14:paraId="5C594025" w14:textId="77777777" w:rsidR="00C55975" w:rsidRDefault="00C55975" w:rsidP="00865CE9">
      <w:pPr>
        <w:pStyle w:val="Sprotnaopomba-besedilo"/>
      </w:pPr>
      <w:r>
        <w:rPr>
          <w:rStyle w:val="Sprotnaopomba-sklic"/>
        </w:rPr>
        <w:footnoteRef/>
      </w:r>
      <w:r>
        <w:t xml:space="preserve"> </w:t>
      </w:r>
      <w:r w:rsidRPr="00460360">
        <w:rPr>
          <w:sz w:val="16"/>
          <w:szCs w:val="16"/>
        </w:rPr>
        <w:t>Povprečna letna rast (geometrijsko povprečje).</w:t>
      </w:r>
    </w:p>
  </w:footnote>
  <w:footnote w:id="38">
    <w:p w14:paraId="66FEAA86" w14:textId="77777777" w:rsidR="00C55975" w:rsidRPr="00633335" w:rsidRDefault="00C55975" w:rsidP="00633335">
      <w:pPr>
        <w:rPr>
          <w:rFonts w:cstheme="minorHAnsi"/>
          <w:i/>
          <w:iCs/>
          <w:sz w:val="18"/>
          <w:szCs w:val="18"/>
        </w:rPr>
      </w:pPr>
      <w:r w:rsidRPr="00B10EEF">
        <w:rPr>
          <w:rStyle w:val="Sprotnaopomba-sklic"/>
          <w:i/>
          <w:iCs/>
          <w:sz w:val="18"/>
          <w:szCs w:val="18"/>
        </w:rPr>
        <w:footnoteRef/>
      </w:r>
      <w:r w:rsidRPr="00B10EEF">
        <w:rPr>
          <w:i/>
          <w:iCs/>
          <w:sz w:val="18"/>
          <w:szCs w:val="18"/>
        </w:rPr>
        <w:t xml:space="preserve"> </w:t>
      </w:r>
      <w:r w:rsidRPr="00460360">
        <w:rPr>
          <w:sz w:val="16"/>
          <w:szCs w:val="16"/>
        </w:rPr>
        <w:t>Dodana vrednost v stroških faktorjev</w:t>
      </w:r>
      <w:r w:rsidRPr="00460360">
        <w:rPr>
          <w:rFonts w:cstheme="minorHAnsi"/>
          <w:iCs/>
          <w:sz w:val="16"/>
          <w:szCs w:val="16"/>
        </w:rPr>
        <w:t>.</w:t>
      </w:r>
    </w:p>
  </w:footnote>
  <w:footnote w:id="39">
    <w:p w14:paraId="52E0C3C6" w14:textId="77777777" w:rsidR="00C55975" w:rsidRDefault="00C55975" w:rsidP="00865CE9">
      <w:pPr>
        <w:pStyle w:val="Sprotnaopomba-besedilo"/>
      </w:pPr>
      <w:r>
        <w:rPr>
          <w:rStyle w:val="Sprotnaopomba-sklic"/>
        </w:rPr>
        <w:footnoteRef/>
      </w:r>
      <w:r>
        <w:t xml:space="preserve"> </w:t>
      </w:r>
      <w:r w:rsidRPr="00460360">
        <w:rPr>
          <w:sz w:val="16"/>
          <w:szCs w:val="16"/>
        </w:rPr>
        <w:t>Povprečna letna rast (geometrijsko povprečje).</w:t>
      </w:r>
    </w:p>
  </w:footnote>
  <w:footnote w:id="40">
    <w:p w14:paraId="13C36EC1" w14:textId="77777777" w:rsidR="00C55975" w:rsidRDefault="00C55975">
      <w:pPr>
        <w:pStyle w:val="Sprotnaopomba-besedilo"/>
      </w:pPr>
      <w:r>
        <w:rPr>
          <w:rStyle w:val="Sprotnaopomba-sklic"/>
        </w:rPr>
        <w:footnoteRef/>
      </w:r>
      <w:r>
        <w:t xml:space="preserve"> </w:t>
      </w:r>
      <w:r w:rsidRPr="00460360">
        <w:rPr>
          <w:sz w:val="16"/>
          <w:szCs w:val="16"/>
        </w:rPr>
        <w:t>Bruto marža je izračun dodane vrednost v prihodkih</w:t>
      </w:r>
      <w:r w:rsidRPr="00460360">
        <w:rPr>
          <w:iCs/>
          <w:sz w:val="16"/>
          <w:szCs w:val="16"/>
        </w:rPr>
        <w:t>.</w:t>
      </w:r>
    </w:p>
  </w:footnote>
  <w:footnote w:id="41">
    <w:p w14:paraId="4B7CA433" w14:textId="77777777" w:rsidR="00C55975" w:rsidRDefault="00C55975" w:rsidP="00640727">
      <w:pPr>
        <w:pStyle w:val="Sprotnaopomba-besedilo"/>
      </w:pPr>
      <w:r>
        <w:rPr>
          <w:rStyle w:val="Sprotnaopomba-sklic"/>
        </w:rPr>
        <w:footnoteRef/>
      </w:r>
      <w:r>
        <w:t xml:space="preserve"> </w:t>
      </w:r>
      <w:r w:rsidRPr="00460360">
        <w:rPr>
          <w:sz w:val="16"/>
          <w:szCs w:val="16"/>
        </w:rPr>
        <w:t>Povprečna letna rast (geometrijsko povprečje).</w:t>
      </w:r>
    </w:p>
  </w:footnote>
  <w:footnote w:id="42">
    <w:p w14:paraId="07B41A50" w14:textId="77777777" w:rsidR="00C55975" w:rsidRDefault="00C55975">
      <w:pPr>
        <w:pStyle w:val="Sprotnaopomba-besedilo"/>
      </w:pPr>
      <w:r>
        <w:rPr>
          <w:rStyle w:val="Sprotnaopomba-sklic"/>
        </w:rPr>
        <w:footnoteRef/>
      </w:r>
      <w:r>
        <w:t xml:space="preserve"> </w:t>
      </w:r>
      <w:r w:rsidRPr="00460360">
        <w:rPr>
          <w:sz w:val="16"/>
          <w:szCs w:val="16"/>
        </w:rPr>
        <w:t>Dodana vrednost na zaposlenega je izračun dodan</w:t>
      </w:r>
      <w:r w:rsidRPr="00460360">
        <w:rPr>
          <w:i/>
          <w:sz w:val="16"/>
          <w:szCs w:val="16"/>
        </w:rPr>
        <w:t>e</w:t>
      </w:r>
      <w:r w:rsidRPr="00460360">
        <w:rPr>
          <w:sz w:val="16"/>
          <w:szCs w:val="16"/>
        </w:rPr>
        <w:t xml:space="preserve"> vrednost</w:t>
      </w:r>
      <w:r w:rsidRPr="00460360">
        <w:rPr>
          <w:i/>
          <w:sz w:val="16"/>
          <w:szCs w:val="16"/>
        </w:rPr>
        <w:t>i</w:t>
      </w:r>
      <w:r w:rsidRPr="00460360">
        <w:rPr>
          <w:sz w:val="16"/>
          <w:szCs w:val="16"/>
        </w:rPr>
        <w:t xml:space="preserve"> v stroških faktorjev</w:t>
      </w:r>
      <w:r w:rsidRPr="00460360">
        <w:rPr>
          <w:i/>
          <w:sz w:val="16"/>
          <w:szCs w:val="16"/>
        </w:rPr>
        <w:t xml:space="preserve"> glede na število zaposlenih.</w:t>
      </w:r>
    </w:p>
  </w:footnote>
  <w:footnote w:id="43">
    <w:p w14:paraId="2362241D" w14:textId="77777777" w:rsidR="00C55975" w:rsidRDefault="00C55975" w:rsidP="00640727">
      <w:pPr>
        <w:pStyle w:val="Sprotnaopomba-besedilo"/>
      </w:pPr>
      <w:r>
        <w:rPr>
          <w:rStyle w:val="Sprotnaopomba-sklic"/>
        </w:rPr>
        <w:footnoteRef/>
      </w:r>
      <w:r>
        <w:t xml:space="preserve"> </w:t>
      </w:r>
      <w:r w:rsidRPr="00460360">
        <w:rPr>
          <w:sz w:val="16"/>
          <w:szCs w:val="16"/>
        </w:rPr>
        <w:t>Povprečna letna rast (geometrijsko povprečje).</w:t>
      </w:r>
    </w:p>
  </w:footnote>
  <w:footnote w:id="44">
    <w:p w14:paraId="07103718" w14:textId="77777777" w:rsidR="00C55975" w:rsidRDefault="00C55975" w:rsidP="00640727">
      <w:pPr>
        <w:pStyle w:val="Sprotnaopomba-besedilo"/>
      </w:pPr>
      <w:r>
        <w:rPr>
          <w:rStyle w:val="Sprotnaopomba-sklic"/>
        </w:rPr>
        <w:footnoteRef/>
      </w:r>
      <w:r>
        <w:t xml:space="preserve"> </w:t>
      </w:r>
      <w:r w:rsidRPr="00460360">
        <w:rPr>
          <w:sz w:val="16"/>
          <w:szCs w:val="16"/>
        </w:rPr>
        <w:t>Povprečna letna rast (geometrijsko povprečje).</w:t>
      </w:r>
    </w:p>
  </w:footnote>
  <w:footnote w:id="45">
    <w:p w14:paraId="141E3CEF" w14:textId="77777777" w:rsidR="00C55975" w:rsidRDefault="00C55975">
      <w:pPr>
        <w:pStyle w:val="Sprotnaopomba-besedilo"/>
      </w:pPr>
      <w:r>
        <w:rPr>
          <w:rStyle w:val="Sprotnaopomba-sklic"/>
        </w:rPr>
        <w:footnoteRef/>
      </w:r>
      <w:r>
        <w:t xml:space="preserve"> </w:t>
      </w:r>
      <w:r w:rsidRPr="00460360">
        <w:rPr>
          <w:sz w:val="16"/>
          <w:szCs w:val="16"/>
        </w:rPr>
        <w:t>Povprečna letna rast (geometrijsko povprečje).</w:t>
      </w:r>
    </w:p>
  </w:footnote>
  <w:footnote w:id="46">
    <w:p w14:paraId="67144C8D" w14:textId="77777777" w:rsidR="00C55975" w:rsidRDefault="00C55975">
      <w:pPr>
        <w:pStyle w:val="Sprotnaopomba-besedilo"/>
      </w:pPr>
      <w:r>
        <w:rPr>
          <w:rStyle w:val="Sprotnaopomba-sklic"/>
        </w:rPr>
        <w:footnoteRef/>
      </w:r>
      <w:r w:rsidRPr="002E0656">
        <w:rPr>
          <w:i/>
          <w:iCs/>
          <w:sz w:val="18"/>
          <w:szCs w:val="18"/>
        </w:rPr>
        <w:t xml:space="preserve"> </w:t>
      </w:r>
      <w:r w:rsidRPr="00460360">
        <w:rPr>
          <w:sz w:val="16"/>
          <w:szCs w:val="16"/>
        </w:rPr>
        <w:t>EBITDA marža je izračun poslovnega presežka v prihodkih</w:t>
      </w:r>
      <w:r w:rsidRPr="00460360">
        <w:rPr>
          <w:iCs/>
          <w:sz w:val="16"/>
          <w:szCs w:val="16"/>
        </w:rPr>
        <w:t>.</w:t>
      </w:r>
    </w:p>
  </w:footnote>
  <w:footnote w:id="47">
    <w:p w14:paraId="10C9B21D" w14:textId="77777777" w:rsidR="00C55975" w:rsidRDefault="00C55975" w:rsidP="00640727">
      <w:pPr>
        <w:pStyle w:val="Sprotnaopomba-besedilo"/>
      </w:pPr>
      <w:r>
        <w:rPr>
          <w:rStyle w:val="Sprotnaopomba-sklic"/>
        </w:rPr>
        <w:footnoteRef/>
      </w:r>
      <w:r>
        <w:t xml:space="preserve"> </w:t>
      </w:r>
      <w:r w:rsidRPr="00460360">
        <w:rPr>
          <w:sz w:val="16"/>
          <w:szCs w:val="16"/>
        </w:rPr>
        <w:t>Povprečna letna rast (geometrijsko povprečje).</w:t>
      </w:r>
    </w:p>
  </w:footnote>
  <w:footnote w:id="48">
    <w:p w14:paraId="24C2C3CD" w14:textId="77777777" w:rsidR="00C55975" w:rsidRDefault="00C55975" w:rsidP="00640727">
      <w:pPr>
        <w:pStyle w:val="Sprotnaopomba-besedilo"/>
      </w:pPr>
      <w:r>
        <w:rPr>
          <w:rStyle w:val="Sprotnaopomba-sklic"/>
        </w:rPr>
        <w:footnoteRef/>
      </w:r>
      <w:r>
        <w:t xml:space="preserve"> </w:t>
      </w:r>
      <w:r w:rsidRPr="003402C7">
        <w:rPr>
          <w:sz w:val="16"/>
          <w:szCs w:val="16"/>
        </w:rPr>
        <w:t>Povprečna letna rast (geometrijsko povprečje).</w:t>
      </w:r>
    </w:p>
  </w:footnote>
  <w:footnote w:id="49">
    <w:p w14:paraId="5EDE4AF7" w14:textId="77777777" w:rsidR="00C55975" w:rsidRPr="002008BD" w:rsidRDefault="00C55975" w:rsidP="002008BD">
      <w:pPr>
        <w:rPr>
          <w:rFonts w:cstheme="minorHAnsi"/>
          <w:i/>
          <w:iCs/>
          <w:sz w:val="18"/>
          <w:szCs w:val="18"/>
        </w:rPr>
      </w:pPr>
      <w:r>
        <w:rPr>
          <w:rStyle w:val="Sprotnaopomba-sklic"/>
        </w:rPr>
        <w:footnoteRef/>
      </w:r>
      <w:r>
        <w:t xml:space="preserve"> </w:t>
      </w:r>
      <w:r w:rsidRPr="00460360">
        <w:rPr>
          <w:sz w:val="16"/>
          <w:szCs w:val="16"/>
        </w:rPr>
        <w:t xml:space="preserve">Notranji izdatki za RRD v poslovnem sektorju, </w:t>
      </w:r>
      <w:r w:rsidRPr="00460360">
        <w:rPr>
          <w:i/>
          <w:sz w:val="16"/>
          <w:szCs w:val="16"/>
        </w:rPr>
        <w:t xml:space="preserve">po dejavnostih predelovalnih dejavnosti so nekateri podatki zaradi zaupnosti </w:t>
      </w:r>
      <w:r w:rsidRPr="00460360">
        <w:rPr>
          <w:sz w:val="16"/>
          <w:szCs w:val="16"/>
        </w:rPr>
        <w:t>ocen</w:t>
      </w:r>
      <w:r w:rsidRPr="00460360">
        <w:rPr>
          <w:i/>
          <w:sz w:val="16"/>
          <w:szCs w:val="16"/>
        </w:rPr>
        <w:t>jeni</w:t>
      </w:r>
      <w:r w:rsidRPr="00460360">
        <w:rPr>
          <w:sz w:val="16"/>
          <w:szCs w:val="16"/>
        </w:rPr>
        <w:t xml:space="preserve"> za leti 2017-2018</w:t>
      </w:r>
      <w:r w:rsidRPr="00460360">
        <w:rPr>
          <w:i/>
          <w:sz w:val="16"/>
          <w:szCs w:val="16"/>
        </w:rPr>
        <w:t>.</w:t>
      </w:r>
    </w:p>
    <w:p w14:paraId="10EEC81D" w14:textId="77777777" w:rsidR="00C55975" w:rsidRDefault="00C55975">
      <w:pPr>
        <w:pStyle w:val="Sprotnaopomba-besedilo"/>
      </w:pPr>
    </w:p>
  </w:footnote>
  <w:footnote w:id="50">
    <w:p w14:paraId="337FC6F8" w14:textId="77777777" w:rsidR="00C55975" w:rsidRDefault="00C55975" w:rsidP="00640727">
      <w:pPr>
        <w:pStyle w:val="Sprotnaopomba-besedilo"/>
      </w:pPr>
      <w:r>
        <w:rPr>
          <w:rStyle w:val="Sprotnaopomba-sklic"/>
        </w:rPr>
        <w:footnoteRef/>
      </w:r>
      <w:r>
        <w:t xml:space="preserve"> </w:t>
      </w:r>
      <w:r w:rsidRPr="00460360">
        <w:rPr>
          <w:sz w:val="16"/>
          <w:szCs w:val="16"/>
        </w:rPr>
        <w:t>Povprečna letna rast (geometrijsko povprečje).</w:t>
      </w:r>
    </w:p>
  </w:footnote>
  <w:footnote w:id="51">
    <w:p w14:paraId="4800E80B" w14:textId="77777777" w:rsidR="00C55975" w:rsidRDefault="00C55975" w:rsidP="00120E6B">
      <w:pPr>
        <w:pStyle w:val="Sprotnaopomba-besedilo"/>
      </w:pPr>
      <w:r>
        <w:rPr>
          <w:rStyle w:val="Sprotnaopomba-sklic"/>
        </w:rPr>
        <w:footnoteRef/>
      </w:r>
      <w:r>
        <w:t xml:space="preserve"> </w:t>
      </w:r>
      <w:r w:rsidRPr="00460360">
        <w:rPr>
          <w:rFonts w:asciiTheme="majorHAnsi" w:eastAsia="Times New Roman" w:hAnsiTheme="majorHAnsi" w:cs="Arial"/>
          <w:sz w:val="16"/>
          <w:szCs w:val="16"/>
          <w:lang w:eastAsia="sl-SI"/>
        </w:rPr>
        <w:t>Za koliko je vrednost kazalnika v Sloveniji višja od mediane kazalnika držav srednjeevropske skupine (CEE-4).</w:t>
      </w:r>
    </w:p>
  </w:footnote>
  <w:footnote w:id="52">
    <w:p w14:paraId="65D2C091" w14:textId="77777777" w:rsidR="00C55975" w:rsidRPr="00F50C80" w:rsidRDefault="00C55975" w:rsidP="004F5CB6">
      <w:pPr>
        <w:pStyle w:val="Sprotnaopomba-besedilo"/>
        <w:rPr>
          <w:rFonts w:asciiTheme="majorHAnsi" w:eastAsia="Times New Roman" w:hAnsiTheme="majorHAnsi" w:cs="Arial"/>
          <w:sz w:val="18"/>
          <w:szCs w:val="18"/>
          <w:lang w:eastAsia="sl-SI"/>
        </w:rPr>
      </w:pPr>
      <w:r>
        <w:rPr>
          <w:rStyle w:val="Sprotnaopomba-sklic"/>
        </w:rPr>
        <w:footnoteRef/>
      </w:r>
      <w:r>
        <w:t xml:space="preserve"> </w:t>
      </w:r>
      <w:r w:rsidRPr="00460360">
        <w:rPr>
          <w:rFonts w:asciiTheme="majorHAnsi" w:eastAsia="Times New Roman" w:hAnsiTheme="majorHAnsi" w:cs="Arial"/>
          <w:sz w:val="16"/>
          <w:szCs w:val="16"/>
          <w:lang w:eastAsia="sl-SI"/>
        </w:rPr>
        <w:t>Za koliko je vrednost kazalnika v Sloveniji višja od mediane kazalnika držav EU-27.</w:t>
      </w:r>
    </w:p>
  </w:footnote>
  <w:footnote w:id="53">
    <w:p w14:paraId="61325AF5" w14:textId="77777777" w:rsidR="00C55975" w:rsidRDefault="00C55975" w:rsidP="004F5CB6">
      <w:pPr>
        <w:pStyle w:val="Sprotnaopomba-besedilo"/>
      </w:pPr>
      <w:r>
        <w:rPr>
          <w:rStyle w:val="Sprotnaopomba-sklic"/>
        </w:rPr>
        <w:footnoteRef/>
      </w:r>
      <w:r>
        <w:t xml:space="preserve"> </w:t>
      </w:r>
      <w:r w:rsidRPr="00460360">
        <w:rPr>
          <w:rFonts w:asciiTheme="majorHAnsi" w:eastAsia="Times New Roman" w:hAnsiTheme="majorHAnsi" w:cs="Arial"/>
          <w:sz w:val="16"/>
          <w:szCs w:val="16"/>
          <w:lang w:eastAsia="sl-SI"/>
        </w:rPr>
        <w:t>Izračun dodane vrednosti v prihodkih.</w:t>
      </w:r>
    </w:p>
  </w:footnote>
  <w:footnote w:id="54">
    <w:p w14:paraId="63D85280" w14:textId="77777777" w:rsidR="00C55975" w:rsidRDefault="00C55975" w:rsidP="004F5CB6">
      <w:pPr>
        <w:pStyle w:val="Sprotnaopomba-besedilo"/>
      </w:pPr>
      <w:r>
        <w:rPr>
          <w:rStyle w:val="Sprotnaopomba-sklic"/>
        </w:rPr>
        <w:footnoteRef/>
      </w:r>
      <w:r>
        <w:t xml:space="preserve"> </w:t>
      </w:r>
      <w:r w:rsidRPr="00460360">
        <w:rPr>
          <w:rFonts w:asciiTheme="majorHAnsi" w:eastAsia="Times New Roman" w:hAnsiTheme="majorHAnsi" w:cs="Arial"/>
          <w:sz w:val="16"/>
          <w:szCs w:val="16"/>
          <w:lang w:eastAsia="sl-SI"/>
        </w:rPr>
        <w:t>EBITDA marža je izračun poslovnega presežka v prihodkih.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2179746"/>
      <w:docPartObj>
        <w:docPartGallery w:val="Watermarks"/>
        <w:docPartUnique/>
      </w:docPartObj>
    </w:sdtPr>
    <w:sdtEndPr/>
    <w:sdtContent>
      <w:p w14:paraId="38D2F4BB" w14:textId="77777777" w:rsidR="00C55975" w:rsidRDefault="00ED7524">
        <w:pPr>
          <w:pStyle w:val="Glava"/>
        </w:pPr>
        <w:r>
          <w:pict w14:anchorId="35DAD6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OSNUTEK"/>
              <w10:wrap anchorx="margin" anchory="margin"/>
            </v:shape>
          </w:pict>
        </w:r>
      </w:p>
    </w:sdtContent>
  </w:sdt>
  <w:p w14:paraId="100370AB" w14:textId="77777777" w:rsidR="00C55975" w:rsidRDefault="00C55975">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4EE4"/>
    <w:multiLevelType w:val="hybridMultilevel"/>
    <w:tmpl w:val="3FB69BC2"/>
    <w:lvl w:ilvl="0" w:tplc="5DD8BA64">
      <w:numFmt w:val="bullet"/>
      <w:lvlText w:val="-"/>
      <w:lvlJc w:val="left"/>
      <w:pPr>
        <w:ind w:left="720" w:hanging="360"/>
      </w:pPr>
      <w:rPr>
        <w:rFonts w:ascii="Trebuchet MS" w:eastAsiaTheme="minorEastAsia" w:hAnsi="Trebuchet MS"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0EC144A"/>
    <w:multiLevelType w:val="hybridMultilevel"/>
    <w:tmpl w:val="39106F14"/>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0E04660B"/>
    <w:multiLevelType w:val="hybridMultilevel"/>
    <w:tmpl w:val="23C8095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nsid w:val="146C3585"/>
    <w:multiLevelType w:val="multilevel"/>
    <w:tmpl w:val="C9681D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041BE1"/>
    <w:multiLevelType w:val="multilevel"/>
    <w:tmpl w:val="704455DC"/>
    <w:lvl w:ilvl="0">
      <w:start w:val="3"/>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E9C7FFD"/>
    <w:multiLevelType w:val="hybridMultilevel"/>
    <w:tmpl w:val="529241F8"/>
    <w:lvl w:ilvl="0" w:tplc="D6AAEB9E">
      <w:start w:val="2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F6F10C6"/>
    <w:multiLevelType w:val="hybridMultilevel"/>
    <w:tmpl w:val="616A83CA"/>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
    <w:nsid w:val="1FB228AC"/>
    <w:multiLevelType w:val="multilevel"/>
    <w:tmpl w:val="0424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32F6FCB"/>
    <w:multiLevelType w:val="multilevel"/>
    <w:tmpl w:val="9E349D4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A663985"/>
    <w:multiLevelType w:val="multilevel"/>
    <w:tmpl w:val="7EA066D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ADB4E90"/>
    <w:multiLevelType w:val="multilevel"/>
    <w:tmpl w:val="BACE21E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D252BFC"/>
    <w:multiLevelType w:val="hybridMultilevel"/>
    <w:tmpl w:val="C40EF2B2"/>
    <w:lvl w:ilvl="0" w:tplc="04240013">
      <w:start w:val="1"/>
      <w:numFmt w:val="upperRoman"/>
      <w:lvlText w:val="%1."/>
      <w:lvlJc w:val="righ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328D7BC6"/>
    <w:multiLevelType w:val="multilevel"/>
    <w:tmpl w:val="62F0148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5787E5C"/>
    <w:multiLevelType w:val="multilevel"/>
    <w:tmpl w:val="00226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C025F61"/>
    <w:multiLevelType w:val="hybridMultilevel"/>
    <w:tmpl w:val="8E9455B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nsid w:val="3D7D1E63"/>
    <w:multiLevelType w:val="hybridMultilevel"/>
    <w:tmpl w:val="F7DA0F28"/>
    <w:lvl w:ilvl="0" w:tplc="CB2033A0">
      <w:start w:val="5"/>
      <w:numFmt w:val="bullet"/>
      <w:lvlText w:val="-"/>
      <w:lvlJc w:val="left"/>
      <w:pPr>
        <w:ind w:left="720" w:hanging="360"/>
      </w:pPr>
      <w:rPr>
        <w:rFonts w:ascii="Calibri" w:hAnsi="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3FA726DC"/>
    <w:multiLevelType w:val="hybridMultilevel"/>
    <w:tmpl w:val="8390BB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41AD579F"/>
    <w:multiLevelType w:val="hybridMultilevel"/>
    <w:tmpl w:val="CE26321E"/>
    <w:lvl w:ilvl="0" w:tplc="37F4DCD8">
      <w:start w:val="21"/>
      <w:numFmt w:val="bullet"/>
      <w:lvlText w:val=""/>
      <w:lvlJc w:val="left"/>
      <w:pPr>
        <w:ind w:left="720" w:hanging="360"/>
      </w:pPr>
      <w:rPr>
        <w:rFonts w:ascii="Wingdings" w:eastAsiaTheme="minorEastAsia" w:hAnsi="Wingding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472A5A5A"/>
    <w:multiLevelType w:val="multilevel"/>
    <w:tmpl w:val="00226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F835E5"/>
    <w:multiLevelType w:val="hybridMultilevel"/>
    <w:tmpl w:val="AA6691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48912D15"/>
    <w:multiLevelType w:val="multilevel"/>
    <w:tmpl w:val="00226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DEA481E"/>
    <w:multiLevelType w:val="singleLevel"/>
    <w:tmpl w:val="A8F09D72"/>
    <w:lvl w:ilvl="0">
      <w:start w:val="1"/>
      <w:numFmt w:val="bullet"/>
      <w:pStyle w:val="Oznaenseznam2"/>
      <w:lvlText w:val="-"/>
      <w:lvlJc w:val="left"/>
      <w:pPr>
        <w:tabs>
          <w:tab w:val="num" w:pos="630"/>
        </w:tabs>
        <w:ind w:left="630" w:hanging="360"/>
      </w:pPr>
      <w:rPr>
        <w:rFonts w:hint="default"/>
      </w:rPr>
    </w:lvl>
  </w:abstractNum>
  <w:abstractNum w:abstractNumId="22">
    <w:nsid w:val="4E3A48A3"/>
    <w:multiLevelType w:val="hybridMultilevel"/>
    <w:tmpl w:val="B5DE75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50743E78"/>
    <w:multiLevelType w:val="hybridMultilevel"/>
    <w:tmpl w:val="A67EACDC"/>
    <w:lvl w:ilvl="0" w:tplc="B5B6A41E">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571F092B"/>
    <w:multiLevelType w:val="hybridMultilevel"/>
    <w:tmpl w:val="2056C690"/>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nsid w:val="59596589"/>
    <w:multiLevelType w:val="hybridMultilevel"/>
    <w:tmpl w:val="275077B6"/>
    <w:lvl w:ilvl="0" w:tplc="04240013">
      <w:start w:val="1"/>
      <w:numFmt w:val="upperRoman"/>
      <w:lvlText w:val="%1."/>
      <w:lvlJc w:val="righ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nsid w:val="5C562903"/>
    <w:multiLevelType w:val="singleLevel"/>
    <w:tmpl w:val="314C778C"/>
    <w:lvl w:ilvl="0">
      <w:start w:val="1"/>
      <w:numFmt w:val="bullet"/>
      <w:pStyle w:val="Oznaenseznam3"/>
      <w:lvlText w:val=""/>
      <w:lvlJc w:val="left"/>
      <w:pPr>
        <w:tabs>
          <w:tab w:val="num" w:pos="360"/>
        </w:tabs>
        <w:ind w:left="360" w:hanging="360"/>
      </w:pPr>
      <w:rPr>
        <w:rFonts w:ascii="Symbol" w:hAnsi="Symbol" w:hint="default"/>
      </w:rPr>
    </w:lvl>
  </w:abstractNum>
  <w:abstractNum w:abstractNumId="27">
    <w:nsid w:val="5D58477C"/>
    <w:multiLevelType w:val="hybridMultilevel"/>
    <w:tmpl w:val="E60E6C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698A3011"/>
    <w:multiLevelType w:val="multilevel"/>
    <w:tmpl w:val="62F0148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6E225088"/>
    <w:multiLevelType w:val="hybridMultilevel"/>
    <w:tmpl w:val="8BC20500"/>
    <w:lvl w:ilvl="0" w:tplc="620E27BC">
      <w:start w:val="1"/>
      <w:numFmt w:val="bullet"/>
      <w:pStyle w:val="alineja"/>
      <w:lvlText w:val="-"/>
      <w:lvlJc w:val="left"/>
      <w:pPr>
        <w:ind w:left="1004" w:hanging="360"/>
      </w:pPr>
      <w:rPr>
        <w:rFonts w:ascii="Franklin Gothic Book" w:hAnsi="Franklin Gothic Book" w:hint="default"/>
      </w:rPr>
    </w:lvl>
    <w:lvl w:ilvl="1" w:tplc="356A7E56">
      <w:start w:val="1"/>
      <w:numFmt w:val="bullet"/>
      <w:lvlText w:val="-"/>
      <w:lvlJc w:val="left"/>
      <w:pPr>
        <w:ind w:left="1724" w:hanging="360"/>
      </w:pPr>
      <w:rPr>
        <w:rFonts w:ascii="Franklin Gothic Book" w:hAnsi="Franklin Gothic Book" w:hint="default"/>
      </w:rPr>
    </w:lvl>
    <w:lvl w:ilvl="2" w:tplc="04240005">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0">
    <w:nsid w:val="6E6157B8"/>
    <w:multiLevelType w:val="hybridMultilevel"/>
    <w:tmpl w:val="C40EF2B2"/>
    <w:lvl w:ilvl="0" w:tplc="04240013">
      <w:start w:val="1"/>
      <w:numFmt w:val="upperRoman"/>
      <w:lvlText w:val="%1."/>
      <w:lvlJc w:val="righ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762C403F"/>
    <w:multiLevelType w:val="multilevel"/>
    <w:tmpl w:val="0424001D"/>
    <w:styleLink w:val="Slog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6C64BA6"/>
    <w:multiLevelType w:val="hybridMultilevel"/>
    <w:tmpl w:val="C31C8A04"/>
    <w:lvl w:ilvl="0" w:tplc="27069564">
      <w:numFmt w:val="bullet"/>
      <w:lvlText w:val="-"/>
      <w:lvlJc w:val="left"/>
      <w:pPr>
        <w:ind w:left="720" w:hanging="360"/>
      </w:pPr>
      <w:rPr>
        <w:rFonts w:ascii="Trebuchet MS" w:eastAsiaTheme="minorEastAsia" w:hAnsi="Trebuchet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77461692"/>
    <w:multiLevelType w:val="hybridMultilevel"/>
    <w:tmpl w:val="4D5E7622"/>
    <w:lvl w:ilvl="0" w:tplc="CB2033A0">
      <w:start w:val="5"/>
      <w:numFmt w:val="bullet"/>
      <w:lvlText w:val="-"/>
      <w:lvlJc w:val="left"/>
      <w:pPr>
        <w:ind w:left="720" w:hanging="360"/>
      </w:pPr>
      <w:rPr>
        <w:rFonts w:ascii="Calibri" w:hAnsi="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79643DEF"/>
    <w:multiLevelType w:val="hybridMultilevel"/>
    <w:tmpl w:val="7DC08A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7"/>
  </w:num>
  <w:num w:numId="2">
    <w:abstractNumId w:val="19"/>
  </w:num>
  <w:num w:numId="3">
    <w:abstractNumId w:val="11"/>
  </w:num>
  <w:num w:numId="4">
    <w:abstractNumId w:val="0"/>
  </w:num>
  <w:num w:numId="5">
    <w:abstractNumId w:val="14"/>
  </w:num>
  <w:num w:numId="6">
    <w:abstractNumId w:val="10"/>
  </w:num>
  <w:num w:numId="7">
    <w:abstractNumId w:val="4"/>
  </w:num>
  <w:num w:numId="8">
    <w:abstractNumId w:val="31"/>
  </w:num>
  <w:num w:numId="9">
    <w:abstractNumId w:val="8"/>
  </w:num>
  <w:num w:numId="10">
    <w:abstractNumId w:val="9"/>
  </w:num>
  <w:num w:numId="11">
    <w:abstractNumId w:val="21"/>
  </w:num>
  <w:num w:numId="12">
    <w:abstractNumId w:val="26"/>
  </w:num>
  <w:num w:numId="13">
    <w:abstractNumId w:val="29"/>
  </w:num>
  <w:num w:numId="14">
    <w:abstractNumId w:val="1"/>
  </w:num>
  <w:num w:numId="15">
    <w:abstractNumId w:val="25"/>
  </w:num>
  <w:num w:numId="16">
    <w:abstractNumId w:val="24"/>
  </w:num>
  <w:num w:numId="17">
    <w:abstractNumId w:val="22"/>
  </w:num>
  <w:num w:numId="18">
    <w:abstractNumId w:val="15"/>
  </w:num>
  <w:num w:numId="19">
    <w:abstractNumId w:val="33"/>
  </w:num>
  <w:num w:numId="20">
    <w:abstractNumId w:val="6"/>
  </w:num>
  <w:num w:numId="21">
    <w:abstractNumId w:val="16"/>
  </w:num>
  <w:num w:numId="22">
    <w:abstractNumId w:val="2"/>
  </w:num>
  <w:num w:numId="23">
    <w:abstractNumId w:val="5"/>
  </w:num>
  <w:num w:numId="24">
    <w:abstractNumId w:val="3"/>
  </w:num>
  <w:num w:numId="25">
    <w:abstractNumId w:val="30"/>
  </w:num>
  <w:num w:numId="26">
    <w:abstractNumId w:val="17"/>
  </w:num>
  <w:num w:numId="27">
    <w:abstractNumId w:val="12"/>
  </w:num>
  <w:num w:numId="28">
    <w:abstractNumId w:val="32"/>
  </w:num>
  <w:num w:numId="29">
    <w:abstractNumId w:val="18"/>
  </w:num>
  <w:num w:numId="30">
    <w:abstractNumId w:val="20"/>
  </w:num>
  <w:num w:numId="31">
    <w:abstractNumId w:val="13"/>
  </w:num>
  <w:num w:numId="32">
    <w:abstractNumId w:val="21"/>
  </w:num>
  <w:num w:numId="33">
    <w:abstractNumId w:val="26"/>
  </w:num>
  <w:num w:numId="34">
    <w:abstractNumId w:val="29"/>
  </w:num>
  <w:num w:numId="35">
    <w:abstractNumId w:val="9"/>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28"/>
  </w:num>
  <w:num w:numId="39">
    <w:abstractNumId w:val="7"/>
  </w:num>
  <w:num w:numId="40">
    <w:abstractNumId w:val="3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BB1"/>
    <w:rsid w:val="00003217"/>
    <w:rsid w:val="00003B92"/>
    <w:rsid w:val="00007199"/>
    <w:rsid w:val="000072C1"/>
    <w:rsid w:val="00007A1A"/>
    <w:rsid w:val="00007DB8"/>
    <w:rsid w:val="00010121"/>
    <w:rsid w:val="000108EE"/>
    <w:rsid w:val="00011F96"/>
    <w:rsid w:val="0001297C"/>
    <w:rsid w:val="000144B6"/>
    <w:rsid w:val="000146FF"/>
    <w:rsid w:val="00017542"/>
    <w:rsid w:val="00023BA3"/>
    <w:rsid w:val="00024BEF"/>
    <w:rsid w:val="000265FB"/>
    <w:rsid w:val="00027430"/>
    <w:rsid w:val="000300B8"/>
    <w:rsid w:val="0003161B"/>
    <w:rsid w:val="000333C4"/>
    <w:rsid w:val="0003490D"/>
    <w:rsid w:val="00034BDD"/>
    <w:rsid w:val="00035544"/>
    <w:rsid w:val="000359BD"/>
    <w:rsid w:val="00036410"/>
    <w:rsid w:val="0004030D"/>
    <w:rsid w:val="00040F84"/>
    <w:rsid w:val="000419B5"/>
    <w:rsid w:val="00042190"/>
    <w:rsid w:val="0004231D"/>
    <w:rsid w:val="0004281C"/>
    <w:rsid w:val="00042C3D"/>
    <w:rsid w:val="0004394B"/>
    <w:rsid w:val="0004422A"/>
    <w:rsid w:val="00046646"/>
    <w:rsid w:val="00050216"/>
    <w:rsid w:val="00050796"/>
    <w:rsid w:val="000524E5"/>
    <w:rsid w:val="00053200"/>
    <w:rsid w:val="00054E30"/>
    <w:rsid w:val="0005698D"/>
    <w:rsid w:val="000570EF"/>
    <w:rsid w:val="00057DAF"/>
    <w:rsid w:val="00061F54"/>
    <w:rsid w:val="00062EB8"/>
    <w:rsid w:val="00065963"/>
    <w:rsid w:val="00066967"/>
    <w:rsid w:val="00067B7C"/>
    <w:rsid w:val="00067F0F"/>
    <w:rsid w:val="00070FC7"/>
    <w:rsid w:val="000726DD"/>
    <w:rsid w:val="000763A7"/>
    <w:rsid w:val="000804CF"/>
    <w:rsid w:val="0008069F"/>
    <w:rsid w:val="00080F84"/>
    <w:rsid w:val="00081919"/>
    <w:rsid w:val="0008277F"/>
    <w:rsid w:val="000831E0"/>
    <w:rsid w:val="00083C9E"/>
    <w:rsid w:val="000841CA"/>
    <w:rsid w:val="00084571"/>
    <w:rsid w:val="00084E7A"/>
    <w:rsid w:val="00087996"/>
    <w:rsid w:val="00090A35"/>
    <w:rsid w:val="00090FCD"/>
    <w:rsid w:val="000916D1"/>
    <w:rsid w:val="00091FE5"/>
    <w:rsid w:val="000941DF"/>
    <w:rsid w:val="000961C6"/>
    <w:rsid w:val="00096DC5"/>
    <w:rsid w:val="00097D11"/>
    <w:rsid w:val="000A0D7D"/>
    <w:rsid w:val="000A3C2F"/>
    <w:rsid w:val="000A3ED8"/>
    <w:rsid w:val="000A5299"/>
    <w:rsid w:val="000A71A7"/>
    <w:rsid w:val="000A7460"/>
    <w:rsid w:val="000A7AEB"/>
    <w:rsid w:val="000B16EC"/>
    <w:rsid w:val="000B170B"/>
    <w:rsid w:val="000B18F8"/>
    <w:rsid w:val="000B3948"/>
    <w:rsid w:val="000B466B"/>
    <w:rsid w:val="000C0BFB"/>
    <w:rsid w:val="000C0D48"/>
    <w:rsid w:val="000C1D42"/>
    <w:rsid w:val="000C436A"/>
    <w:rsid w:val="000C4E46"/>
    <w:rsid w:val="000C4F74"/>
    <w:rsid w:val="000C6BD5"/>
    <w:rsid w:val="000D166C"/>
    <w:rsid w:val="000D1BB8"/>
    <w:rsid w:val="000D3787"/>
    <w:rsid w:val="000D3813"/>
    <w:rsid w:val="000D3D84"/>
    <w:rsid w:val="000D6867"/>
    <w:rsid w:val="000E0302"/>
    <w:rsid w:val="000E0F64"/>
    <w:rsid w:val="000E2B0C"/>
    <w:rsid w:val="000E387E"/>
    <w:rsid w:val="000E7797"/>
    <w:rsid w:val="000F2A9A"/>
    <w:rsid w:val="000F5573"/>
    <w:rsid w:val="000F59C5"/>
    <w:rsid w:val="000F71A4"/>
    <w:rsid w:val="000F7245"/>
    <w:rsid w:val="00100099"/>
    <w:rsid w:val="001004CE"/>
    <w:rsid w:val="0010246B"/>
    <w:rsid w:val="001025F3"/>
    <w:rsid w:val="00102724"/>
    <w:rsid w:val="001056F1"/>
    <w:rsid w:val="00105997"/>
    <w:rsid w:val="00105F7D"/>
    <w:rsid w:val="00105FE5"/>
    <w:rsid w:val="00112A76"/>
    <w:rsid w:val="00112E77"/>
    <w:rsid w:val="0011340D"/>
    <w:rsid w:val="001205AF"/>
    <w:rsid w:val="00120E6B"/>
    <w:rsid w:val="001210CE"/>
    <w:rsid w:val="0012150C"/>
    <w:rsid w:val="0012205F"/>
    <w:rsid w:val="00125D10"/>
    <w:rsid w:val="00125F79"/>
    <w:rsid w:val="0012698F"/>
    <w:rsid w:val="00127C3B"/>
    <w:rsid w:val="00127C91"/>
    <w:rsid w:val="001321AD"/>
    <w:rsid w:val="0013343C"/>
    <w:rsid w:val="00133775"/>
    <w:rsid w:val="001345EA"/>
    <w:rsid w:val="00136256"/>
    <w:rsid w:val="00136558"/>
    <w:rsid w:val="00137865"/>
    <w:rsid w:val="001401DB"/>
    <w:rsid w:val="00141BF6"/>
    <w:rsid w:val="00141C59"/>
    <w:rsid w:val="001434D9"/>
    <w:rsid w:val="00145F98"/>
    <w:rsid w:val="001469E3"/>
    <w:rsid w:val="00146B89"/>
    <w:rsid w:val="001472D1"/>
    <w:rsid w:val="0015081A"/>
    <w:rsid w:val="00151045"/>
    <w:rsid w:val="00151AAC"/>
    <w:rsid w:val="00152BD9"/>
    <w:rsid w:val="00153C5E"/>
    <w:rsid w:val="0015542F"/>
    <w:rsid w:val="00155719"/>
    <w:rsid w:val="00155918"/>
    <w:rsid w:val="00157549"/>
    <w:rsid w:val="00157B59"/>
    <w:rsid w:val="00160860"/>
    <w:rsid w:val="00160C29"/>
    <w:rsid w:val="00162BD8"/>
    <w:rsid w:val="00163330"/>
    <w:rsid w:val="00167442"/>
    <w:rsid w:val="00170A15"/>
    <w:rsid w:val="00170DAF"/>
    <w:rsid w:val="001734BA"/>
    <w:rsid w:val="001739A8"/>
    <w:rsid w:val="00174C92"/>
    <w:rsid w:val="00175163"/>
    <w:rsid w:val="00175D03"/>
    <w:rsid w:val="001769D0"/>
    <w:rsid w:val="00177C9D"/>
    <w:rsid w:val="00181F05"/>
    <w:rsid w:val="001823C0"/>
    <w:rsid w:val="0018280C"/>
    <w:rsid w:val="00183858"/>
    <w:rsid w:val="00183AAD"/>
    <w:rsid w:val="001852FE"/>
    <w:rsid w:val="0018606A"/>
    <w:rsid w:val="0019032D"/>
    <w:rsid w:val="0019144F"/>
    <w:rsid w:val="001916A4"/>
    <w:rsid w:val="001926C5"/>
    <w:rsid w:val="001943C9"/>
    <w:rsid w:val="001953D4"/>
    <w:rsid w:val="00196ED9"/>
    <w:rsid w:val="001971C0"/>
    <w:rsid w:val="001A0104"/>
    <w:rsid w:val="001A0C1C"/>
    <w:rsid w:val="001A10FD"/>
    <w:rsid w:val="001A1B94"/>
    <w:rsid w:val="001A3633"/>
    <w:rsid w:val="001A4BDE"/>
    <w:rsid w:val="001A5094"/>
    <w:rsid w:val="001A6A69"/>
    <w:rsid w:val="001B0515"/>
    <w:rsid w:val="001B383C"/>
    <w:rsid w:val="001B436C"/>
    <w:rsid w:val="001B77D8"/>
    <w:rsid w:val="001B7F81"/>
    <w:rsid w:val="001C2D6A"/>
    <w:rsid w:val="001C3137"/>
    <w:rsid w:val="001C4F69"/>
    <w:rsid w:val="001C60CB"/>
    <w:rsid w:val="001C639C"/>
    <w:rsid w:val="001C6EB2"/>
    <w:rsid w:val="001C6F05"/>
    <w:rsid w:val="001C7D9F"/>
    <w:rsid w:val="001C7EB2"/>
    <w:rsid w:val="001C7FED"/>
    <w:rsid w:val="001D0237"/>
    <w:rsid w:val="001D12C1"/>
    <w:rsid w:val="001D26A8"/>
    <w:rsid w:val="001D30F8"/>
    <w:rsid w:val="001D3C32"/>
    <w:rsid w:val="001D491B"/>
    <w:rsid w:val="001E0C4D"/>
    <w:rsid w:val="001E1F65"/>
    <w:rsid w:val="001E2D93"/>
    <w:rsid w:val="001E4375"/>
    <w:rsid w:val="001F13CB"/>
    <w:rsid w:val="001F253E"/>
    <w:rsid w:val="001F5BBB"/>
    <w:rsid w:val="001F7DFA"/>
    <w:rsid w:val="002003EC"/>
    <w:rsid w:val="002008BD"/>
    <w:rsid w:val="00204150"/>
    <w:rsid w:val="0020449A"/>
    <w:rsid w:val="002048B4"/>
    <w:rsid w:val="0020721C"/>
    <w:rsid w:val="002072DA"/>
    <w:rsid w:val="00210715"/>
    <w:rsid w:val="002111EB"/>
    <w:rsid w:val="00212452"/>
    <w:rsid w:val="00214981"/>
    <w:rsid w:val="002155F2"/>
    <w:rsid w:val="00216731"/>
    <w:rsid w:val="00216A02"/>
    <w:rsid w:val="00220618"/>
    <w:rsid w:val="00220D5A"/>
    <w:rsid w:val="00221537"/>
    <w:rsid w:val="00221ED4"/>
    <w:rsid w:val="002221D1"/>
    <w:rsid w:val="00224FAC"/>
    <w:rsid w:val="002255F8"/>
    <w:rsid w:val="00225894"/>
    <w:rsid w:val="0022597E"/>
    <w:rsid w:val="0022686E"/>
    <w:rsid w:val="002278AD"/>
    <w:rsid w:val="002300BF"/>
    <w:rsid w:val="0023068A"/>
    <w:rsid w:val="0023071D"/>
    <w:rsid w:val="00231407"/>
    <w:rsid w:val="00236927"/>
    <w:rsid w:val="0023700B"/>
    <w:rsid w:val="00237095"/>
    <w:rsid w:val="00241D4B"/>
    <w:rsid w:val="00242BEE"/>
    <w:rsid w:val="00242CD9"/>
    <w:rsid w:val="00242D48"/>
    <w:rsid w:val="00245F17"/>
    <w:rsid w:val="00251DDA"/>
    <w:rsid w:val="0025360F"/>
    <w:rsid w:val="0025401D"/>
    <w:rsid w:val="00254BE8"/>
    <w:rsid w:val="00255421"/>
    <w:rsid w:val="00255CCA"/>
    <w:rsid w:val="00256291"/>
    <w:rsid w:val="002565C0"/>
    <w:rsid w:val="00256DA6"/>
    <w:rsid w:val="00257128"/>
    <w:rsid w:val="00260223"/>
    <w:rsid w:val="0026076D"/>
    <w:rsid w:val="00262417"/>
    <w:rsid w:val="00262A91"/>
    <w:rsid w:val="00262EB0"/>
    <w:rsid w:val="002646AF"/>
    <w:rsid w:val="0026606F"/>
    <w:rsid w:val="002710C4"/>
    <w:rsid w:val="002733C0"/>
    <w:rsid w:val="00276ACF"/>
    <w:rsid w:val="00281A89"/>
    <w:rsid w:val="00283505"/>
    <w:rsid w:val="002835B3"/>
    <w:rsid w:val="00285107"/>
    <w:rsid w:val="00285F35"/>
    <w:rsid w:val="00290107"/>
    <w:rsid w:val="00290540"/>
    <w:rsid w:val="002905FB"/>
    <w:rsid w:val="002914AE"/>
    <w:rsid w:val="00291E04"/>
    <w:rsid w:val="0029352E"/>
    <w:rsid w:val="00294795"/>
    <w:rsid w:val="00294EF2"/>
    <w:rsid w:val="00295AB8"/>
    <w:rsid w:val="002967F7"/>
    <w:rsid w:val="00296878"/>
    <w:rsid w:val="002969B4"/>
    <w:rsid w:val="002969BB"/>
    <w:rsid w:val="00296C2E"/>
    <w:rsid w:val="0029725F"/>
    <w:rsid w:val="002A2A29"/>
    <w:rsid w:val="002A3336"/>
    <w:rsid w:val="002A34F0"/>
    <w:rsid w:val="002A3E7C"/>
    <w:rsid w:val="002A59F7"/>
    <w:rsid w:val="002A64C0"/>
    <w:rsid w:val="002B0C41"/>
    <w:rsid w:val="002B18A0"/>
    <w:rsid w:val="002B4C49"/>
    <w:rsid w:val="002B5F92"/>
    <w:rsid w:val="002B6CB1"/>
    <w:rsid w:val="002B72E0"/>
    <w:rsid w:val="002C0634"/>
    <w:rsid w:val="002C098B"/>
    <w:rsid w:val="002C23D6"/>
    <w:rsid w:val="002C33EA"/>
    <w:rsid w:val="002C3AC8"/>
    <w:rsid w:val="002C7436"/>
    <w:rsid w:val="002C7476"/>
    <w:rsid w:val="002D03C1"/>
    <w:rsid w:val="002D08B6"/>
    <w:rsid w:val="002D1884"/>
    <w:rsid w:val="002D1C59"/>
    <w:rsid w:val="002D3665"/>
    <w:rsid w:val="002D3C1E"/>
    <w:rsid w:val="002D3D3E"/>
    <w:rsid w:val="002D449B"/>
    <w:rsid w:val="002D56F9"/>
    <w:rsid w:val="002D6962"/>
    <w:rsid w:val="002D7770"/>
    <w:rsid w:val="002D7C67"/>
    <w:rsid w:val="002E03C1"/>
    <w:rsid w:val="002E0656"/>
    <w:rsid w:val="002E268F"/>
    <w:rsid w:val="002E2987"/>
    <w:rsid w:val="002E2BB7"/>
    <w:rsid w:val="002E2BBA"/>
    <w:rsid w:val="002E4024"/>
    <w:rsid w:val="002E4C2F"/>
    <w:rsid w:val="002F0B8D"/>
    <w:rsid w:val="002F1C97"/>
    <w:rsid w:val="002F2B4E"/>
    <w:rsid w:val="002F39D7"/>
    <w:rsid w:val="003036CF"/>
    <w:rsid w:val="00304FC0"/>
    <w:rsid w:val="003068CD"/>
    <w:rsid w:val="00307441"/>
    <w:rsid w:val="00307FBA"/>
    <w:rsid w:val="003122A4"/>
    <w:rsid w:val="003137D1"/>
    <w:rsid w:val="00313ACF"/>
    <w:rsid w:val="00313E43"/>
    <w:rsid w:val="00313E67"/>
    <w:rsid w:val="00315F42"/>
    <w:rsid w:val="00316057"/>
    <w:rsid w:val="0031747A"/>
    <w:rsid w:val="00317929"/>
    <w:rsid w:val="0032321A"/>
    <w:rsid w:val="003233B3"/>
    <w:rsid w:val="0032358A"/>
    <w:rsid w:val="00324AEF"/>
    <w:rsid w:val="0032594A"/>
    <w:rsid w:val="00325F20"/>
    <w:rsid w:val="00326149"/>
    <w:rsid w:val="00326366"/>
    <w:rsid w:val="00326C17"/>
    <w:rsid w:val="00327FD1"/>
    <w:rsid w:val="003318CD"/>
    <w:rsid w:val="00334286"/>
    <w:rsid w:val="003372D7"/>
    <w:rsid w:val="003378DB"/>
    <w:rsid w:val="00337F22"/>
    <w:rsid w:val="003402C7"/>
    <w:rsid w:val="003405C2"/>
    <w:rsid w:val="003406A8"/>
    <w:rsid w:val="00341242"/>
    <w:rsid w:val="00344682"/>
    <w:rsid w:val="00344F1D"/>
    <w:rsid w:val="00345686"/>
    <w:rsid w:val="0034754E"/>
    <w:rsid w:val="00347717"/>
    <w:rsid w:val="003500B0"/>
    <w:rsid w:val="00350922"/>
    <w:rsid w:val="0035101E"/>
    <w:rsid w:val="00351FBF"/>
    <w:rsid w:val="003526CC"/>
    <w:rsid w:val="0035437B"/>
    <w:rsid w:val="00355D82"/>
    <w:rsid w:val="00355F80"/>
    <w:rsid w:val="00356034"/>
    <w:rsid w:val="00356362"/>
    <w:rsid w:val="00356B2A"/>
    <w:rsid w:val="00360A2A"/>
    <w:rsid w:val="00361655"/>
    <w:rsid w:val="003634BE"/>
    <w:rsid w:val="00363552"/>
    <w:rsid w:val="00365682"/>
    <w:rsid w:val="00365CB5"/>
    <w:rsid w:val="0036604D"/>
    <w:rsid w:val="0036684F"/>
    <w:rsid w:val="0036781C"/>
    <w:rsid w:val="00367CB3"/>
    <w:rsid w:val="003700E1"/>
    <w:rsid w:val="003720A7"/>
    <w:rsid w:val="0037406D"/>
    <w:rsid w:val="00377108"/>
    <w:rsid w:val="00380891"/>
    <w:rsid w:val="003810A7"/>
    <w:rsid w:val="00382408"/>
    <w:rsid w:val="00382DA8"/>
    <w:rsid w:val="00385C6A"/>
    <w:rsid w:val="00390A17"/>
    <w:rsid w:val="00390F35"/>
    <w:rsid w:val="00392082"/>
    <w:rsid w:val="00392661"/>
    <w:rsid w:val="00393F1F"/>
    <w:rsid w:val="003947C5"/>
    <w:rsid w:val="00396000"/>
    <w:rsid w:val="00396542"/>
    <w:rsid w:val="003A4905"/>
    <w:rsid w:val="003A4F1F"/>
    <w:rsid w:val="003A5140"/>
    <w:rsid w:val="003A560A"/>
    <w:rsid w:val="003A69D7"/>
    <w:rsid w:val="003A6AED"/>
    <w:rsid w:val="003A71C7"/>
    <w:rsid w:val="003B03CA"/>
    <w:rsid w:val="003B1AC5"/>
    <w:rsid w:val="003B266B"/>
    <w:rsid w:val="003B3A3E"/>
    <w:rsid w:val="003B4FE8"/>
    <w:rsid w:val="003B5018"/>
    <w:rsid w:val="003B5180"/>
    <w:rsid w:val="003B5A27"/>
    <w:rsid w:val="003B6F82"/>
    <w:rsid w:val="003B7406"/>
    <w:rsid w:val="003B7430"/>
    <w:rsid w:val="003C1867"/>
    <w:rsid w:val="003C21D1"/>
    <w:rsid w:val="003C2280"/>
    <w:rsid w:val="003C2935"/>
    <w:rsid w:val="003C33AE"/>
    <w:rsid w:val="003C33FD"/>
    <w:rsid w:val="003C3D8B"/>
    <w:rsid w:val="003C3FC9"/>
    <w:rsid w:val="003C7F55"/>
    <w:rsid w:val="003D1F68"/>
    <w:rsid w:val="003D26AB"/>
    <w:rsid w:val="003D2738"/>
    <w:rsid w:val="003D6706"/>
    <w:rsid w:val="003D79A0"/>
    <w:rsid w:val="003E3706"/>
    <w:rsid w:val="003E47A2"/>
    <w:rsid w:val="003E6901"/>
    <w:rsid w:val="003F2303"/>
    <w:rsid w:val="003F2538"/>
    <w:rsid w:val="003F3100"/>
    <w:rsid w:val="003F373E"/>
    <w:rsid w:val="003F38BF"/>
    <w:rsid w:val="003F61A2"/>
    <w:rsid w:val="003F659B"/>
    <w:rsid w:val="003F79EB"/>
    <w:rsid w:val="004013FE"/>
    <w:rsid w:val="00401CAA"/>
    <w:rsid w:val="00402714"/>
    <w:rsid w:val="00402D08"/>
    <w:rsid w:val="0040304B"/>
    <w:rsid w:val="0040305C"/>
    <w:rsid w:val="0040378F"/>
    <w:rsid w:val="00404425"/>
    <w:rsid w:val="00404E77"/>
    <w:rsid w:val="00405849"/>
    <w:rsid w:val="004065BA"/>
    <w:rsid w:val="00407824"/>
    <w:rsid w:val="00410167"/>
    <w:rsid w:val="00411213"/>
    <w:rsid w:val="00411383"/>
    <w:rsid w:val="004114DD"/>
    <w:rsid w:val="004140A8"/>
    <w:rsid w:val="004140AC"/>
    <w:rsid w:val="0041659B"/>
    <w:rsid w:val="00416E8C"/>
    <w:rsid w:val="004177BC"/>
    <w:rsid w:val="00421EDC"/>
    <w:rsid w:val="0042647F"/>
    <w:rsid w:val="00426887"/>
    <w:rsid w:val="0043014A"/>
    <w:rsid w:val="00430346"/>
    <w:rsid w:val="004311F3"/>
    <w:rsid w:val="00431725"/>
    <w:rsid w:val="00431CBE"/>
    <w:rsid w:val="004337CA"/>
    <w:rsid w:val="00435B6C"/>
    <w:rsid w:val="0043656B"/>
    <w:rsid w:val="00437695"/>
    <w:rsid w:val="00437B38"/>
    <w:rsid w:val="0044278D"/>
    <w:rsid w:val="00443BB5"/>
    <w:rsid w:val="0044534A"/>
    <w:rsid w:val="00445D8C"/>
    <w:rsid w:val="00450D5F"/>
    <w:rsid w:val="004512E4"/>
    <w:rsid w:val="004523DF"/>
    <w:rsid w:val="004526A0"/>
    <w:rsid w:val="00453FC6"/>
    <w:rsid w:val="00454904"/>
    <w:rsid w:val="0045588D"/>
    <w:rsid w:val="00460360"/>
    <w:rsid w:val="00463863"/>
    <w:rsid w:val="00465666"/>
    <w:rsid w:val="004666F5"/>
    <w:rsid w:val="00466C6E"/>
    <w:rsid w:val="004670BA"/>
    <w:rsid w:val="00467471"/>
    <w:rsid w:val="00470BA3"/>
    <w:rsid w:val="00471E82"/>
    <w:rsid w:val="00473259"/>
    <w:rsid w:val="00473DF2"/>
    <w:rsid w:val="00474EA3"/>
    <w:rsid w:val="00475A9F"/>
    <w:rsid w:val="00475E47"/>
    <w:rsid w:val="00476BFB"/>
    <w:rsid w:val="004771C6"/>
    <w:rsid w:val="00480BD1"/>
    <w:rsid w:val="00482CA2"/>
    <w:rsid w:val="00483981"/>
    <w:rsid w:val="00483DA1"/>
    <w:rsid w:val="00485849"/>
    <w:rsid w:val="00486DF9"/>
    <w:rsid w:val="00487718"/>
    <w:rsid w:val="00487F27"/>
    <w:rsid w:val="004900E4"/>
    <w:rsid w:val="0049147B"/>
    <w:rsid w:val="00492FA3"/>
    <w:rsid w:val="00493FF2"/>
    <w:rsid w:val="0049700B"/>
    <w:rsid w:val="00497A76"/>
    <w:rsid w:val="00497B83"/>
    <w:rsid w:val="00497C7C"/>
    <w:rsid w:val="004A1101"/>
    <w:rsid w:val="004A21E7"/>
    <w:rsid w:val="004A22AC"/>
    <w:rsid w:val="004A2351"/>
    <w:rsid w:val="004A3022"/>
    <w:rsid w:val="004A36B9"/>
    <w:rsid w:val="004B135A"/>
    <w:rsid w:val="004B4E53"/>
    <w:rsid w:val="004B4FF9"/>
    <w:rsid w:val="004B624E"/>
    <w:rsid w:val="004B6AF2"/>
    <w:rsid w:val="004B7893"/>
    <w:rsid w:val="004C13C1"/>
    <w:rsid w:val="004C1454"/>
    <w:rsid w:val="004C17B3"/>
    <w:rsid w:val="004C388E"/>
    <w:rsid w:val="004C422C"/>
    <w:rsid w:val="004C4D7B"/>
    <w:rsid w:val="004C52E8"/>
    <w:rsid w:val="004C681F"/>
    <w:rsid w:val="004D17F1"/>
    <w:rsid w:val="004D19BE"/>
    <w:rsid w:val="004D385A"/>
    <w:rsid w:val="004D590C"/>
    <w:rsid w:val="004E34E0"/>
    <w:rsid w:val="004E3574"/>
    <w:rsid w:val="004E4C78"/>
    <w:rsid w:val="004E513C"/>
    <w:rsid w:val="004E5491"/>
    <w:rsid w:val="004E705D"/>
    <w:rsid w:val="004E72F5"/>
    <w:rsid w:val="004F0406"/>
    <w:rsid w:val="004F1A17"/>
    <w:rsid w:val="004F1AEF"/>
    <w:rsid w:val="004F250B"/>
    <w:rsid w:val="004F365D"/>
    <w:rsid w:val="004F4991"/>
    <w:rsid w:val="004F5CB6"/>
    <w:rsid w:val="004F6527"/>
    <w:rsid w:val="004F65A8"/>
    <w:rsid w:val="00500CC1"/>
    <w:rsid w:val="00501175"/>
    <w:rsid w:val="005026D5"/>
    <w:rsid w:val="00502C36"/>
    <w:rsid w:val="00503AED"/>
    <w:rsid w:val="00504AAC"/>
    <w:rsid w:val="00504C3B"/>
    <w:rsid w:val="00505ADB"/>
    <w:rsid w:val="005063AF"/>
    <w:rsid w:val="005109E8"/>
    <w:rsid w:val="00514F6B"/>
    <w:rsid w:val="0051615D"/>
    <w:rsid w:val="00516287"/>
    <w:rsid w:val="00516EC0"/>
    <w:rsid w:val="005178DA"/>
    <w:rsid w:val="00521D22"/>
    <w:rsid w:val="005254E4"/>
    <w:rsid w:val="005258A8"/>
    <w:rsid w:val="005324B1"/>
    <w:rsid w:val="005328D0"/>
    <w:rsid w:val="0053363B"/>
    <w:rsid w:val="0053402A"/>
    <w:rsid w:val="0053489C"/>
    <w:rsid w:val="0053549C"/>
    <w:rsid w:val="00535FBB"/>
    <w:rsid w:val="005368C6"/>
    <w:rsid w:val="00537010"/>
    <w:rsid w:val="0053766A"/>
    <w:rsid w:val="0053777C"/>
    <w:rsid w:val="00541892"/>
    <w:rsid w:val="00542B87"/>
    <w:rsid w:val="005445C1"/>
    <w:rsid w:val="00546359"/>
    <w:rsid w:val="005463E1"/>
    <w:rsid w:val="005467AD"/>
    <w:rsid w:val="005512E2"/>
    <w:rsid w:val="00552761"/>
    <w:rsid w:val="00557298"/>
    <w:rsid w:val="00557CBE"/>
    <w:rsid w:val="00560F02"/>
    <w:rsid w:val="00563939"/>
    <w:rsid w:val="00564CB6"/>
    <w:rsid w:val="005655DA"/>
    <w:rsid w:val="00565C38"/>
    <w:rsid w:val="005679C4"/>
    <w:rsid w:val="00570B92"/>
    <w:rsid w:val="00570CA1"/>
    <w:rsid w:val="00571176"/>
    <w:rsid w:val="00572F8E"/>
    <w:rsid w:val="0057372D"/>
    <w:rsid w:val="00574C99"/>
    <w:rsid w:val="00574CA8"/>
    <w:rsid w:val="005763AB"/>
    <w:rsid w:val="005771CA"/>
    <w:rsid w:val="00581E31"/>
    <w:rsid w:val="00582960"/>
    <w:rsid w:val="00582FF1"/>
    <w:rsid w:val="005833E7"/>
    <w:rsid w:val="00583B02"/>
    <w:rsid w:val="00584114"/>
    <w:rsid w:val="005843D2"/>
    <w:rsid w:val="00584608"/>
    <w:rsid w:val="0058525A"/>
    <w:rsid w:val="00585501"/>
    <w:rsid w:val="0058751E"/>
    <w:rsid w:val="00587B29"/>
    <w:rsid w:val="00590472"/>
    <w:rsid w:val="005914AB"/>
    <w:rsid w:val="005922FB"/>
    <w:rsid w:val="005936F1"/>
    <w:rsid w:val="005941F4"/>
    <w:rsid w:val="0059557B"/>
    <w:rsid w:val="00596669"/>
    <w:rsid w:val="00597331"/>
    <w:rsid w:val="0059776E"/>
    <w:rsid w:val="00597771"/>
    <w:rsid w:val="00597F1D"/>
    <w:rsid w:val="005A0C6A"/>
    <w:rsid w:val="005A0EC3"/>
    <w:rsid w:val="005A14ED"/>
    <w:rsid w:val="005A1F74"/>
    <w:rsid w:val="005A3AE2"/>
    <w:rsid w:val="005A42FC"/>
    <w:rsid w:val="005A4D85"/>
    <w:rsid w:val="005A5257"/>
    <w:rsid w:val="005A5657"/>
    <w:rsid w:val="005A75C7"/>
    <w:rsid w:val="005B1F43"/>
    <w:rsid w:val="005B308E"/>
    <w:rsid w:val="005B4A20"/>
    <w:rsid w:val="005B6174"/>
    <w:rsid w:val="005B6EB2"/>
    <w:rsid w:val="005C0D4A"/>
    <w:rsid w:val="005C14B8"/>
    <w:rsid w:val="005C30DF"/>
    <w:rsid w:val="005C3AC9"/>
    <w:rsid w:val="005C4249"/>
    <w:rsid w:val="005C5714"/>
    <w:rsid w:val="005C5FF3"/>
    <w:rsid w:val="005D072E"/>
    <w:rsid w:val="005D096C"/>
    <w:rsid w:val="005D0D91"/>
    <w:rsid w:val="005D2416"/>
    <w:rsid w:val="005D2A64"/>
    <w:rsid w:val="005D2D4C"/>
    <w:rsid w:val="005D6D56"/>
    <w:rsid w:val="005E02CA"/>
    <w:rsid w:val="005E15A4"/>
    <w:rsid w:val="005E25AC"/>
    <w:rsid w:val="005E4F1F"/>
    <w:rsid w:val="005E71A1"/>
    <w:rsid w:val="005F202D"/>
    <w:rsid w:val="005F3E6B"/>
    <w:rsid w:val="005F4573"/>
    <w:rsid w:val="005F4762"/>
    <w:rsid w:val="005F68F1"/>
    <w:rsid w:val="005F6AAD"/>
    <w:rsid w:val="005F7EFB"/>
    <w:rsid w:val="00600C62"/>
    <w:rsid w:val="0060105F"/>
    <w:rsid w:val="00601111"/>
    <w:rsid w:val="00602381"/>
    <w:rsid w:val="006051DC"/>
    <w:rsid w:val="00605314"/>
    <w:rsid w:val="0060552D"/>
    <w:rsid w:val="00606085"/>
    <w:rsid w:val="0060739C"/>
    <w:rsid w:val="006103CD"/>
    <w:rsid w:val="0061100B"/>
    <w:rsid w:val="00611D86"/>
    <w:rsid w:val="00612BCC"/>
    <w:rsid w:val="00613C55"/>
    <w:rsid w:val="0061555C"/>
    <w:rsid w:val="00617E8F"/>
    <w:rsid w:val="0062136C"/>
    <w:rsid w:val="00621498"/>
    <w:rsid w:val="006219BF"/>
    <w:rsid w:val="00621CAD"/>
    <w:rsid w:val="0062288D"/>
    <w:rsid w:val="006253E4"/>
    <w:rsid w:val="006272E6"/>
    <w:rsid w:val="0063267A"/>
    <w:rsid w:val="00632756"/>
    <w:rsid w:val="00633335"/>
    <w:rsid w:val="0063544E"/>
    <w:rsid w:val="006357E9"/>
    <w:rsid w:val="00635DEB"/>
    <w:rsid w:val="006360FD"/>
    <w:rsid w:val="00636607"/>
    <w:rsid w:val="006376F2"/>
    <w:rsid w:val="00640727"/>
    <w:rsid w:val="00642850"/>
    <w:rsid w:val="00642B96"/>
    <w:rsid w:val="006442AB"/>
    <w:rsid w:val="00650E7F"/>
    <w:rsid w:val="006521A6"/>
    <w:rsid w:val="00652259"/>
    <w:rsid w:val="0065682E"/>
    <w:rsid w:val="00660FEE"/>
    <w:rsid w:val="00661C10"/>
    <w:rsid w:val="0066257B"/>
    <w:rsid w:val="00662938"/>
    <w:rsid w:val="006632B0"/>
    <w:rsid w:val="00663E6D"/>
    <w:rsid w:val="006645C4"/>
    <w:rsid w:val="006647B1"/>
    <w:rsid w:val="00664D0F"/>
    <w:rsid w:val="00665EEA"/>
    <w:rsid w:val="0067155E"/>
    <w:rsid w:val="0067228A"/>
    <w:rsid w:val="00673190"/>
    <w:rsid w:val="00673ED7"/>
    <w:rsid w:val="00674ABC"/>
    <w:rsid w:val="0067555E"/>
    <w:rsid w:val="00677D54"/>
    <w:rsid w:val="00682A26"/>
    <w:rsid w:val="006830DE"/>
    <w:rsid w:val="00683E42"/>
    <w:rsid w:val="00684D5A"/>
    <w:rsid w:val="0068512D"/>
    <w:rsid w:val="0068679E"/>
    <w:rsid w:val="00686A2A"/>
    <w:rsid w:val="0068723B"/>
    <w:rsid w:val="00687837"/>
    <w:rsid w:val="006919C4"/>
    <w:rsid w:val="00692A14"/>
    <w:rsid w:val="006935B2"/>
    <w:rsid w:val="006950C2"/>
    <w:rsid w:val="00695FEC"/>
    <w:rsid w:val="0069728E"/>
    <w:rsid w:val="006975F0"/>
    <w:rsid w:val="006A4A37"/>
    <w:rsid w:val="006A4DFB"/>
    <w:rsid w:val="006A5EFF"/>
    <w:rsid w:val="006A73A1"/>
    <w:rsid w:val="006A746E"/>
    <w:rsid w:val="006A7C33"/>
    <w:rsid w:val="006B089F"/>
    <w:rsid w:val="006B5995"/>
    <w:rsid w:val="006B7138"/>
    <w:rsid w:val="006B79A2"/>
    <w:rsid w:val="006B7EDB"/>
    <w:rsid w:val="006C225E"/>
    <w:rsid w:val="006C2260"/>
    <w:rsid w:val="006C2B06"/>
    <w:rsid w:val="006C42CE"/>
    <w:rsid w:val="006C4CBD"/>
    <w:rsid w:val="006C6157"/>
    <w:rsid w:val="006C65AB"/>
    <w:rsid w:val="006C7A45"/>
    <w:rsid w:val="006C7ECF"/>
    <w:rsid w:val="006D0B48"/>
    <w:rsid w:val="006D2435"/>
    <w:rsid w:val="006D491F"/>
    <w:rsid w:val="006D5A16"/>
    <w:rsid w:val="006D79A8"/>
    <w:rsid w:val="006E08D8"/>
    <w:rsid w:val="006E1285"/>
    <w:rsid w:val="006E14A9"/>
    <w:rsid w:val="006E23F9"/>
    <w:rsid w:val="006E318B"/>
    <w:rsid w:val="006E31C7"/>
    <w:rsid w:val="006E3481"/>
    <w:rsid w:val="006E40FC"/>
    <w:rsid w:val="006E482B"/>
    <w:rsid w:val="006E4F40"/>
    <w:rsid w:val="006E5F51"/>
    <w:rsid w:val="006E7066"/>
    <w:rsid w:val="006F1BF5"/>
    <w:rsid w:val="006F20A3"/>
    <w:rsid w:val="006F29D6"/>
    <w:rsid w:val="006F2E05"/>
    <w:rsid w:val="006F439F"/>
    <w:rsid w:val="006F459A"/>
    <w:rsid w:val="006F5B05"/>
    <w:rsid w:val="006F6472"/>
    <w:rsid w:val="006F7002"/>
    <w:rsid w:val="006F7A8F"/>
    <w:rsid w:val="006F7C2A"/>
    <w:rsid w:val="0070016B"/>
    <w:rsid w:val="00703FFC"/>
    <w:rsid w:val="007040E1"/>
    <w:rsid w:val="007041AF"/>
    <w:rsid w:val="00704FDA"/>
    <w:rsid w:val="007058D9"/>
    <w:rsid w:val="00706736"/>
    <w:rsid w:val="007067B4"/>
    <w:rsid w:val="00706E5E"/>
    <w:rsid w:val="00707E8D"/>
    <w:rsid w:val="0071036A"/>
    <w:rsid w:val="0071055E"/>
    <w:rsid w:val="00710983"/>
    <w:rsid w:val="00710DC8"/>
    <w:rsid w:val="00711392"/>
    <w:rsid w:val="00711DCA"/>
    <w:rsid w:val="007131F8"/>
    <w:rsid w:val="00714141"/>
    <w:rsid w:val="007149AC"/>
    <w:rsid w:val="00716079"/>
    <w:rsid w:val="00716AD6"/>
    <w:rsid w:val="00717217"/>
    <w:rsid w:val="0072145D"/>
    <w:rsid w:val="00721F3E"/>
    <w:rsid w:val="00722A89"/>
    <w:rsid w:val="00723284"/>
    <w:rsid w:val="0072425F"/>
    <w:rsid w:val="0072566B"/>
    <w:rsid w:val="0073010A"/>
    <w:rsid w:val="00730B6A"/>
    <w:rsid w:val="0073170D"/>
    <w:rsid w:val="007340A5"/>
    <w:rsid w:val="0073447A"/>
    <w:rsid w:val="00734CD6"/>
    <w:rsid w:val="00734D4B"/>
    <w:rsid w:val="0073599D"/>
    <w:rsid w:val="00737524"/>
    <w:rsid w:val="007377B8"/>
    <w:rsid w:val="007410B8"/>
    <w:rsid w:val="0074199C"/>
    <w:rsid w:val="0074470E"/>
    <w:rsid w:val="00744759"/>
    <w:rsid w:val="00745836"/>
    <w:rsid w:val="0074701F"/>
    <w:rsid w:val="0074712B"/>
    <w:rsid w:val="00747614"/>
    <w:rsid w:val="00747B90"/>
    <w:rsid w:val="00750BB2"/>
    <w:rsid w:val="0075280B"/>
    <w:rsid w:val="007540A7"/>
    <w:rsid w:val="00755C68"/>
    <w:rsid w:val="0076112C"/>
    <w:rsid w:val="0076283E"/>
    <w:rsid w:val="00763ECA"/>
    <w:rsid w:val="00763F9A"/>
    <w:rsid w:val="00764238"/>
    <w:rsid w:val="00765733"/>
    <w:rsid w:val="00766246"/>
    <w:rsid w:val="00766751"/>
    <w:rsid w:val="00766D47"/>
    <w:rsid w:val="007705D4"/>
    <w:rsid w:val="0077282F"/>
    <w:rsid w:val="00775486"/>
    <w:rsid w:val="00775FAA"/>
    <w:rsid w:val="00776234"/>
    <w:rsid w:val="007809C7"/>
    <w:rsid w:val="00780F73"/>
    <w:rsid w:val="007819C9"/>
    <w:rsid w:val="00781A60"/>
    <w:rsid w:val="00781B99"/>
    <w:rsid w:val="007826DB"/>
    <w:rsid w:val="00782B19"/>
    <w:rsid w:val="007842C7"/>
    <w:rsid w:val="00790B15"/>
    <w:rsid w:val="007910CD"/>
    <w:rsid w:val="00791639"/>
    <w:rsid w:val="0079255E"/>
    <w:rsid w:val="00792564"/>
    <w:rsid w:val="00795AB3"/>
    <w:rsid w:val="00797CE2"/>
    <w:rsid w:val="007A0B68"/>
    <w:rsid w:val="007A44B2"/>
    <w:rsid w:val="007A6C6A"/>
    <w:rsid w:val="007A734E"/>
    <w:rsid w:val="007A77B6"/>
    <w:rsid w:val="007B292D"/>
    <w:rsid w:val="007B36BF"/>
    <w:rsid w:val="007B3946"/>
    <w:rsid w:val="007B58EE"/>
    <w:rsid w:val="007B5AB2"/>
    <w:rsid w:val="007B721C"/>
    <w:rsid w:val="007C0F20"/>
    <w:rsid w:val="007C3693"/>
    <w:rsid w:val="007C438F"/>
    <w:rsid w:val="007C44E6"/>
    <w:rsid w:val="007C4F95"/>
    <w:rsid w:val="007C522E"/>
    <w:rsid w:val="007C72DA"/>
    <w:rsid w:val="007C7F66"/>
    <w:rsid w:val="007D1ABE"/>
    <w:rsid w:val="007D2577"/>
    <w:rsid w:val="007D25AB"/>
    <w:rsid w:val="007D3B6C"/>
    <w:rsid w:val="007D465D"/>
    <w:rsid w:val="007D48E1"/>
    <w:rsid w:val="007D795E"/>
    <w:rsid w:val="007E1F61"/>
    <w:rsid w:val="007E265C"/>
    <w:rsid w:val="007E5D1F"/>
    <w:rsid w:val="007E5FDA"/>
    <w:rsid w:val="007E6B0E"/>
    <w:rsid w:val="007E7073"/>
    <w:rsid w:val="007E7439"/>
    <w:rsid w:val="007F0393"/>
    <w:rsid w:val="007F085E"/>
    <w:rsid w:val="007F2173"/>
    <w:rsid w:val="007F28F2"/>
    <w:rsid w:val="007F31BE"/>
    <w:rsid w:val="007F40D4"/>
    <w:rsid w:val="007F59F8"/>
    <w:rsid w:val="007F5DC4"/>
    <w:rsid w:val="007F7734"/>
    <w:rsid w:val="00800173"/>
    <w:rsid w:val="0080097E"/>
    <w:rsid w:val="00800B4A"/>
    <w:rsid w:val="00800E96"/>
    <w:rsid w:val="0080287F"/>
    <w:rsid w:val="00805891"/>
    <w:rsid w:val="00805AAE"/>
    <w:rsid w:val="0080669A"/>
    <w:rsid w:val="0080689C"/>
    <w:rsid w:val="00806D64"/>
    <w:rsid w:val="00807369"/>
    <w:rsid w:val="00811DD7"/>
    <w:rsid w:val="00814645"/>
    <w:rsid w:val="00814DE5"/>
    <w:rsid w:val="008152BF"/>
    <w:rsid w:val="00816B38"/>
    <w:rsid w:val="00817CF2"/>
    <w:rsid w:val="008209C9"/>
    <w:rsid w:val="00820BD0"/>
    <w:rsid w:val="00820C99"/>
    <w:rsid w:val="00820FFF"/>
    <w:rsid w:val="00821BE0"/>
    <w:rsid w:val="00821EA3"/>
    <w:rsid w:val="00821FE9"/>
    <w:rsid w:val="0082258B"/>
    <w:rsid w:val="00824D45"/>
    <w:rsid w:val="0082552A"/>
    <w:rsid w:val="00833952"/>
    <w:rsid w:val="00833A22"/>
    <w:rsid w:val="00833CCD"/>
    <w:rsid w:val="0083477C"/>
    <w:rsid w:val="00835323"/>
    <w:rsid w:val="00836332"/>
    <w:rsid w:val="00837D92"/>
    <w:rsid w:val="00840683"/>
    <w:rsid w:val="00841D3C"/>
    <w:rsid w:val="00842E64"/>
    <w:rsid w:val="00843B42"/>
    <w:rsid w:val="008444EF"/>
    <w:rsid w:val="00846657"/>
    <w:rsid w:val="008467EA"/>
    <w:rsid w:val="00852172"/>
    <w:rsid w:val="00852177"/>
    <w:rsid w:val="00852572"/>
    <w:rsid w:val="008537EB"/>
    <w:rsid w:val="0085598C"/>
    <w:rsid w:val="00855F64"/>
    <w:rsid w:val="008560E4"/>
    <w:rsid w:val="00857439"/>
    <w:rsid w:val="00860492"/>
    <w:rsid w:val="008607B1"/>
    <w:rsid w:val="0086107A"/>
    <w:rsid w:val="00862AFC"/>
    <w:rsid w:val="00864932"/>
    <w:rsid w:val="00864C04"/>
    <w:rsid w:val="00865808"/>
    <w:rsid w:val="00865CE9"/>
    <w:rsid w:val="0086765E"/>
    <w:rsid w:val="00867FDA"/>
    <w:rsid w:val="00870A11"/>
    <w:rsid w:val="008730ED"/>
    <w:rsid w:val="00873EC9"/>
    <w:rsid w:val="00874108"/>
    <w:rsid w:val="00875442"/>
    <w:rsid w:val="00875E2F"/>
    <w:rsid w:val="00876221"/>
    <w:rsid w:val="008763C8"/>
    <w:rsid w:val="00876955"/>
    <w:rsid w:val="008774D1"/>
    <w:rsid w:val="00877699"/>
    <w:rsid w:val="008777D2"/>
    <w:rsid w:val="00883E87"/>
    <w:rsid w:val="008844B7"/>
    <w:rsid w:val="008862C1"/>
    <w:rsid w:val="0088652B"/>
    <w:rsid w:val="00887622"/>
    <w:rsid w:val="00887B8F"/>
    <w:rsid w:val="008922EC"/>
    <w:rsid w:val="008937CA"/>
    <w:rsid w:val="00894022"/>
    <w:rsid w:val="008947B3"/>
    <w:rsid w:val="00894C42"/>
    <w:rsid w:val="008954A4"/>
    <w:rsid w:val="00895A7E"/>
    <w:rsid w:val="00895C0E"/>
    <w:rsid w:val="00897FCB"/>
    <w:rsid w:val="008A0B52"/>
    <w:rsid w:val="008A1083"/>
    <w:rsid w:val="008A1265"/>
    <w:rsid w:val="008A1B5E"/>
    <w:rsid w:val="008A4A2E"/>
    <w:rsid w:val="008A663A"/>
    <w:rsid w:val="008A6E16"/>
    <w:rsid w:val="008A7EFB"/>
    <w:rsid w:val="008B12F1"/>
    <w:rsid w:val="008B25DE"/>
    <w:rsid w:val="008B2ACA"/>
    <w:rsid w:val="008B46E9"/>
    <w:rsid w:val="008B5D6C"/>
    <w:rsid w:val="008B5EE9"/>
    <w:rsid w:val="008B7BAD"/>
    <w:rsid w:val="008C0836"/>
    <w:rsid w:val="008C14B6"/>
    <w:rsid w:val="008C2754"/>
    <w:rsid w:val="008C50F4"/>
    <w:rsid w:val="008C6100"/>
    <w:rsid w:val="008C6158"/>
    <w:rsid w:val="008C797C"/>
    <w:rsid w:val="008D1C10"/>
    <w:rsid w:val="008D2B46"/>
    <w:rsid w:val="008D3E98"/>
    <w:rsid w:val="008D4789"/>
    <w:rsid w:val="008D488E"/>
    <w:rsid w:val="008D507B"/>
    <w:rsid w:val="008D7E16"/>
    <w:rsid w:val="008D7FF4"/>
    <w:rsid w:val="008E1ED4"/>
    <w:rsid w:val="008E2343"/>
    <w:rsid w:val="008E2375"/>
    <w:rsid w:val="008E36C1"/>
    <w:rsid w:val="008E3C67"/>
    <w:rsid w:val="008E483D"/>
    <w:rsid w:val="008E4F18"/>
    <w:rsid w:val="008E6130"/>
    <w:rsid w:val="008E73F1"/>
    <w:rsid w:val="008F0600"/>
    <w:rsid w:val="008F1658"/>
    <w:rsid w:val="008F1845"/>
    <w:rsid w:val="008F26C2"/>
    <w:rsid w:val="008F3CC9"/>
    <w:rsid w:val="008F495A"/>
    <w:rsid w:val="009012F8"/>
    <w:rsid w:val="0090150F"/>
    <w:rsid w:val="00901A2D"/>
    <w:rsid w:val="009027BD"/>
    <w:rsid w:val="00903C9B"/>
    <w:rsid w:val="00904155"/>
    <w:rsid w:val="0090492D"/>
    <w:rsid w:val="00907CAD"/>
    <w:rsid w:val="00911A0D"/>
    <w:rsid w:val="00912A28"/>
    <w:rsid w:val="00914E80"/>
    <w:rsid w:val="00916D9C"/>
    <w:rsid w:val="00923E1C"/>
    <w:rsid w:val="009241B9"/>
    <w:rsid w:val="00924AA2"/>
    <w:rsid w:val="00924CF5"/>
    <w:rsid w:val="009253E4"/>
    <w:rsid w:val="00926B7B"/>
    <w:rsid w:val="00927719"/>
    <w:rsid w:val="00927F5E"/>
    <w:rsid w:val="00930995"/>
    <w:rsid w:val="00930AA6"/>
    <w:rsid w:val="0093266D"/>
    <w:rsid w:val="009331CD"/>
    <w:rsid w:val="00933AB6"/>
    <w:rsid w:val="00933BBA"/>
    <w:rsid w:val="00934075"/>
    <w:rsid w:val="00935A6F"/>
    <w:rsid w:val="00936655"/>
    <w:rsid w:val="0093694C"/>
    <w:rsid w:val="00940143"/>
    <w:rsid w:val="00940845"/>
    <w:rsid w:val="00940FF8"/>
    <w:rsid w:val="00942D09"/>
    <w:rsid w:val="00942F8D"/>
    <w:rsid w:val="009433C3"/>
    <w:rsid w:val="009444C8"/>
    <w:rsid w:val="009469A5"/>
    <w:rsid w:val="00954C91"/>
    <w:rsid w:val="0095614E"/>
    <w:rsid w:val="00961945"/>
    <w:rsid w:val="0096209E"/>
    <w:rsid w:val="00962CA9"/>
    <w:rsid w:val="00964361"/>
    <w:rsid w:val="00966EA9"/>
    <w:rsid w:val="00970AA4"/>
    <w:rsid w:val="00971C6C"/>
    <w:rsid w:val="0097384D"/>
    <w:rsid w:val="00973F9D"/>
    <w:rsid w:val="00974435"/>
    <w:rsid w:val="00974829"/>
    <w:rsid w:val="00974A77"/>
    <w:rsid w:val="00974C4C"/>
    <w:rsid w:val="009763A7"/>
    <w:rsid w:val="00980911"/>
    <w:rsid w:val="0098165A"/>
    <w:rsid w:val="009820EB"/>
    <w:rsid w:val="0098323C"/>
    <w:rsid w:val="0098448E"/>
    <w:rsid w:val="00985ACB"/>
    <w:rsid w:val="00986ACF"/>
    <w:rsid w:val="009919A0"/>
    <w:rsid w:val="00991F79"/>
    <w:rsid w:val="00992068"/>
    <w:rsid w:val="00994F31"/>
    <w:rsid w:val="00995525"/>
    <w:rsid w:val="00996F49"/>
    <w:rsid w:val="009A07F1"/>
    <w:rsid w:val="009A1B0C"/>
    <w:rsid w:val="009A31D8"/>
    <w:rsid w:val="009A31F2"/>
    <w:rsid w:val="009A31FA"/>
    <w:rsid w:val="009A357A"/>
    <w:rsid w:val="009A3777"/>
    <w:rsid w:val="009A3876"/>
    <w:rsid w:val="009A6BCB"/>
    <w:rsid w:val="009A7520"/>
    <w:rsid w:val="009B3099"/>
    <w:rsid w:val="009B4CDA"/>
    <w:rsid w:val="009B538E"/>
    <w:rsid w:val="009B7C46"/>
    <w:rsid w:val="009C05F5"/>
    <w:rsid w:val="009C1B85"/>
    <w:rsid w:val="009C51B9"/>
    <w:rsid w:val="009C52F0"/>
    <w:rsid w:val="009C55C9"/>
    <w:rsid w:val="009C79D2"/>
    <w:rsid w:val="009D005E"/>
    <w:rsid w:val="009D0A6D"/>
    <w:rsid w:val="009D1171"/>
    <w:rsid w:val="009D2F68"/>
    <w:rsid w:val="009D3704"/>
    <w:rsid w:val="009D4A51"/>
    <w:rsid w:val="009D77AD"/>
    <w:rsid w:val="009E195E"/>
    <w:rsid w:val="009E1CD3"/>
    <w:rsid w:val="009E2C5A"/>
    <w:rsid w:val="009E2D3C"/>
    <w:rsid w:val="009E31F8"/>
    <w:rsid w:val="009E327E"/>
    <w:rsid w:val="009E47FF"/>
    <w:rsid w:val="009E4DED"/>
    <w:rsid w:val="009E526E"/>
    <w:rsid w:val="009E685B"/>
    <w:rsid w:val="009F24B7"/>
    <w:rsid w:val="009F2BF1"/>
    <w:rsid w:val="009F3C62"/>
    <w:rsid w:val="009F40BF"/>
    <w:rsid w:val="009F4B7C"/>
    <w:rsid w:val="009F51D9"/>
    <w:rsid w:val="009F7508"/>
    <w:rsid w:val="009F7D53"/>
    <w:rsid w:val="00A00A3F"/>
    <w:rsid w:val="00A025C7"/>
    <w:rsid w:val="00A02E20"/>
    <w:rsid w:val="00A050CD"/>
    <w:rsid w:val="00A0570C"/>
    <w:rsid w:val="00A05A35"/>
    <w:rsid w:val="00A06C80"/>
    <w:rsid w:val="00A103F0"/>
    <w:rsid w:val="00A12FCF"/>
    <w:rsid w:val="00A14AD0"/>
    <w:rsid w:val="00A159AE"/>
    <w:rsid w:val="00A17FB8"/>
    <w:rsid w:val="00A213AE"/>
    <w:rsid w:val="00A219BA"/>
    <w:rsid w:val="00A21BD6"/>
    <w:rsid w:val="00A2476A"/>
    <w:rsid w:val="00A24986"/>
    <w:rsid w:val="00A254FC"/>
    <w:rsid w:val="00A27637"/>
    <w:rsid w:val="00A3050F"/>
    <w:rsid w:val="00A32F3B"/>
    <w:rsid w:val="00A32FF4"/>
    <w:rsid w:val="00A3335C"/>
    <w:rsid w:val="00A337E5"/>
    <w:rsid w:val="00A3478C"/>
    <w:rsid w:val="00A347B2"/>
    <w:rsid w:val="00A350D6"/>
    <w:rsid w:val="00A35B90"/>
    <w:rsid w:val="00A36C56"/>
    <w:rsid w:val="00A36DA8"/>
    <w:rsid w:val="00A377A6"/>
    <w:rsid w:val="00A427DF"/>
    <w:rsid w:val="00A42F0A"/>
    <w:rsid w:val="00A46787"/>
    <w:rsid w:val="00A46F4E"/>
    <w:rsid w:val="00A476AB"/>
    <w:rsid w:val="00A4780E"/>
    <w:rsid w:val="00A501C0"/>
    <w:rsid w:val="00A5038C"/>
    <w:rsid w:val="00A50925"/>
    <w:rsid w:val="00A50AA5"/>
    <w:rsid w:val="00A50D14"/>
    <w:rsid w:val="00A529F0"/>
    <w:rsid w:val="00A55FF0"/>
    <w:rsid w:val="00A56526"/>
    <w:rsid w:val="00A56CA4"/>
    <w:rsid w:val="00A57515"/>
    <w:rsid w:val="00A57F15"/>
    <w:rsid w:val="00A6166B"/>
    <w:rsid w:val="00A61688"/>
    <w:rsid w:val="00A622ED"/>
    <w:rsid w:val="00A63CAA"/>
    <w:rsid w:val="00A65788"/>
    <w:rsid w:val="00A65CB3"/>
    <w:rsid w:val="00A6788B"/>
    <w:rsid w:val="00A702BC"/>
    <w:rsid w:val="00A71F2E"/>
    <w:rsid w:val="00A720B5"/>
    <w:rsid w:val="00A72AEA"/>
    <w:rsid w:val="00A73A4F"/>
    <w:rsid w:val="00A754E9"/>
    <w:rsid w:val="00A81732"/>
    <w:rsid w:val="00A835DD"/>
    <w:rsid w:val="00A84303"/>
    <w:rsid w:val="00A902C0"/>
    <w:rsid w:val="00A94BF0"/>
    <w:rsid w:val="00A95E1C"/>
    <w:rsid w:val="00A96CE6"/>
    <w:rsid w:val="00A96D03"/>
    <w:rsid w:val="00A9745F"/>
    <w:rsid w:val="00A97A0D"/>
    <w:rsid w:val="00AA08EB"/>
    <w:rsid w:val="00AA1A01"/>
    <w:rsid w:val="00AA1E76"/>
    <w:rsid w:val="00AA2E78"/>
    <w:rsid w:val="00AA4E40"/>
    <w:rsid w:val="00AA51A6"/>
    <w:rsid w:val="00AA6239"/>
    <w:rsid w:val="00AA749B"/>
    <w:rsid w:val="00AA7E1F"/>
    <w:rsid w:val="00AB12AC"/>
    <w:rsid w:val="00AB1B1E"/>
    <w:rsid w:val="00AB277F"/>
    <w:rsid w:val="00AB2DE7"/>
    <w:rsid w:val="00AB3888"/>
    <w:rsid w:val="00AB4902"/>
    <w:rsid w:val="00AB6145"/>
    <w:rsid w:val="00AB62AC"/>
    <w:rsid w:val="00AB6378"/>
    <w:rsid w:val="00AB7F23"/>
    <w:rsid w:val="00AC0394"/>
    <w:rsid w:val="00AC3BB8"/>
    <w:rsid w:val="00AC4E35"/>
    <w:rsid w:val="00AC555E"/>
    <w:rsid w:val="00AC58D7"/>
    <w:rsid w:val="00AC73B6"/>
    <w:rsid w:val="00AD0155"/>
    <w:rsid w:val="00AD4553"/>
    <w:rsid w:val="00AD6378"/>
    <w:rsid w:val="00AD65C3"/>
    <w:rsid w:val="00AE030A"/>
    <w:rsid w:val="00AE047C"/>
    <w:rsid w:val="00AE0945"/>
    <w:rsid w:val="00AE115D"/>
    <w:rsid w:val="00AE52E7"/>
    <w:rsid w:val="00AE69C0"/>
    <w:rsid w:val="00AF0676"/>
    <w:rsid w:val="00AF09A3"/>
    <w:rsid w:val="00AF1CE8"/>
    <w:rsid w:val="00AF4B86"/>
    <w:rsid w:val="00AF5488"/>
    <w:rsid w:val="00AF5A92"/>
    <w:rsid w:val="00AF77E6"/>
    <w:rsid w:val="00AF7BB7"/>
    <w:rsid w:val="00B0014F"/>
    <w:rsid w:val="00B00FC0"/>
    <w:rsid w:val="00B02621"/>
    <w:rsid w:val="00B03C22"/>
    <w:rsid w:val="00B03D0B"/>
    <w:rsid w:val="00B042A4"/>
    <w:rsid w:val="00B04B09"/>
    <w:rsid w:val="00B0514E"/>
    <w:rsid w:val="00B0558D"/>
    <w:rsid w:val="00B05841"/>
    <w:rsid w:val="00B071AC"/>
    <w:rsid w:val="00B07F91"/>
    <w:rsid w:val="00B10333"/>
    <w:rsid w:val="00B108FF"/>
    <w:rsid w:val="00B10EEF"/>
    <w:rsid w:val="00B12F8F"/>
    <w:rsid w:val="00B14B68"/>
    <w:rsid w:val="00B16111"/>
    <w:rsid w:val="00B1611B"/>
    <w:rsid w:val="00B16C07"/>
    <w:rsid w:val="00B1710D"/>
    <w:rsid w:val="00B17C12"/>
    <w:rsid w:val="00B22B06"/>
    <w:rsid w:val="00B2454D"/>
    <w:rsid w:val="00B25468"/>
    <w:rsid w:val="00B27061"/>
    <w:rsid w:val="00B3183D"/>
    <w:rsid w:val="00B3385F"/>
    <w:rsid w:val="00B33B58"/>
    <w:rsid w:val="00B363FC"/>
    <w:rsid w:val="00B40392"/>
    <w:rsid w:val="00B408AA"/>
    <w:rsid w:val="00B410B1"/>
    <w:rsid w:val="00B41A2B"/>
    <w:rsid w:val="00B41F3F"/>
    <w:rsid w:val="00B426E7"/>
    <w:rsid w:val="00B43C99"/>
    <w:rsid w:val="00B467D5"/>
    <w:rsid w:val="00B47C23"/>
    <w:rsid w:val="00B5100A"/>
    <w:rsid w:val="00B52315"/>
    <w:rsid w:val="00B52726"/>
    <w:rsid w:val="00B535CD"/>
    <w:rsid w:val="00B53B44"/>
    <w:rsid w:val="00B55988"/>
    <w:rsid w:val="00B620BC"/>
    <w:rsid w:val="00B63203"/>
    <w:rsid w:val="00B63EB1"/>
    <w:rsid w:val="00B64C4B"/>
    <w:rsid w:val="00B662DA"/>
    <w:rsid w:val="00B70798"/>
    <w:rsid w:val="00B71EE4"/>
    <w:rsid w:val="00B71FE8"/>
    <w:rsid w:val="00B727E8"/>
    <w:rsid w:val="00B74B10"/>
    <w:rsid w:val="00B74B11"/>
    <w:rsid w:val="00B74E59"/>
    <w:rsid w:val="00B758D5"/>
    <w:rsid w:val="00B76111"/>
    <w:rsid w:val="00B76C77"/>
    <w:rsid w:val="00B77696"/>
    <w:rsid w:val="00B82BE3"/>
    <w:rsid w:val="00B849E3"/>
    <w:rsid w:val="00B86B35"/>
    <w:rsid w:val="00B910B0"/>
    <w:rsid w:val="00B91497"/>
    <w:rsid w:val="00B92707"/>
    <w:rsid w:val="00B94DAD"/>
    <w:rsid w:val="00B9502C"/>
    <w:rsid w:val="00B95C86"/>
    <w:rsid w:val="00B96792"/>
    <w:rsid w:val="00B97A65"/>
    <w:rsid w:val="00B97C34"/>
    <w:rsid w:val="00BA1BA6"/>
    <w:rsid w:val="00BA1D03"/>
    <w:rsid w:val="00BA2E5C"/>
    <w:rsid w:val="00BA3151"/>
    <w:rsid w:val="00BA41F4"/>
    <w:rsid w:val="00BA4F10"/>
    <w:rsid w:val="00BA5AEF"/>
    <w:rsid w:val="00BB232D"/>
    <w:rsid w:val="00BB24C1"/>
    <w:rsid w:val="00BB2EBA"/>
    <w:rsid w:val="00BB3111"/>
    <w:rsid w:val="00BB5565"/>
    <w:rsid w:val="00BB6422"/>
    <w:rsid w:val="00BB772D"/>
    <w:rsid w:val="00BC02E0"/>
    <w:rsid w:val="00BC0C0E"/>
    <w:rsid w:val="00BC0C95"/>
    <w:rsid w:val="00BC1DC3"/>
    <w:rsid w:val="00BC2688"/>
    <w:rsid w:val="00BC34D9"/>
    <w:rsid w:val="00BC4FEC"/>
    <w:rsid w:val="00BC527A"/>
    <w:rsid w:val="00BC5FE6"/>
    <w:rsid w:val="00BC77FD"/>
    <w:rsid w:val="00BC7F0F"/>
    <w:rsid w:val="00BD1351"/>
    <w:rsid w:val="00BD15A9"/>
    <w:rsid w:val="00BD2282"/>
    <w:rsid w:val="00BD4874"/>
    <w:rsid w:val="00BD5E10"/>
    <w:rsid w:val="00BD707C"/>
    <w:rsid w:val="00BD7D36"/>
    <w:rsid w:val="00BE280C"/>
    <w:rsid w:val="00BE2C4C"/>
    <w:rsid w:val="00BE3641"/>
    <w:rsid w:val="00BE3F15"/>
    <w:rsid w:val="00BE4FB1"/>
    <w:rsid w:val="00BE5685"/>
    <w:rsid w:val="00BF039F"/>
    <w:rsid w:val="00BF03D4"/>
    <w:rsid w:val="00BF04A8"/>
    <w:rsid w:val="00BF0A3B"/>
    <w:rsid w:val="00BF4CE3"/>
    <w:rsid w:val="00BF5AA9"/>
    <w:rsid w:val="00BF5C1B"/>
    <w:rsid w:val="00BF7D3C"/>
    <w:rsid w:val="00C01B58"/>
    <w:rsid w:val="00C02B3F"/>
    <w:rsid w:val="00C02E32"/>
    <w:rsid w:val="00C03633"/>
    <w:rsid w:val="00C04B57"/>
    <w:rsid w:val="00C06296"/>
    <w:rsid w:val="00C075AD"/>
    <w:rsid w:val="00C10298"/>
    <w:rsid w:val="00C10BEE"/>
    <w:rsid w:val="00C1119E"/>
    <w:rsid w:val="00C12B44"/>
    <w:rsid w:val="00C1345B"/>
    <w:rsid w:val="00C13958"/>
    <w:rsid w:val="00C13A31"/>
    <w:rsid w:val="00C13E3C"/>
    <w:rsid w:val="00C159AD"/>
    <w:rsid w:val="00C16219"/>
    <w:rsid w:val="00C17F05"/>
    <w:rsid w:val="00C21C46"/>
    <w:rsid w:val="00C222DB"/>
    <w:rsid w:val="00C22896"/>
    <w:rsid w:val="00C2321A"/>
    <w:rsid w:val="00C2502E"/>
    <w:rsid w:val="00C32184"/>
    <w:rsid w:val="00C33ECA"/>
    <w:rsid w:val="00C343FC"/>
    <w:rsid w:val="00C345EF"/>
    <w:rsid w:val="00C354FF"/>
    <w:rsid w:val="00C36233"/>
    <w:rsid w:val="00C36897"/>
    <w:rsid w:val="00C403A9"/>
    <w:rsid w:val="00C43B4D"/>
    <w:rsid w:val="00C44970"/>
    <w:rsid w:val="00C45D8A"/>
    <w:rsid w:val="00C47026"/>
    <w:rsid w:val="00C47DAE"/>
    <w:rsid w:val="00C51DE5"/>
    <w:rsid w:val="00C52491"/>
    <w:rsid w:val="00C532E5"/>
    <w:rsid w:val="00C53908"/>
    <w:rsid w:val="00C54E79"/>
    <w:rsid w:val="00C557F5"/>
    <w:rsid w:val="00C55975"/>
    <w:rsid w:val="00C571DD"/>
    <w:rsid w:val="00C57729"/>
    <w:rsid w:val="00C607A8"/>
    <w:rsid w:val="00C61804"/>
    <w:rsid w:val="00C6180E"/>
    <w:rsid w:val="00C65E64"/>
    <w:rsid w:val="00C669E8"/>
    <w:rsid w:val="00C67139"/>
    <w:rsid w:val="00C67DE9"/>
    <w:rsid w:val="00C70515"/>
    <w:rsid w:val="00C7096A"/>
    <w:rsid w:val="00C71C51"/>
    <w:rsid w:val="00C72375"/>
    <w:rsid w:val="00C72567"/>
    <w:rsid w:val="00C725DA"/>
    <w:rsid w:val="00C73252"/>
    <w:rsid w:val="00C75BC3"/>
    <w:rsid w:val="00C7695B"/>
    <w:rsid w:val="00C76FB2"/>
    <w:rsid w:val="00C779DC"/>
    <w:rsid w:val="00C816B1"/>
    <w:rsid w:val="00C817D9"/>
    <w:rsid w:val="00C817FA"/>
    <w:rsid w:val="00C81DF2"/>
    <w:rsid w:val="00C84E2E"/>
    <w:rsid w:val="00C85CAF"/>
    <w:rsid w:val="00C86473"/>
    <w:rsid w:val="00C86D4F"/>
    <w:rsid w:val="00C91471"/>
    <w:rsid w:val="00C91BE0"/>
    <w:rsid w:val="00C91F18"/>
    <w:rsid w:val="00C93786"/>
    <w:rsid w:val="00C949A5"/>
    <w:rsid w:val="00C94DA2"/>
    <w:rsid w:val="00CA038E"/>
    <w:rsid w:val="00CA7A18"/>
    <w:rsid w:val="00CB2C0A"/>
    <w:rsid w:val="00CB361F"/>
    <w:rsid w:val="00CB3C5F"/>
    <w:rsid w:val="00CB3CB2"/>
    <w:rsid w:val="00CB4594"/>
    <w:rsid w:val="00CB5DBD"/>
    <w:rsid w:val="00CB61CB"/>
    <w:rsid w:val="00CB6E5D"/>
    <w:rsid w:val="00CB7FBA"/>
    <w:rsid w:val="00CC20A4"/>
    <w:rsid w:val="00CC26BD"/>
    <w:rsid w:val="00CC4E48"/>
    <w:rsid w:val="00CC4ED9"/>
    <w:rsid w:val="00CC5B90"/>
    <w:rsid w:val="00CC6110"/>
    <w:rsid w:val="00CC7D5C"/>
    <w:rsid w:val="00CC7F66"/>
    <w:rsid w:val="00CC7FC2"/>
    <w:rsid w:val="00CD06F4"/>
    <w:rsid w:val="00CD21C2"/>
    <w:rsid w:val="00CD2297"/>
    <w:rsid w:val="00CD48C3"/>
    <w:rsid w:val="00CD5B5F"/>
    <w:rsid w:val="00CD5B7E"/>
    <w:rsid w:val="00CD63B5"/>
    <w:rsid w:val="00CD670D"/>
    <w:rsid w:val="00CD74C5"/>
    <w:rsid w:val="00CD7CC9"/>
    <w:rsid w:val="00CD7D4F"/>
    <w:rsid w:val="00CE05B6"/>
    <w:rsid w:val="00CE09BA"/>
    <w:rsid w:val="00CE0CF0"/>
    <w:rsid w:val="00CE1321"/>
    <w:rsid w:val="00CE44D8"/>
    <w:rsid w:val="00CE62B8"/>
    <w:rsid w:val="00CE7107"/>
    <w:rsid w:val="00CF0067"/>
    <w:rsid w:val="00CF0207"/>
    <w:rsid w:val="00CF3C6A"/>
    <w:rsid w:val="00CF6DF5"/>
    <w:rsid w:val="00CF7246"/>
    <w:rsid w:val="00D00FA6"/>
    <w:rsid w:val="00D014D1"/>
    <w:rsid w:val="00D023E9"/>
    <w:rsid w:val="00D02547"/>
    <w:rsid w:val="00D031B4"/>
    <w:rsid w:val="00D040F3"/>
    <w:rsid w:val="00D04709"/>
    <w:rsid w:val="00D04E9F"/>
    <w:rsid w:val="00D10C0A"/>
    <w:rsid w:val="00D114C8"/>
    <w:rsid w:val="00D115E3"/>
    <w:rsid w:val="00D11650"/>
    <w:rsid w:val="00D12864"/>
    <w:rsid w:val="00D1298F"/>
    <w:rsid w:val="00D1398B"/>
    <w:rsid w:val="00D165EA"/>
    <w:rsid w:val="00D227D3"/>
    <w:rsid w:val="00D2456E"/>
    <w:rsid w:val="00D25444"/>
    <w:rsid w:val="00D26F85"/>
    <w:rsid w:val="00D30F63"/>
    <w:rsid w:val="00D31887"/>
    <w:rsid w:val="00D31C50"/>
    <w:rsid w:val="00D32B4D"/>
    <w:rsid w:val="00D34BC4"/>
    <w:rsid w:val="00D34C1C"/>
    <w:rsid w:val="00D3520D"/>
    <w:rsid w:val="00D35DA2"/>
    <w:rsid w:val="00D371C1"/>
    <w:rsid w:val="00D3770C"/>
    <w:rsid w:val="00D37BD8"/>
    <w:rsid w:val="00D40798"/>
    <w:rsid w:val="00D4269E"/>
    <w:rsid w:val="00D4292A"/>
    <w:rsid w:val="00D453F6"/>
    <w:rsid w:val="00D45E94"/>
    <w:rsid w:val="00D47ECE"/>
    <w:rsid w:val="00D52B9C"/>
    <w:rsid w:val="00D530E2"/>
    <w:rsid w:val="00D5381B"/>
    <w:rsid w:val="00D5517F"/>
    <w:rsid w:val="00D55FD7"/>
    <w:rsid w:val="00D57264"/>
    <w:rsid w:val="00D57E22"/>
    <w:rsid w:val="00D57F17"/>
    <w:rsid w:val="00D619DE"/>
    <w:rsid w:val="00D657A7"/>
    <w:rsid w:val="00D706A3"/>
    <w:rsid w:val="00D71127"/>
    <w:rsid w:val="00D71A95"/>
    <w:rsid w:val="00D7284C"/>
    <w:rsid w:val="00D72C29"/>
    <w:rsid w:val="00D736D6"/>
    <w:rsid w:val="00D73F97"/>
    <w:rsid w:val="00D74646"/>
    <w:rsid w:val="00D76A36"/>
    <w:rsid w:val="00D81124"/>
    <w:rsid w:val="00D819F1"/>
    <w:rsid w:val="00D82315"/>
    <w:rsid w:val="00D833C9"/>
    <w:rsid w:val="00D85012"/>
    <w:rsid w:val="00D859BF"/>
    <w:rsid w:val="00D91968"/>
    <w:rsid w:val="00D93C9A"/>
    <w:rsid w:val="00D94CD0"/>
    <w:rsid w:val="00D958AC"/>
    <w:rsid w:val="00D96331"/>
    <w:rsid w:val="00D971D5"/>
    <w:rsid w:val="00DA00B2"/>
    <w:rsid w:val="00DA00D1"/>
    <w:rsid w:val="00DA0BF9"/>
    <w:rsid w:val="00DA1041"/>
    <w:rsid w:val="00DA1BE5"/>
    <w:rsid w:val="00DA6928"/>
    <w:rsid w:val="00DA748C"/>
    <w:rsid w:val="00DB0702"/>
    <w:rsid w:val="00DB0F95"/>
    <w:rsid w:val="00DB7811"/>
    <w:rsid w:val="00DC2693"/>
    <w:rsid w:val="00DC3D3E"/>
    <w:rsid w:val="00DC3DEC"/>
    <w:rsid w:val="00DC4FB4"/>
    <w:rsid w:val="00DC6FC6"/>
    <w:rsid w:val="00DC7122"/>
    <w:rsid w:val="00DC7743"/>
    <w:rsid w:val="00DD00A0"/>
    <w:rsid w:val="00DD0666"/>
    <w:rsid w:val="00DD1DA4"/>
    <w:rsid w:val="00DD7C84"/>
    <w:rsid w:val="00DE166B"/>
    <w:rsid w:val="00DE2DF3"/>
    <w:rsid w:val="00DE3A9A"/>
    <w:rsid w:val="00DE4207"/>
    <w:rsid w:val="00DE50FA"/>
    <w:rsid w:val="00DE7C2F"/>
    <w:rsid w:val="00DF05A3"/>
    <w:rsid w:val="00DF12D5"/>
    <w:rsid w:val="00DF15C6"/>
    <w:rsid w:val="00DF2098"/>
    <w:rsid w:val="00DF29F1"/>
    <w:rsid w:val="00DF46A7"/>
    <w:rsid w:val="00DF4D11"/>
    <w:rsid w:val="00DF50AE"/>
    <w:rsid w:val="00DF62E4"/>
    <w:rsid w:val="00DF7569"/>
    <w:rsid w:val="00DF7879"/>
    <w:rsid w:val="00DF7C18"/>
    <w:rsid w:val="00E00027"/>
    <w:rsid w:val="00E00254"/>
    <w:rsid w:val="00E00B6A"/>
    <w:rsid w:val="00E00BC2"/>
    <w:rsid w:val="00E0506B"/>
    <w:rsid w:val="00E06413"/>
    <w:rsid w:val="00E11315"/>
    <w:rsid w:val="00E113A2"/>
    <w:rsid w:val="00E142BA"/>
    <w:rsid w:val="00E164C5"/>
    <w:rsid w:val="00E16CAF"/>
    <w:rsid w:val="00E20179"/>
    <w:rsid w:val="00E205E2"/>
    <w:rsid w:val="00E20AA7"/>
    <w:rsid w:val="00E21514"/>
    <w:rsid w:val="00E232FA"/>
    <w:rsid w:val="00E25474"/>
    <w:rsid w:val="00E266C1"/>
    <w:rsid w:val="00E26DB8"/>
    <w:rsid w:val="00E27EDE"/>
    <w:rsid w:val="00E30392"/>
    <w:rsid w:val="00E305BB"/>
    <w:rsid w:val="00E30BB1"/>
    <w:rsid w:val="00E311E4"/>
    <w:rsid w:val="00E312E6"/>
    <w:rsid w:val="00E32143"/>
    <w:rsid w:val="00E325E0"/>
    <w:rsid w:val="00E329FF"/>
    <w:rsid w:val="00E3682C"/>
    <w:rsid w:val="00E371B2"/>
    <w:rsid w:val="00E40D76"/>
    <w:rsid w:val="00E4246E"/>
    <w:rsid w:val="00E429E9"/>
    <w:rsid w:val="00E42CD2"/>
    <w:rsid w:val="00E42FC6"/>
    <w:rsid w:val="00E46EB5"/>
    <w:rsid w:val="00E50C26"/>
    <w:rsid w:val="00E5148B"/>
    <w:rsid w:val="00E517BE"/>
    <w:rsid w:val="00E5411D"/>
    <w:rsid w:val="00E6226C"/>
    <w:rsid w:val="00E626DF"/>
    <w:rsid w:val="00E62B12"/>
    <w:rsid w:val="00E62E18"/>
    <w:rsid w:val="00E6355A"/>
    <w:rsid w:val="00E64022"/>
    <w:rsid w:val="00E65578"/>
    <w:rsid w:val="00E703F8"/>
    <w:rsid w:val="00E719D8"/>
    <w:rsid w:val="00E75A13"/>
    <w:rsid w:val="00E771DA"/>
    <w:rsid w:val="00E82881"/>
    <w:rsid w:val="00E84532"/>
    <w:rsid w:val="00E84A62"/>
    <w:rsid w:val="00E85A61"/>
    <w:rsid w:val="00E8684C"/>
    <w:rsid w:val="00E902B3"/>
    <w:rsid w:val="00E90843"/>
    <w:rsid w:val="00E9251A"/>
    <w:rsid w:val="00E92597"/>
    <w:rsid w:val="00E93D0E"/>
    <w:rsid w:val="00E957A7"/>
    <w:rsid w:val="00E95B29"/>
    <w:rsid w:val="00E96797"/>
    <w:rsid w:val="00E96DFC"/>
    <w:rsid w:val="00E971C6"/>
    <w:rsid w:val="00E97E98"/>
    <w:rsid w:val="00EA01F8"/>
    <w:rsid w:val="00EA12EC"/>
    <w:rsid w:val="00EA168F"/>
    <w:rsid w:val="00EA25FE"/>
    <w:rsid w:val="00EA35F2"/>
    <w:rsid w:val="00EA3BA6"/>
    <w:rsid w:val="00EA427C"/>
    <w:rsid w:val="00EA5100"/>
    <w:rsid w:val="00EA5405"/>
    <w:rsid w:val="00EA6C15"/>
    <w:rsid w:val="00EA7F28"/>
    <w:rsid w:val="00EB1801"/>
    <w:rsid w:val="00EB3FD8"/>
    <w:rsid w:val="00EB452D"/>
    <w:rsid w:val="00EB54E3"/>
    <w:rsid w:val="00EB572F"/>
    <w:rsid w:val="00EB5C5F"/>
    <w:rsid w:val="00EC02FA"/>
    <w:rsid w:val="00EC0821"/>
    <w:rsid w:val="00EC0AEB"/>
    <w:rsid w:val="00EC3B87"/>
    <w:rsid w:val="00EC4503"/>
    <w:rsid w:val="00EC4F01"/>
    <w:rsid w:val="00EC51AD"/>
    <w:rsid w:val="00EC540E"/>
    <w:rsid w:val="00EC6335"/>
    <w:rsid w:val="00EC6C51"/>
    <w:rsid w:val="00EC7004"/>
    <w:rsid w:val="00EC75FE"/>
    <w:rsid w:val="00ED032F"/>
    <w:rsid w:val="00ED0A82"/>
    <w:rsid w:val="00ED0C71"/>
    <w:rsid w:val="00ED1322"/>
    <w:rsid w:val="00ED53C5"/>
    <w:rsid w:val="00ED6360"/>
    <w:rsid w:val="00ED6683"/>
    <w:rsid w:val="00ED7524"/>
    <w:rsid w:val="00EE3A10"/>
    <w:rsid w:val="00EE3FC4"/>
    <w:rsid w:val="00EE3FE4"/>
    <w:rsid w:val="00EE62C1"/>
    <w:rsid w:val="00EE7B39"/>
    <w:rsid w:val="00EE7F38"/>
    <w:rsid w:val="00EF1112"/>
    <w:rsid w:val="00EF18D2"/>
    <w:rsid w:val="00EF19A3"/>
    <w:rsid w:val="00EF2070"/>
    <w:rsid w:val="00EF26CA"/>
    <w:rsid w:val="00EF310F"/>
    <w:rsid w:val="00EF4BFC"/>
    <w:rsid w:val="00EF6371"/>
    <w:rsid w:val="00F001CE"/>
    <w:rsid w:val="00F018B4"/>
    <w:rsid w:val="00F02B45"/>
    <w:rsid w:val="00F04450"/>
    <w:rsid w:val="00F06944"/>
    <w:rsid w:val="00F06BC3"/>
    <w:rsid w:val="00F06FE1"/>
    <w:rsid w:val="00F07492"/>
    <w:rsid w:val="00F07BBC"/>
    <w:rsid w:val="00F10EC8"/>
    <w:rsid w:val="00F13795"/>
    <w:rsid w:val="00F14761"/>
    <w:rsid w:val="00F16617"/>
    <w:rsid w:val="00F20F3F"/>
    <w:rsid w:val="00F21D23"/>
    <w:rsid w:val="00F22431"/>
    <w:rsid w:val="00F22572"/>
    <w:rsid w:val="00F246FD"/>
    <w:rsid w:val="00F24FE5"/>
    <w:rsid w:val="00F258EA"/>
    <w:rsid w:val="00F269FA"/>
    <w:rsid w:val="00F27958"/>
    <w:rsid w:val="00F3048D"/>
    <w:rsid w:val="00F308B7"/>
    <w:rsid w:val="00F35912"/>
    <w:rsid w:val="00F35E4C"/>
    <w:rsid w:val="00F3643A"/>
    <w:rsid w:val="00F41FCD"/>
    <w:rsid w:val="00F4218F"/>
    <w:rsid w:val="00F45484"/>
    <w:rsid w:val="00F50C80"/>
    <w:rsid w:val="00F5178B"/>
    <w:rsid w:val="00F54D49"/>
    <w:rsid w:val="00F54ED7"/>
    <w:rsid w:val="00F55A42"/>
    <w:rsid w:val="00F55C93"/>
    <w:rsid w:val="00F55CCC"/>
    <w:rsid w:val="00F55EEB"/>
    <w:rsid w:val="00F5643D"/>
    <w:rsid w:val="00F577F8"/>
    <w:rsid w:val="00F60CAA"/>
    <w:rsid w:val="00F62402"/>
    <w:rsid w:val="00F64FEC"/>
    <w:rsid w:val="00F6580B"/>
    <w:rsid w:val="00F70A3C"/>
    <w:rsid w:val="00F71B66"/>
    <w:rsid w:val="00F71CA1"/>
    <w:rsid w:val="00F748D4"/>
    <w:rsid w:val="00F76808"/>
    <w:rsid w:val="00F81051"/>
    <w:rsid w:val="00F814D2"/>
    <w:rsid w:val="00F83906"/>
    <w:rsid w:val="00F844F8"/>
    <w:rsid w:val="00F84AAD"/>
    <w:rsid w:val="00F84ED5"/>
    <w:rsid w:val="00F85076"/>
    <w:rsid w:val="00F85754"/>
    <w:rsid w:val="00F85C47"/>
    <w:rsid w:val="00F915F5"/>
    <w:rsid w:val="00F91EA4"/>
    <w:rsid w:val="00F926A2"/>
    <w:rsid w:val="00F9398A"/>
    <w:rsid w:val="00F95899"/>
    <w:rsid w:val="00F96842"/>
    <w:rsid w:val="00F978FE"/>
    <w:rsid w:val="00F97FE0"/>
    <w:rsid w:val="00FA032B"/>
    <w:rsid w:val="00FA0CF0"/>
    <w:rsid w:val="00FA10B8"/>
    <w:rsid w:val="00FA16F7"/>
    <w:rsid w:val="00FA1D90"/>
    <w:rsid w:val="00FA21AF"/>
    <w:rsid w:val="00FA30A2"/>
    <w:rsid w:val="00FA377E"/>
    <w:rsid w:val="00FA4057"/>
    <w:rsid w:val="00FA4B64"/>
    <w:rsid w:val="00FA4CB3"/>
    <w:rsid w:val="00FA6A15"/>
    <w:rsid w:val="00FA7FAC"/>
    <w:rsid w:val="00FB0C21"/>
    <w:rsid w:val="00FB20FC"/>
    <w:rsid w:val="00FB263E"/>
    <w:rsid w:val="00FB2DB8"/>
    <w:rsid w:val="00FB5DEE"/>
    <w:rsid w:val="00FC2B58"/>
    <w:rsid w:val="00FC3D74"/>
    <w:rsid w:val="00FC4BCE"/>
    <w:rsid w:val="00FC5139"/>
    <w:rsid w:val="00FC5C8B"/>
    <w:rsid w:val="00FC5EF9"/>
    <w:rsid w:val="00FC75F4"/>
    <w:rsid w:val="00FD0A06"/>
    <w:rsid w:val="00FD2B8E"/>
    <w:rsid w:val="00FD37B2"/>
    <w:rsid w:val="00FD402D"/>
    <w:rsid w:val="00FD4C45"/>
    <w:rsid w:val="00FD7624"/>
    <w:rsid w:val="00FE0576"/>
    <w:rsid w:val="00FE0878"/>
    <w:rsid w:val="00FE335E"/>
    <w:rsid w:val="00FE3CBD"/>
    <w:rsid w:val="00FE7A91"/>
    <w:rsid w:val="00FF07EF"/>
    <w:rsid w:val="00FF0AD7"/>
    <w:rsid w:val="00FF3076"/>
    <w:rsid w:val="00FF3E30"/>
    <w:rsid w:val="00FF3E7F"/>
    <w:rsid w:val="00FF490A"/>
    <w:rsid w:val="00FF4C6C"/>
    <w:rsid w:val="00FF65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235"/>
        <o:r id="V:Rule2" type="connector" idref="#_x0000_s1240"/>
        <o:r id="V:Rule3" type="connector" idref="#_x0000_s1233">
          <o:proxy start="" idref="#_x0000_s1231" connectloc="3"/>
        </o:r>
        <o:r id="V:Rule4" type="connector" idref="#_x0000_s1244"/>
        <o:r id="V:Rule5" type="connector" idref="#_x0000_s1249"/>
        <o:r id="V:Rule6" type="connector" idref="#_x0000_s1234"/>
        <o:r id="V:Rule7" type="connector" idref="#_x0000_s1251"/>
        <o:r id="V:Rule8" type="connector" idref="#_x0000_s1245"/>
        <o:r id="V:Rule9" type="connector" idref="#_x0000_s1253"/>
        <o:r id="V:Rule10" type="connector" idref="#_x0000_s1250"/>
        <o:r id="V:Rule11" type="connector" idref="#_x0000_s1237"/>
        <o:r id="V:Rule12" type="connector" idref="#_x0000_s1242">
          <o:proxy start="" idref="#_x0000_s1229" connectloc="1"/>
        </o:r>
        <o:r id="V:Rule13" type="connector" idref="#_x0000_s1254">
          <o:proxy start="" idref="#_s1031" connectloc="5"/>
          <o:proxy end="" idref="#_s1031" connectloc="1"/>
        </o:r>
        <o:r id="V:Rule14" type="connector" idref="#_x0000_s1236"/>
        <o:r id="V:Rule15" type="connector" idref="#_x0000_s1246"/>
        <o:r id="V:Rule16" type="connector" idref="#_x0000_s1252"/>
        <o:r id="V:Rule17" type="connector" idref="#_x0000_s1239"/>
      </o:rules>
    </o:shapelayout>
  </w:shapeDefaults>
  <w:decimalSymbol w:val=","/>
  <w:listSeparator w:val=";"/>
  <w14:docId w14:val="685D6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sl-SI"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5542F"/>
  </w:style>
  <w:style w:type="paragraph" w:styleId="Naslov1">
    <w:name w:val="heading 1"/>
    <w:basedOn w:val="Navaden"/>
    <w:next w:val="Navaden"/>
    <w:link w:val="Naslov1Znak"/>
    <w:qFormat/>
    <w:rsid w:val="00DD1DA4"/>
    <w:pPr>
      <w:pBdr>
        <w:top w:val="single" w:sz="24" w:space="0" w:color="549E39" w:themeColor="accent1"/>
        <w:left w:val="single" w:sz="24" w:space="0" w:color="549E39" w:themeColor="accent1"/>
        <w:bottom w:val="single" w:sz="24" w:space="0" w:color="549E39" w:themeColor="accent1"/>
        <w:right w:val="single" w:sz="24" w:space="0" w:color="549E39" w:themeColor="accent1"/>
      </w:pBdr>
      <w:shd w:val="clear" w:color="auto" w:fill="549E39" w:themeFill="accent1"/>
      <w:spacing w:after="0"/>
      <w:outlineLvl w:val="0"/>
    </w:pPr>
    <w:rPr>
      <w:caps/>
      <w:color w:val="FFFFFF" w:themeColor="background1"/>
      <w:spacing w:val="15"/>
      <w:sz w:val="22"/>
      <w:szCs w:val="22"/>
    </w:rPr>
  </w:style>
  <w:style w:type="paragraph" w:styleId="Naslov2">
    <w:name w:val="heading 2"/>
    <w:basedOn w:val="Navaden"/>
    <w:next w:val="Navaden"/>
    <w:link w:val="Naslov2Znak"/>
    <w:uiPriority w:val="9"/>
    <w:unhideWhenUsed/>
    <w:qFormat/>
    <w:rsid w:val="00DD1DA4"/>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spacing w:after="0"/>
      <w:outlineLvl w:val="1"/>
    </w:pPr>
    <w:rPr>
      <w:caps/>
      <w:spacing w:val="15"/>
    </w:rPr>
  </w:style>
  <w:style w:type="paragraph" w:styleId="Naslov3">
    <w:name w:val="heading 3"/>
    <w:basedOn w:val="Navaden"/>
    <w:next w:val="Navaden"/>
    <w:link w:val="Naslov3Znak"/>
    <w:unhideWhenUsed/>
    <w:qFormat/>
    <w:rsid w:val="00DD1DA4"/>
    <w:pPr>
      <w:pBdr>
        <w:top w:val="single" w:sz="6" w:space="2" w:color="549E39" w:themeColor="accent1"/>
      </w:pBdr>
      <w:spacing w:before="300" w:after="0"/>
      <w:outlineLvl w:val="2"/>
    </w:pPr>
    <w:rPr>
      <w:caps/>
      <w:color w:val="294E1C" w:themeColor="accent1" w:themeShade="7F"/>
      <w:spacing w:val="15"/>
    </w:rPr>
  </w:style>
  <w:style w:type="paragraph" w:styleId="Naslov4">
    <w:name w:val="heading 4"/>
    <w:basedOn w:val="Navaden"/>
    <w:next w:val="Navaden"/>
    <w:link w:val="Naslov4Znak"/>
    <w:unhideWhenUsed/>
    <w:qFormat/>
    <w:rsid w:val="00DD1DA4"/>
    <w:pPr>
      <w:pBdr>
        <w:top w:val="dotted" w:sz="6" w:space="2" w:color="549E39" w:themeColor="accent1"/>
      </w:pBdr>
      <w:spacing w:before="200" w:after="0"/>
      <w:outlineLvl w:val="3"/>
    </w:pPr>
    <w:rPr>
      <w:caps/>
      <w:color w:val="3E762A" w:themeColor="accent1" w:themeShade="BF"/>
      <w:spacing w:val="10"/>
    </w:rPr>
  </w:style>
  <w:style w:type="paragraph" w:styleId="Naslov5">
    <w:name w:val="heading 5"/>
    <w:basedOn w:val="Navaden"/>
    <w:next w:val="Navaden"/>
    <w:link w:val="Naslov5Znak"/>
    <w:uiPriority w:val="9"/>
    <w:semiHidden/>
    <w:unhideWhenUsed/>
    <w:qFormat/>
    <w:rsid w:val="00DD1DA4"/>
    <w:pPr>
      <w:pBdr>
        <w:bottom w:val="single" w:sz="6" w:space="1" w:color="549E39" w:themeColor="accent1"/>
      </w:pBdr>
      <w:spacing w:before="200" w:after="0"/>
      <w:outlineLvl w:val="4"/>
    </w:pPr>
    <w:rPr>
      <w:caps/>
      <w:color w:val="3E762A" w:themeColor="accent1" w:themeShade="BF"/>
      <w:spacing w:val="10"/>
    </w:rPr>
  </w:style>
  <w:style w:type="paragraph" w:styleId="Naslov6">
    <w:name w:val="heading 6"/>
    <w:basedOn w:val="Navaden"/>
    <w:next w:val="Navaden"/>
    <w:link w:val="Naslov6Znak"/>
    <w:uiPriority w:val="9"/>
    <w:semiHidden/>
    <w:unhideWhenUsed/>
    <w:qFormat/>
    <w:rsid w:val="00DD1DA4"/>
    <w:pPr>
      <w:pBdr>
        <w:bottom w:val="dotted" w:sz="6" w:space="1" w:color="549E39" w:themeColor="accent1"/>
      </w:pBdr>
      <w:spacing w:before="200" w:after="0"/>
      <w:outlineLvl w:val="5"/>
    </w:pPr>
    <w:rPr>
      <w:caps/>
      <w:color w:val="3E762A" w:themeColor="accent1" w:themeShade="BF"/>
      <w:spacing w:val="10"/>
    </w:rPr>
  </w:style>
  <w:style w:type="paragraph" w:styleId="Naslov7">
    <w:name w:val="heading 7"/>
    <w:basedOn w:val="Navaden"/>
    <w:next w:val="Navaden"/>
    <w:link w:val="Naslov7Znak"/>
    <w:uiPriority w:val="9"/>
    <w:semiHidden/>
    <w:unhideWhenUsed/>
    <w:qFormat/>
    <w:rsid w:val="00DD1DA4"/>
    <w:pPr>
      <w:spacing w:before="200" w:after="0"/>
      <w:outlineLvl w:val="6"/>
    </w:pPr>
    <w:rPr>
      <w:caps/>
      <w:color w:val="3E762A" w:themeColor="accent1" w:themeShade="BF"/>
      <w:spacing w:val="10"/>
    </w:rPr>
  </w:style>
  <w:style w:type="paragraph" w:styleId="Naslov8">
    <w:name w:val="heading 8"/>
    <w:basedOn w:val="Navaden"/>
    <w:next w:val="Navaden"/>
    <w:link w:val="Naslov8Znak"/>
    <w:uiPriority w:val="9"/>
    <w:semiHidden/>
    <w:unhideWhenUsed/>
    <w:qFormat/>
    <w:rsid w:val="00DD1DA4"/>
    <w:pPr>
      <w:spacing w:before="200" w:after="0"/>
      <w:outlineLvl w:val="7"/>
    </w:pPr>
    <w:rPr>
      <w:caps/>
      <w:spacing w:val="10"/>
      <w:sz w:val="18"/>
      <w:szCs w:val="18"/>
    </w:rPr>
  </w:style>
  <w:style w:type="paragraph" w:styleId="Naslov9">
    <w:name w:val="heading 9"/>
    <w:basedOn w:val="Navaden"/>
    <w:next w:val="Navaden"/>
    <w:link w:val="Naslov9Znak"/>
    <w:uiPriority w:val="9"/>
    <w:semiHidden/>
    <w:unhideWhenUsed/>
    <w:qFormat/>
    <w:rsid w:val="00DD1DA4"/>
    <w:pPr>
      <w:spacing w:before="200" w:after="0"/>
      <w:outlineLvl w:val="8"/>
    </w:pPr>
    <w:rPr>
      <w:i/>
      <w:iCs/>
      <w:caps/>
      <w:spacing w:val="10"/>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DD1DA4"/>
    <w:rPr>
      <w:caps/>
      <w:color w:val="FFFFFF" w:themeColor="background1"/>
      <w:spacing w:val="15"/>
      <w:sz w:val="22"/>
      <w:szCs w:val="22"/>
      <w:shd w:val="clear" w:color="auto" w:fill="549E39" w:themeFill="accent1"/>
    </w:rPr>
  </w:style>
  <w:style w:type="character" w:customStyle="1" w:styleId="Naslov2Znak">
    <w:name w:val="Naslov 2 Znak"/>
    <w:basedOn w:val="Privzetapisavaodstavka"/>
    <w:link w:val="Naslov2"/>
    <w:uiPriority w:val="9"/>
    <w:rsid w:val="00DD1DA4"/>
    <w:rPr>
      <w:caps/>
      <w:spacing w:val="15"/>
      <w:shd w:val="clear" w:color="auto" w:fill="DAEFD3" w:themeFill="accent1" w:themeFillTint="33"/>
    </w:rPr>
  </w:style>
  <w:style w:type="character" w:customStyle="1" w:styleId="Naslov3Znak">
    <w:name w:val="Naslov 3 Znak"/>
    <w:basedOn w:val="Privzetapisavaodstavka"/>
    <w:link w:val="Naslov3"/>
    <w:rsid w:val="00DD1DA4"/>
    <w:rPr>
      <w:caps/>
      <w:color w:val="294E1C" w:themeColor="accent1" w:themeShade="7F"/>
      <w:spacing w:val="15"/>
    </w:rPr>
  </w:style>
  <w:style w:type="character" w:customStyle="1" w:styleId="Naslov4Znak">
    <w:name w:val="Naslov 4 Znak"/>
    <w:basedOn w:val="Privzetapisavaodstavka"/>
    <w:link w:val="Naslov4"/>
    <w:rsid w:val="00DD1DA4"/>
    <w:rPr>
      <w:caps/>
      <w:color w:val="3E762A" w:themeColor="accent1" w:themeShade="BF"/>
      <w:spacing w:val="10"/>
    </w:rPr>
  </w:style>
  <w:style w:type="character" w:customStyle="1" w:styleId="Naslov5Znak">
    <w:name w:val="Naslov 5 Znak"/>
    <w:basedOn w:val="Privzetapisavaodstavka"/>
    <w:link w:val="Naslov5"/>
    <w:uiPriority w:val="9"/>
    <w:semiHidden/>
    <w:rsid w:val="00DD1DA4"/>
    <w:rPr>
      <w:caps/>
      <w:color w:val="3E762A" w:themeColor="accent1" w:themeShade="BF"/>
      <w:spacing w:val="10"/>
    </w:rPr>
  </w:style>
  <w:style w:type="character" w:customStyle="1" w:styleId="Naslov6Znak">
    <w:name w:val="Naslov 6 Znak"/>
    <w:basedOn w:val="Privzetapisavaodstavka"/>
    <w:link w:val="Naslov6"/>
    <w:uiPriority w:val="9"/>
    <w:semiHidden/>
    <w:rsid w:val="00DD1DA4"/>
    <w:rPr>
      <w:caps/>
      <w:color w:val="3E762A" w:themeColor="accent1" w:themeShade="BF"/>
      <w:spacing w:val="10"/>
    </w:rPr>
  </w:style>
  <w:style w:type="character" w:customStyle="1" w:styleId="Naslov7Znak">
    <w:name w:val="Naslov 7 Znak"/>
    <w:basedOn w:val="Privzetapisavaodstavka"/>
    <w:link w:val="Naslov7"/>
    <w:uiPriority w:val="9"/>
    <w:semiHidden/>
    <w:rsid w:val="00DD1DA4"/>
    <w:rPr>
      <w:caps/>
      <w:color w:val="3E762A" w:themeColor="accent1" w:themeShade="BF"/>
      <w:spacing w:val="10"/>
    </w:rPr>
  </w:style>
  <w:style w:type="character" w:customStyle="1" w:styleId="Naslov8Znak">
    <w:name w:val="Naslov 8 Znak"/>
    <w:basedOn w:val="Privzetapisavaodstavka"/>
    <w:link w:val="Naslov8"/>
    <w:uiPriority w:val="9"/>
    <w:semiHidden/>
    <w:rsid w:val="00DD1DA4"/>
    <w:rPr>
      <w:caps/>
      <w:spacing w:val="10"/>
      <w:sz w:val="18"/>
      <w:szCs w:val="18"/>
    </w:rPr>
  </w:style>
  <w:style w:type="character" w:customStyle="1" w:styleId="Naslov9Znak">
    <w:name w:val="Naslov 9 Znak"/>
    <w:basedOn w:val="Privzetapisavaodstavka"/>
    <w:link w:val="Naslov9"/>
    <w:uiPriority w:val="9"/>
    <w:semiHidden/>
    <w:rsid w:val="00DD1DA4"/>
    <w:rPr>
      <w:i/>
      <w:iCs/>
      <w:caps/>
      <w:spacing w:val="10"/>
      <w:sz w:val="18"/>
      <w:szCs w:val="18"/>
    </w:rPr>
  </w:style>
  <w:style w:type="paragraph" w:styleId="Napis">
    <w:name w:val="caption"/>
    <w:basedOn w:val="Navaden"/>
    <w:next w:val="Navaden"/>
    <w:uiPriority w:val="35"/>
    <w:unhideWhenUsed/>
    <w:qFormat/>
    <w:rsid w:val="00DD1DA4"/>
    <w:rPr>
      <w:b/>
      <w:bCs/>
      <w:color w:val="3E762A" w:themeColor="accent1" w:themeShade="BF"/>
      <w:sz w:val="16"/>
      <w:szCs w:val="16"/>
    </w:rPr>
  </w:style>
  <w:style w:type="paragraph" w:styleId="Naslov">
    <w:name w:val="Title"/>
    <w:basedOn w:val="Navaden"/>
    <w:next w:val="Navaden"/>
    <w:link w:val="NaslovZnak"/>
    <w:uiPriority w:val="10"/>
    <w:qFormat/>
    <w:rsid w:val="00DD1DA4"/>
    <w:pPr>
      <w:spacing w:before="0" w:after="0"/>
    </w:pPr>
    <w:rPr>
      <w:rFonts w:asciiTheme="majorHAnsi" w:eastAsiaTheme="majorEastAsia" w:hAnsiTheme="majorHAnsi" w:cstheme="majorBidi"/>
      <w:caps/>
      <w:color w:val="549E39" w:themeColor="accent1"/>
      <w:spacing w:val="10"/>
      <w:sz w:val="52"/>
      <w:szCs w:val="52"/>
    </w:rPr>
  </w:style>
  <w:style w:type="character" w:customStyle="1" w:styleId="NaslovZnak">
    <w:name w:val="Naslov Znak"/>
    <w:basedOn w:val="Privzetapisavaodstavka"/>
    <w:link w:val="Naslov"/>
    <w:uiPriority w:val="10"/>
    <w:rsid w:val="00DD1DA4"/>
    <w:rPr>
      <w:rFonts w:asciiTheme="majorHAnsi" w:eastAsiaTheme="majorEastAsia" w:hAnsiTheme="majorHAnsi" w:cstheme="majorBidi"/>
      <w:caps/>
      <w:color w:val="549E39" w:themeColor="accent1"/>
      <w:spacing w:val="10"/>
      <w:sz w:val="52"/>
      <w:szCs w:val="52"/>
    </w:rPr>
  </w:style>
  <w:style w:type="paragraph" w:styleId="Podnaslov">
    <w:name w:val="Subtitle"/>
    <w:basedOn w:val="Navaden"/>
    <w:next w:val="Navaden"/>
    <w:link w:val="PodnaslovZnak"/>
    <w:uiPriority w:val="11"/>
    <w:qFormat/>
    <w:rsid w:val="00DD1DA4"/>
    <w:pPr>
      <w:spacing w:before="0" w:after="500" w:line="240" w:lineRule="auto"/>
    </w:pPr>
    <w:rPr>
      <w:caps/>
      <w:color w:val="595959" w:themeColor="text1" w:themeTint="A6"/>
      <w:spacing w:val="10"/>
      <w:sz w:val="21"/>
      <w:szCs w:val="21"/>
    </w:rPr>
  </w:style>
  <w:style w:type="character" w:customStyle="1" w:styleId="PodnaslovZnak">
    <w:name w:val="Podnaslov Znak"/>
    <w:basedOn w:val="Privzetapisavaodstavka"/>
    <w:link w:val="Podnaslov"/>
    <w:uiPriority w:val="11"/>
    <w:rsid w:val="00DD1DA4"/>
    <w:rPr>
      <w:caps/>
      <w:color w:val="595959" w:themeColor="text1" w:themeTint="A6"/>
      <w:spacing w:val="10"/>
      <w:sz w:val="21"/>
      <w:szCs w:val="21"/>
    </w:rPr>
  </w:style>
  <w:style w:type="character" w:styleId="Krepko">
    <w:name w:val="Strong"/>
    <w:uiPriority w:val="22"/>
    <w:qFormat/>
    <w:rsid w:val="00DD1DA4"/>
    <w:rPr>
      <w:b/>
      <w:bCs/>
    </w:rPr>
  </w:style>
  <w:style w:type="character" w:styleId="Poudarek">
    <w:name w:val="Emphasis"/>
    <w:uiPriority w:val="20"/>
    <w:qFormat/>
    <w:rsid w:val="00DD1DA4"/>
    <w:rPr>
      <w:caps/>
      <w:color w:val="294E1C" w:themeColor="accent1" w:themeShade="7F"/>
      <w:spacing w:val="5"/>
    </w:rPr>
  </w:style>
  <w:style w:type="paragraph" w:styleId="Brezrazmikov">
    <w:name w:val="No Spacing"/>
    <w:uiPriority w:val="1"/>
    <w:qFormat/>
    <w:rsid w:val="00DD1DA4"/>
    <w:pPr>
      <w:spacing w:after="0" w:line="240" w:lineRule="auto"/>
    </w:pPr>
  </w:style>
  <w:style w:type="paragraph" w:styleId="Citat">
    <w:name w:val="Quote"/>
    <w:basedOn w:val="Navaden"/>
    <w:next w:val="Navaden"/>
    <w:link w:val="CitatZnak"/>
    <w:uiPriority w:val="29"/>
    <w:qFormat/>
    <w:rsid w:val="00DD1DA4"/>
    <w:rPr>
      <w:i/>
      <w:iCs/>
      <w:sz w:val="24"/>
      <w:szCs w:val="24"/>
    </w:rPr>
  </w:style>
  <w:style w:type="character" w:customStyle="1" w:styleId="CitatZnak">
    <w:name w:val="Citat Znak"/>
    <w:basedOn w:val="Privzetapisavaodstavka"/>
    <w:link w:val="Citat"/>
    <w:uiPriority w:val="29"/>
    <w:rsid w:val="00DD1DA4"/>
    <w:rPr>
      <w:i/>
      <w:iCs/>
      <w:sz w:val="24"/>
      <w:szCs w:val="24"/>
    </w:rPr>
  </w:style>
  <w:style w:type="paragraph" w:styleId="Intenzivencitat">
    <w:name w:val="Intense Quote"/>
    <w:basedOn w:val="Navaden"/>
    <w:next w:val="Navaden"/>
    <w:link w:val="IntenzivencitatZnak"/>
    <w:uiPriority w:val="30"/>
    <w:qFormat/>
    <w:rsid w:val="00DD1DA4"/>
    <w:pPr>
      <w:spacing w:before="240" w:after="240" w:line="240" w:lineRule="auto"/>
      <w:ind w:left="1080" w:right="1080"/>
      <w:jc w:val="center"/>
    </w:pPr>
    <w:rPr>
      <w:color w:val="549E39" w:themeColor="accent1"/>
      <w:sz w:val="24"/>
      <w:szCs w:val="24"/>
    </w:rPr>
  </w:style>
  <w:style w:type="character" w:customStyle="1" w:styleId="IntenzivencitatZnak">
    <w:name w:val="Intenziven citat Znak"/>
    <w:basedOn w:val="Privzetapisavaodstavka"/>
    <w:link w:val="Intenzivencitat"/>
    <w:uiPriority w:val="30"/>
    <w:rsid w:val="00DD1DA4"/>
    <w:rPr>
      <w:color w:val="549E39" w:themeColor="accent1"/>
      <w:sz w:val="24"/>
      <w:szCs w:val="24"/>
    </w:rPr>
  </w:style>
  <w:style w:type="character" w:styleId="Neenpoudarek">
    <w:name w:val="Subtle Emphasis"/>
    <w:uiPriority w:val="19"/>
    <w:qFormat/>
    <w:rsid w:val="00DD1DA4"/>
    <w:rPr>
      <w:i/>
      <w:iCs/>
      <w:color w:val="294E1C" w:themeColor="accent1" w:themeShade="7F"/>
    </w:rPr>
  </w:style>
  <w:style w:type="character" w:styleId="Intenzivenpoudarek">
    <w:name w:val="Intense Emphasis"/>
    <w:uiPriority w:val="21"/>
    <w:qFormat/>
    <w:rsid w:val="00DD1DA4"/>
    <w:rPr>
      <w:b/>
      <w:bCs/>
      <w:caps/>
      <w:color w:val="294E1C" w:themeColor="accent1" w:themeShade="7F"/>
      <w:spacing w:val="10"/>
    </w:rPr>
  </w:style>
  <w:style w:type="character" w:styleId="Neensklic">
    <w:name w:val="Subtle Reference"/>
    <w:uiPriority w:val="31"/>
    <w:qFormat/>
    <w:rsid w:val="00DD1DA4"/>
    <w:rPr>
      <w:b/>
      <w:bCs/>
      <w:color w:val="549E39" w:themeColor="accent1"/>
    </w:rPr>
  </w:style>
  <w:style w:type="character" w:styleId="Intenzivensklic">
    <w:name w:val="Intense Reference"/>
    <w:uiPriority w:val="32"/>
    <w:qFormat/>
    <w:rsid w:val="00DD1DA4"/>
    <w:rPr>
      <w:b/>
      <w:bCs/>
      <w:i/>
      <w:iCs/>
      <w:caps/>
      <w:color w:val="549E39" w:themeColor="accent1"/>
    </w:rPr>
  </w:style>
  <w:style w:type="character" w:styleId="Naslovknjige">
    <w:name w:val="Book Title"/>
    <w:uiPriority w:val="33"/>
    <w:qFormat/>
    <w:rsid w:val="00DD1DA4"/>
    <w:rPr>
      <w:b/>
      <w:bCs/>
      <w:i/>
      <w:iCs/>
      <w:spacing w:val="0"/>
    </w:rPr>
  </w:style>
  <w:style w:type="paragraph" w:styleId="NaslovTOC">
    <w:name w:val="TOC Heading"/>
    <w:basedOn w:val="Naslov1"/>
    <w:next w:val="Navaden"/>
    <w:uiPriority w:val="39"/>
    <w:unhideWhenUsed/>
    <w:qFormat/>
    <w:rsid w:val="00DD1DA4"/>
    <w:pPr>
      <w:outlineLvl w:val="9"/>
    </w:pPr>
  </w:style>
  <w:style w:type="paragraph" w:styleId="Glava">
    <w:name w:val="header"/>
    <w:basedOn w:val="Navaden"/>
    <w:link w:val="GlavaZnak"/>
    <w:uiPriority w:val="99"/>
    <w:unhideWhenUsed/>
    <w:rsid w:val="00722A89"/>
    <w:pPr>
      <w:tabs>
        <w:tab w:val="center" w:pos="4536"/>
        <w:tab w:val="right" w:pos="9072"/>
      </w:tabs>
      <w:spacing w:before="0" w:after="0" w:line="240" w:lineRule="auto"/>
    </w:pPr>
  </w:style>
  <w:style w:type="character" w:customStyle="1" w:styleId="GlavaZnak">
    <w:name w:val="Glava Znak"/>
    <w:basedOn w:val="Privzetapisavaodstavka"/>
    <w:link w:val="Glava"/>
    <w:uiPriority w:val="99"/>
    <w:rsid w:val="00722A89"/>
  </w:style>
  <w:style w:type="paragraph" w:styleId="Noga">
    <w:name w:val="footer"/>
    <w:basedOn w:val="Navaden"/>
    <w:link w:val="NogaZnak"/>
    <w:uiPriority w:val="99"/>
    <w:unhideWhenUsed/>
    <w:rsid w:val="00722A89"/>
    <w:pPr>
      <w:tabs>
        <w:tab w:val="center" w:pos="4536"/>
        <w:tab w:val="right" w:pos="9072"/>
      </w:tabs>
      <w:spacing w:before="0" w:after="0" w:line="240" w:lineRule="auto"/>
    </w:pPr>
  </w:style>
  <w:style w:type="character" w:customStyle="1" w:styleId="NogaZnak">
    <w:name w:val="Noga Znak"/>
    <w:basedOn w:val="Privzetapisavaodstavka"/>
    <w:link w:val="Noga"/>
    <w:uiPriority w:val="99"/>
    <w:rsid w:val="00722A89"/>
  </w:style>
  <w:style w:type="paragraph" w:styleId="Sprotnaopomba-besedilo">
    <w:name w:val="footnote text"/>
    <w:basedOn w:val="Navaden"/>
    <w:link w:val="Sprotnaopomba-besediloZnak"/>
    <w:uiPriority w:val="99"/>
    <w:unhideWhenUsed/>
    <w:rsid w:val="00846657"/>
    <w:pPr>
      <w:spacing w:before="0" w:after="0" w:line="240" w:lineRule="auto"/>
    </w:pPr>
  </w:style>
  <w:style w:type="character" w:customStyle="1" w:styleId="Sprotnaopomba-besediloZnak">
    <w:name w:val="Sprotna opomba - besedilo Znak"/>
    <w:basedOn w:val="Privzetapisavaodstavka"/>
    <w:link w:val="Sprotnaopomba-besedilo"/>
    <w:uiPriority w:val="99"/>
    <w:rsid w:val="00846657"/>
  </w:style>
  <w:style w:type="character" w:styleId="Sprotnaopomba-sklic">
    <w:name w:val="footnote reference"/>
    <w:aliases w:val="number,Footnote reference number,Footnote symbol,note TESI,-E Fußnotenzeichen,SUPERS,Footnote Reference Superscript,stylish,Odwołanie przypisu,Times 10 Point,Exposant 3 Point,Voetnootverwijzing,EN Footnote Reference,Ref,BVI fnr"/>
    <w:basedOn w:val="Privzetapisavaodstavka"/>
    <w:link w:val="FootnotesymbolCarZchn"/>
    <w:unhideWhenUsed/>
    <w:qFormat/>
    <w:rsid w:val="00846657"/>
    <w:rPr>
      <w:vertAlign w:val="superscript"/>
    </w:rPr>
  </w:style>
  <w:style w:type="character" w:styleId="Hiperpovezava">
    <w:name w:val="Hyperlink"/>
    <w:basedOn w:val="Privzetapisavaodstavka"/>
    <w:uiPriority w:val="99"/>
    <w:unhideWhenUsed/>
    <w:rsid w:val="00546359"/>
    <w:rPr>
      <w:color w:val="6B9F25" w:themeColor="hyperlink"/>
      <w:u w:val="single"/>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B10333"/>
    <w:pPr>
      <w:ind w:left="720"/>
      <w:contextualSpacing/>
    </w:pPr>
  </w:style>
  <w:style w:type="table" w:styleId="Tabelamrea">
    <w:name w:val="Table Grid"/>
    <w:basedOn w:val="Navadnatabela"/>
    <w:uiPriority w:val="39"/>
    <w:rsid w:val="0053777C"/>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avadnatabela11">
    <w:name w:val="Navadna tabela 11"/>
    <w:basedOn w:val="Navadnatabela"/>
    <w:uiPriority w:val="41"/>
    <w:rsid w:val="006C42C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21">
    <w:name w:val="Navadna tabela 21"/>
    <w:basedOn w:val="Navadnatabela"/>
    <w:uiPriority w:val="42"/>
    <w:rsid w:val="006C42C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Navadnatabela31">
    <w:name w:val="Navadna tabela 31"/>
    <w:basedOn w:val="Navadnatabela"/>
    <w:uiPriority w:val="43"/>
    <w:rsid w:val="006C42C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Navadnatabela41">
    <w:name w:val="Navadna tabela 41"/>
    <w:basedOn w:val="Navadnatabela"/>
    <w:uiPriority w:val="44"/>
    <w:rsid w:val="006C42C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51">
    <w:name w:val="Navadna tabela 51"/>
    <w:basedOn w:val="Navadnatabela"/>
    <w:uiPriority w:val="45"/>
    <w:rsid w:val="006C42C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temnamrea5poudarek11">
    <w:name w:val="Tabela – temna mreža 5 (poudarek 1)1"/>
    <w:basedOn w:val="Navadnatabela"/>
    <w:uiPriority w:val="50"/>
    <w:rsid w:val="006C42C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F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49E3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49E3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49E3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49E39" w:themeFill="accent1"/>
      </w:tcPr>
    </w:tblStylePr>
    <w:tblStylePr w:type="band1Vert">
      <w:tblPr/>
      <w:tcPr>
        <w:shd w:val="clear" w:color="auto" w:fill="B7DFA8" w:themeFill="accent1" w:themeFillTint="66"/>
      </w:tcPr>
    </w:tblStylePr>
    <w:tblStylePr w:type="band1Horz">
      <w:tblPr/>
      <w:tcPr>
        <w:shd w:val="clear" w:color="auto" w:fill="B7DFA8" w:themeFill="accent1" w:themeFillTint="66"/>
      </w:tcPr>
    </w:tblStylePr>
  </w:style>
  <w:style w:type="table" w:customStyle="1" w:styleId="Tabelaseznam3poudarek11">
    <w:name w:val="Tabela – seznam 3 (poudarek 1)1"/>
    <w:basedOn w:val="Navadnatabela"/>
    <w:uiPriority w:val="48"/>
    <w:rsid w:val="006C42CE"/>
    <w:pPr>
      <w:spacing w:after="0" w:line="240" w:lineRule="auto"/>
    </w:pPr>
    <w:tblPr>
      <w:tblStyleRowBandSize w:val="1"/>
      <w:tblStyleColBandSize w:val="1"/>
      <w:tblInd w:w="0" w:type="dxa"/>
      <w:tblBorders>
        <w:top w:val="single" w:sz="4" w:space="0" w:color="549E39" w:themeColor="accent1"/>
        <w:left w:val="single" w:sz="4" w:space="0" w:color="549E39" w:themeColor="accent1"/>
        <w:bottom w:val="single" w:sz="4" w:space="0" w:color="549E39" w:themeColor="accent1"/>
        <w:right w:val="single" w:sz="4" w:space="0" w:color="549E39" w:themeColor="accent1"/>
      </w:tblBorders>
      <w:tblCellMar>
        <w:top w:w="0" w:type="dxa"/>
        <w:left w:w="108" w:type="dxa"/>
        <w:bottom w:w="0" w:type="dxa"/>
        <w:right w:w="108" w:type="dxa"/>
      </w:tblCellMar>
    </w:tblPr>
    <w:tblStylePr w:type="firstRow">
      <w:rPr>
        <w:b/>
        <w:bCs/>
        <w:color w:val="FFFFFF" w:themeColor="background1"/>
      </w:rPr>
      <w:tblPr/>
      <w:tcPr>
        <w:shd w:val="clear" w:color="auto" w:fill="549E39" w:themeFill="accent1"/>
      </w:tcPr>
    </w:tblStylePr>
    <w:tblStylePr w:type="lastRow">
      <w:rPr>
        <w:b/>
        <w:bCs/>
      </w:rPr>
      <w:tblPr/>
      <w:tcPr>
        <w:tcBorders>
          <w:top w:val="double" w:sz="4" w:space="0" w:color="549E3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9E39" w:themeColor="accent1"/>
          <w:right w:val="single" w:sz="4" w:space="0" w:color="549E39" w:themeColor="accent1"/>
        </w:tcBorders>
      </w:tcPr>
    </w:tblStylePr>
    <w:tblStylePr w:type="band1Horz">
      <w:tblPr/>
      <w:tcPr>
        <w:tcBorders>
          <w:top w:val="single" w:sz="4" w:space="0" w:color="549E39" w:themeColor="accent1"/>
          <w:bottom w:val="single" w:sz="4" w:space="0" w:color="549E3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E39" w:themeColor="accent1"/>
          <w:left w:val="nil"/>
        </w:tcBorders>
      </w:tcPr>
    </w:tblStylePr>
    <w:tblStylePr w:type="swCell">
      <w:tblPr/>
      <w:tcPr>
        <w:tcBorders>
          <w:top w:val="double" w:sz="4" w:space="0" w:color="549E39" w:themeColor="accent1"/>
          <w:right w:val="nil"/>
        </w:tcBorders>
      </w:tcPr>
    </w:tblStylePr>
  </w:style>
  <w:style w:type="paragraph" w:styleId="Kazalovsebine2">
    <w:name w:val="toc 2"/>
    <w:basedOn w:val="Navaden"/>
    <w:next w:val="Navaden"/>
    <w:autoRedefine/>
    <w:uiPriority w:val="39"/>
    <w:unhideWhenUsed/>
    <w:rsid w:val="003810A7"/>
    <w:pPr>
      <w:spacing w:before="0" w:after="100" w:line="259" w:lineRule="auto"/>
      <w:ind w:left="220"/>
    </w:pPr>
    <w:rPr>
      <w:rFonts w:cs="Times New Roman"/>
      <w:szCs w:val="22"/>
      <w:lang w:eastAsia="sl-SI"/>
    </w:rPr>
  </w:style>
  <w:style w:type="paragraph" w:styleId="Kazalovsebine1">
    <w:name w:val="toc 1"/>
    <w:basedOn w:val="Navaden"/>
    <w:next w:val="Navaden"/>
    <w:autoRedefine/>
    <w:uiPriority w:val="39"/>
    <w:unhideWhenUsed/>
    <w:rsid w:val="003810A7"/>
    <w:pPr>
      <w:spacing w:before="0" w:after="100" w:line="259" w:lineRule="auto"/>
    </w:pPr>
    <w:rPr>
      <w:rFonts w:cs="Times New Roman"/>
      <w:szCs w:val="22"/>
      <w:lang w:eastAsia="sl-SI"/>
    </w:rPr>
  </w:style>
  <w:style w:type="paragraph" w:styleId="Kazalovsebine3">
    <w:name w:val="toc 3"/>
    <w:basedOn w:val="Navaden"/>
    <w:next w:val="Navaden"/>
    <w:autoRedefine/>
    <w:uiPriority w:val="39"/>
    <w:unhideWhenUsed/>
    <w:rsid w:val="003810A7"/>
    <w:pPr>
      <w:spacing w:before="0" w:after="100" w:line="259" w:lineRule="auto"/>
      <w:ind w:left="440"/>
    </w:pPr>
    <w:rPr>
      <w:rFonts w:cs="Times New Roman"/>
      <w:szCs w:val="22"/>
      <w:lang w:eastAsia="sl-SI"/>
    </w:rPr>
  </w:style>
  <w:style w:type="character" w:styleId="Pripombasklic">
    <w:name w:val="annotation reference"/>
    <w:basedOn w:val="Privzetapisavaodstavka"/>
    <w:uiPriority w:val="99"/>
    <w:semiHidden/>
    <w:unhideWhenUsed/>
    <w:rsid w:val="00821EA3"/>
    <w:rPr>
      <w:sz w:val="16"/>
      <w:szCs w:val="16"/>
    </w:rPr>
  </w:style>
  <w:style w:type="paragraph" w:styleId="Pripombabesedilo">
    <w:name w:val="annotation text"/>
    <w:basedOn w:val="Navaden"/>
    <w:link w:val="PripombabesediloZnak"/>
    <w:uiPriority w:val="99"/>
    <w:unhideWhenUsed/>
    <w:rsid w:val="00CD7D4F"/>
    <w:pPr>
      <w:spacing w:line="240" w:lineRule="auto"/>
    </w:pPr>
  </w:style>
  <w:style w:type="character" w:customStyle="1" w:styleId="PripombabesediloZnak">
    <w:name w:val="Pripomba – besedilo Znak"/>
    <w:basedOn w:val="Privzetapisavaodstavka"/>
    <w:link w:val="Pripombabesedilo"/>
    <w:uiPriority w:val="99"/>
    <w:rsid w:val="00821EA3"/>
  </w:style>
  <w:style w:type="paragraph" w:styleId="Zadevapripombe">
    <w:name w:val="annotation subject"/>
    <w:basedOn w:val="Pripombabesedilo"/>
    <w:next w:val="Pripombabesedilo"/>
    <w:link w:val="ZadevapripombeZnak"/>
    <w:uiPriority w:val="99"/>
    <w:semiHidden/>
    <w:unhideWhenUsed/>
    <w:rsid w:val="00821EA3"/>
    <w:rPr>
      <w:b/>
      <w:bCs/>
    </w:rPr>
  </w:style>
  <w:style w:type="character" w:customStyle="1" w:styleId="ZadevapripombeZnak">
    <w:name w:val="Zadeva pripombe Znak"/>
    <w:basedOn w:val="PripombabesediloZnak"/>
    <w:link w:val="Zadevapripombe"/>
    <w:uiPriority w:val="99"/>
    <w:semiHidden/>
    <w:rsid w:val="00821EA3"/>
    <w:rPr>
      <w:b/>
      <w:bCs/>
    </w:rPr>
  </w:style>
  <w:style w:type="paragraph" w:styleId="Besedilooblaka">
    <w:name w:val="Balloon Text"/>
    <w:basedOn w:val="Navaden"/>
    <w:link w:val="BesedilooblakaZnak"/>
    <w:uiPriority w:val="99"/>
    <w:unhideWhenUsed/>
    <w:rsid w:val="00821EA3"/>
    <w:pPr>
      <w:spacing w:before="0"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821EA3"/>
    <w:rPr>
      <w:rFonts w:ascii="Segoe UI" w:hAnsi="Segoe UI" w:cs="Segoe UI"/>
      <w:sz w:val="18"/>
      <w:szCs w:val="18"/>
    </w:rPr>
  </w:style>
  <w:style w:type="paragraph" w:styleId="Revizija">
    <w:name w:val="Revision"/>
    <w:hidden/>
    <w:uiPriority w:val="99"/>
    <w:semiHidden/>
    <w:rsid w:val="00A0570C"/>
    <w:pPr>
      <w:spacing w:before="0" w:after="0" w:line="240" w:lineRule="auto"/>
    </w:pPr>
    <w:rPr>
      <w:sz w:val="22"/>
    </w:rPr>
  </w:style>
  <w:style w:type="paragraph" w:customStyle="1" w:styleId="Default">
    <w:name w:val="Default"/>
    <w:uiPriority w:val="99"/>
    <w:rsid w:val="00377108"/>
    <w:pPr>
      <w:autoSpaceDE w:val="0"/>
      <w:autoSpaceDN w:val="0"/>
      <w:adjustRightInd w:val="0"/>
      <w:spacing w:before="0" w:after="0" w:line="240" w:lineRule="auto"/>
    </w:pPr>
    <w:rPr>
      <w:rFonts w:ascii="Arial" w:eastAsiaTheme="minorHAnsi" w:hAnsi="Arial" w:cs="Arial"/>
      <w:color w:val="000000"/>
      <w:sz w:val="24"/>
      <w:szCs w:val="24"/>
    </w:rPr>
  </w:style>
  <w:style w:type="character" w:customStyle="1" w:styleId="Nerazreenaomemba1">
    <w:name w:val="Nerazrešena omemba1"/>
    <w:basedOn w:val="Privzetapisavaodstavka"/>
    <w:uiPriority w:val="99"/>
    <w:semiHidden/>
    <w:unhideWhenUsed/>
    <w:rsid w:val="008D507B"/>
    <w:rPr>
      <w:color w:val="605E5C"/>
      <w:shd w:val="clear" w:color="auto" w:fill="E1DFDD"/>
    </w:rPr>
  </w:style>
  <w:style w:type="numbering" w:customStyle="1" w:styleId="Slog1">
    <w:name w:val="Slog1"/>
    <w:uiPriority w:val="99"/>
    <w:rsid w:val="009C51B9"/>
    <w:pPr>
      <w:numPr>
        <w:numId w:val="8"/>
      </w:numPr>
    </w:pPr>
  </w:style>
  <w:style w:type="paragraph" w:customStyle="1" w:styleId="discreet">
    <w:name w:val="discreet"/>
    <w:basedOn w:val="Navaden"/>
    <w:uiPriority w:val="99"/>
    <w:rsid w:val="004F0406"/>
    <w:pPr>
      <w:spacing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semiHidden/>
    <w:unhideWhenUsed/>
    <w:rsid w:val="004F0406"/>
    <w:pPr>
      <w:spacing w:beforeAutospacing="1" w:after="100" w:afterAutospacing="1" w:line="240" w:lineRule="auto"/>
    </w:pPr>
    <w:rPr>
      <w:rFonts w:ascii="Times New Roman" w:eastAsia="Times New Roman" w:hAnsi="Times New Roman" w:cs="Times New Roman"/>
      <w:sz w:val="24"/>
      <w:szCs w:val="24"/>
      <w:lang w:eastAsia="sl-SI"/>
    </w:rPr>
  </w:style>
  <w:style w:type="character" w:styleId="tevilkastrani">
    <w:name w:val="page number"/>
    <w:basedOn w:val="Privzetapisavaodstavka"/>
    <w:rsid w:val="007041AF"/>
  </w:style>
  <w:style w:type="paragraph" w:styleId="Oznaenseznam">
    <w:name w:val="List Bullet"/>
    <w:basedOn w:val="Navaden"/>
    <w:uiPriority w:val="99"/>
    <w:rsid w:val="007041AF"/>
    <w:pPr>
      <w:spacing w:before="0" w:after="0" w:line="240" w:lineRule="auto"/>
      <w:ind w:left="357" w:hanging="357"/>
      <w:jc w:val="both"/>
    </w:pPr>
    <w:rPr>
      <w:rFonts w:ascii="Times New Roman" w:eastAsia="Times New Roman" w:hAnsi="Times New Roman" w:cs="Times New Roman"/>
      <w:sz w:val="24"/>
    </w:rPr>
  </w:style>
  <w:style w:type="paragraph" w:styleId="Oznaenseznam2">
    <w:name w:val="List Bullet 2"/>
    <w:basedOn w:val="Navaden"/>
    <w:uiPriority w:val="99"/>
    <w:rsid w:val="007041AF"/>
    <w:pPr>
      <w:numPr>
        <w:numId w:val="11"/>
      </w:numPr>
      <w:spacing w:before="0" w:after="0" w:line="240" w:lineRule="auto"/>
      <w:jc w:val="both"/>
    </w:pPr>
    <w:rPr>
      <w:rFonts w:ascii="Times New Roman" w:eastAsia="Times New Roman" w:hAnsi="Times New Roman" w:cs="Times New Roman"/>
      <w:sz w:val="24"/>
    </w:rPr>
  </w:style>
  <w:style w:type="paragraph" w:styleId="Oznaenseznam3">
    <w:name w:val="List Bullet 3"/>
    <w:basedOn w:val="Navaden"/>
    <w:uiPriority w:val="99"/>
    <w:rsid w:val="007041AF"/>
    <w:pPr>
      <w:numPr>
        <w:numId w:val="12"/>
      </w:numPr>
      <w:tabs>
        <w:tab w:val="clear" w:pos="360"/>
      </w:tabs>
      <w:spacing w:before="0" w:after="0" w:line="240" w:lineRule="auto"/>
      <w:ind w:left="1151" w:hanging="357"/>
      <w:jc w:val="both"/>
    </w:pPr>
    <w:rPr>
      <w:rFonts w:ascii="Times New Roman" w:eastAsia="Times New Roman" w:hAnsi="Times New Roman" w:cs="Times New Roman"/>
      <w:sz w:val="24"/>
    </w:rPr>
  </w:style>
  <w:style w:type="paragraph" w:customStyle="1" w:styleId="Odstavek">
    <w:name w:val="Odstavek"/>
    <w:basedOn w:val="Navaden"/>
    <w:uiPriority w:val="99"/>
    <w:rsid w:val="007041AF"/>
    <w:pPr>
      <w:spacing w:before="240" w:after="0" w:line="240" w:lineRule="auto"/>
      <w:jc w:val="both"/>
    </w:pPr>
    <w:rPr>
      <w:rFonts w:ascii="Times New Roman" w:eastAsia="Times New Roman" w:hAnsi="Times New Roman" w:cs="Times New Roman"/>
      <w:sz w:val="24"/>
    </w:rPr>
  </w:style>
  <w:style w:type="paragraph" w:customStyle="1" w:styleId="Vabilo">
    <w:name w:val="Vabilo"/>
    <w:basedOn w:val="Navaden"/>
    <w:next w:val="Navaden"/>
    <w:uiPriority w:val="99"/>
    <w:rsid w:val="007041AF"/>
    <w:pPr>
      <w:spacing w:before="1440" w:after="480" w:line="240" w:lineRule="auto"/>
    </w:pPr>
    <w:rPr>
      <w:rFonts w:ascii="Times New Roman" w:eastAsia="Times New Roman" w:hAnsi="Times New Roman" w:cs="Times New Roman"/>
      <w:b/>
      <w:sz w:val="28"/>
    </w:rPr>
  </w:style>
  <w:style w:type="paragraph" w:customStyle="1" w:styleId="alineja">
    <w:name w:val="alineja"/>
    <w:basedOn w:val="Navaden"/>
    <w:uiPriority w:val="99"/>
    <w:qFormat/>
    <w:rsid w:val="007041AF"/>
    <w:pPr>
      <w:numPr>
        <w:numId w:val="13"/>
      </w:numPr>
      <w:spacing w:before="0" w:after="0" w:line="360" w:lineRule="auto"/>
      <w:ind w:left="284" w:hanging="284"/>
      <w:jc w:val="both"/>
    </w:pPr>
    <w:rPr>
      <w:rFonts w:eastAsia="Times New Roman" w:cs="Times New Roman"/>
      <w:sz w:val="22"/>
      <w:szCs w:val="22"/>
    </w:rPr>
  </w:style>
  <w:style w:type="table" w:customStyle="1" w:styleId="Tabelatemnamrea5poudarek61">
    <w:name w:val="Tabela – temna mreža 5 (poudarek 6)1"/>
    <w:basedOn w:val="Navadnatabela"/>
    <w:uiPriority w:val="50"/>
    <w:rsid w:val="007041AF"/>
    <w:pPr>
      <w:spacing w:before="0" w:after="0" w:line="240" w:lineRule="auto"/>
    </w:pPr>
    <w:rPr>
      <w:rFonts w:ascii="Times New Roman" w:eastAsia="Times New Roman" w:hAnsi="Times New Roman" w:cs="Times New Roman"/>
      <w:lang w:eastAsia="sl-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1EDF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89B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89B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89B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89B1" w:themeFill="accent6"/>
      </w:tcPr>
    </w:tblStylePr>
    <w:tblStylePr w:type="band1Vert">
      <w:tblPr/>
      <w:tcPr>
        <w:shd w:val="clear" w:color="auto" w:fill="83DCF8" w:themeFill="accent6" w:themeFillTint="66"/>
      </w:tcPr>
    </w:tblStylePr>
    <w:tblStylePr w:type="band1Horz">
      <w:tblPr/>
      <w:tcPr>
        <w:shd w:val="clear" w:color="auto" w:fill="83DCF8" w:themeFill="accent6" w:themeFillTint="66"/>
      </w:tcPr>
    </w:tblStylePr>
  </w:style>
  <w:style w:type="table" w:customStyle="1" w:styleId="Tabelasvetelseznam1poudarek61">
    <w:name w:val="Tabela – svetel seznam 1 (poudarek 6)1"/>
    <w:basedOn w:val="Navadnatabela"/>
    <w:uiPriority w:val="46"/>
    <w:rsid w:val="007041AF"/>
    <w:pPr>
      <w:spacing w:before="0" w:after="0" w:line="240" w:lineRule="auto"/>
    </w:pPr>
    <w:rPr>
      <w:rFonts w:ascii="Times New Roman" w:eastAsia="Times New Roman" w:hAnsi="Times New Roman" w:cs="Times New Roman"/>
      <w:lang w:eastAsia="sl-SI"/>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45CBF5" w:themeColor="accent6" w:themeTint="99"/>
        </w:tcBorders>
      </w:tcPr>
    </w:tblStylePr>
    <w:tblStylePr w:type="lastRow">
      <w:rPr>
        <w:b/>
        <w:bCs/>
      </w:rPr>
      <w:tblPr/>
      <w:tcPr>
        <w:tcBorders>
          <w:top w:val="single" w:sz="4" w:space="0" w:color="45CBF5" w:themeColor="accent6" w:themeTint="99"/>
        </w:tcBorders>
      </w:tcPr>
    </w:tblStylePr>
    <w:tblStylePr w:type="firstCol">
      <w:rPr>
        <w:b/>
        <w:bCs/>
      </w:rPr>
    </w:tblStylePr>
    <w:tblStylePr w:type="lastCol">
      <w:rPr>
        <w:b/>
        <w:bCs/>
      </w:rPr>
    </w:tblStylePr>
    <w:tblStylePr w:type="band1Vert">
      <w:tblPr/>
      <w:tcPr>
        <w:shd w:val="clear" w:color="auto" w:fill="C1EDFC" w:themeFill="accent6" w:themeFillTint="33"/>
      </w:tcPr>
    </w:tblStylePr>
    <w:tblStylePr w:type="band1Horz">
      <w:tblPr/>
      <w:tcPr>
        <w:shd w:val="clear" w:color="auto" w:fill="C1EDFC" w:themeFill="accent6" w:themeFillTint="33"/>
      </w:tcPr>
    </w:tblStylePr>
  </w:style>
  <w:style w:type="table" w:customStyle="1" w:styleId="Tabelamrea4poudarek61">
    <w:name w:val="Tabela – mreža 4 (poudarek 6)1"/>
    <w:basedOn w:val="Navadnatabela"/>
    <w:uiPriority w:val="49"/>
    <w:rsid w:val="007041AF"/>
    <w:pPr>
      <w:spacing w:before="0" w:after="0" w:line="240" w:lineRule="auto"/>
    </w:pPr>
    <w:rPr>
      <w:rFonts w:ascii="Times New Roman" w:eastAsia="Times New Roman" w:hAnsi="Times New Roman" w:cs="Times New Roman"/>
      <w:lang w:eastAsia="sl-SI"/>
    </w:rPr>
    <w:tblPr>
      <w:tblStyleRowBandSize w:val="1"/>
      <w:tblStyleColBandSize w:val="1"/>
      <w:tblInd w:w="0" w:type="dxa"/>
      <w:tbl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insideH w:val="single" w:sz="4" w:space="0" w:color="45CBF5" w:themeColor="accent6" w:themeTint="99"/>
        <w:insideV w:val="single" w:sz="4" w:space="0" w:color="45CBF5"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989B1" w:themeColor="accent6"/>
          <w:left w:val="single" w:sz="4" w:space="0" w:color="0989B1" w:themeColor="accent6"/>
          <w:bottom w:val="single" w:sz="4" w:space="0" w:color="0989B1" w:themeColor="accent6"/>
          <w:right w:val="single" w:sz="4" w:space="0" w:color="0989B1" w:themeColor="accent6"/>
          <w:insideH w:val="nil"/>
          <w:insideV w:val="nil"/>
        </w:tcBorders>
        <w:shd w:val="clear" w:color="auto" w:fill="0989B1" w:themeFill="accent6"/>
      </w:tcPr>
    </w:tblStylePr>
    <w:tblStylePr w:type="lastRow">
      <w:rPr>
        <w:b/>
        <w:bCs/>
      </w:rPr>
      <w:tblPr/>
      <w:tcPr>
        <w:tcBorders>
          <w:top w:val="double" w:sz="4" w:space="0" w:color="0989B1" w:themeColor="accent6"/>
        </w:tcBorders>
      </w:tcPr>
    </w:tblStylePr>
    <w:tblStylePr w:type="firstCol">
      <w:rPr>
        <w:b/>
        <w:bCs/>
      </w:rPr>
    </w:tblStylePr>
    <w:tblStylePr w:type="lastCol">
      <w:rPr>
        <w:b/>
        <w:bCs/>
      </w:rPr>
    </w:tblStylePr>
    <w:tblStylePr w:type="band1Vert">
      <w:tblPr/>
      <w:tcPr>
        <w:shd w:val="clear" w:color="auto" w:fill="C1EDFC" w:themeFill="accent6" w:themeFillTint="33"/>
      </w:tcPr>
    </w:tblStylePr>
    <w:tblStylePr w:type="band1Horz">
      <w:tblPr/>
      <w:tcPr>
        <w:shd w:val="clear" w:color="auto" w:fill="C1EDFC" w:themeFill="accent6" w:themeFillTint="33"/>
      </w:tcPr>
    </w:tblStylePr>
  </w:style>
  <w:style w:type="table" w:customStyle="1" w:styleId="Navadnatabela52">
    <w:name w:val="Navadna tabela 52"/>
    <w:basedOn w:val="Navadnatabela"/>
    <w:uiPriority w:val="45"/>
    <w:rsid w:val="007041AF"/>
    <w:pPr>
      <w:spacing w:before="0" w:after="0" w:line="240" w:lineRule="auto"/>
    </w:pPr>
    <w:rPr>
      <w:rFonts w:ascii="Times New Roman" w:eastAsia="Times New Roman" w:hAnsi="Times New Roman" w:cs="Times New Roman"/>
      <w:lang w:eastAsia="sl-SI"/>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svetlamrea1poudarek61">
    <w:name w:val="Tabela – svetla mreža 1 (poudarek 6)1"/>
    <w:basedOn w:val="Navadnatabela"/>
    <w:uiPriority w:val="46"/>
    <w:rsid w:val="007041AF"/>
    <w:pPr>
      <w:spacing w:before="0" w:after="0" w:line="240" w:lineRule="auto"/>
    </w:pPr>
    <w:rPr>
      <w:rFonts w:ascii="Times New Roman" w:eastAsia="Times New Roman" w:hAnsi="Times New Roman" w:cs="Times New Roman"/>
      <w:lang w:eastAsia="sl-SI"/>
    </w:rPr>
    <w:tblPr>
      <w:tblStyleRowBandSize w:val="1"/>
      <w:tblStyleColBandSize w:val="1"/>
      <w:tblInd w:w="0" w:type="dxa"/>
      <w:tbl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insideH w:val="single" w:sz="4" w:space="0" w:color="83DCF8" w:themeColor="accent6" w:themeTint="66"/>
        <w:insideV w:val="single" w:sz="4" w:space="0" w:color="83DCF8" w:themeColor="accent6" w:themeTint="66"/>
      </w:tblBorders>
      <w:tblCellMar>
        <w:top w:w="0" w:type="dxa"/>
        <w:left w:w="108" w:type="dxa"/>
        <w:bottom w:w="0" w:type="dxa"/>
        <w:right w:w="108" w:type="dxa"/>
      </w:tblCellMar>
    </w:tblPr>
    <w:tblStylePr w:type="firstRow">
      <w:rPr>
        <w:b/>
        <w:bCs/>
      </w:rPr>
      <w:tblPr/>
      <w:tcPr>
        <w:tcBorders>
          <w:bottom w:val="single" w:sz="12" w:space="0" w:color="45CBF5" w:themeColor="accent6" w:themeTint="99"/>
        </w:tcBorders>
      </w:tcPr>
    </w:tblStylePr>
    <w:tblStylePr w:type="lastRow">
      <w:rPr>
        <w:b/>
        <w:bCs/>
      </w:rPr>
      <w:tblPr/>
      <w:tcPr>
        <w:tcBorders>
          <w:top w:val="double" w:sz="2" w:space="0" w:color="45CBF5" w:themeColor="accent6" w:themeTint="99"/>
        </w:tcBorders>
      </w:tcPr>
    </w:tblStylePr>
    <w:tblStylePr w:type="firstCol">
      <w:rPr>
        <w:b/>
        <w:bCs/>
      </w:rPr>
    </w:tblStylePr>
    <w:tblStylePr w:type="lastCol">
      <w:rPr>
        <w:b/>
        <w:bCs/>
      </w:rPr>
    </w:tblStylePr>
  </w:style>
  <w:style w:type="table" w:customStyle="1" w:styleId="Tabelasvetlamrea2poudarek11">
    <w:name w:val="Tabela – svetla mreža 2 (poudarek 1)1"/>
    <w:basedOn w:val="Navadnatabela"/>
    <w:uiPriority w:val="47"/>
    <w:rsid w:val="007041AF"/>
    <w:pPr>
      <w:spacing w:before="0" w:after="0" w:line="240" w:lineRule="auto"/>
    </w:pPr>
    <w:rPr>
      <w:rFonts w:ascii="Times New Roman" w:eastAsia="Times New Roman" w:hAnsi="Times New Roman" w:cs="Times New Roman"/>
      <w:lang w:eastAsia="sl-SI"/>
    </w:rPr>
    <w:tblPr>
      <w:tblStyleRowBandSize w:val="1"/>
      <w:tblStyleColBandSize w:val="1"/>
      <w:tblInd w:w="0" w:type="dxa"/>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CellMar>
        <w:top w:w="0" w:type="dxa"/>
        <w:left w:w="108" w:type="dxa"/>
        <w:bottom w:w="0" w:type="dxa"/>
        <w:right w:w="108" w:type="dxa"/>
      </w:tblCellMar>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customStyle="1" w:styleId="Tabelabarvniseznam6poudarek51">
    <w:name w:val="Tabela – barvni seznam 6 (poudarek 5)1"/>
    <w:basedOn w:val="Navadnatabela"/>
    <w:uiPriority w:val="51"/>
    <w:rsid w:val="007041AF"/>
    <w:pPr>
      <w:spacing w:before="0" w:after="0" w:line="240" w:lineRule="auto"/>
    </w:pPr>
    <w:rPr>
      <w:rFonts w:ascii="Times New Roman" w:eastAsia="Times New Roman" w:hAnsi="Times New Roman" w:cs="Times New Roman"/>
      <w:color w:val="318B98" w:themeColor="accent5" w:themeShade="BF"/>
      <w:lang w:eastAsia="sl-SI"/>
    </w:rPr>
    <w:tblPr>
      <w:tblStyleRowBandSize w:val="1"/>
      <w:tblStyleColBandSize w:val="1"/>
      <w:tblInd w:w="0" w:type="dxa"/>
      <w:tblBorders>
        <w:top w:val="single" w:sz="4" w:space="0" w:color="4AB5C4" w:themeColor="accent5"/>
        <w:bottom w:val="single" w:sz="4" w:space="0" w:color="4AB5C4" w:themeColor="accent5"/>
      </w:tblBorders>
      <w:tblCellMar>
        <w:top w:w="0" w:type="dxa"/>
        <w:left w:w="108" w:type="dxa"/>
        <w:bottom w:w="0" w:type="dxa"/>
        <w:right w:w="108" w:type="dxa"/>
      </w:tblCellMar>
    </w:tblPr>
    <w:tblStylePr w:type="firstRow">
      <w:rPr>
        <w:b/>
        <w:bCs/>
      </w:rPr>
      <w:tblPr/>
      <w:tcPr>
        <w:tcBorders>
          <w:bottom w:val="single" w:sz="4" w:space="0" w:color="4AB5C4" w:themeColor="accent5"/>
        </w:tcBorders>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customStyle="1" w:styleId="Tabelaseznam4poudarek51">
    <w:name w:val="Tabela – seznam 4 (poudarek 5)1"/>
    <w:basedOn w:val="Navadnatabela"/>
    <w:uiPriority w:val="49"/>
    <w:rsid w:val="007041AF"/>
    <w:pPr>
      <w:spacing w:before="0" w:after="0" w:line="240" w:lineRule="auto"/>
    </w:pPr>
    <w:rPr>
      <w:rFonts w:ascii="Times New Roman" w:eastAsia="Times New Roman" w:hAnsi="Times New Roman" w:cs="Times New Roman"/>
      <w:lang w:eastAsia="sl-SI"/>
    </w:rPr>
    <w:tblPr>
      <w:tblStyleRowBandSize w:val="1"/>
      <w:tblStyleColBandSize w:val="1"/>
      <w:tblInd w:w="0" w:type="dxa"/>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tcBorders>
        <w:shd w:val="clear" w:color="auto" w:fill="4AB5C4" w:themeFill="accent5"/>
      </w:tcPr>
    </w:tblStylePr>
    <w:tblStylePr w:type="lastRow">
      <w:rPr>
        <w:b/>
        <w:bCs/>
      </w:rPr>
      <w:tblPr/>
      <w:tcPr>
        <w:tcBorders>
          <w:top w:val="double" w:sz="4" w:space="0" w:color="92D2DB" w:themeColor="accent5" w:themeTint="99"/>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customStyle="1" w:styleId="Tabelaseznam4poudarek61">
    <w:name w:val="Tabela – seznam 4 (poudarek 6)1"/>
    <w:basedOn w:val="Navadnatabela"/>
    <w:uiPriority w:val="49"/>
    <w:rsid w:val="007041AF"/>
    <w:pPr>
      <w:spacing w:before="0" w:after="0" w:line="240" w:lineRule="auto"/>
    </w:pPr>
    <w:rPr>
      <w:rFonts w:ascii="Times New Roman" w:eastAsia="Times New Roman" w:hAnsi="Times New Roman" w:cs="Times New Roman"/>
      <w:lang w:eastAsia="sl-SI"/>
    </w:rPr>
    <w:tblPr>
      <w:tblStyleRowBandSize w:val="1"/>
      <w:tblStyleColBandSize w:val="1"/>
      <w:tblInd w:w="0" w:type="dxa"/>
      <w:tbl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insideH w:val="single" w:sz="4" w:space="0" w:color="45CBF5"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989B1" w:themeColor="accent6"/>
          <w:left w:val="single" w:sz="4" w:space="0" w:color="0989B1" w:themeColor="accent6"/>
          <w:bottom w:val="single" w:sz="4" w:space="0" w:color="0989B1" w:themeColor="accent6"/>
          <w:right w:val="single" w:sz="4" w:space="0" w:color="0989B1" w:themeColor="accent6"/>
          <w:insideH w:val="nil"/>
        </w:tcBorders>
        <w:shd w:val="clear" w:color="auto" w:fill="0989B1" w:themeFill="accent6"/>
      </w:tcPr>
    </w:tblStylePr>
    <w:tblStylePr w:type="lastRow">
      <w:rPr>
        <w:b/>
        <w:bCs/>
      </w:rPr>
      <w:tblPr/>
      <w:tcPr>
        <w:tcBorders>
          <w:top w:val="double" w:sz="4" w:space="0" w:color="45CBF5" w:themeColor="accent6" w:themeTint="99"/>
        </w:tcBorders>
      </w:tcPr>
    </w:tblStylePr>
    <w:tblStylePr w:type="firstCol">
      <w:rPr>
        <w:b/>
        <w:bCs/>
      </w:rPr>
    </w:tblStylePr>
    <w:tblStylePr w:type="lastCol">
      <w:rPr>
        <w:b/>
        <w:bCs/>
      </w:rPr>
    </w:tblStylePr>
    <w:tblStylePr w:type="band1Vert">
      <w:tblPr/>
      <w:tcPr>
        <w:shd w:val="clear" w:color="auto" w:fill="C1EDFC" w:themeFill="accent6" w:themeFillTint="33"/>
      </w:tcPr>
    </w:tblStylePr>
    <w:tblStylePr w:type="band1Horz">
      <w:tblPr/>
      <w:tcPr>
        <w:shd w:val="clear" w:color="auto" w:fill="C1EDFC" w:themeFill="accent6" w:themeFillTint="33"/>
      </w:tcPr>
    </w:tblStylePr>
  </w:style>
  <w:style w:type="paragraph" w:customStyle="1" w:styleId="DZnavaden">
    <w:name w:val="DZ_navaden"/>
    <w:link w:val="DZnavadenZnakZnak"/>
    <w:rsid w:val="007041AF"/>
    <w:pPr>
      <w:spacing w:before="0" w:after="160" w:line="240" w:lineRule="auto"/>
      <w:jc w:val="both"/>
    </w:pPr>
    <w:rPr>
      <w:rFonts w:ascii="MetaNormalCE-Roman" w:eastAsia="Times New Roman" w:hAnsi="MetaNormalCE-Roman" w:cs="Times New Roman"/>
      <w:sz w:val="22"/>
      <w:lang w:eastAsia="sl-SI"/>
    </w:rPr>
  </w:style>
  <w:style w:type="character" w:customStyle="1" w:styleId="DZnavadenZnakZnak">
    <w:name w:val="DZ_navaden Znak Znak"/>
    <w:link w:val="DZnavaden"/>
    <w:rsid w:val="007041AF"/>
    <w:rPr>
      <w:rFonts w:ascii="MetaNormalCE-Roman" w:eastAsia="Times New Roman" w:hAnsi="MetaNormalCE-Roman" w:cs="Times New Roman"/>
      <w:sz w:val="22"/>
      <w:lang w:eastAsia="sl-SI"/>
    </w:rPr>
  </w:style>
  <w:style w:type="character" w:customStyle="1" w:styleId="DZnavadenbold">
    <w:name w:val="DZ_navaden(bold)"/>
    <w:rsid w:val="007041AF"/>
    <w:rPr>
      <w:rFonts w:ascii="MetaMediumCE-Roman" w:hAnsi="MetaMediumCE-Roman"/>
      <w:b/>
      <w:sz w:val="22"/>
    </w:rPr>
  </w:style>
  <w:style w:type="character" w:customStyle="1" w:styleId="KGnavadenbold">
    <w:name w:val="KG_navaden(bold)"/>
    <w:rsid w:val="007041AF"/>
    <w:rPr>
      <w:rFonts w:ascii="MetaMediumCE-Roman" w:hAnsi="MetaMediumCE-Roman"/>
      <w:b/>
    </w:rPr>
  </w:style>
  <w:style w:type="character" w:customStyle="1" w:styleId="leftside">
    <w:name w:val="left_side"/>
    <w:basedOn w:val="Privzetapisavaodstavka"/>
    <w:rsid w:val="003C7F55"/>
  </w:style>
  <w:style w:type="character" w:customStyle="1" w:styleId="rightside">
    <w:name w:val="right_side"/>
    <w:basedOn w:val="Privzetapisavaodstavka"/>
    <w:rsid w:val="003C7F55"/>
  </w:style>
  <w:style w:type="table" w:customStyle="1" w:styleId="Tabelamrea4poudarek51">
    <w:name w:val="Tabela – mreža 4 (poudarek 5)1"/>
    <w:basedOn w:val="Navadnatabela"/>
    <w:uiPriority w:val="49"/>
    <w:rsid w:val="00EE3A10"/>
    <w:pPr>
      <w:spacing w:after="0" w:line="240" w:lineRule="auto"/>
    </w:pPr>
    <w:tblPr>
      <w:tblStyleRowBandSize w:val="1"/>
      <w:tblStyleColBandSize w:val="1"/>
      <w:tblInd w:w="0" w:type="dxa"/>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insideV w:val="nil"/>
        </w:tcBorders>
        <w:shd w:val="clear" w:color="auto" w:fill="4AB5C4" w:themeFill="accent5"/>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customStyle="1" w:styleId="Tabelaseznam4poudarek21">
    <w:name w:val="Tabela – seznam 4 (poudarek 2)1"/>
    <w:basedOn w:val="Navadnatabela"/>
    <w:uiPriority w:val="49"/>
    <w:rsid w:val="00DA6928"/>
    <w:pPr>
      <w:spacing w:after="0" w:line="240" w:lineRule="auto"/>
    </w:pPr>
    <w:tblPr>
      <w:tblStyleRowBandSize w:val="1"/>
      <w:tblStyleColBandSize w:val="1"/>
      <w:tblInd w:w="0" w:type="dxa"/>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AB833" w:themeColor="accent2"/>
          <w:left w:val="single" w:sz="4" w:space="0" w:color="8AB833" w:themeColor="accent2"/>
          <w:bottom w:val="single" w:sz="4" w:space="0" w:color="8AB833" w:themeColor="accent2"/>
          <w:right w:val="single" w:sz="4" w:space="0" w:color="8AB833" w:themeColor="accent2"/>
          <w:insideH w:val="nil"/>
        </w:tcBorders>
        <w:shd w:val="clear" w:color="auto" w:fill="8AB833" w:themeFill="accent2"/>
      </w:tcPr>
    </w:tblStylePr>
    <w:tblStylePr w:type="lastRow">
      <w:rPr>
        <w:b/>
        <w:bCs/>
      </w:rPr>
      <w:tblPr/>
      <w:tcPr>
        <w:tcBorders>
          <w:top w:val="double" w:sz="4" w:space="0" w:color="BADB7D" w:themeColor="accent2" w:themeTint="99"/>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character" w:styleId="SledenaHiperpovezava">
    <w:name w:val="FollowedHyperlink"/>
    <w:basedOn w:val="Privzetapisavaodstavka"/>
    <w:uiPriority w:val="99"/>
    <w:semiHidden/>
    <w:unhideWhenUsed/>
    <w:rsid w:val="00E82881"/>
    <w:rPr>
      <w:color w:val="BA6906" w:themeColor="followedHyperlink"/>
      <w:u w:val="single"/>
    </w:rPr>
  </w:style>
  <w:style w:type="character" w:customStyle="1" w:styleId="Nerazreenaomemba10">
    <w:name w:val="Nerazrešena omemba1"/>
    <w:basedOn w:val="Privzetapisavaodstavka"/>
    <w:uiPriority w:val="99"/>
    <w:semiHidden/>
    <w:unhideWhenUsed/>
    <w:rsid w:val="00CD7D4F"/>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rsid w:val="00E971C6"/>
    <w:pPr>
      <w:spacing w:before="0" w:after="160" w:line="240" w:lineRule="exact"/>
      <w:jc w:val="both"/>
    </w:pPr>
    <w:rPr>
      <w:vertAlign w:val="superscript"/>
    </w:rPr>
  </w:style>
  <w:style w:type="character" w:customStyle="1" w:styleId="Nerazreenaomemba2">
    <w:name w:val="Nerazrešena omemba2"/>
    <w:basedOn w:val="Privzetapisavaodstavka"/>
    <w:uiPriority w:val="99"/>
    <w:semiHidden/>
    <w:unhideWhenUsed/>
    <w:rsid w:val="00E75A13"/>
    <w:rPr>
      <w:color w:val="605E5C"/>
      <w:shd w:val="clear" w:color="auto" w:fill="E1DFDD"/>
    </w:rPr>
  </w:style>
  <w:style w:type="paragraph" w:customStyle="1" w:styleId="msonormal0">
    <w:name w:val="msonormal"/>
    <w:basedOn w:val="Navaden"/>
    <w:uiPriority w:val="99"/>
    <w:semiHidden/>
    <w:rsid w:val="003C2935"/>
    <w:pPr>
      <w:spacing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2F2B4E"/>
  </w:style>
  <w:style w:type="table" w:customStyle="1" w:styleId="Tabelamrea4poudarek11">
    <w:name w:val="Tabela – mreža 4 (poudarek 1)1"/>
    <w:basedOn w:val="Navadnatabela"/>
    <w:uiPriority w:val="49"/>
    <w:rsid w:val="00027430"/>
    <w:pPr>
      <w:spacing w:after="0" w:line="240" w:lineRule="auto"/>
    </w:pPr>
    <w:tblPr>
      <w:tblStyleRowBandSize w:val="1"/>
      <w:tblStyleColBandSize w:val="1"/>
      <w:tblInd w:w="0" w:type="dxa"/>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customStyle="1" w:styleId="GridTable5DarkAccent1">
    <w:name w:val="Grid Table 5 Dark Accent 1"/>
    <w:basedOn w:val="Navadnatabela"/>
    <w:uiPriority w:val="50"/>
    <w:rsid w:val="000570EF"/>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F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49E3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49E3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49E3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49E39" w:themeFill="accent1"/>
      </w:tcPr>
    </w:tblStylePr>
    <w:tblStylePr w:type="band1Vert">
      <w:tblPr/>
      <w:tcPr>
        <w:shd w:val="clear" w:color="auto" w:fill="B7DFA8" w:themeFill="accent1" w:themeFillTint="66"/>
      </w:tcPr>
    </w:tblStylePr>
    <w:tblStylePr w:type="band1Horz">
      <w:tblPr/>
      <w:tcPr>
        <w:shd w:val="clear" w:color="auto" w:fill="B7DFA8" w:themeFill="accent1" w:themeFillTint="66"/>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sl-SI"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5542F"/>
  </w:style>
  <w:style w:type="paragraph" w:styleId="Naslov1">
    <w:name w:val="heading 1"/>
    <w:basedOn w:val="Navaden"/>
    <w:next w:val="Navaden"/>
    <w:link w:val="Naslov1Znak"/>
    <w:qFormat/>
    <w:rsid w:val="00DD1DA4"/>
    <w:pPr>
      <w:pBdr>
        <w:top w:val="single" w:sz="24" w:space="0" w:color="549E39" w:themeColor="accent1"/>
        <w:left w:val="single" w:sz="24" w:space="0" w:color="549E39" w:themeColor="accent1"/>
        <w:bottom w:val="single" w:sz="24" w:space="0" w:color="549E39" w:themeColor="accent1"/>
        <w:right w:val="single" w:sz="24" w:space="0" w:color="549E39" w:themeColor="accent1"/>
      </w:pBdr>
      <w:shd w:val="clear" w:color="auto" w:fill="549E39" w:themeFill="accent1"/>
      <w:spacing w:after="0"/>
      <w:outlineLvl w:val="0"/>
    </w:pPr>
    <w:rPr>
      <w:caps/>
      <w:color w:val="FFFFFF" w:themeColor="background1"/>
      <w:spacing w:val="15"/>
      <w:sz w:val="22"/>
      <w:szCs w:val="22"/>
    </w:rPr>
  </w:style>
  <w:style w:type="paragraph" w:styleId="Naslov2">
    <w:name w:val="heading 2"/>
    <w:basedOn w:val="Navaden"/>
    <w:next w:val="Navaden"/>
    <w:link w:val="Naslov2Znak"/>
    <w:uiPriority w:val="9"/>
    <w:unhideWhenUsed/>
    <w:qFormat/>
    <w:rsid w:val="00DD1DA4"/>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spacing w:after="0"/>
      <w:outlineLvl w:val="1"/>
    </w:pPr>
    <w:rPr>
      <w:caps/>
      <w:spacing w:val="15"/>
    </w:rPr>
  </w:style>
  <w:style w:type="paragraph" w:styleId="Naslov3">
    <w:name w:val="heading 3"/>
    <w:basedOn w:val="Navaden"/>
    <w:next w:val="Navaden"/>
    <w:link w:val="Naslov3Znak"/>
    <w:unhideWhenUsed/>
    <w:qFormat/>
    <w:rsid w:val="00DD1DA4"/>
    <w:pPr>
      <w:pBdr>
        <w:top w:val="single" w:sz="6" w:space="2" w:color="549E39" w:themeColor="accent1"/>
      </w:pBdr>
      <w:spacing w:before="300" w:after="0"/>
      <w:outlineLvl w:val="2"/>
    </w:pPr>
    <w:rPr>
      <w:caps/>
      <w:color w:val="294E1C" w:themeColor="accent1" w:themeShade="7F"/>
      <w:spacing w:val="15"/>
    </w:rPr>
  </w:style>
  <w:style w:type="paragraph" w:styleId="Naslov4">
    <w:name w:val="heading 4"/>
    <w:basedOn w:val="Navaden"/>
    <w:next w:val="Navaden"/>
    <w:link w:val="Naslov4Znak"/>
    <w:unhideWhenUsed/>
    <w:qFormat/>
    <w:rsid w:val="00DD1DA4"/>
    <w:pPr>
      <w:pBdr>
        <w:top w:val="dotted" w:sz="6" w:space="2" w:color="549E39" w:themeColor="accent1"/>
      </w:pBdr>
      <w:spacing w:before="200" w:after="0"/>
      <w:outlineLvl w:val="3"/>
    </w:pPr>
    <w:rPr>
      <w:caps/>
      <w:color w:val="3E762A" w:themeColor="accent1" w:themeShade="BF"/>
      <w:spacing w:val="10"/>
    </w:rPr>
  </w:style>
  <w:style w:type="paragraph" w:styleId="Naslov5">
    <w:name w:val="heading 5"/>
    <w:basedOn w:val="Navaden"/>
    <w:next w:val="Navaden"/>
    <w:link w:val="Naslov5Znak"/>
    <w:uiPriority w:val="9"/>
    <w:semiHidden/>
    <w:unhideWhenUsed/>
    <w:qFormat/>
    <w:rsid w:val="00DD1DA4"/>
    <w:pPr>
      <w:pBdr>
        <w:bottom w:val="single" w:sz="6" w:space="1" w:color="549E39" w:themeColor="accent1"/>
      </w:pBdr>
      <w:spacing w:before="200" w:after="0"/>
      <w:outlineLvl w:val="4"/>
    </w:pPr>
    <w:rPr>
      <w:caps/>
      <w:color w:val="3E762A" w:themeColor="accent1" w:themeShade="BF"/>
      <w:spacing w:val="10"/>
    </w:rPr>
  </w:style>
  <w:style w:type="paragraph" w:styleId="Naslov6">
    <w:name w:val="heading 6"/>
    <w:basedOn w:val="Navaden"/>
    <w:next w:val="Navaden"/>
    <w:link w:val="Naslov6Znak"/>
    <w:uiPriority w:val="9"/>
    <w:semiHidden/>
    <w:unhideWhenUsed/>
    <w:qFormat/>
    <w:rsid w:val="00DD1DA4"/>
    <w:pPr>
      <w:pBdr>
        <w:bottom w:val="dotted" w:sz="6" w:space="1" w:color="549E39" w:themeColor="accent1"/>
      </w:pBdr>
      <w:spacing w:before="200" w:after="0"/>
      <w:outlineLvl w:val="5"/>
    </w:pPr>
    <w:rPr>
      <w:caps/>
      <w:color w:val="3E762A" w:themeColor="accent1" w:themeShade="BF"/>
      <w:spacing w:val="10"/>
    </w:rPr>
  </w:style>
  <w:style w:type="paragraph" w:styleId="Naslov7">
    <w:name w:val="heading 7"/>
    <w:basedOn w:val="Navaden"/>
    <w:next w:val="Navaden"/>
    <w:link w:val="Naslov7Znak"/>
    <w:uiPriority w:val="9"/>
    <w:semiHidden/>
    <w:unhideWhenUsed/>
    <w:qFormat/>
    <w:rsid w:val="00DD1DA4"/>
    <w:pPr>
      <w:spacing w:before="200" w:after="0"/>
      <w:outlineLvl w:val="6"/>
    </w:pPr>
    <w:rPr>
      <w:caps/>
      <w:color w:val="3E762A" w:themeColor="accent1" w:themeShade="BF"/>
      <w:spacing w:val="10"/>
    </w:rPr>
  </w:style>
  <w:style w:type="paragraph" w:styleId="Naslov8">
    <w:name w:val="heading 8"/>
    <w:basedOn w:val="Navaden"/>
    <w:next w:val="Navaden"/>
    <w:link w:val="Naslov8Znak"/>
    <w:uiPriority w:val="9"/>
    <w:semiHidden/>
    <w:unhideWhenUsed/>
    <w:qFormat/>
    <w:rsid w:val="00DD1DA4"/>
    <w:pPr>
      <w:spacing w:before="200" w:after="0"/>
      <w:outlineLvl w:val="7"/>
    </w:pPr>
    <w:rPr>
      <w:caps/>
      <w:spacing w:val="10"/>
      <w:sz w:val="18"/>
      <w:szCs w:val="18"/>
    </w:rPr>
  </w:style>
  <w:style w:type="paragraph" w:styleId="Naslov9">
    <w:name w:val="heading 9"/>
    <w:basedOn w:val="Navaden"/>
    <w:next w:val="Navaden"/>
    <w:link w:val="Naslov9Znak"/>
    <w:uiPriority w:val="9"/>
    <w:semiHidden/>
    <w:unhideWhenUsed/>
    <w:qFormat/>
    <w:rsid w:val="00DD1DA4"/>
    <w:pPr>
      <w:spacing w:before="200" w:after="0"/>
      <w:outlineLvl w:val="8"/>
    </w:pPr>
    <w:rPr>
      <w:i/>
      <w:iCs/>
      <w:caps/>
      <w:spacing w:val="10"/>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DD1DA4"/>
    <w:rPr>
      <w:caps/>
      <w:color w:val="FFFFFF" w:themeColor="background1"/>
      <w:spacing w:val="15"/>
      <w:sz w:val="22"/>
      <w:szCs w:val="22"/>
      <w:shd w:val="clear" w:color="auto" w:fill="549E39" w:themeFill="accent1"/>
    </w:rPr>
  </w:style>
  <w:style w:type="character" w:customStyle="1" w:styleId="Naslov2Znak">
    <w:name w:val="Naslov 2 Znak"/>
    <w:basedOn w:val="Privzetapisavaodstavka"/>
    <w:link w:val="Naslov2"/>
    <w:uiPriority w:val="9"/>
    <w:rsid w:val="00DD1DA4"/>
    <w:rPr>
      <w:caps/>
      <w:spacing w:val="15"/>
      <w:shd w:val="clear" w:color="auto" w:fill="DAEFD3" w:themeFill="accent1" w:themeFillTint="33"/>
    </w:rPr>
  </w:style>
  <w:style w:type="character" w:customStyle="1" w:styleId="Naslov3Znak">
    <w:name w:val="Naslov 3 Znak"/>
    <w:basedOn w:val="Privzetapisavaodstavka"/>
    <w:link w:val="Naslov3"/>
    <w:rsid w:val="00DD1DA4"/>
    <w:rPr>
      <w:caps/>
      <w:color w:val="294E1C" w:themeColor="accent1" w:themeShade="7F"/>
      <w:spacing w:val="15"/>
    </w:rPr>
  </w:style>
  <w:style w:type="character" w:customStyle="1" w:styleId="Naslov4Znak">
    <w:name w:val="Naslov 4 Znak"/>
    <w:basedOn w:val="Privzetapisavaodstavka"/>
    <w:link w:val="Naslov4"/>
    <w:rsid w:val="00DD1DA4"/>
    <w:rPr>
      <w:caps/>
      <w:color w:val="3E762A" w:themeColor="accent1" w:themeShade="BF"/>
      <w:spacing w:val="10"/>
    </w:rPr>
  </w:style>
  <w:style w:type="character" w:customStyle="1" w:styleId="Naslov5Znak">
    <w:name w:val="Naslov 5 Znak"/>
    <w:basedOn w:val="Privzetapisavaodstavka"/>
    <w:link w:val="Naslov5"/>
    <w:uiPriority w:val="9"/>
    <w:semiHidden/>
    <w:rsid w:val="00DD1DA4"/>
    <w:rPr>
      <w:caps/>
      <w:color w:val="3E762A" w:themeColor="accent1" w:themeShade="BF"/>
      <w:spacing w:val="10"/>
    </w:rPr>
  </w:style>
  <w:style w:type="character" w:customStyle="1" w:styleId="Naslov6Znak">
    <w:name w:val="Naslov 6 Znak"/>
    <w:basedOn w:val="Privzetapisavaodstavka"/>
    <w:link w:val="Naslov6"/>
    <w:uiPriority w:val="9"/>
    <w:semiHidden/>
    <w:rsid w:val="00DD1DA4"/>
    <w:rPr>
      <w:caps/>
      <w:color w:val="3E762A" w:themeColor="accent1" w:themeShade="BF"/>
      <w:spacing w:val="10"/>
    </w:rPr>
  </w:style>
  <w:style w:type="character" w:customStyle="1" w:styleId="Naslov7Znak">
    <w:name w:val="Naslov 7 Znak"/>
    <w:basedOn w:val="Privzetapisavaodstavka"/>
    <w:link w:val="Naslov7"/>
    <w:uiPriority w:val="9"/>
    <w:semiHidden/>
    <w:rsid w:val="00DD1DA4"/>
    <w:rPr>
      <w:caps/>
      <w:color w:val="3E762A" w:themeColor="accent1" w:themeShade="BF"/>
      <w:spacing w:val="10"/>
    </w:rPr>
  </w:style>
  <w:style w:type="character" w:customStyle="1" w:styleId="Naslov8Znak">
    <w:name w:val="Naslov 8 Znak"/>
    <w:basedOn w:val="Privzetapisavaodstavka"/>
    <w:link w:val="Naslov8"/>
    <w:uiPriority w:val="9"/>
    <w:semiHidden/>
    <w:rsid w:val="00DD1DA4"/>
    <w:rPr>
      <w:caps/>
      <w:spacing w:val="10"/>
      <w:sz w:val="18"/>
      <w:szCs w:val="18"/>
    </w:rPr>
  </w:style>
  <w:style w:type="character" w:customStyle="1" w:styleId="Naslov9Znak">
    <w:name w:val="Naslov 9 Znak"/>
    <w:basedOn w:val="Privzetapisavaodstavka"/>
    <w:link w:val="Naslov9"/>
    <w:uiPriority w:val="9"/>
    <w:semiHidden/>
    <w:rsid w:val="00DD1DA4"/>
    <w:rPr>
      <w:i/>
      <w:iCs/>
      <w:caps/>
      <w:spacing w:val="10"/>
      <w:sz w:val="18"/>
      <w:szCs w:val="18"/>
    </w:rPr>
  </w:style>
  <w:style w:type="paragraph" w:styleId="Napis">
    <w:name w:val="caption"/>
    <w:basedOn w:val="Navaden"/>
    <w:next w:val="Navaden"/>
    <w:uiPriority w:val="35"/>
    <w:unhideWhenUsed/>
    <w:qFormat/>
    <w:rsid w:val="00DD1DA4"/>
    <w:rPr>
      <w:b/>
      <w:bCs/>
      <w:color w:val="3E762A" w:themeColor="accent1" w:themeShade="BF"/>
      <w:sz w:val="16"/>
      <w:szCs w:val="16"/>
    </w:rPr>
  </w:style>
  <w:style w:type="paragraph" w:styleId="Naslov">
    <w:name w:val="Title"/>
    <w:basedOn w:val="Navaden"/>
    <w:next w:val="Navaden"/>
    <w:link w:val="NaslovZnak"/>
    <w:uiPriority w:val="10"/>
    <w:qFormat/>
    <w:rsid w:val="00DD1DA4"/>
    <w:pPr>
      <w:spacing w:before="0" w:after="0"/>
    </w:pPr>
    <w:rPr>
      <w:rFonts w:asciiTheme="majorHAnsi" w:eastAsiaTheme="majorEastAsia" w:hAnsiTheme="majorHAnsi" w:cstheme="majorBidi"/>
      <w:caps/>
      <w:color w:val="549E39" w:themeColor="accent1"/>
      <w:spacing w:val="10"/>
      <w:sz w:val="52"/>
      <w:szCs w:val="52"/>
    </w:rPr>
  </w:style>
  <w:style w:type="character" w:customStyle="1" w:styleId="NaslovZnak">
    <w:name w:val="Naslov Znak"/>
    <w:basedOn w:val="Privzetapisavaodstavka"/>
    <w:link w:val="Naslov"/>
    <w:uiPriority w:val="10"/>
    <w:rsid w:val="00DD1DA4"/>
    <w:rPr>
      <w:rFonts w:asciiTheme="majorHAnsi" w:eastAsiaTheme="majorEastAsia" w:hAnsiTheme="majorHAnsi" w:cstheme="majorBidi"/>
      <w:caps/>
      <w:color w:val="549E39" w:themeColor="accent1"/>
      <w:spacing w:val="10"/>
      <w:sz w:val="52"/>
      <w:szCs w:val="52"/>
    </w:rPr>
  </w:style>
  <w:style w:type="paragraph" w:styleId="Podnaslov">
    <w:name w:val="Subtitle"/>
    <w:basedOn w:val="Navaden"/>
    <w:next w:val="Navaden"/>
    <w:link w:val="PodnaslovZnak"/>
    <w:uiPriority w:val="11"/>
    <w:qFormat/>
    <w:rsid w:val="00DD1DA4"/>
    <w:pPr>
      <w:spacing w:before="0" w:after="500" w:line="240" w:lineRule="auto"/>
    </w:pPr>
    <w:rPr>
      <w:caps/>
      <w:color w:val="595959" w:themeColor="text1" w:themeTint="A6"/>
      <w:spacing w:val="10"/>
      <w:sz w:val="21"/>
      <w:szCs w:val="21"/>
    </w:rPr>
  </w:style>
  <w:style w:type="character" w:customStyle="1" w:styleId="PodnaslovZnak">
    <w:name w:val="Podnaslov Znak"/>
    <w:basedOn w:val="Privzetapisavaodstavka"/>
    <w:link w:val="Podnaslov"/>
    <w:uiPriority w:val="11"/>
    <w:rsid w:val="00DD1DA4"/>
    <w:rPr>
      <w:caps/>
      <w:color w:val="595959" w:themeColor="text1" w:themeTint="A6"/>
      <w:spacing w:val="10"/>
      <w:sz w:val="21"/>
      <w:szCs w:val="21"/>
    </w:rPr>
  </w:style>
  <w:style w:type="character" w:styleId="Krepko">
    <w:name w:val="Strong"/>
    <w:uiPriority w:val="22"/>
    <w:qFormat/>
    <w:rsid w:val="00DD1DA4"/>
    <w:rPr>
      <w:b/>
      <w:bCs/>
    </w:rPr>
  </w:style>
  <w:style w:type="character" w:styleId="Poudarek">
    <w:name w:val="Emphasis"/>
    <w:uiPriority w:val="20"/>
    <w:qFormat/>
    <w:rsid w:val="00DD1DA4"/>
    <w:rPr>
      <w:caps/>
      <w:color w:val="294E1C" w:themeColor="accent1" w:themeShade="7F"/>
      <w:spacing w:val="5"/>
    </w:rPr>
  </w:style>
  <w:style w:type="paragraph" w:styleId="Brezrazmikov">
    <w:name w:val="No Spacing"/>
    <w:uiPriority w:val="1"/>
    <w:qFormat/>
    <w:rsid w:val="00DD1DA4"/>
    <w:pPr>
      <w:spacing w:after="0" w:line="240" w:lineRule="auto"/>
    </w:pPr>
  </w:style>
  <w:style w:type="paragraph" w:styleId="Citat">
    <w:name w:val="Quote"/>
    <w:basedOn w:val="Navaden"/>
    <w:next w:val="Navaden"/>
    <w:link w:val="CitatZnak"/>
    <w:uiPriority w:val="29"/>
    <w:qFormat/>
    <w:rsid w:val="00DD1DA4"/>
    <w:rPr>
      <w:i/>
      <w:iCs/>
      <w:sz w:val="24"/>
      <w:szCs w:val="24"/>
    </w:rPr>
  </w:style>
  <w:style w:type="character" w:customStyle="1" w:styleId="CitatZnak">
    <w:name w:val="Citat Znak"/>
    <w:basedOn w:val="Privzetapisavaodstavka"/>
    <w:link w:val="Citat"/>
    <w:uiPriority w:val="29"/>
    <w:rsid w:val="00DD1DA4"/>
    <w:rPr>
      <w:i/>
      <w:iCs/>
      <w:sz w:val="24"/>
      <w:szCs w:val="24"/>
    </w:rPr>
  </w:style>
  <w:style w:type="paragraph" w:styleId="Intenzivencitat">
    <w:name w:val="Intense Quote"/>
    <w:basedOn w:val="Navaden"/>
    <w:next w:val="Navaden"/>
    <w:link w:val="IntenzivencitatZnak"/>
    <w:uiPriority w:val="30"/>
    <w:qFormat/>
    <w:rsid w:val="00DD1DA4"/>
    <w:pPr>
      <w:spacing w:before="240" w:after="240" w:line="240" w:lineRule="auto"/>
      <w:ind w:left="1080" w:right="1080"/>
      <w:jc w:val="center"/>
    </w:pPr>
    <w:rPr>
      <w:color w:val="549E39" w:themeColor="accent1"/>
      <w:sz w:val="24"/>
      <w:szCs w:val="24"/>
    </w:rPr>
  </w:style>
  <w:style w:type="character" w:customStyle="1" w:styleId="IntenzivencitatZnak">
    <w:name w:val="Intenziven citat Znak"/>
    <w:basedOn w:val="Privzetapisavaodstavka"/>
    <w:link w:val="Intenzivencitat"/>
    <w:uiPriority w:val="30"/>
    <w:rsid w:val="00DD1DA4"/>
    <w:rPr>
      <w:color w:val="549E39" w:themeColor="accent1"/>
      <w:sz w:val="24"/>
      <w:szCs w:val="24"/>
    </w:rPr>
  </w:style>
  <w:style w:type="character" w:styleId="Neenpoudarek">
    <w:name w:val="Subtle Emphasis"/>
    <w:uiPriority w:val="19"/>
    <w:qFormat/>
    <w:rsid w:val="00DD1DA4"/>
    <w:rPr>
      <w:i/>
      <w:iCs/>
      <w:color w:val="294E1C" w:themeColor="accent1" w:themeShade="7F"/>
    </w:rPr>
  </w:style>
  <w:style w:type="character" w:styleId="Intenzivenpoudarek">
    <w:name w:val="Intense Emphasis"/>
    <w:uiPriority w:val="21"/>
    <w:qFormat/>
    <w:rsid w:val="00DD1DA4"/>
    <w:rPr>
      <w:b/>
      <w:bCs/>
      <w:caps/>
      <w:color w:val="294E1C" w:themeColor="accent1" w:themeShade="7F"/>
      <w:spacing w:val="10"/>
    </w:rPr>
  </w:style>
  <w:style w:type="character" w:styleId="Neensklic">
    <w:name w:val="Subtle Reference"/>
    <w:uiPriority w:val="31"/>
    <w:qFormat/>
    <w:rsid w:val="00DD1DA4"/>
    <w:rPr>
      <w:b/>
      <w:bCs/>
      <w:color w:val="549E39" w:themeColor="accent1"/>
    </w:rPr>
  </w:style>
  <w:style w:type="character" w:styleId="Intenzivensklic">
    <w:name w:val="Intense Reference"/>
    <w:uiPriority w:val="32"/>
    <w:qFormat/>
    <w:rsid w:val="00DD1DA4"/>
    <w:rPr>
      <w:b/>
      <w:bCs/>
      <w:i/>
      <w:iCs/>
      <w:caps/>
      <w:color w:val="549E39" w:themeColor="accent1"/>
    </w:rPr>
  </w:style>
  <w:style w:type="character" w:styleId="Naslovknjige">
    <w:name w:val="Book Title"/>
    <w:uiPriority w:val="33"/>
    <w:qFormat/>
    <w:rsid w:val="00DD1DA4"/>
    <w:rPr>
      <w:b/>
      <w:bCs/>
      <w:i/>
      <w:iCs/>
      <w:spacing w:val="0"/>
    </w:rPr>
  </w:style>
  <w:style w:type="paragraph" w:styleId="NaslovTOC">
    <w:name w:val="TOC Heading"/>
    <w:basedOn w:val="Naslov1"/>
    <w:next w:val="Navaden"/>
    <w:uiPriority w:val="39"/>
    <w:unhideWhenUsed/>
    <w:qFormat/>
    <w:rsid w:val="00DD1DA4"/>
    <w:pPr>
      <w:outlineLvl w:val="9"/>
    </w:pPr>
  </w:style>
  <w:style w:type="paragraph" w:styleId="Glava">
    <w:name w:val="header"/>
    <w:basedOn w:val="Navaden"/>
    <w:link w:val="GlavaZnak"/>
    <w:uiPriority w:val="99"/>
    <w:unhideWhenUsed/>
    <w:rsid w:val="00722A89"/>
    <w:pPr>
      <w:tabs>
        <w:tab w:val="center" w:pos="4536"/>
        <w:tab w:val="right" w:pos="9072"/>
      </w:tabs>
      <w:spacing w:before="0" w:after="0" w:line="240" w:lineRule="auto"/>
    </w:pPr>
  </w:style>
  <w:style w:type="character" w:customStyle="1" w:styleId="GlavaZnak">
    <w:name w:val="Glava Znak"/>
    <w:basedOn w:val="Privzetapisavaodstavka"/>
    <w:link w:val="Glava"/>
    <w:uiPriority w:val="99"/>
    <w:rsid w:val="00722A89"/>
  </w:style>
  <w:style w:type="paragraph" w:styleId="Noga">
    <w:name w:val="footer"/>
    <w:basedOn w:val="Navaden"/>
    <w:link w:val="NogaZnak"/>
    <w:uiPriority w:val="99"/>
    <w:unhideWhenUsed/>
    <w:rsid w:val="00722A89"/>
    <w:pPr>
      <w:tabs>
        <w:tab w:val="center" w:pos="4536"/>
        <w:tab w:val="right" w:pos="9072"/>
      </w:tabs>
      <w:spacing w:before="0" w:after="0" w:line="240" w:lineRule="auto"/>
    </w:pPr>
  </w:style>
  <w:style w:type="character" w:customStyle="1" w:styleId="NogaZnak">
    <w:name w:val="Noga Znak"/>
    <w:basedOn w:val="Privzetapisavaodstavka"/>
    <w:link w:val="Noga"/>
    <w:uiPriority w:val="99"/>
    <w:rsid w:val="00722A89"/>
  </w:style>
  <w:style w:type="paragraph" w:styleId="Sprotnaopomba-besedilo">
    <w:name w:val="footnote text"/>
    <w:basedOn w:val="Navaden"/>
    <w:link w:val="Sprotnaopomba-besediloZnak"/>
    <w:uiPriority w:val="99"/>
    <w:unhideWhenUsed/>
    <w:rsid w:val="00846657"/>
    <w:pPr>
      <w:spacing w:before="0" w:after="0" w:line="240" w:lineRule="auto"/>
    </w:pPr>
  </w:style>
  <w:style w:type="character" w:customStyle="1" w:styleId="Sprotnaopomba-besediloZnak">
    <w:name w:val="Sprotna opomba - besedilo Znak"/>
    <w:basedOn w:val="Privzetapisavaodstavka"/>
    <w:link w:val="Sprotnaopomba-besedilo"/>
    <w:uiPriority w:val="99"/>
    <w:rsid w:val="00846657"/>
  </w:style>
  <w:style w:type="character" w:styleId="Sprotnaopomba-sklic">
    <w:name w:val="footnote reference"/>
    <w:aliases w:val="number,Footnote reference number,Footnote symbol,note TESI,-E Fußnotenzeichen,SUPERS,Footnote Reference Superscript,stylish,Odwołanie przypisu,Times 10 Point,Exposant 3 Point,Voetnootverwijzing,EN Footnote Reference,Ref,BVI fnr"/>
    <w:basedOn w:val="Privzetapisavaodstavka"/>
    <w:link w:val="FootnotesymbolCarZchn"/>
    <w:unhideWhenUsed/>
    <w:qFormat/>
    <w:rsid w:val="00846657"/>
    <w:rPr>
      <w:vertAlign w:val="superscript"/>
    </w:rPr>
  </w:style>
  <w:style w:type="character" w:styleId="Hiperpovezava">
    <w:name w:val="Hyperlink"/>
    <w:basedOn w:val="Privzetapisavaodstavka"/>
    <w:uiPriority w:val="99"/>
    <w:unhideWhenUsed/>
    <w:rsid w:val="00546359"/>
    <w:rPr>
      <w:color w:val="6B9F25" w:themeColor="hyperlink"/>
      <w:u w:val="single"/>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B10333"/>
    <w:pPr>
      <w:ind w:left="720"/>
      <w:contextualSpacing/>
    </w:pPr>
  </w:style>
  <w:style w:type="table" w:styleId="Tabelamrea">
    <w:name w:val="Table Grid"/>
    <w:basedOn w:val="Navadnatabela"/>
    <w:uiPriority w:val="39"/>
    <w:rsid w:val="0053777C"/>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avadnatabela11">
    <w:name w:val="Navadna tabela 11"/>
    <w:basedOn w:val="Navadnatabela"/>
    <w:uiPriority w:val="41"/>
    <w:rsid w:val="006C42C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21">
    <w:name w:val="Navadna tabela 21"/>
    <w:basedOn w:val="Navadnatabela"/>
    <w:uiPriority w:val="42"/>
    <w:rsid w:val="006C42C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Navadnatabela31">
    <w:name w:val="Navadna tabela 31"/>
    <w:basedOn w:val="Navadnatabela"/>
    <w:uiPriority w:val="43"/>
    <w:rsid w:val="006C42C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Navadnatabela41">
    <w:name w:val="Navadna tabela 41"/>
    <w:basedOn w:val="Navadnatabela"/>
    <w:uiPriority w:val="44"/>
    <w:rsid w:val="006C42C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51">
    <w:name w:val="Navadna tabela 51"/>
    <w:basedOn w:val="Navadnatabela"/>
    <w:uiPriority w:val="45"/>
    <w:rsid w:val="006C42C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temnamrea5poudarek11">
    <w:name w:val="Tabela – temna mreža 5 (poudarek 1)1"/>
    <w:basedOn w:val="Navadnatabela"/>
    <w:uiPriority w:val="50"/>
    <w:rsid w:val="006C42C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F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49E3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49E3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49E3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49E39" w:themeFill="accent1"/>
      </w:tcPr>
    </w:tblStylePr>
    <w:tblStylePr w:type="band1Vert">
      <w:tblPr/>
      <w:tcPr>
        <w:shd w:val="clear" w:color="auto" w:fill="B7DFA8" w:themeFill="accent1" w:themeFillTint="66"/>
      </w:tcPr>
    </w:tblStylePr>
    <w:tblStylePr w:type="band1Horz">
      <w:tblPr/>
      <w:tcPr>
        <w:shd w:val="clear" w:color="auto" w:fill="B7DFA8" w:themeFill="accent1" w:themeFillTint="66"/>
      </w:tcPr>
    </w:tblStylePr>
  </w:style>
  <w:style w:type="table" w:customStyle="1" w:styleId="Tabelaseznam3poudarek11">
    <w:name w:val="Tabela – seznam 3 (poudarek 1)1"/>
    <w:basedOn w:val="Navadnatabela"/>
    <w:uiPriority w:val="48"/>
    <w:rsid w:val="006C42CE"/>
    <w:pPr>
      <w:spacing w:after="0" w:line="240" w:lineRule="auto"/>
    </w:pPr>
    <w:tblPr>
      <w:tblStyleRowBandSize w:val="1"/>
      <w:tblStyleColBandSize w:val="1"/>
      <w:tblInd w:w="0" w:type="dxa"/>
      <w:tblBorders>
        <w:top w:val="single" w:sz="4" w:space="0" w:color="549E39" w:themeColor="accent1"/>
        <w:left w:val="single" w:sz="4" w:space="0" w:color="549E39" w:themeColor="accent1"/>
        <w:bottom w:val="single" w:sz="4" w:space="0" w:color="549E39" w:themeColor="accent1"/>
        <w:right w:val="single" w:sz="4" w:space="0" w:color="549E39" w:themeColor="accent1"/>
      </w:tblBorders>
      <w:tblCellMar>
        <w:top w:w="0" w:type="dxa"/>
        <w:left w:w="108" w:type="dxa"/>
        <w:bottom w:w="0" w:type="dxa"/>
        <w:right w:w="108" w:type="dxa"/>
      </w:tblCellMar>
    </w:tblPr>
    <w:tblStylePr w:type="firstRow">
      <w:rPr>
        <w:b/>
        <w:bCs/>
        <w:color w:val="FFFFFF" w:themeColor="background1"/>
      </w:rPr>
      <w:tblPr/>
      <w:tcPr>
        <w:shd w:val="clear" w:color="auto" w:fill="549E39" w:themeFill="accent1"/>
      </w:tcPr>
    </w:tblStylePr>
    <w:tblStylePr w:type="lastRow">
      <w:rPr>
        <w:b/>
        <w:bCs/>
      </w:rPr>
      <w:tblPr/>
      <w:tcPr>
        <w:tcBorders>
          <w:top w:val="double" w:sz="4" w:space="0" w:color="549E3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9E39" w:themeColor="accent1"/>
          <w:right w:val="single" w:sz="4" w:space="0" w:color="549E39" w:themeColor="accent1"/>
        </w:tcBorders>
      </w:tcPr>
    </w:tblStylePr>
    <w:tblStylePr w:type="band1Horz">
      <w:tblPr/>
      <w:tcPr>
        <w:tcBorders>
          <w:top w:val="single" w:sz="4" w:space="0" w:color="549E39" w:themeColor="accent1"/>
          <w:bottom w:val="single" w:sz="4" w:space="0" w:color="549E3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E39" w:themeColor="accent1"/>
          <w:left w:val="nil"/>
        </w:tcBorders>
      </w:tcPr>
    </w:tblStylePr>
    <w:tblStylePr w:type="swCell">
      <w:tblPr/>
      <w:tcPr>
        <w:tcBorders>
          <w:top w:val="double" w:sz="4" w:space="0" w:color="549E39" w:themeColor="accent1"/>
          <w:right w:val="nil"/>
        </w:tcBorders>
      </w:tcPr>
    </w:tblStylePr>
  </w:style>
  <w:style w:type="paragraph" w:styleId="Kazalovsebine2">
    <w:name w:val="toc 2"/>
    <w:basedOn w:val="Navaden"/>
    <w:next w:val="Navaden"/>
    <w:autoRedefine/>
    <w:uiPriority w:val="39"/>
    <w:unhideWhenUsed/>
    <w:rsid w:val="003810A7"/>
    <w:pPr>
      <w:spacing w:before="0" w:after="100" w:line="259" w:lineRule="auto"/>
      <w:ind w:left="220"/>
    </w:pPr>
    <w:rPr>
      <w:rFonts w:cs="Times New Roman"/>
      <w:szCs w:val="22"/>
      <w:lang w:eastAsia="sl-SI"/>
    </w:rPr>
  </w:style>
  <w:style w:type="paragraph" w:styleId="Kazalovsebine1">
    <w:name w:val="toc 1"/>
    <w:basedOn w:val="Navaden"/>
    <w:next w:val="Navaden"/>
    <w:autoRedefine/>
    <w:uiPriority w:val="39"/>
    <w:unhideWhenUsed/>
    <w:rsid w:val="003810A7"/>
    <w:pPr>
      <w:spacing w:before="0" w:after="100" w:line="259" w:lineRule="auto"/>
    </w:pPr>
    <w:rPr>
      <w:rFonts w:cs="Times New Roman"/>
      <w:szCs w:val="22"/>
      <w:lang w:eastAsia="sl-SI"/>
    </w:rPr>
  </w:style>
  <w:style w:type="paragraph" w:styleId="Kazalovsebine3">
    <w:name w:val="toc 3"/>
    <w:basedOn w:val="Navaden"/>
    <w:next w:val="Navaden"/>
    <w:autoRedefine/>
    <w:uiPriority w:val="39"/>
    <w:unhideWhenUsed/>
    <w:rsid w:val="003810A7"/>
    <w:pPr>
      <w:spacing w:before="0" w:after="100" w:line="259" w:lineRule="auto"/>
      <w:ind w:left="440"/>
    </w:pPr>
    <w:rPr>
      <w:rFonts w:cs="Times New Roman"/>
      <w:szCs w:val="22"/>
      <w:lang w:eastAsia="sl-SI"/>
    </w:rPr>
  </w:style>
  <w:style w:type="character" w:styleId="Pripombasklic">
    <w:name w:val="annotation reference"/>
    <w:basedOn w:val="Privzetapisavaodstavka"/>
    <w:uiPriority w:val="99"/>
    <w:semiHidden/>
    <w:unhideWhenUsed/>
    <w:rsid w:val="00821EA3"/>
    <w:rPr>
      <w:sz w:val="16"/>
      <w:szCs w:val="16"/>
    </w:rPr>
  </w:style>
  <w:style w:type="paragraph" w:styleId="Pripombabesedilo">
    <w:name w:val="annotation text"/>
    <w:basedOn w:val="Navaden"/>
    <w:link w:val="PripombabesediloZnak"/>
    <w:uiPriority w:val="99"/>
    <w:unhideWhenUsed/>
    <w:rsid w:val="00CD7D4F"/>
    <w:pPr>
      <w:spacing w:line="240" w:lineRule="auto"/>
    </w:pPr>
  </w:style>
  <w:style w:type="character" w:customStyle="1" w:styleId="PripombabesediloZnak">
    <w:name w:val="Pripomba – besedilo Znak"/>
    <w:basedOn w:val="Privzetapisavaodstavka"/>
    <w:link w:val="Pripombabesedilo"/>
    <w:uiPriority w:val="99"/>
    <w:rsid w:val="00821EA3"/>
  </w:style>
  <w:style w:type="paragraph" w:styleId="Zadevapripombe">
    <w:name w:val="annotation subject"/>
    <w:basedOn w:val="Pripombabesedilo"/>
    <w:next w:val="Pripombabesedilo"/>
    <w:link w:val="ZadevapripombeZnak"/>
    <w:uiPriority w:val="99"/>
    <w:semiHidden/>
    <w:unhideWhenUsed/>
    <w:rsid w:val="00821EA3"/>
    <w:rPr>
      <w:b/>
      <w:bCs/>
    </w:rPr>
  </w:style>
  <w:style w:type="character" w:customStyle="1" w:styleId="ZadevapripombeZnak">
    <w:name w:val="Zadeva pripombe Znak"/>
    <w:basedOn w:val="PripombabesediloZnak"/>
    <w:link w:val="Zadevapripombe"/>
    <w:uiPriority w:val="99"/>
    <w:semiHidden/>
    <w:rsid w:val="00821EA3"/>
    <w:rPr>
      <w:b/>
      <w:bCs/>
    </w:rPr>
  </w:style>
  <w:style w:type="paragraph" w:styleId="Besedilooblaka">
    <w:name w:val="Balloon Text"/>
    <w:basedOn w:val="Navaden"/>
    <w:link w:val="BesedilooblakaZnak"/>
    <w:uiPriority w:val="99"/>
    <w:unhideWhenUsed/>
    <w:rsid w:val="00821EA3"/>
    <w:pPr>
      <w:spacing w:before="0"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821EA3"/>
    <w:rPr>
      <w:rFonts w:ascii="Segoe UI" w:hAnsi="Segoe UI" w:cs="Segoe UI"/>
      <w:sz w:val="18"/>
      <w:szCs w:val="18"/>
    </w:rPr>
  </w:style>
  <w:style w:type="paragraph" w:styleId="Revizija">
    <w:name w:val="Revision"/>
    <w:hidden/>
    <w:uiPriority w:val="99"/>
    <w:semiHidden/>
    <w:rsid w:val="00A0570C"/>
    <w:pPr>
      <w:spacing w:before="0" w:after="0" w:line="240" w:lineRule="auto"/>
    </w:pPr>
    <w:rPr>
      <w:sz w:val="22"/>
    </w:rPr>
  </w:style>
  <w:style w:type="paragraph" w:customStyle="1" w:styleId="Default">
    <w:name w:val="Default"/>
    <w:uiPriority w:val="99"/>
    <w:rsid w:val="00377108"/>
    <w:pPr>
      <w:autoSpaceDE w:val="0"/>
      <w:autoSpaceDN w:val="0"/>
      <w:adjustRightInd w:val="0"/>
      <w:spacing w:before="0" w:after="0" w:line="240" w:lineRule="auto"/>
    </w:pPr>
    <w:rPr>
      <w:rFonts w:ascii="Arial" w:eastAsiaTheme="minorHAnsi" w:hAnsi="Arial" w:cs="Arial"/>
      <w:color w:val="000000"/>
      <w:sz w:val="24"/>
      <w:szCs w:val="24"/>
    </w:rPr>
  </w:style>
  <w:style w:type="character" w:customStyle="1" w:styleId="Nerazreenaomemba1">
    <w:name w:val="Nerazrešena omemba1"/>
    <w:basedOn w:val="Privzetapisavaodstavka"/>
    <w:uiPriority w:val="99"/>
    <w:semiHidden/>
    <w:unhideWhenUsed/>
    <w:rsid w:val="008D507B"/>
    <w:rPr>
      <w:color w:val="605E5C"/>
      <w:shd w:val="clear" w:color="auto" w:fill="E1DFDD"/>
    </w:rPr>
  </w:style>
  <w:style w:type="numbering" w:customStyle="1" w:styleId="Slog1">
    <w:name w:val="Slog1"/>
    <w:uiPriority w:val="99"/>
    <w:rsid w:val="009C51B9"/>
    <w:pPr>
      <w:numPr>
        <w:numId w:val="8"/>
      </w:numPr>
    </w:pPr>
  </w:style>
  <w:style w:type="paragraph" w:customStyle="1" w:styleId="discreet">
    <w:name w:val="discreet"/>
    <w:basedOn w:val="Navaden"/>
    <w:uiPriority w:val="99"/>
    <w:rsid w:val="004F0406"/>
    <w:pPr>
      <w:spacing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semiHidden/>
    <w:unhideWhenUsed/>
    <w:rsid w:val="004F0406"/>
    <w:pPr>
      <w:spacing w:beforeAutospacing="1" w:after="100" w:afterAutospacing="1" w:line="240" w:lineRule="auto"/>
    </w:pPr>
    <w:rPr>
      <w:rFonts w:ascii="Times New Roman" w:eastAsia="Times New Roman" w:hAnsi="Times New Roman" w:cs="Times New Roman"/>
      <w:sz w:val="24"/>
      <w:szCs w:val="24"/>
      <w:lang w:eastAsia="sl-SI"/>
    </w:rPr>
  </w:style>
  <w:style w:type="character" w:styleId="tevilkastrani">
    <w:name w:val="page number"/>
    <w:basedOn w:val="Privzetapisavaodstavka"/>
    <w:rsid w:val="007041AF"/>
  </w:style>
  <w:style w:type="paragraph" w:styleId="Oznaenseznam">
    <w:name w:val="List Bullet"/>
    <w:basedOn w:val="Navaden"/>
    <w:uiPriority w:val="99"/>
    <w:rsid w:val="007041AF"/>
    <w:pPr>
      <w:spacing w:before="0" w:after="0" w:line="240" w:lineRule="auto"/>
      <w:ind w:left="357" w:hanging="357"/>
      <w:jc w:val="both"/>
    </w:pPr>
    <w:rPr>
      <w:rFonts w:ascii="Times New Roman" w:eastAsia="Times New Roman" w:hAnsi="Times New Roman" w:cs="Times New Roman"/>
      <w:sz w:val="24"/>
    </w:rPr>
  </w:style>
  <w:style w:type="paragraph" w:styleId="Oznaenseznam2">
    <w:name w:val="List Bullet 2"/>
    <w:basedOn w:val="Navaden"/>
    <w:uiPriority w:val="99"/>
    <w:rsid w:val="007041AF"/>
    <w:pPr>
      <w:numPr>
        <w:numId w:val="11"/>
      </w:numPr>
      <w:spacing w:before="0" w:after="0" w:line="240" w:lineRule="auto"/>
      <w:jc w:val="both"/>
    </w:pPr>
    <w:rPr>
      <w:rFonts w:ascii="Times New Roman" w:eastAsia="Times New Roman" w:hAnsi="Times New Roman" w:cs="Times New Roman"/>
      <w:sz w:val="24"/>
    </w:rPr>
  </w:style>
  <w:style w:type="paragraph" w:styleId="Oznaenseznam3">
    <w:name w:val="List Bullet 3"/>
    <w:basedOn w:val="Navaden"/>
    <w:uiPriority w:val="99"/>
    <w:rsid w:val="007041AF"/>
    <w:pPr>
      <w:numPr>
        <w:numId w:val="12"/>
      </w:numPr>
      <w:tabs>
        <w:tab w:val="clear" w:pos="360"/>
      </w:tabs>
      <w:spacing w:before="0" w:after="0" w:line="240" w:lineRule="auto"/>
      <w:ind w:left="1151" w:hanging="357"/>
      <w:jc w:val="both"/>
    </w:pPr>
    <w:rPr>
      <w:rFonts w:ascii="Times New Roman" w:eastAsia="Times New Roman" w:hAnsi="Times New Roman" w:cs="Times New Roman"/>
      <w:sz w:val="24"/>
    </w:rPr>
  </w:style>
  <w:style w:type="paragraph" w:customStyle="1" w:styleId="Odstavek">
    <w:name w:val="Odstavek"/>
    <w:basedOn w:val="Navaden"/>
    <w:uiPriority w:val="99"/>
    <w:rsid w:val="007041AF"/>
    <w:pPr>
      <w:spacing w:before="240" w:after="0" w:line="240" w:lineRule="auto"/>
      <w:jc w:val="both"/>
    </w:pPr>
    <w:rPr>
      <w:rFonts w:ascii="Times New Roman" w:eastAsia="Times New Roman" w:hAnsi="Times New Roman" w:cs="Times New Roman"/>
      <w:sz w:val="24"/>
    </w:rPr>
  </w:style>
  <w:style w:type="paragraph" w:customStyle="1" w:styleId="Vabilo">
    <w:name w:val="Vabilo"/>
    <w:basedOn w:val="Navaden"/>
    <w:next w:val="Navaden"/>
    <w:uiPriority w:val="99"/>
    <w:rsid w:val="007041AF"/>
    <w:pPr>
      <w:spacing w:before="1440" w:after="480" w:line="240" w:lineRule="auto"/>
    </w:pPr>
    <w:rPr>
      <w:rFonts w:ascii="Times New Roman" w:eastAsia="Times New Roman" w:hAnsi="Times New Roman" w:cs="Times New Roman"/>
      <w:b/>
      <w:sz w:val="28"/>
    </w:rPr>
  </w:style>
  <w:style w:type="paragraph" w:customStyle="1" w:styleId="alineja">
    <w:name w:val="alineja"/>
    <w:basedOn w:val="Navaden"/>
    <w:uiPriority w:val="99"/>
    <w:qFormat/>
    <w:rsid w:val="007041AF"/>
    <w:pPr>
      <w:numPr>
        <w:numId w:val="13"/>
      </w:numPr>
      <w:spacing w:before="0" w:after="0" w:line="360" w:lineRule="auto"/>
      <w:ind w:left="284" w:hanging="284"/>
      <w:jc w:val="both"/>
    </w:pPr>
    <w:rPr>
      <w:rFonts w:eastAsia="Times New Roman" w:cs="Times New Roman"/>
      <w:sz w:val="22"/>
      <w:szCs w:val="22"/>
    </w:rPr>
  </w:style>
  <w:style w:type="table" w:customStyle="1" w:styleId="Tabelatemnamrea5poudarek61">
    <w:name w:val="Tabela – temna mreža 5 (poudarek 6)1"/>
    <w:basedOn w:val="Navadnatabela"/>
    <w:uiPriority w:val="50"/>
    <w:rsid w:val="007041AF"/>
    <w:pPr>
      <w:spacing w:before="0" w:after="0" w:line="240" w:lineRule="auto"/>
    </w:pPr>
    <w:rPr>
      <w:rFonts w:ascii="Times New Roman" w:eastAsia="Times New Roman" w:hAnsi="Times New Roman" w:cs="Times New Roman"/>
      <w:lang w:eastAsia="sl-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1EDF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89B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89B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89B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89B1" w:themeFill="accent6"/>
      </w:tcPr>
    </w:tblStylePr>
    <w:tblStylePr w:type="band1Vert">
      <w:tblPr/>
      <w:tcPr>
        <w:shd w:val="clear" w:color="auto" w:fill="83DCF8" w:themeFill="accent6" w:themeFillTint="66"/>
      </w:tcPr>
    </w:tblStylePr>
    <w:tblStylePr w:type="band1Horz">
      <w:tblPr/>
      <w:tcPr>
        <w:shd w:val="clear" w:color="auto" w:fill="83DCF8" w:themeFill="accent6" w:themeFillTint="66"/>
      </w:tcPr>
    </w:tblStylePr>
  </w:style>
  <w:style w:type="table" w:customStyle="1" w:styleId="Tabelasvetelseznam1poudarek61">
    <w:name w:val="Tabela – svetel seznam 1 (poudarek 6)1"/>
    <w:basedOn w:val="Navadnatabela"/>
    <w:uiPriority w:val="46"/>
    <w:rsid w:val="007041AF"/>
    <w:pPr>
      <w:spacing w:before="0" w:after="0" w:line="240" w:lineRule="auto"/>
    </w:pPr>
    <w:rPr>
      <w:rFonts w:ascii="Times New Roman" w:eastAsia="Times New Roman" w:hAnsi="Times New Roman" w:cs="Times New Roman"/>
      <w:lang w:eastAsia="sl-SI"/>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45CBF5" w:themeColor="accent6" w:themeTint="99"/>
        </w:tcBorders>
      </w:tcPr>
    </w:tblStylePr>
    <w:tblStylePr w:type="lastRow">
      <w:rPr>
        <w:b/>
        <w:bCs/>
      </w:rPr>
      <w:tblPr/>
      <w:tcPr>
        <w:tcBorders>
          <w:top w:val="single" w:sz="4" w:space="0" w:color="45CBF5" w:themeColor="accent6" w:themeTint="99"/>
        </w:tcBorders>
      </w:tcPr>
    </w:tblStylePr>
    <w:tblStylePr w:type="firstCol">
      <w:rPr>
        <w:b/>
        <w:bCs/>
      </w:rPr>
    </w:tblStylePr>
    <w:tblStylePr w:type="lastCol">
      <w:rPr>
        <w:b/>
        <w:bCs/>
      </w:rPr>
    </w:tblStylePr>
    <w:tblStylePr w:type="band1Vert">
      <w:tblPr/>
      <w:tcPr>
        <w:shd w:val="clear" w:color="auto" w:fill="C1EDFC" w:themeFill="accent6" w:themeFillTint="33"/>
      </w:tcPr>
    </w:tblStylePr>
    <w:tblStylePr w:type="band1Horz">
      <w:tblPr/>
      <w:tcPr>
        <w:shd w:val="clear" w:color="auto" w:fill="C1EDFC" w:themeFill="accent6" w:themeFillTint="33"/>
      </w:tcPr>
    </w:tblStylePr>
  </w:style>
  <w:style w:type="table" w:customStyle="1" w:styleId="Tabelamrea4poudarek61">
    <w:name w:val="Tabela – mreža 4 (poudarek 6)1"/>
    <w:basedOn w:val="Navadnatabela"/>
    <w:uiPriority w:val="49"/>
    <w:rsid w:val="007041AF"/>
    <w:pPr>
      <w:spacing w:before="0" w:after="0" w:line="240" w:lineRule="auto"/>
    </w:pPr>
    <w:rPr>
      <w:rFonts w:ascii="Times New Roman" w:eastAsia="Times New Roman" w:hAnsi="Times New Roman" w:cs="Times New Roman"/>
      <w:lang w:eastAsia="sl-SI"/>
    </w:rPr>
    <w:tblPr>
      <w:tblStyleRowBandSize w:val="1"/>
      <w:tblStyleColBandSize w:val="1"/>
      <w:tblInd w:w="0" w:type="dxa"/>
      <w:tbl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insideH w:val="single" w:sz="4" w:space="0" w:color="45CBF5" w:themeColor="accent6" w:themeTint="99"/>
        <w:insideV w:val="single" w:sz="4" w:space="0" w:color="45CBF5"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989B1" w:themeColor="accent6"/>
          <w:left w:val="single" w:sz="4" w:space="0" w:color="0989B1" w:themeColor="accent6"/>
          <w:bottom w:val="single" w:sz="4" w:space="0" w:color="0989B1" w:themeColor="accent6"/>
          <w:right w:val="single" w:sz="4" w:space="0" w:color="0989B1" w:themeColor="accent6"/>
          <w:insideH w:val="nil"/>
          <w:insideV w:val="nil"/>
        </w:tcBorders>
        <w:shd w:val="clear" w:color="auto" w:fill="0989B1" w:themeFill="accent6"/>
      </w:tcPr>
    </w:tblStylePr>
    <w:tblStylePr w:type="lastRow">
      <w:rPr>
        <w:b/>
        <w:bCs/>
      </w:rPr>
      <w:tblPr/>
      <w:tcPr>
        <w:tcBorders>
          <w:top w:val="double" w:sz="4" w:space="0" w:color="0989B1" w:themeColor="accent6"/>
        </w:tcBorders>
      </w:tcPr>
    </w:tblStylePr>
    <w:tblStylePr w:type="firstCol">
      <w:rPr>
        <w:b/>
        <w:bCs/>
      </w:rPr>
    </w:tblStylePr>
    <w:tblStylePr w:type="lastCol">
      <w:rPr>
        <w:b/>
        <w:bCs/>
      </w:rPr>
    </w:tblStylePr>
    <w:tblStylePr w:type="band1Vert">
      <w:tblPr/>
      <w:tcPr>
        <w:shd w:val="clear" w:color="auto" w:fill="C1EDFC" w:themeFill="accent6" w:themeFillTint="33"/>
      </w:tcPr>
    </w:tblStylePr>
    <w:tblStylePr w:type="band1Horz">
      <w:tblPr/>
      <w:tcPr>
        <w:shd w:val="clear" w:color="auto" w:fill="C1EDFC" w:themeFill="accent6" w:themeFillTint="33"/>
      </w:tcPr>
    </w:tblStylePr>
  </w:style>
  <w:style w:type="table" w:customStyle="1" w:styleId="Navadnatabela52">
    <w:name w:val="Navadna tabela 52"/>
    <w:basedOn w:val="Navadnatabela"/>
    <w:uiPriority w:val="45"/>
    <w:rsid w:val="007041AF"/>
    <w:pPr>
      <w:spacing w:before="0" w:after="0" w:line="240" w:lineRule="auto"/>
    </w:pPr>
    <w:rPr>
      <w:rFonts w:ascii="Times New Roman" w:eastAsia="Times New Roman" w:hAnsi="Times New Roman" w:cs="Times New Roman"/>
      <w:lang w:eastAsia="sl-SI"/>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svetlamrea1poudarek61">
    <w:name w:val="Tabela – svetla mreža 1 (poudarek 6)1"/>
    <w:basedOn w:val="Navadnatabela"/>
    <w:uiPriority w:val="46"/>
    <w:rsid w:val="007041AF"/>
    <w:pPr>
      <w:spacing w:before="0" w:after="0" w:line="240" w:lineRule="auto"/>
    </w:pPr>
    <w:rPr>
      <w:rFonts w:ascii="Times New Roman" w:eastAsia="Times New Roman" w:hAnsi="Times New Roman" w:cs="Times New Roman"/>
      <w:lang w:eastAsia="sl-SI"/>
    </w:rPr>
    <w:tblPr>
      <w:tblStyleRowBandSize w:val="1"/>
      <w:tblStyleColBandSize w:val="1"/>
      <w:tblInd w:w="0" w:type="dxa"/>
      <w:tbl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insideH w:val="single" w:sz="4" w:space="0" w:color="83DCF8" w:themeColor="accent6" w:themeTint="66"/>
        <w:insideV w:val="single" w:sz="4" w:space="0" w:color="83DCF8" w:themeColor="accent6" w:themeTint="66"/>
      </w:tblBorders>
      <w:tblCellMar>
        <w:top w:w="0" w:type="dxa"/>
        <w:left w:w="108" w:type="dxa"/>
        <w:bottom w:w="0" w:type="dxa"/>
        <w:right w:w="108" w:type="dxa"/>
      </w:tblCellMar>
    </w:tblPr>
    <w:tblStylePr w:type="firstRow">
      <w:rPr>
        <w:b/>
        <w:bCs/>
      </w:rPr>
      <w:tblPr/>
      <w:tcPr>
        <w:tcBorders>
          <w:bottom w:val="single" w:sz="12" w:space="0" w:color="45CBF5" w:themeColor="accent6" w:themeTint="99"/>
        </w:tcBorders>
      </w:tcPr>
    </w:tblStylePr>
    <w:tblStylePr w:type="lastRow">
      <w:rPr>
        <w:b/>
        <w:bCs/>
      </w:rPr>
      <w:tblPr/>
      <w:tcPr>
        <w:tcBorders>
          <w:top w:val="double" w:sz="2" w:space="0" w:color="45CBF5" w:themeColor="accent6" w:themeTint="99"/>
        </w:tcBorders>
      </w:tcPr>
    </w:tblStylePr>
    <w:tblStylePr w:type="firstCol">
      <w:rPr>
        <w:b/>
        <w:bCs/>
      </w:rPr>
    </w:tblStylePr>
    <w:tblStylePr w:type="lastCol">
      <w:rPr>
        <w:b/>
        <w:bCs/>
      </w:rPr>
    </w:tblStylePr>
  </w:style>
  <w:style w:type="table" w:customStyle="1" w:styleId="Tabelasvetlamrea2poudarek11">
    <w:name w:val="Tabela – svetla mreža 2 (poudarek 1)1"/>
    <w:basedOn w:val="Navadnatabela"/>
    <w:uiPriority w:val="47"/>
    <w:rsid w:val="007041AF"/>
    <w:pPr>
      <w:spacing w:before="0" w:after="0" w:line="240" w:lineRule="auto"/>
    </w:pPr>
    <w:rPr>
      <w:rFonts w:ascii="Times New Roman" w:eastAsia="Times New Roman" w:hAnsi="Times New Roman" w:cs="Times New Roman"/>
      <w:lang w:eastAsia="sl-SI"/>
    </w:rPr>
    <w:tblPr>
      <w:tblStyleRowBandSize w:val="1"/>
      <w:tblStyleColBandSize w:val="1"/>
      <w:tblInd w:w="0" w:type="dxa"/>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CellMar>
        <w:top w:w="0" w:type="dxa"/>
        <w:left w:w="108" w:type="dxa"/>
        <w:bottom w:w="0" w:type="dxa"/>
        <w:right w:w="108" w:type="dxa"/>
      </w:tblCellMar>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customStyle="1" w:styleId="Tabelabarvniseznam6poudarek51">
    <w:name w:val="Tabela – barvni seznam 6 (poudarek 5)1"/>
    <w:basedOn w:val="Navadnatabela"/>
    <w:uiPriority w:val="51"/>
    <w:rsid w:val="007041AF"/>
    <w:pPr>
      <w:spacing w:before="0" w:after="0" w:line="240" w:lineRule="auto"/>
    </w:pPr>
    <w:rPr>
      <w:rFonts w:ascii="Times New Roman" w:eastAsia="Times New Roman" w:hAnsi="Times New Roman" w:cs="Times New Roman"/>
      <w:color w:val="318B98" w:themeColor="accent5" w:themeShade="BF"/>
      <w:lang w:eastAsia="sl-SI"/>
    </w:rPr>
    <w:tblPr>
      <w:tblStyleRowBandSize w:val="1"/>
      <w:tblStyleColBandSize w:val="1"/>
      <w:tblInd w:w="0" w:type="dxa"/>
      <w:tblBorders>
        <w:top w:val="single" w:sz="4" w:space="0" w:color="4AB5C4" w:themeColor="accent5"/>
        <w:bottom w:val="single" w:sz="4" w:space="0" w:color="4AB5C4" w:themeColor="accent5"/>
      </w:tblBorders>
      <w:tblCellMar>
        <w:top w:w="0" w:type="dxa"/>
        <w:left w:w="108" w:type="dxa"/>
        <w:bottom w:w="0" w:type="dxa"/>
        <w:right w:w="108" w:type="dxa"/>
      </w:tblCellMar>
    </w:tblPr>
    <w:tblStylePr w:type="firstRow">
      <w:rPr>
        <w:b/>
        <w:bCs/>
      </w:rPr>
      <w:tblPr/>
      <w:tcPr>
        <w:tcBorders>
          <w:bottom w:val="single" w:sz="4" w:space="0" w:color="4AB5C4" w:themeColor="accent5"/>
        </w:tcBorders>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customStyle="1" w:styleId="Tabelaseznam4poudarek51">
    <w:name w:val="Tabela – seznam 4 (poudarek 5)1"/>
    <w:basedOn w:val="Navadnatabela"/>
    <w:uiPriority w:val="49"/>
    <w:rsid w:val="007041AF"/>
    <w:pPr>
      <w:spacing w:before="0" w:after="0" w:line="240" w:lineRule="auto"/>
    </w:pPr>
    <w:rPr>
      <w:rFonts w:ascii="Times New Roman" w:eastAsia="Times New Roman" w:hAnsi="Times New Roman" w:cs="Times New Roman"/>
      <w:lang w:eastAsia="sl-SI"/>
    </w:rPr>
    <w:tblPr>
      <w:tblStyleRowBandSize w:val="1"/>
      <w:tblStyleColBandSize w:val="1"/>
      <w:tblInd w:w="0" w:type="dxa"/>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tcBorders>
        <w:shd w:val="clear" w:color="auto" w:fill="4AB5C4" w:themeFill="accent5"/>
      </w:tcPr>
    </w:tblStylePr>
    <w:tblStylePr w:type="lastRow">
      <w:rPr>
        <w:b/>
        <w:bCs/>
      </w:rPr>
      <w:tblPr/>
      <w:tcPr>
        <w:tcBorders>
          <w:top w:val="double" w:sz="4" w:space="0" w:color="92D2DB" w:themeColor="accent5" w:themeTint="99"/>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customStyle="1" w:styleId="Tabelaseznam4poudarek61">
    <w:name w:val="Tabela – seznam 4 (poudarek 6)1"/>
    <w:basedOn w:val="Navadnatabela"/>
    <w:uiPriority w:val="49"/>
    <w:rsid w:val="007041AF"/>
    <w:pPr>
      <w:spacing w:before="0" w:after="0" w:line="240" w:lineRule="auto"/>
    </w:pPr>
    <w:rPr>
      <w:rFonts w:ascii="Times New Roman" w:eastAsia="Times New Roman" w:hAnsi="Times New Roman" w:cs="Times New Roman"/>
      <w:lang w:eastAsia="sl-SI"/>
    </w:rPr>
    <w:tblPr>
      <w:tblStyleRowBandSize w:val="1"/>
      <w:tblStyleColBandSize w:val="1"/>
      <w:tblInd w:w="0" w:type="dxa"/>
      <w:tbl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insideH w:val="single" w:sz="4" w:space="0" w:color="45CBF5"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989B1" w:themeColor="accent6"/>
          <w:left w:val="single" w:sz="4" w:space="0" w:color="0989B1" w:themeColor="accent6"/>
          <w:bottom w:val="single" w:sz="4" w:space="0" w:color="0989B1" w:themeColor="accent6"/>
          <w:right w:val="single" w:sz="4" w:space="0" w:color="0989B1" w:themeColor="accent6"/>
          <w:insideH w:val="nil"/>
        </w:tcBorders>
        <w:shd w:val="clear" w:color="auto" w:fill="0989B1" w:themeFill="accent6"/>
      </w:tcPr>
    </w:tblStylePr>
    <w:tblStylePr w:type="lastRow">
      <w:rPr>
        <w:b/>
        <w:bCs/>
      </w:rPr>
      <w:tblPr/>
      <w:tcPr>
        <w:tcBorders>
          <w:top w:val="double" w:sz="4" w:space="0" w:color="45CBF5" w:themeColor="accent6" w:themeTint="99"/>
        </w:tcBorders>
      </w:tcPr>
    </w:tblStylePr>
    <w:tblStylePr w:type="firstCol">
      <w:rPr>
        <w:b/>
        <w:bCs/>
      </w:rPr>
    </w:tblStylePr>
    <w:tblStylePr w:type="lastCol">
      <w:rPr>
        <w:b/>
        <w:bCs/>
      </w:rPr>
    </w:tblStylePr>
    <w:tblStylePr w:type="band1Vert">
      <w:tblPr/>
      <w:tcPr>
        <w:shd w:val="clear" w:color="auto" w:fill="C1EDFC" w:themeFill="accent6" w:themeFillTint="33"/>
      </w:tcPr>
    </w:tblStylePr>
    <w:tblStylePr w:type="band1Horz">
      <w:tblPr/>
      <w:tcPr>
        <w:shd w:val="clear" w:color="auto" w:fill="C1EDFC" w:themeFill="accent6" w:themeFillTint="33"/>
      </w:tcPr>
    </w:tblStylePr>
  </w:style>
  <w:style w:type="paragraph" w:customStyle="1" w:styleId="DZnavaden">
    <w:name w:val="DZ_navaden"/>
    <w:link w:val="DZnavadenZnakZnak"/>
    <w:rsid w:val="007041AF"/>
    <w:pPr>
      <w:spacing w:before="0" w:after="160" w:line="240" w:lineRule="auto"/>
      <w:jc w:val="both"/>
    </w:pPr>
    <w:rPr>
      <w:rFonts w:ascii="MetaNormalCE-Roman" w:eastAsia="Times New Roman" w:hAnsi="MetaNormalCE-Roman" w:cs="Times New Roman"/>
      <w:sz w:val="22"/>
      <w:lang w:eastAsia="sl-SI"/>
    </w:rPr>
  </w:style>
  <w:style w:type="character" w:customStyle="1" w:styleId="DZnavadenZnakZnak">
    <w:name w:val="DZ_navaden Znak Znak"/>
    <w:link w:val="DZnavaden"/>
    <w:rsid w:val="007041AF"/>
    <w:rPr>
      <w:rFonts w:ascii="MetaNormalCE-Roman" w:eastAsia="Times New Roman" w:hAnsi="MetaNormalCE-Roman" w:cs="Times New Roman"/>
      <w:sz w:val="22"/>
      <w:lang w:eastAsia="sl-SI"/>
    </w:rPr>
  </w:style>
  <w:style w:type="character" w:customStyle="1" w:styleId="DZnavadenbold">
    <w:name w:val="DZ_navaden(bold)"/>
    <w:rsid w:val="007041AF"/>
    <w:rPr>
      <w:rFonts w:ascii="MetaMediumCE-Roman" w:hAnsi="MetaMediumCE-Roman"/>
      <w:b/>
      <w:sz w:val="22"/>
    </w:rPr>
  </w:style>
  <w:style w:type="character" w:customStyle="1" w:styleId="KGnavadenbold">
    <w:name w:val="KG_navaden(bold)"/>
    <w:rsid w:val="007041AF"/>
    <w:rPr>
      <w:rFonts w:ascii="MetaMediumCE-Roman" w:hAnsi="MetaMediumCE-Roman"/>
      <w:b/>
    </w:rPr>
  </w:style>
  <w:style w:type="character" w:customStyle="1" w:styleId="leftside">
    <w:name w:val="left_side"/>
    <w:basedOn w:val="Privzetapisavaodstavka"/>
    <w:rsid w:val="003C7F55"/>
  </w:style>
  <w:style w:type="character" w:customStyle="1" w:styleId="rightside">
    <w:name w:val="right_side"/>
    <w:basedOn w:val="Privzetapisavaodstavka"/>
    <w:rsid w:val="003C7F55"/>
  </w:style>
  <w:style w:type="table" w:customStyle="1" w:styleId="Tabelamrea4poudarek51">
    <w:name w:val="Tabela – mreža 4 (poudarek 5)1"/>
    <w:basedOn w:val="Navadnatabela"/>
    <w:uiPriority w:val="49"/>
    <w:rsid w:val="00EE3A10"/>
    <w:pPr>
      <w:spacing w:after="0" w:line="240" w:lineRule="auto"/>
    </w:pPr>
    <w:tblPr>
      <w:tblStyleRowBandSize w:val="1"/>
      <w:tblStyleColBandSize w:val="1"/>
      <w:tblInd w:w="0" w:type="dxa"/>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insideV w:val="nil"/>
        </w:tcBorders>
        <w:shd w:val="clear" w:color="auto" w:fill="4AB5C4" w:themeFill="accent5"/>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customStyle="1" w:styleId="Tabelaseznam4poudarek21">
    <w:name w:val="Tabela – seznam 4 (poudarek 2)1"/>
    <w:basedOn w:val="Navadnatabela"/>
    <w:uiPriority w:val="49"/>
    <w:rsid w:val="00DA6928"/>
    <w:pPr>
      <w:spacing w:after="0" w:line="240" w:lineRule="auto"/>
    </w:pPr>
    <w:tblPr>
      <w:tblStyleRowBandSize w:val="1"/>
      <w:tblStyleColBandSize w:val="1"/>
      <w:tblInd w:w="0" w:type="dxa"/>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AB833" w:themeColor="accent2"/>
          <w:left w:val="single" w:sz="4" w:space="0" w:color="8AB833" w:themeColor="accent2"/>
          <w:bottom w:val="single" w:sz="4" w:space="0" w:color="8AB833" w:themeColor="accent2"/>
          <w:right w:val="single" w:sz="4" w:space="0" w:color="8AB833" w:themeColor="accent2"/>
          <w:insideH w:val="nil"/>
        </w:tcBorders>
        <w:shd w:val="clear" w:color="auto" w:fill="8AB833" w:themeFill="accent2"/>
      </w:tcPr>
    </w:tblStylePr>
    <w:tblStylePr w:type="lastRow">
      <w:rPr>
        <w:b/>
        <w:bCs/>
      </w:rPr>
      <w:tblPr/>
      <w:tcPr>
        <w:tcBorders>
          <w:top w:val="double" w:sz="4" w:space="0" w:color="BADB7D" w:themeColor="accent2" w:themeTint="99"/>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character" w:styleId="SledenaHiperpovezava">
    <w:name w:val="FollowedHyperlink"/>
    <w:basedOn w:val="Privzetapisavaodstavka"/>
    <w:uiPriority w:val="99"/>
    <w:semiHidden/>
    <w:unhideWhenUsed/>
    <w:rsid w:val="00E82881"/>
    <w:rPr>
      <w:color w:val="BA6906" w:themeColor="followedHyperlink"/>
      <w:u w:val="single"/>
    </w:rPr>
  </w:style>
  <w:style w:type="character" w:customStyle="1" w:styleId="Nerazreenaomemba10">
    <w:name w:val="Nerazrešena omemba1"/>
    <w:basedOn w:val="Privzetapisavaodstavka"/>
    <w:uiPriority w:val="99"/>
    <w:semiHidden/>
    <w:unhideWhenUsed/>
    <w:rsid w:val="00CD7D4F"/>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rsid w:val="00E971C6"/>
    <w:pPr>
      <w:spacing w:before="0" w:after="160" w:line="240" w:lineRule="exact"/>
      <w:jc w:val="both"/>
    </w:pPr>
    <w:rPr>
      <w:vertAlign w:val="superscript"/>
    </w:rPr>
  </w:style>
  <w:style w:type="character" w:customStyle="1" w:styleId="Nerazreenaomemba2">
    <w:name w:val="Nerazrešena omemba2"/>
    <w:basedOn w:val="Privzetapisavaodstavka"/>
    <w:uiPriority w:val="99"/>
    <w:semiHidden/>
    <w:unhideWhenUsed/>
    <w:rsid w:val="00E75A13"/>
    <w:rPr>
      <w:color w:val="605E5C"/>
      <w:shd w:val="clear" w:color="auto" w:fill="E1DFDD"/>
    </w:rPr>
  </w:style>
  <w:style w:type="paragraph" w:customStyle="1" w:styleId="msonormal0">
    <w:name w:val="msonormal"/>
    <w:basedOn w:val="Navaden"/>
    <w:uiPriority w:val="99"/>
    <w:semiHidden/>
    <w:rsid w:val="003C2935"/>
    <w:pPr>
      <w:spacing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2F2B4E"/>
  </w:style>
  <w:style w:type="table" w:customStyle="1" w:styleId="Tabelamrea4poudarek11">
    <w:name w:val="Tabela – mreža 4 (poudarek 1)1"/>
    <w:basedOn w:val="Navadnatabela"/>
    <w:uiPriority w:val="49"/>
    <w:rsid w:val="00027430"/>
    <w:pPr>
      <w:spacing w:after="0" w:line="240" w:lineRule="auto"/>
    </w:pPr>
    <w:tblPr>
      <w:tblStyleRowBandSize w:val="1"/>
      <w:tblStyleColBandSize w:val="1"/>
      <w:tblInd w:w="0" w:type="dxa"/>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customStyle="1" w:styleId="GridTable5DarkAccent1">
    <w:name w:val="Grid Table 5 Dark Accent 1"/>
    <w:basedOn w:val="Navadnatabela"/>
    <w:uiPriority w:val="50"/>
    <w:rsid w:val="000570EF"/>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F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49E3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49E3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49E3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49E39" w:themeFill="accent1"/>
      </w:tcPr>
    </w:tblStylePr>
    <w:tblStylePr w:type="band1Vert">
      <w:tblPr/>
      <w:tcPr>
        <w:shd w:val="clear" w:color="auto" w:fill="B7DFA8" w:themeFill="accent1" w:themeFillTint="66"/>
      </w:tcPr>
    </w:tblStylePr>
    <w:tblStylePr w:type="band1Horz">
      <w:tblPr/>
      <w:tcPr>
        <w:shd w:val="clear" w:color="auto" w:fill="B7DFA8"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0256">
      <w:bodyDiv w:val="1"/>
      <w:marLeft w:val="0"/>
      <w:marRight w:val="0"/>
      <w:marTop w:val="0"/>
      <w:marBottom w:val="0"/>
      <w:divBdr>
        <w:top w:val="none" w:sz="0" w:space="0" w:color="auto"/>
        <w:left w:val="none" w:sz="0" w:space="0" w:color="auto"/>
        <w:bottom w:val="none" w:sz="0" w:space="0" w:color="auto"/>
        <w:right w:val="none" w:sz="0" w:space="0" w:color="auto"/>
      </w:divBdr>
    </w:div>
    <w:div w:id="85002009">
      <w:bodyDiv w:val="1"/>
      <w:marLeft w:val="0"/>
      <w:marRight w:val="0"/>
      <w:marTop w:val="0"/>
      <w:marBottom w:val="0"/>
      <w:divBdr>
        <w:top w:val="none" w:sz="0" w:space="0" w:color="auto"/>
        <w:left w:val="none" w:sz="0" w:space="0" w:color="auto"/>
        <w:bottom w:val="none" w:sz="0" w:space="0" w:color="auto"/>
        <w:right w:val="none" w:sz="0" w:space="0" w:color="auto"/>
      </w:divBdr>
    </w:div>
    <w:div w:id="100611612">
      <w:bodyDiv w:val="1"/>
      <w:marLeft w:val="0"/>
      <w:marRight w:val="0"/>
      <w:marTop w:val="0"/>
      <w:marBottom w:val="0"/>
      <w:divBdr>
        <w:top w:val="none" w:sz="0" w:space="0" w:color="auto"/>
        <w:left w:val="none" w:sz="0" w:space="0" w:color="auto"/>
        <w:bottom w:val="none" w:sz="0" w:space="0" w:color="auto"/>
        <w:right w:val="none" w:sz="0" w:space="0" w:color="auto"/>
      </w:divBdr>
    </w:div>
    <w:div w:id="170067076">
      <w:bodyDiv w:val="1"/>
      <w:marLeft w:val="0"/>
      <w:marRight w:val="0"/>
      <w:marTop w:val="0"/>
      <w:marBottom w:val="0"/>
      <w:divBdr>
        <w:top w:val="none" w:sz="0" w:space="0" w:color="auto"/>
        <w:left w:val="none" w:sz="0" w:space="0" w:color="auto"/>
        <w:bottom w:val="none" w:sz="0" w:space="0" w:color="auto"/>
        <w:right w:val="none" w:sz="0" w:space="0" w:color="auto"/>
      </w:divBdr>
    </w:div>
    <w:div w:id="251817088">
      <w:bodyDiv w:val="1"/>
      <w:marLeft w:val="0"/>
      <w:marRight w:val="0"/>
      <w:marTop w:val="0"/>
      <w:marBottom w:val="0"/>
      <w:divBdr>
        <w:top w:val="none" w:sz="0" w:space="0" w:color="auto"/>
        <w:left w:val="none" w:sz="0" w:space="0" w:color="auto"/>
        <w:bottom w:val="none" w:sz="0" w:space="0" w:color="auto"/>
        <w:right w:val="none" w:sz="0" w:space="0" w:color="auto"/>
      </w:divBdr>
    </w:div>
    <w:div w:id="384833964">
      <w:bodyDiv w:val="1"/>
      <w:marLeft w:val="0"/>
      <w:marRight w:val="0"/>
      <w:marTop w:val="0"/>
      <w:marBottom w:val="0"/>
      <w:divBdr>
        <w:top w:val="none" w:sz="0" w:space="0" w:color="auto"/>
        <w:left w:val="none" w:sz="0" w:space="0" w:color="auto"/>
        <w:bottom w:val="none" w:sz="0" w:space="0" w:color="auto"/>
        <w:right w:val="none" w:sz="0" w:space="0" w:color="auto"/>
      </w:divBdr>
    </w:div>
    <w:div w:id="416710196">
      <w:bodyDiv w:val="1"/>
      <w:marLeft w:val="0"/>
      <w:marRight w:val="0"/>
      <w:marTop w:val="0"/>
      <w:marBottom w:val="0"/>
      <w:divBdr>
        <w:top w:val="none" w:sz="0" w:space="0" w:color="auto"/>
        <w:left w:val="none" w:sz="0" w:space="0" w:color="auto"/>
        <w:bottom w:val="none" w:sz="0" w:space="0" w:color="auto"/>
        <w:right w:val="none" w:sz="0" w:space="0" w:color="auto"/>
      </w:divBdr>
    </w:div>
    <w:div w:id="504980641">
      <w:bodyDiv w:val="1"/>
      <w:marLeft w:val="0"/>
      <w:marRight w:val="0"/>
      <w:marTop w:val="0"/>
      <w:marBottom w:val="0"/>
      <w:divBdr>
        <w:top w:val="none" w:sz="0" w:space="0" w:color="auto"/>
        <w:left w:val="none" w:sz="0" w:space="0" w:color="auto"/>
        <w:bottom w:val="none" w:sz="0" w:space="0" w:color="auto"/>
        <w:right w:val="none" w:sz="0" w:space="0" w:color="auto"/>
      </w:divBdr>
    </w:div>
    <w:div w:id="903443447">
      <w:bodyDiv w:val="1"/>
      <w:marLeft w:val="0"/>
      <w:marRight w:val="0"/>
      <w:marTop w:val="0"/>
      <w:marBottom w:val="0"/>
      <w:divBdr>
        <w:top w:val="none" w:sz="0" w:space="0" w:color="auto"/>
        <w:left w:val="none" w:sz="0" w:space="0" w:color="auto"/>
        <w:bottom w:val="none" w:sz="0" w:space="0" w:color="auto"/>
        <w:right w:val="none" w:sz="0" w:space="0" w:color="auto"/>
      </w:divBdr>
    </w:div>
    <w:div w:id="974915466">
      <w:bodyDiv w:val="1"/>
      <w:marLeft w:val="0"/>
      <w:marRight w:val="0"/>
      <w:marTop w:val="0"/>
      <w:marBottom w:val="0"/>
      <w:divBdr>
        <w:top w:val="none" w:sz="0" w:space="0" w:color="auto"/>
        <w:left w:val="none" w:sz="0" w:space="0" w:color="auto"/>
        <w:bottom w:val="none" w:sz="0" w:space="0" w:color="auto"/>
        <w:right w:val="none" w:sz="0" w:space="0" w:color="auto"/>
      </w:divBdr>
    </w:div>
    <w:div w:id="995261578">
      <w:bodyDiv w:val="1"/>
      <w:marLeft w:val="0"/>
      <w:marRight w:val="0"/>
      <w:marTop w:val="0"/>
      <w:marBottom w:val="0"/>
      <w:divBdr>
        <w:top w:val="none" w:sz="0" w:space="0" w:color="auto"/>
        <w:left w:val="none" w:sz="0" w:space="0" w:color="auto"/>
        <w:bottom w:val="none" w:sz="0" w:space="0" w:color="auto"/>
        <w:right w:val="none" w:sz="0" w:space="0" w:color="auto"/>
      </w:divBdr>
    </w:div>
    <w:div w:id="1059091012">
      <w:bodyDiv w:val="1"/>
      <w:marLeft w:val="0"/>
      <w:marRight w:val="0"/>
      <w:marTop w:val="0"/>
      <w:marBottom w:val="0"/>
      <w:divBdr>
        <w:top w:val="none" w:sz="0" w:space="0" w:color="auto"/>
        <w:left w:val="none" w:sz="0" w:space="0" w:color="auto"/>
        <w:bottom w:val="none" w:sz="0" w:space="0" w:color="auto"/>
        <w:right w:val="none" w:sz="0" w:space="0" w:color="auto"/>
      </w:divBdr>
    </w:div>
    <w:div w:id="1075666571">
      <w:bodyDiv w:val="1"/>
      <w:marLeft w:val="0"/>
      <w:marRight w:val="0"/>
      <w:marTop w:val="0"/>
      <w:marBottom w:val="0"/>
      <w:divBdr>
        <w:top w:val="none" w:sz="0" w:space="0" w:color="auto"/>
        <w:left w:val="none" w:sz="0" w:space="0" w:color="auto"/>
        <w:bottom w:val="none" w:sz="0" w:space="0" w:color="auto"/>
        <w:right w:val="none" w:sz="0" w:space="0" w:color="auto"/>
      </w:divBdr>
    </w:div>
    <w:div w:id="1107887321">
      <w:bodyDiv w:val="1"/>
      <w:marLeft w:val="0"/>
      <w:marRight w:val="0"/>
      <w:marTop w:val="0"/>
      <w:marBottom w:val="0"/>
      <w:divBdr>
        <w:top w:val="none" w:sz="0" w:space="0" w:color="auto"/>
        <w:left w:val="none" w:sz="0" w:space="0" w:color="auto"/>
        <w:bottom w:val="none" w:sz="0" w:space="0" w:color="auto"/>
        <w:right w:val="none" w:sz="0" w:space="0" w:color="auto"/>
      </w:divBdr>
      <w:divsChild>
        <w:div w:id="921111144">
          <w:marLeft w:val="0"/>
          <w:marRight w:val="0"/>
          <w:marTop w:val="0"/>
          <w:marBottom w:val="0"/>
          <w:divBdr>
            <w:top w:val="none" w:sz="0" w:space="0" w:color="auto"/>
            <w:left w:val="none" w:sz="0" w:space="0" w:color="auto"/>
            <w:bottom w:val="none" w:sz="0" w:space="0" w:color="auto"/>
            <w:right w:val="none" w:sz="0" w:space="0" w:color="auto"/>
          </w:divBdr>
        </w:div>
      </w:divsChild>
    </w:div>
    <w:div w:id="1261912197">
      <w:bodyDiv w:val="1"/>
      <w:marLeft w:val="0"/>
      <w:marRight w:val="0"/>
      <w:marTop w:val="0"/>
      <w:marBottom w:val="0"/>
      <w:divBdr>
        <w:top w:val="none" w:sz="0" w:space="0" w:color="auto"/>
        <w:left w:val="none" w:sz="0" w:space="0" w:color="auto"/>
        <w:bottom w:val="none" w:sz="0" w:space="0" w:color="auto"/>
        <w:right w:val="none" w:sz="0" w:space="0" w:color="auto"/>
      </w:divBdr>
    </w:div>
    <w:div w:id="1318998383">
      <w:bodyDiv w:val="1"/>
      <w:marLeft w:val="0"/>
      <w:marRight w:val="0"/>
      <w:marTop w:val="0"/>
      <w:marBottom w:val="0"/>
      <w:divBdr>
        <w:top w:val="none" w:sz="0" w:space="0" w:color="auto"/>
        <w:left w:val="none" w:sz="0" w:space="0" w:color="auto"/>
        <w:bottom w:val="none" w:sz="0" w:space="0" w:color="auto"/>
        <w:right w:val="none" w:sz="0" w:space="0" w:color="auto"/>
      </w:divBdr>
    </w:div>
    <w:div w:id="1341397508">
      <w:bodyDiv w:val="1"/>
      <w:marLeft w:val="0"/>
      <w:marRight w:val="0"/>
      <w:marTop w:val="0"/>
      <w:marBottom w:val="0"/>
      <w:divBdr>
        <w:top w:val="none" w:sz="0" w:space="0" w:color="auto"/>
        <w:left w:val="none" w:sz="0" w:space="0" w:color="auto"/>
        <w:bottom w:val="none" w:sz="0" w:space="0" w:color="auto"/>
        <w:right w:val="none" w:sz="0" w:space="0" w:color="auto"/>
      </w:divBdr>
      <w:divsChild>
        <w:div w:id="1992103092">
          <w:marLeft w:val="0"/>
          <w:marRight w:val="0"/>
          <w:marTop w:val="0"/>
          <w:marBottom w:val="0"/>
          <w:divBdr>
            <w:top w:val="none" w:sz="0" w:space="0" w:color="auto"/>
            <w:left w:val="none" w:sz="0" w:space="0" w:color="auto"/>
            <w:bottom w:val="none" w:sz="0" w:space="0" w:color="auto"/>
            <w:right w:val="none" w:sz="0" w:space="0" w:color="auto"/>
          </w:divBdr>
          <w:divsChild>
            <w:div w:id="613901442">
              <w:marLeft w:val="0"/>
              <w:marRight w:val="0"/>
              <w:marTop w:val="0"/>
              <w:marBottom w:val="0"/>
              <w:divBdr>
                <w:top w:val="none" w:sz="0" w:space="0" w:color="auto"/>
                <w:left w:val="none" w:sz="0" w:space="0" w:color="auto"/>
                <w:bottom w:val="none" w:sz="0" w:space="0" w:color="auto"/>
                <w:right w:val="none" w:sz="0" w:space="0" w:color="auto"/>
              </w:divBdr>
              <w:divsChild>
                <w:div w:id="1699773069">
                  <w:marLeft w:val="0"/>
                  <w:marRight w:val="0"/>
                  <w:marTop w:val="0"/>
                  <w:marBottom w:val="0"/>
                  <w:divBdr>
                    <w:top w:val="none" w:sz="0" w:space="0" w:color="auto"/>
                    <w:left w:val="none" w:sz="0" w:space="0" w:color="auto"/>
                    <w:bottom w:val="none" w:sz="0" w:space="0" w:color="auto"/>
                    <w:right w:val="none" w:sz="0" w:space="0" w:color="auto"/>
                  </w:divBdr>
                  <w:divsChild>
                    <w:div w:id="906184935">
                      <w:marLeft w:val="0"/>
                      <w:marRight w:val="0"/>
                      <w:marTop w:val="0"/>
                      <w:marBottom w:val="0"/>
                      <w:divBdr>
                        <w:top w:val="none" w:sz="0" w:space="0" w:color="auto"/>
                        <w:left w:val="none" w:sz="0" w:space="0" w:color="auto"/>
                        <w:bottom w:val="none" w:sz="0" w:space="0" w:color="auto"/>
                        <w:right w:val="none" w:sz="0" w:space="0" w:color="auto"/>
                      </w:divBdr>
                      <w:divsChild>
                        <w:div w:id="2059016055">
                          <w:marLeft w:val="0"/>
                          <w:marRight w:val="0"/>
                          <w:marTop w:val="0"/>
                          <w:marBottom w:val="0"/>
                          <w:divBdr>
                            <w:top w:val="none" w:sz="0" w:space="0" w:color="auto"/>
                            <w:left w:val="none" w:sz="0" w:space="0" w:color="auto"/>
                            <w:bottom w:val="none" w:sz="0" w:space="0" w:color="auto"/>
                            <w:right w:val="none" w:sz="0" w:space="0" w:color="auto"/>
                          </w:divBdr>
                          <w:divsChild>
                            <w:div w:id="116677595">
                              <w:marLeft w:val="0"/>
                              <w:marRight w:val="0"/>
                              <w:marTop w:val="0"/>
                              <w:marBottom w:val="0"/>
                              <w:divBdr>
                                <w:top w:val="none" w:sz="0" w:space="0" w:color="auto"/>
                                <w:left w:val="none" w:sz="0" w:space="0" w:color="auto"/>
                                <w:bottom w:val="none" w:sz="0" w:space="0" w:color="auto"/>
                                <w:right w:val="none" w:sz="0" w:space="0" w:color="auto"/>
                              </w:divBdr>
                              <w:divsChild>
                                <w:div w:id="350453382">
                                  <w:marLeft w:val="0"/>
                                  <w:marRight w:val="0"/>
                                  <w:marTop w:val="0"/>
                                  <w:marBottom w:val="0"/>
                                  <w:divBdr>
                                    <w:top w:val="none" w:sz="0" w:space="0" w:color="auto"/>
                                    <w:left w:val="none" w:sz="0" w:space="0" w:color="auto"/>
                                    <w:bottom w:val="none" w:sz="0" w:space="0" w:color="auto"/>
                                    <w:right w:val="none" w:sz="0" w:space="0" w:color="auto"/>
                                  </w:divBdr>
                                  <w:divsChild>
                                    <w:div w:id="1698003847">
                                      <w:marLeft w:val="0"/>
                                      <w:marRight w:val="0"/>
                                      <w:marTop w:val="0"/>
                                      <w:marBottom w:val="0"/>
                                      <w:divBdr>
                                        <w:top w:val="none" w:sz="0" w:space="0" w:color="auto"/>
                                        <w:left w:val="none" w:sz="0" w:space="0" w:color="auto"/>
                                        <w:bottom w:val="none" w:sz="0" w:space="0" w:color="auto"/>
                                        <w:right w:val="none" w:sz="0" w:space="0" w:color="auto"/>
                                      </w:divBdr>
                                      <w:divsChild>
                                        <w:div w:id="1980956768">
                                          <w:marLeft w:val="0"/>
                                          <w:marRight w:val="0"/>
                                          <w:marTop w:val="0"/>
                                          <w:marBottom w:val="495"/>
                                          <w:divBdr>
                                            <w:top w:val="none" w:sz="0" w:space="0" w:color="auto"/>
                                            <w:left w:val="none" w:sz="0" w:space="0" w:color="auto"/>
                                            <w:bottom w:val="none" w:sz="0" w:space="0" w:color="auto"/>
                                            <w:right w:val="none" w:sz="0" w:space="0" w:color="auto"/>
                                          </w:divBdr>
                                          <w:divsChild>
                                            <w:div w:id="198438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914229">
      <w:bodyDiv w:val="1"/>
      <w:marLeft w:val="0"/>
      <w:marRight w:val="0"/>
      <w:marTop w:val="0"/>
      <w:marBottom w:val="0"/>
      <w:divBdr>
        <w:top w:val="none" w:sz="0" w:space="0" w:color="auto"/>
        <w:left w:val="none" w:sz="0" w:space="0" w:color="auto"/>
        <w:bottom w:val="none" w:sz="0" w:space="0" w:color="auto"/>
        <w:right w:val="none" w:sz="0" w:space="0" w:color="auto"/>
      </w:divBdr>
      <w:divsChild>
        <w:div w:id="1846288211">
          <w:marLeft w:val="0"/>
          <w:marRight w:val="0"/>
          <w:marTop w:val="0"/>
          <w:marBottom w:val="0"/>
          <w:divBdr>
            <w:top w:val="none" w:sz="0" w:space="0" w:color="auto"/>
            <w:left w:val="none" w:sz="0" w:space="0" w:color="auto"/>
            <w:bottom w:val="none" w:sz="0" w:space="0" w:color="auto"/>
            <w:right w:val="none" w:sz="0" w:space="0" w:color="auto"/>
          </w:divBdr>
          <w:divsChild>
            <w:div w:id="2093771363">
              <w:marLeft w:val="0"/>
              <w:marRight w:val="0"/>
              <w:marTop w:val="0"/>
              <w:marBottom w:val="0"/>
              <w:divBdr>
                <w:top w:val="none" w:sz="0" w:space="0" w:color="auto"/>
                <w:left w:val="none" w:sz="0" w:space="0" w:color="auto"/>
                <w:bottom w:val="none" w:sz="0" w:space="0" w:color="auto"/>
                <w:right w:val="none" w:sz="0" w:space="0" w:color="auto"/>
              </w:divBdr>
              <w:divsChild>
                <w:div w:id="1549296640">
                  <w:marLeft w:val="0"/>
                  <w:marRight w:val="0"/>
                  <w:marTop w:val="0"/>
                  <w:marBottom w:val="0"/>
                  <w:divBdr>
                    <w:top w:val="none" w:sz="0" w:space="0" w:color="auto"/>
                    <w:left w:val="none" w:sz="0" w:space="0" w:color="auto"/>
                    <w:bottom w:val="none" w:sz="0" w:space="0" w:color="auto"/>
                    <w:right w:val="none" w:sz="0" w:space="0" w:color="auto"/>
                  </w:divBdr>
                  <w:divsChild>
                    <w:div w:id="1741630259">
                      <w:marLeft w:val="0"/>
                      <w:marRight w:val="0"/>
                      <w:marTop w:val="0"/>
                      <w:marBottom w:val="0"/>
                      <w:divBdr>
                        <w:top w:val="none" w:sz="0" w:space="0" w:color="auto"/>
                        <w:left w:val="none" w:sz="0" w:space="0" w:color="auto"/>
                        <w:bottom w:val="none" w:sz="0" w:space="0" w:color="auto"/>
                        <w:right w:val="none" w:sz="0" w:space="0" w:color="auto"/>
                      </w:divBdr>
                      <w:divsChild>
                        <w:div w:id="15486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529531">
      <w:bodyDiv w:val="1"/>
      <w:marLeft w:val="0"/>
      <w:marRight w:val="0"/>
      <w:marTop w:val="0"/>
      <w:marBottom w:val="0"/>
      <w:divBdr>
        <w:top w:val="none" w:sz="0" w:space="0" w:color="auto"/>
        <w:left w:val="none" w:sz="0" w:space="0" w:color="auto"/>
        <w:bottom w:val="none" w:sz="0" w:space="0" w:color="auto"/>
        <w:right w:val="none" w:sz="0" w:space="0" w:color="auto"/>
      </w:divBdr>
    </w:div>
    <w:div w:id="1498114659">
      <w:bodyDiv w:val="1"/>
      <w:marLeft w:val="0"/>
      <w:marRight w:val="0"/>
      <w:marTop w:val="0"/>
      <w:marBottom w:val="0"/>
      <w:divBdr>
        <w:top w:val="none" w:sz="0" w:space="0" w:color="auto"/>
        <w:left w:val="none" w:sz="0" w:space="0" w:color="auto"/>
        <w:bottom w:val="none" w:sz="0" w:space="0" w:color="auto"/>
        <w:right w:val="none" w:sz="0" w:space="0" w:color="auto"/>
      </w:divBdr>
    </w:div>
    <w:div w:id="1499227217">
      <w:bodyDiv w:val="1"/>
      <w:marLeft w:val="0"/>
      <w:marRight w:val="0"/>
      <w:marTop w:val="0"/>
      <w:marBottom w:val="0"/>
      <w:divBdr>
        <w:top w:val="none" w:sz="0" w:space="0" w:color="auto"/>
        <w:left w:val="none" w:sz="0" w:space="0" w:color="auto"/>
        <w:bottom w:val="none" w:sz="0" w:space="0" w:color="auto"/>
        <w:right w:val="none" w:sz="0" w:space="0" w:color="auto"/>
      </w:divBdr>
    </w:div>
    <w:div w:id="1525943685">
      <w:bodyDiv w:val="1"/>
      <w:marLeft w:val="0"/>
      <w:marRight w:val="0"/>
      <w:marTop w:val="0"/>
      <w:marBottom w:val="0"/>
      <w:divBdr>
        <w:top w:val="none" w:sz="0" w:space="0" w:color="auto"/>
        <w:left w:val="none" w:sz="0" w:space="0" w:color="auto"/>
        <w:bottom w:val="none" w:sz="0" w:space="0" w:color="auto"/>
        <w:right w:val="none" w:sz="0" w:space="0" w:color="auto"/>
      </w:divBdr>
    </w:div>
    <w:div w:id="1680041806">
      <w:bodyDiv w:val="1"/>
      <w:marLeft w:val="0"/>
      <w:marRight w:val="0"/>
      <w:marTop w:val="0"/>
      <w:marBottom w:val="0"/>
      <w:divBdr>
        <w:top w:val="none" w:sz="0" w:space="0" w:color="auto"/>
        <w:left w:val="none" w:sz="0" w:space="0" w:color="auto"/>
        <w:bottom w:val="none" w:sz="0" w:space="0" w:color="auto"/>
        <w:right w:val="none" w:sz="0" w:space="0" w:color="auto"/>
      </w:divBdr>
      <w:divsChild>
        <w:div w:id="400828764">
          <w:marLeft w:val="0"/>
          <w:marRight w:val="0"/>
          <w:marTop w:val="0"/>
          <w:marBottom w:val="300"/>
          <w:divBdr>
            <w:top w:val="none" w:sz="0" w:space="0" w:color="auto"/>
            <w:left w:val="none" w:sz="0" w:space="0" w:color="auto"/>
            <w:bottom w:val="none" w:sz="0" w:space="0" w:color="auto"/>
            <w:right w:val="none" w:sz="0" w:space="0" w:color="auto"/>
          </w:divBdr>
        </w:div>
        <w:div w:id="1027684207">
          <w:marLeft w:val="0"/>
          <w:marRight w:val="0"/>
          <w:marTop w:val="240"/>
          <w:marBottom w:val="240"/>
          <w:divBdr>
            <w:top w:val="none" w:sz="0" w:space="0" w:color="auto"/>
            <w:left w:val="none" w:sz="0" w:space="0" w:color="auto"/>
            <w:bottom w:val="none" w:sz="0" w:space="0" w:color="auto"/>
            <w:right w:val="none" w:sz="0" w:space="0" w:color="auto"/>
          </w:divBdr>
        </w:div>
        <w:div w:id="692925403">
          <w:marLeft w:val="0"/>
          <w:marRight w:val="0"/>
          <w:marTop w:val="0"/>
          <w:marBottom w:val="0"/>
          <w:divBdr>
            <w:top w:val="none" w:sz="0" w:space="0" w:color="auto"/>
            <w:left w:val="none" w:sz="0" w:space="0" w:color="auto"/>
            <w:bottom w:val="none" w:sz="0" w:space="0" w:color="auto"/>
            <w:right w:val="none" w:sz="0" w:space="0" w:color="auto"/>
          </w:divBdr>
        </w:div>
      </w:divsChild>
    </w:div>
    <w:div w:id="1791781918">
      <w:bodyDiv w:val="1"/>
      <w:marLeft w:val="0"/>
      <w:marRight w:val="0"/>
      <w:marTop w:val="0"/>
      <w:marBottom w:val="0"/>
      <w:divBdr>
        <w:top w:val="none" w:sz="0" w:space="0" w:color="auto"/>
        <w:left w:val="none" w:sz="0" w:space="0" w:color="auto"/>
        <w:bottom w:val="none" w:sz="0" w:space="0" w:color="auto"/>
        <w:right w:val="none" w:sz="0" w:space="0" w:color="auto"/>
      </w:divBdr>
    </w:div>
    <w:div w:id="1797332034">
      <w:bodyDiv w:val="1"/>
      <w:marLeft w:val="0"/>
      <w:marRight w:val="0"/>
      <w:marTop w:val="0"/>
      <w:marBottom w:val="0"/>
      <w:divBdr>
        <w:top w:val="none" w:sz="0" w:space="0" w:color="auto"/>
        <w:left w:val="none" w:sz="0" w:space="0" w:color="auto"/>
        <w:bottom w:val="none" w:sz="0" w:space="0" w:color="auto"/>
        <w:right w:val="none" w:sz="0" w:space="0" w:color="auto"/>
      </w:divBdr>
    </w:div>
    <w:div w:id="1896620381">
      <w:bodyDiv w:val="1"/>
      <w:marLeft w:val="0"/>
      <w:marRight w:val="0"/>
      <w:marTop w:val="0"/>
      <w:marBottom w:val="0"/>
      <w:divBdr>
        <w:top w:val="none" w:sz="0" w:space="0" w:color="auto"/>
        <w:left w:val="none" w:sz="0" w:space="0" w:color="auto"/>
        <w:bottom w:val="none" w:sz="0" w:space="0" w:color="auto"/>
        <w:right w:val="none" w:sz="0" w:space="0" w:color="auto"/>
      </w:divBdr>
    </w:div>
    <w:div w:id="2009939700">
      <w:bodyDiv w:val="1"/>
      <w:marLeft w:val="0"/>
      <w:marRight w:val="0"/>
      <w:marTop w:val="0"/>
      <w:marBottom w:val="0"/>
      <w:divBdr>
        <w:top w:val="none" w:sz="0" w:space="0" w:color="auto"/>
        <w:left w:val="none" w:sz="0" w:space="0" w:color="auto"/>
        <w:bottom w:val="none" w:sz="0" w:space="0" w:color="auto"/>
        <w:right w:val="none" w:sz="0" w:space="0" w:color="auto"/>
      </w:divBdr>
    </w:div>
    <w:div w:id="2082212231">
      <w:bodyDiv w:val="1"/>
      <w:marLeft w:val="0"/>
      <w:marRight w:val="0"/>
      <w:marTop w:val="0"/>
      <w:marBottom w:val="0"/>
      <w:divBdr>
        <w:top w:val="none" w:sz="0" w:space="0" w:color="auto"/>
        <w:left w:val="none" w:sz="0" w:space="0" w:color="auto"/>
        <w:bottom w:val="none" w:sz="0" w:space="0" w:color="auto"/>
        <w:right w:val="none" w:sz="0" w:space="0" w:color="auto"/>
      </w:divBdr>
    </w:div>
    <w:div w:id="213401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si/assets/ministrstva/MGRT/Dokumenti/DIPT/Industrija-spodbujanje-inovativosti-in-tehnologija/Dokumenti/SIP-vladni-dokument.pdf" TargetMode="External"/><Relationship Id="rId18" Type="http://schemas.openxmlformats.org/officeDocument/2006/relationships/chart" Target="charts/chart1.xml"/><Relationship Id="rId26" Type="http://schemas.openxmlformats.org/officeDocument/2006/relationships/chart" Target="charts/chart9.xml"/><Relationship Id="rId39"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chart" Target="charts/chart4.xml"/><Relationship Id="rId34" Type="http://schemas.openxmlformats.org/officeDocument/2006/relationships/chart" Target="charts/chart17.xml"/><Relationship Id="rId42"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4.png"/><Relationship Id="rId25" Type="http://schemas.openxmlformats.org/officeDocument/2006/relationships/chart" Target="charts/chart8.xml"/><Relationship Id="rId33" Type="http://schemas.openxmlformats.org/officeDocument/2006/relationships/chart" Target="charts/chart16.xml"/><Relationship Id="rId38" Type="http://schemas.openxmlformats.org/officeDocument/2006/relationships/chart" Target="charts/chart2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chart" Target="charts/chart3.xml"/><Relationship Id="rId29" Type="http://schemas.openxmlformats.org/officeDocument/2006/relationships/chart" Target="charts/chart12.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chart" Target="charts/chart20.xm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stat.si/StatWeb/News/Index/8156" TargetMode="Externa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chart" Target="charts/chart19.xml"/><Relationship Id="rId10" Type="http://schemas.openxmlformats.org/officeDocument/2006/relationships/footnotes" Target="footnotes.xml"/><Relationship Id="rId19" Type="http://schemas.openxmlformats.org/officeDocument/2006/relationships/chart" Target="charts/chart2.xml"/><Relationship Id="rId31" Type="http://schemas.openxmlformats.org/officeDocument/2006/relationships/chart" Target="charts/chart14.xml"/><Relationship Id="rId52"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chart" Target="charts/chart18.xm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strategy/priorities-2019-2024/europe-fit-digital-age/european-industrial-strategy_sl" TargetMode="External"/><Relationship Id="rId2" Type="http://schemas.openxmlformats.org/officeDocument/2006/relationships/hyperlink" Target="https://ec.europa.eu/slovenia/news/eu-green-deal_sl" TargetMode="External"/><Relationship Id="rId1" Type="http://schemas.openxmlformats.org/officeDocument/2006/relationships/hyperlink" Target="https://ec.europa.eu/info/live-work-travel-eu/health/coronavirus-response/recovery-plan-europe_sl" TargetMode="External"/><Relationship Id="rId6" Type="http://schemas.openxmlformats.org/officeDocument/2006/relationships/hyperlink" Target="https://www.stat.si/StatWeb/News/Index/8769" TargetMode="External"/><Relationship Id="rId5" Type="http://schemas.openxmlformats.org/officeDocument/2006/relationships/hyperlink" Target="https://ec.europa.eu/environment/circular-economy/index_en.htm" TargetMode="External"/><Relationship Id="rId4" Type="http://schemas.openxmlformats.org/officeDocument/2006/relationships/hyperlink" Target="https://ec.europa.eu/info/strategy/priorities-2019-2024/europe-fit-digital-age/european-industrial-strategy_s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ov_delovni_lis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ov_delovni_list6.xlsx"/><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ov_delovni_list7.xlsx"/><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1" Type="http://schemas.openxmlformats.org/officeDocument/2006/relationships/oleObject" Target="file:///C:\Users\Darja\Darjamo\sluzba\ind.%20politika\Podatki%20ind.%20stat_%20s%20popravki%2011.6..xlsx" TargetMode="External"/></Relationships>
</file>

<file path=word/charts/_rels/chart13.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ov_delovni_list8.xlsx"/><Relationship Id="rId1" Type="http://schemas.openxmlformats.org/officeDocument/2006/relationships/themeOverride" Target="../theme/themeOverride8.xml"/></Relationships>
</file>

<file path=word/charts/_rels/chart14.xml.rels><?xml version="1.0" encoding="UTF-8" standalone="yes"?>
<Relationships xmlns="http://schemas.openxmlformats.org/package/2006/relationships"><Relationship Id="rId1" Type="http://schemas.openxmlformats.org/officeDocument/2006/relationships/oleObject" Target="file:///\\gzs.si\skupno\SKUPNE_MAPE_OE\OE%20Slu&#382;ba%20za%20konjunkturo%20in%20ekonomsko%20politiko\Moj%20SKEP\Darja\4%20podatki\INDUSTRIJA\ind.%20politika\podatki%20ind.%20stat%20(pred.%20dej.%20SLO).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gzs.si\skupno\SKUPNE_MAPE_OE\OE%20Slu&#382;ba%20za%20konjunkturo%20in%20ekonomsko%20politiko\Moj%20SKEP\Darja\4%20podatki\INDUSTRIJA\ind.%20politika\podatki%20ind.%20stat%20(pred.%20dej.%20SLO).xlsx" TargetMode="Externa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ov_delovni_list9.xlsx"/><Relationship Id="rId1" Type="http://schemas.openxmlformats.org/officeDocument/2006/relationships/themeOverride" Target="../theme/themeOverride9.xml"/></Relationships>
</file>

<file path=word/charts/_rels/chart17.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ov_delovni_list10.xlsx"/><Relationship Id="rId1" Type="http://schemas.openxmlformats.org/officeDocument/2006/relationships/themeOverride" Target="../theme/themeOverride10.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ov_delovni_list11.xlsx"/><Relationship Id="rId1" Type="http://schemas.openxmlformats.org/officeDocument/2006/relationships/themeOverride" Target="../theme/themeOverride11.xml"/></Relationships>
</file>

<file path=word/charts/_rels/chart19.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Microsoft_Excelov_delovni_list12.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ov_delovni_lis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package" Target="../embeddings/Microsoft_Excelov_delovni_list13.xlsx"/><Relationship Id="rId1" Type="http://schemas.openxmlformats.org/officeDocument/2006/relationships/themeOverride" Target="../theme/themeOverride13.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ov_delovni_list14.xlsx"/><Relationship Id="rId1" Type="http://schemas.openxmlformats.org/officeDocument/2006/relationships/themeOverride" Target="../theme/themeOverride14.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ov_delovni_lis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Darja\Darjamo\sluzba\ind.%20politika\podatki%20ind.%20stat.xlsx" TargetMode="Externa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ov_delovni_lis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ov_delovni_lis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Darja\Darjamo\sluzba\ind.%20politika\podatki%20ind.%20sta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gzs.si\skupno\SKUPNE_MAPE_OE\OE%20Slu&#382;ba%20za%20konjunkturo%20in%20ekonomsko%20politiko\Moj%20SKEP\Skupna%20uporaba%20SKEP\Industrijska%20politika\ind.%20stat_%20s%20popravki%2015.6..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Darja\Darjamo\sluzba\ind.%20politika\Podatki%20ind.%20stat_%20s%20popravki%201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cap="none" spc="20" baseline="0">
                <a:solidFill>
                  <a:schemeClr val="tx1"/>
                </a:solidFill>
                <a:latin typeface="+mn-lt"/>
                <a:ea typeface="+mn-ea"/>
                <a:cs typeface="+mn-cs"/>
              </a:defRPr>
            </a:pPr>
            <a:r>
              <a:rPr lang="sl-SI" sz="1100">
                <a:latin typeface="+mn-lt"/>
              </a:rPr>
              <a:t>Delež podjetij v predelovalnih dejavnostih</a:t>
            </a:r>
          </a:p>
          <a:p>
            <a:pPr>
              <a:defRPr sz="1100" b="0" i="0" u="none" strike="noStrike" kern="1200" cap="none" spc="20" baseline="0">
                <a:solidFill>
                  <a:schemeClr val="tx1"/>
                </a:solidFill>
                <a:latin typeface="+mn-lt"/>
                <a:ea typeface="+mn-ea"/>
                <a:cs typeface="+mn-cs"/>
              </a:defRPr>
            </a:pPr>
            <a:r>
              <a:rPr lang="sl-SI" sz="1100">
                <a:latin typeface="+mn-lt"/>
              </a:rPr>
              <a:t> v letu </a:t>
            </a:r>
            <a:r>
              <a:rPr lang="en-US" sz="1100">
                <a:latin typeface="+mn-lt"/>
              </a:rPr>
              <a:t>2018</a:t>
            </a:r>
          </a:p>
        </c:rich>
      </c:tx>
      <c:layout>
        <c:manualLayout>
          <c:xMode val="edge"/>
          <c:yMode val="edge"/>
          <c:x val="9.0235131396957144E-2"/>
          <c:y val="9.2592592592593143E-3"/>
        </c:manualLayout>
      </c:layout>
      <c:overlay val="0"/>
      <c:spPr>
        <a:noFill/>
        <a:ln>
          <a:noFill/>
        </a:ln>
        <a:effectLst/>
      </c:spPr>
    </c:title>
    <c:autoTitleDeleted val="0"/>
    <c:plotArea>
      <c:layout>
        <c:manualLayout>
          <c:layoutTarget val="inner"/>
          <c:xMode val="edge"/>
          <c:yMode val="edge"/>
          <c:x val="7.9069116360454925E-2"/>
          <c:y val="0.24347477398658487"/>
          <c:w val="0.44096850393700915"/>
          <c:h val="0.7241178186060091"/>
        </c:manualLayout>
      </c:layout>
      <c:pieChart>
        <c:varyColors val="1"/>
        <c:ser>
          <c:idx val="0"/>
          <c:order val="0"/>
          <c:tx>
            <c:strRef>
              <c:f>'strukt. stat (prava)'!$L$59</c:f>
              <c:strCache>
                <c:ptCount val="1"/>
                <c:pt idx="0">
                  <c:v>2018</c:v>
                </c:pt>
              </c:strCache>
            </c:strRef>
          </c:tx>
          <c:explosion val="1"/>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01-DDA9-4F19-920A-7B8E69A56D28}"/>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03-DDA9-4F19-920A-7B8E69A56D28}"/>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05-DDA9-4F19-920A-7B8E69A56D28}"/>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07-DDA9-4F19-920A-7B8E69A56D28}"/>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extLst xmlns:c16r2="http://schemas.microsoft.com/office/drawing/2015/06/chart">
              <c:ext xmlns:c16="http://schemas.microsoft.com/office/drawing/2014/chart" uri="{C3380CC4-5D6E-409C-BE32-E72D297353CC}">
                <c16:uniqueId val="{00000009-DDA9-4F19-920A-7B8E69A56D28}"/>
              </c:ext>
            </c:extLst>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0B-DDA9-4F19-920A-7B8E69A56D28}"/>
              </c:ext>
            </c:extLst>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extLst xmlns:c16r2="http://schemas.microsoft.com/office/drawing/2015/06/chart">
              <c:ext xmlns:c16="http://schemas.microsoft.com/office/drawing/2014/chart" uri="{C3380CC4-5D6E-409C-BE32-E72D297353CC}">
                <c16:uniqueId val="{0000000D-DDA9-4F19-920A-7B8E69A56D28}"/>
              </c:ext>
            </c:extLst>
          </c:dPt>
          <c:dPt>
            <c:idx val="7"/>
            <c:bubble3D val="0"/>
            <c:explosion val="2"/>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w="9525" cap="flat" cmpd="sng" algn="ctr">
                <a:solidFill>
                  <a:schemeClr val="accent2">
                    <a:lumMod val="60000"/>
                    <a:shade val="95000"/>
                  </a:schemeClr>
                </a:solidFill>
                <a:round/>
              </a:ln>
              <a:effectLst/>
            </c:spPr>
            <c:extLst xmlns:c16r2="http://schemas.microsoft.com/office/drawing/2015/06/chart">
              <c:ext xmlns:c16="http://schemas.microsoft.com/office/drawing/2014/chart" uri="{C3380CC4-5D6E-409C-BE32-E72D297353CC}">
                <c16:uniqueId val="{0000000F-DDA9-4F19-920A-7B8E69A56D28}"/>
              </c:ext>
            </c:extLst>
          </c:dPt>
          <c:dPt>
            <c:idx val="8"/>
            <c:bubble3D val="0"/>
            <c:spPr>
              <a:gradFill rotWithShape="1">
                <a:gsLst>
                  <a:gs pos="0">
                    <a:schemeClr val="accent3">
                      <a:lumMod val="60000"/>
                      <a:lumMod val="110000"/>
                      <a:satMod val="105000"/>
                      <a:tint val="67000"/>
                    </a:schemeClr>
                  </a:gs>
                  <a:gs pos="50000">
                    <a:schemeClr val="accent3">
                      <a:lumMod val="60000"/>
                      <a:lumMod val="105000"/>
                      <a:satMod val="103000"/>
                      <a:tint val="73000"/>
                    </a:schemeClr>
                  </a:gs>
                  <a:gs pos="100000">
                    <a:schemeClr val="accent3">
                      <a:lumMod val="60000"/>
                      <a:lumMod val="105000"/>
                      <a:satMod val="109000"/>
                      <a:tint val="81000"/>
                    </a:schemeClr>
                  </a:gs>
                </a:gsLst>
                <a:lin ang="5400000" scaled="0"/>
              </a:gradFill>
              <a:ln w="9525" cap="flat" cmpd="sng" algn="ctr">
                <a:solidFill>
                  <a:schemeClr val="accent3">
                    <a:lumMod val="60000"/>
                    <a:shade val="95000"/>
                  </a:schemeClr>
                </a:solidFill>
                <a:round/>
              </a:ln>
              <a:effectLst/>
            </c:spPr>
            <c:extLst xmlns:c16r2="http://schemas.microsoft.com/office/drawing/2015/06/chart">
              <c:ext xmlns:c16="http://schemas.microsoft.com/office/drawing/2014/chart" uri="{C3380CC4-5D6E-409C-BE32-E72D297353CC}">
                <c16:uniqueId val="{00000011-DDA9-4F19-920A-7B8E69A56D28}"/>
              </c:ext>
            </c:extLst>
          </c:dPt>
          <c:dPt>
            <c:idx val="9"/>
            <c:bubble3D val="0"/>
            <c:spPr>
              <a:gradFill rotWithShape="1">
                <a:gsLst>
                  <a:gs pos="0">
                    <a:schemeClr val="accent4">
                      <a:lumMod val="60000"/>
                      <a:lumMod val="110000"/>
                      <a:satMod val="105000"/>
                      <a:tint val="67000"/>
                    </a:schemeClr>
                  </a:gs>
                  <a:gs pos="50000">
                    <a:schemeClr val="accent4">
                      <a:lumMod val="60000"/>
                      <a:lumMod val="105000"/>
                      <a:satMod val="103000"/>
                      <a:tint val="73000"/>
                    </a:schemeClr>
                  </a:gs>
                  <a:gs pos="100000">
                    <a:schemeClr val="accent4">
                      <a:lumMod val="60000"/>
                      <a:lumMod val="105000"/>
                      <a:satMod val="109000"/>
                      <a:tint val="81000"/>
                    </a:schemeClr>
                  </a:gs>
                </a:gsLst>
                <a:lin ang="5400000" scaled="0"/>
              </a:gradFill>
              <a:ln w="9525" cap="flat" cmpd="sng" algn="ctr">
                <a:solidFill>
                  <a:schemeClr val="accent4">
                    <a:lumMod val="60000"/>
                    <a:shade val="95000"/>
                  </a:schemeClr>
                </a:solidFill>
                <a:round/>
              </a:ln>
              <a:effectLst/>
            </c:spPr>
            <c:extLst xmlns:c16r2="http://schemas.microsoft.com/office/drawing/2015/06/chart">
              <c:ext xmlns:c16="http://schemas.microsoft.com/office/drawing/2014/chart" uri="{C3380CC4-5D6E-409C-BE32-E72D297353CC}">
                <c16:uniqueId val="{00000013-DDA9-4F19-920A-7B8E69A56D28}"/>
              </c:ext>
            </c:extLst>
          </c:dPt>
          <c:dLbls>
            <c:dLbl>
              <c:idx val="4"/>
              <c:layout>
                <c:manualLayout>
                  <c:x val="-3.3281129433656291E-2"/>
                  <c:y val="-8.1087780694079903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DDA9-4F19-920A-7B8E69A56D28}"/>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'strukt. stat (prava)'!$L$61:$L$70</c:f>
              <c:strCache>
                <c:ptCount val="9"/>
                <c:pt idx="0">
                  <c:v>Tekst. ind.</c:v>
                </c:pt>
                <c:pt idx="1">
                  <c:v>Lesna ind.</c:v>
                </c:pt>
                <c:pt idx="2">
                  <c:v>Papir. ind.</c:v>
                </c:pt>
                <c:pt idx="3">
                  <c:v>Kemij. ind.</c:v>
                </c:pt>
                <c:pt idx="4">
                  <c:v>Nekov. ind.</c:v>
                </c:pt>
                <c:pt idx="5">
                  <c:v>Kovin. ind.</c:v>
                </c:pt>
                <c:pt idx="6">
                  <c:v>Elektro ind.</c:v>
                </c:pt>
                <c:pt idx="7">
                  <c:v>Stroj. ind.</c:v>
                </c:pt>
                <c:pt idx="8">
                  <c:v>Dr. pred. rej.</c:v>
                </c:pt>
              </c:strCache>
            </c:strRef>
          </c:cat>
          <c:val>
            <c:numRef>
              <c:f>'strukt. stat (prava)'!$N$61:$N$70</c:f>
              <c:numCache>
                <c:formatCode>0%</c:formatCode>
                <c:ptCount val="9"/>
                <c:pt idx="0">
                  <c:v>6.1151991880233597E-2</c:v>
                </c:pt>
                <c:pt idx="1">
                  <c:v>0.16442527277340779</c:v>
                </c:pt>
                <c:pt idx="2">
                  <c:v>6.8815021568129922E-2</c:v>
                </c:pt>
                <c:pt idx="3">
                  <c:v>6.2268459781781284E-2</c:v>
                </c:pt>
                <c:pt idx="4">
                  <c:v>2.8013194620654682E-2</c:v>
                </c:pt>
                <c:pt idx="5">
                  <c:v>0.23420451662014716</c:v>
                </c:pt>
                <c:pt idx="6">
                  <c:v>3.6691195128140196E-2</c:v>
                </c:pt>
                <c:pt idx="7">
                  <c:v>0.17066734331387973</c:v>
                </c:pt>
                <c:pt idx="8">
                  <c:v>4.2070540471961376E-2</c:v>
                </c:pt>
              </c:numCache>
            </c:numRef>
          </c:val>
          <c:extLst xmlns:c16r2="http://schemas.microsoft.com/office/drawing/2015/06/chart">
            <c:ext xmlns:c16="http://schemas.microsoft.com/office/drawing/2014/chart" uri="{C3380CC4-5D6E-409C-BE32-E72D297353CC}">
              <c16:uniqueId val="{00000014-DDA9-4F19-920A-7B8E69A56D28}"/>
            </c:ext>
          </c:extLst>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1"/>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legendEntry>
      <c:layout>
        <c:manualLayout>
          <c:xMode val="edge"/>
          <c:yMode val="edge"/>
          <c:x val="0.70353085224336365"/>
          <c:y val="0.1979155730533684"/>
          <c:w val="0.28741851171625954"/>
          <c:h val="0.774306649168853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legend>
    <c:plotVisOnly val="1"/>
    <c:dispBlanksAs val="zero"/>
    <c:showDLblsOverMax val="0"/>
  </c:chart>
  <c:spPr>
    <a:solidFill>
      <a:schemeClr val="bg1"/>
    </a:solidFill>
    <a:ln w="9525" cap="flat" cmpd="sng" algn="ctr">
      <a:noFill/>
      <a:round/>
    </a:ln>
    <a:effectLst/>
  </c:spPr>
  <c:txPr>
    <a:bodyPr/>
    <a:lstStyle/>
    <a:p>
      <a:pPr>
        <a:defRPr>
          <a:solidFill>
            <a:schemeClr val="tx1"/>
          </a:solidFill>
          <a:latin typeface="Trebuchet MS" panose="020B0603020202020204" pitchFamily="34" charset="0"/>
        </a:defRPr>
      </a:pPr>
      <a:endParaRPr lang="sl-SI"/>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rebuchet MS" panose="020B0603020202020204" pitchFamily="34" charset="0"/>
                <a:ea typeface="+mn-ea"/>
                <a:cs typeface="+mn-cs"/>
              </a:defRPr>
            </a:pPr>
            <a:r>
              <a:rPr lang="sl-SI" sz="1200"/>
              <a:t>Število zaposlenih</a:t>
            </a:r>
          </a:p>
          <a:p>
            <a:pPr>
              <a:defRPr sz="1200" b="0" i="0" u="none" strike="noStrike" kern="1200" spc="0" baseline="0">
                <a:solidFill>
                  <a:schemeClr val="tx1">
                    <a:lumMod val="65000"/>
                    <a:lumOff val="35000"/>
                  </a:schemeClr>
                </a:solidFill>
                <a:latin typeface="Trebuchet MS" panose="020B0603020202020204" pitchFamily="34" charset="0"/>
                <a:ea typeface="+mn-ea"/>
                <a:cs typeface="+mn-cs"/>
              </a:defRPr>
            </a:pPr>
            <a:r>
              <a:rPr lang="sl-SI" sz="1200"/>
              <a:t>2008=100</a:t>
            </a:r>
          </a:p>
        </c:rich>
      </c:tx>
      <c:overlay val="0"/>
      <c:spPr>
        <a:noFill/>
        <a:ln>
          <a:noFill/>
        </a:ln>
        <a:effectLst/>
      </c:spPr>
    </c:title>
    <c:autoTitleDeleted val="0"/>
    <c:plotArea>
      <c:layout>
        <c:manualLayout>
          <c:layoutTarget val="inner"/>
          <c:xMode val="edge"/>
          <c:yMode val="edge"/>
          <c:x val="7.3219094200462451E-2"/>
          <c:y val="0.16597075929256808"/>
          <c:w val="0.69005244902762608"/>
          <c:h val="0.73493277716733252"/>
        </c:manualLayout>
      </c:layout>
      <c:lineChart>
        <c:grouping val="standard"/>
        <c:varyColors val="0"/>
        <c:ser>
          <c:idx val="1"/>
          <c:order val="0"/>
          <c:tx>
            <c:strRef>
              <c:f>'strukt. stat (prava)'!$FQ$76</c:f>
              <c:strCache>
                <c:ptCount val="1"/>
                <c:pt idx="0">
                  <c:v>Prehr. ind.</c:v>
                </c:pt>
              </c:strCache>
            </c:strRef>
          </c:tx>
          <c:spPr>
            <a:ln w="28575" cap="rnd">
              <a:solidFill>
                <a:schemeClr val="accent2"/>
              </a:solidFill>
              <a:round/>
            </a:ln>
            <a:effectLst/>
          </c:spPr>
          <c:marker>
            <c:symbol val="none"/>
          </c:marker>
          <c:cat>
            <c:numRef>
              <c:f>'strukt. stat (prava)'!$FR$74:$GB$74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(prava)'!$FR$76:$GB$76</c:f>
              <c:numCache>
                <c:formatCode>#,##0</c:formatCode>
                <c:ptCount val="11"/>
                <c:pt idx="0">
                  <c:v>100</c:v>
                </c:pt>
                <c:pt idx="1">
                  <c:v>95.237269521993326</c:v>
                </c:pt>
                <c:pt idx="2">
                  <c:v>92.405063291139427</c:v>
                </c:pt>
                <c:pt idx="3">
                  <c:v>87.734813016588618</c:v>
                </c:pt>
                <c:pt idx="4">
                  <c:v>87.613432749552018</c:v>
                </c:pt>
                <c:pt idx="5">
                  <c:v>84.810126582278627</c:v>
                </c:pt>
                <c:pt idx="6">
                  <c:v>83.804404369689578</c:v>
                </c:pt>
                <c:pt idx="7">
                  <c:v>85.931449049188174</c:v>
                </c:pt>
                <c:pt idx="8">
                  <c:v>87.902433385353447</c:v>
                </c:pt>
                <c:pt idx="9">
                  <c:v>90.272238598924574</c:v>
                </c:pt>
                <c:pt idx="10">
                  <c:v>93.907866597306523</c:v>
                </c:pt>
              </c:numCache>
            </c:numRef>
          </c:val>
          <c:smooth val="0"/>
          <c:extLst xmlns:c16r2="http://schemas.microsoft.com/office/drawing/2015/06/chart">
            <c:ext xmlns:c16="http://schemas.microsoft.com/office/drawing/2014/chart" uri="{C3380CC4-5D6E-409C-BE32-E72D297353CC}">
              <c16:uniqueId val="{00000000-9E01-439D-997B-8A7661DCE92D}"/>
            </c:ext>
          </c:extLst>
        </c:ser>
        <c:ser>
          <c:idx val="2"/>
          <c:order val="1"/>
          <c:tx>
            <c:strRef>
              <c:f>'strukt. stat (prava)'!$FQ$77</c:f>
              <c:strCache>
                <c:ptCount val="1"/>
                <c:pt idx="0">
                  <c:v>Tekst. ind.</c:v>
                </c:pt>
              </c:strCache>
            </c:strRef>
          </c:tx>
          <c:spPr>
            <a:ln w="28575" cap="rnd">
              <a:solidFill>
                <a:schemeClr val="accent3"/>
              </a:solidFill>
              <a:round/>
            </a:ln>
            <a:effectLst/>
          </c:spPr>
          <c:marker>
            <c:symbol val="none"/>
          </c:marker>
          <c:cat>
            <c:numRef>
              <c:f>'strukt. stat (prava)'!$FR$74:$GB$74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(prava)'!$FR$77:$GB$77</c:f>
              <c:numCache>
                <c:formatCode>#,##0</c:formatCode>
                <c:ptCount val="11"/>
                <c:pt idx="0">
                  <c:v>100</c:v>
                </c:pt>
                <c:pt idx="1">
                  <c:v>84.14855939504163</c:v>
                </c:pt>
                <c:pt idx="2">
                  <c:v>65.257968794869342</c:v>
                </c:pt>
                <c:pt idx="3">
                  <c:v>61.72106824925816</c:v>
                </c:pt>
                <c:pt idx="4">
                  <c:v>55.121087393510095</c:v>
                </c:pt>
                <c:pt idx="5">
                  <c:v>49.8277017325549</c:v>
                </c:pt>
                <c:pt idx="6">
                  <c:v>47.338948980568588</c:v>
                </c:pt>
                <c:pt idx="7">
                  <c:v>45.458026227625155</c:v>
                </c:pt>
                <c:pt idx="8">
                  <c:v>43.557959222743271</c:v>
                </c:pt>
                <c:pt idx="9">
                  <c:v>42.926198908777785</c:v>
                </c:pt>
                <c:pt idx="10">
                  <c:v>43.869053316741649</c:v>
                </c:pt>
              </c:numCache>
            </c:numRef>
          </c:val>
          <c:smooth val="0"/>
          <c:extLst xmlns:c16r2="http://schemas.microsoft.com/office/drawing/2015/06/chart">
            <c:ext xmlns:c16="http://schemas.microsoft.com/office/drawing/2014/chart" uri="{C3380CC4-5D6E-409C-BE32-E72D297353CC}">
              <c16:uniqueId val="{00000001-9E01-439D-997B-8A7661DCE92D}"/>
            </c:ext>
          </c:extLst>
        </c:ser>
        <c:ser>
          <c:idx val="3"/>
          <c:order val="2"/>
          <c:tx>
            <c:strRef>
              <c:f>'strukt. stat (prava)'!$FQ$78</c:f>
              <c:strCache>
                <c:ptCount val="1"/>
                <c:pt idx="0">
                  <c:v>Lesna ind.</c:v>
                </c:pt>
              </c:strCache>
            </c:strRef>
          </c:tx>
          <c:spPr>
            <a:ln w="28575" cap="rnd">
              <a:solidFill>
                <a:schemeClr val="accent4"/>
              </a:solidFill>
              <a:round/>
            </a:ln>
            <a:effectLst/>
          </c:spPr>
          <c:marker>
            <c:symbol val="none"/>
          </c:marker>
          <c:cat>
            <c:numRef>
              <c:f>'strukt. stat (prava)'!$FR$74:$GB$74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(prava)'!$FR$78:$GB$78</c:f>
              <c:numCache>
                <c:formatCode>#,##0</c:formatCode>
                <c:ptCount val="11"/>
                <c:pt idx="0">
                  <c:v>100</c:v>
                </c:pt>
                <c:pt idx="1">
                  <c:v>82.044763245108641</c:v>
                </c:pt>
                <c:pt idx="2">
                  <c:v>76.047577972488099</c:v>
                </c:pt>
                <c:pt idx="3">
                  <c:v>69.065238116856079</c:v>
                </c:pt>
                <c:pt idx="4">
                  <c:v>62.091978026966913</c:v>
                </c:pt>
                <c:pt idx="5">
                  <c:v>55.20951559449766</c:v>
                </c:pt>
                <c:pt idx="6">
                  <c:v>54.637490352748898</c:v>
                </c:pt>
                <c:pt idx="7">
                  <c:v>54.555772461070504</c:v>
                </c:pt>
                <c:pt idx="8">
                  <c:v>55.831479547827549</c:v>
                </c:pt>
                <c:pt idx="9">
                  <c:v>56.616879284514454</c:v>
                </c:pt>
                <c:pt idx="10">
                  <c:v>59.785717528487886</c:v>
                </c:pt>
              </c:numCache>
            </c:numRef>
          </c:val>
          <c:smooth val="0"/>
          <c:extLst xmlns:c16r2="http://schemas.microsoft.com/office/drawing/2015/06/chart">
            <c:ext xmlns:c16="http://schemas.microsoft.com/office/drawing/2014/chart" uri="{C3380CC4-5D6E-409C-BE32-E72D297353CC}">
              <c16:uniqueId val="{00000002-9E01-439D-997B-8A7661DCE92D}"/>
            </c:ext>
          </c:extLst>
        </c:ser>
        <c:ser>
          <c:idx val="4"/>
          <c:order val="3"/>
          <c:tx>
            <c:strRef>
              <c:f>'strukt. stat (prava)'!$FQ$79</c:f>
              <c:strCache>
                <c:ptCount val="1"/>
                <c:pt idx="0">
                  <c:v>Papir. ind.</c:v>
                </c:pt>
              </c:strCache>
            </c:strRef>
          </c:tx>
          <c:spPr>
            <a:ln w="28575" cap="rnd">
              <a:solidFill>
                <a:schemeClr val="accent5"/>
              </a:solidFill>
              <a:round/>
            </a:ln>
            <a:effectLst/>
          </c:spPr>
          <c:marker>
            <c:symbol val="none"/>
          </c:marker>
          <c:cat>
            <c:numRef>
              <c:f>'strukt. stat (prava)'!$FR$74:$GB$74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(prava)'!$FR$79:$GB$79</c:f>
              <c:numCache>
                <c:formatCode>#,##0</c:formatCode>
                <c:ptCount val="11"/>
                <c:pt idx="0">
                  <c:v>100</c:v>
                </c:pt>
                <c:pt idx="1">
                  <c:v>85.404937202252057</c:v>
                </c:pt>
                <c:pt idx="2">
                  <c:v>78.73538328280641</c:v>
                </c:pt>
                <c:pt idx="3">
                  <c:v>74.265915980944342</c:v>
                </c:pt>
                <c:pt idx="4">
                  <c:v>71.563447379818101</c:v>
                </c:pt>
                <c:pt idx="5">
                  <c:v>72.213079255088786</c:v>
                </c:pt>
                <c:pt idx="6">
                  <c:v>69.216110870506711</c:v>
                </c:pt>
                <c:pt idx="7">
                  <c:v>68.15071459506278</c:v>
                </c:pt>
                <c:pt idx="8">
                  <c:v>68.142052836725384</c:v>
                </c:pt>
                <c:pt idx="9">
                  <c:v>69.657860545690781</c:v>
                </c:pt>
                <c:pt idx="10">
                  <c:v>49.415331312256392</c:v>
                </c:pt>
              </c:numCache>
            </c:numRef>
          </c:val>
          <c:smooth val="0"/>
          <c:extLst xmlns:c16r2="http://schemas.microsoft.com/office/drawing/2015/06/chart">
            <c:ext xmlns:c16="http://schemas.microsoft.com/office/drawing/2014/chart" uri="{C3380CC4-5D6E-409C-BE32-E72D297353CC}">
              <c16:uniqueId val="{00000003-9E01-439D-997B-8A7661DCE92D}"/>
            </c:ext>
          </c:extLst>
        </c:ser>
        <c:ser>
          <c:idx val="5"/>
          <c:order val="4"/>
          <c:tx>
            <c:strRef>
              <c:f>'strukt. stat (prava)'!$FQ$80</c:f>
              <c:strCache>
                <c:ptCount val="1"/>
                <c:pt idx="0">
                  <c:v>Kemij. ind.</c:v>
                </c:pt>
              </c:strCache>
            </c:strRef>
          </c:tx>
          <c:spPr>
            <a:ln w="28575" cap="rnd">
              <a:solidFill>
                <a:schemeClr val="accent6"/>
              </a:solidFill>
              <a:round/>
            </a:ln>
            <a:effectLst/>
          </c:spPr>
          <c:marker>
            <c:symbol val="none"/>
          </c:marker>
          <c:cat>
            <c:numRef>
              <c:f>'strukt. stat (prava)'!$FR$74:$GB$74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(prava)'!$FR$80:$GB$80</c:f>
              <c:numCache>
                <c:formatCode>#,##0</c:formatCode>
                <c:ptCount val="11"/>
                <c:pt idx="0">
                  <c:v>100</c:v>
                </c:pt>
                <c:pt idx="1">
                  <c:v>92.964394558834456</c:v>
                </c:pt>
                <c:pt idx="2">
                  <c:v>93.369508659778504</c:v>
                </c:pt>
                <c:pt idx="3">
                  <c:v>95.540028246487779</c:v>
                </c:pt>
                <c:pt idx="4">
                  <c:v>84.044451051810213</c:v>
                </c:pt>
                <c:pt idx="5">
                  <c:v>84.449565152754019</c:v>
                </c:pt>
                <c:pt idx="6">
                  <c:v>78.201888054708988</c:v>
                </c:pt>
                <c:pt idx="7">
                  <c:v>81.309001709655789</c:v>
                </c:pt>
                <c:pt idx="8">
                  <c:v>83.401471790678656</c:v>
                </c:pt>
                <c:pt idx="9">
                  <c:v>88.039842414331318</c:v>
                </c:pt>
                <c:pt idx="10">
                  <c:v>91.845684977328474</c:v>
                </c:pt>
              </c:numCache>
            </c:numRef>
          </c:val>
          <c:smooth val="0"/>
          <c:extLst xmlns:c16r2="http://schemas.microsoft.com/office/drawing/2015/06/chart">
            <c:ext xmlns:c16="http://schemas.microsoft.com/office/drawing/2014/chart" uri="{C3380CC4-5D6E-409C-BE32-E72D297353CC}">
              <c16:uniqueId val="{00000004-9E01-439D-997B-8A7661DCE92D}"/>
            </c:ext>
          </c:extLst>
        </c:ser>
        <c:ser>
          <c:idx val="6"/>
          <c:order val="5"/>
          <c:tx>
            <c:strRef>
              <c:f>'strukt. stat (prava)'!$FQ$81</c:f>
              <c:strCache>
                <c:ptCount val="1"/>
                <c:pt idx="0">
                  <c:v>Nekov. ind.</c:v>
                </c:pt>
              </c:strCache>
            </c:strRef>
          </c:tx>
          <c:spPr>
            <a:ln w="28575" cap="rnd">
              <a:solidFill>
                <a:schemeClr val="accent1">
                  <a:lumMod val="60000"/>
                </a:schemeClr>
              </a:solidFill>
              <a:round/>
            </a:ln>
            <a:effectLst/>
          </c:spPr>
          <c:marker>
            <c:symbol val="none"/>
          </c:marker>
          <c:cat>
            <c:numRef>
              <c:f>'strukt. stat (prava)'!$FR$74:$GB$74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(prava)'!$FR$81:$GB$81</c:f>
              <c:numCache>
                <c:formatCode>#,##0</c:formatCode>
                <c:ptCount val="11"/>
                <c:pt idx="0">
                  <c:v>100</c:v>
                </c:pt>
                <c:pt idx="1">
                  <c:v>90.151260504201673</c:v>
                </c:pt>
                <c:pt idx="2">
                  <c:v>96.156862745098039</c:v>
                </c:pt>
                <c:pt idx="3">
                  <c:v>87.305322128851188</c:v>
                </c:pt>
                <c:pt idx="4">
                  <c:v>82.857142857142819</c:v>
                </c:pt>
                <c:pt idx="5">
                  <c:v>79.663865546218503</c:v>
                </c:pt>
                <c:pt idx="6">
                  <c:v>77.254901960784309</c:v>
                </c:pt>
                <c:pt idx="7">
                  <c:v>76.952380952380608</c:v>
                </c:pt>
                <c:pt idx="8">
                  <c:v>75.417366946778827</c:v>
                </c:pt>
                <c:pt idx="9">
                  <c:v>75.484593837535016</c:v>
                </c:pt>
                <c:pt idx="10">
                  <c:v>78.061624649860391</c:v>
                </c:pt>
              </c:numCache>
            </c:numRef>
          </c:val>
          <c:smooth val="0"/>
          <c:extLst xmlns:c16r2="http://schemas.microsoft.com/office/drawing/2015/06/chart">
            <c:ext xmlns:c16="http://schemas.microsoft.com/office/drawing/2014/chart" uri="{C3380CC4-5D6E-409C-BE32-E72D297353CC}">
              <c16:uniqueId val="{00000005-9E01-439D-997B-8A7661DCE92D}"/>
            </c:ext>
          </c:extLst>
        </c:ser>
        <c:ser>
          <c:idx val="7"/>
          <c:order val="6"/>
          <c:tx>
            <c:strRef>
              <c:f>'strukt. stat (prava)'!$FQ$82</c:f>
              <c:strCache>
                <c:ptCount val="1"/>
                <c:pt idx="0">
                  <c:v>Kovin. ind.</c:v>
                </c:pt>
              </c:strCache>
            </c:strRef>
          </c:tx>
          <c:spPr>
            <a:ln w="28575" cap="rnd">
              <a:solidFill>
                <a:schemeClr val="accent2">
                  <a:lumMod val="60000"/>
                </a:schemeClr>
              </a:solidFill>
              <a:round/>
            </a:ln>
            <a:effectLst/>
          </c:spPr>
          <c:marker>
            <c:symbol val="none"/>
          </c:marker>
          <c:cat>
            <c:numRef>
              <c:f>'strukt. stat (prava)'!$FR$74:$GB$74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(prava)'!$FR$82:$GB$82</c:f>
              <c:numCache>
                <c:formatCode>#,##0</c:formatCode>
                <c:ptCount val="11"/>
                <c:pt idx="0">
                  <c:v>100</c:v>
                </c:pt>
                <c:pt idx="1">
                  <c:v>89.661377392441977</c:v>
                </c:pt>
                <c:pt idx="2">
                  <c:v>85.415157392909649</c:v>
                </c:pt>
                <c:pt idx="3">
                  <c:v>83.896146385922293</c:v>
                </c:pt>
                <c:pt idx="4">
                  <c:v>82.809469280923565</c:v>
                </c:pt>
                <c:pt idx="5">
                  <c:v>83.276857283073554</c:v>
                </c:pt>
                <c:pt idx="6">
                  <c:v>83.103923722278097</c:v>
                </c:pt>
                <c:pt idx="7">
                  <c:v>87.151503820896878</c:v>
                </c:pt>
                <c:pt idx="8">
                  <c:v>94.526886494823486</c:v>
                </c:pt>
                <c:pt idx="9">
                  <c:v>96.905891425767095</c:v>
                </c:pt>
                <c:pt idx="10">
                  <c:v>99.815381739150425</c:v>
                </c:pt>
              </c:numCache>
            </c:numRef>
          </c:val>
          <c:smooth val="0"/>
          <c:extLst xmlns:c16r2="http://schemas.microsoft.com/office/drawing/2015/06/chart">
            <c:ext xmlns:c16="http://schemas.microsoft.com/office/drawing/2014/chart" uri="{C3380CC4-5D6E-409C-BE32-E72D297353CC}">
              <c16:uniqueId val="{00000006-9E01-439D-997B-8A7661DCE92D}"/>
            </c:ext>
          </c:extLst>
        </c:ser>
        <c:ser>
          <c:idx val="8"/>
          <c:order val="7"/>
          <c:tx>
            <c:strRef>
              <c:f>'strukt. stat (prava)'!$FQ$83</c:f>
              <c:strCache>
                <c:ptCount val="1"/>
                <c:pt idx="0">
                  <c:v>Elektro ind.</c:v>
                </c:pt>
              </c:strCache>
            </c:strRef>
          </c:tx>
          <c:spPr>
            <a:ln w="28575" cap="rnd">
              <a:solidFill>
                <a:schemeClr val="accent3">
                  <a:lumMod val="60000"/>
                </a:schemeClr>
              </a:solidFill>
              <a:round/>
            </a:ln>
            <a:effectLst/>
          </c:spPr>
          <c:marker>
            <c:symbol val="none"/>
          </c:marker>
          <c:cat>
            <c:numRef>
              <c:f>'strukt. stat (prava)'!$FR$74:$GB$74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(prava)'!$FR$83:$GB$83</c:f>
              <c:numCache>
                <c:formatCode>#,##0</c:formatCode>
                <c:ptCount val="11"/>
                <c:pt idx="0">
                  <c:v>100</c:v>
                </c:pt>
                <c:pt idx="1">
                  <c:v>97.133500147188485</c:v>
                </c:pt>
                <c:pt idx="2">
                  <c:v>93.269796879599355</c:v>
                </c:pt>
                <c:pt idx="3">
                  <c:v>92.909184574624618</c:v>
                </c:pt>
                <c:pt idx="4">
                  <c:v>94.914630556373297</c:v>
                </c:pt>
                <c:pt idx="5">
                  <c:v>92.276273182219583</c:v>
                </c:pt>
                <c:pt idx="6">
                  <c:v>91.470415072122449</c:v>
                </c:pt>
                <c:pt idx="7">
                  <c:v>95.672652340300218</c:v>
                </c:pt>
                <c:pt idx="8">
                  <c:v>92.979099205181043</c:v>
                </c:pt>
                <c:pt idx="9">
                  <c:v>97.240211951722358</c:v>
                </c:pt>
                <c:pt idx="10">
                  <c:v>103.12040035325253</c:v>
                </c:pt>
              </c:numCache>
            </c:numRef>
          </c:val>
          <c:smooth val="0"/>
          <c:extLst xmlns:c16r2="http://schemas.microsoft.com/office/drawing/2015/06/chart">
            <c:ext xmlns:c16="http://schemas.microsoft.com/office/drawing/2014/chart" uri="{C3380CC4-5D6E-409C-BE32-E72D297353CC}">
              <c16:uniqueId val="{00000007-9E01-439D-997B-8A7661DCE92D}"/>
            </c:ext>
          </c:extLst>
        </c:ser>
        <c:ser>
          <c:idx val="9"/>
          <c:order val="8"/>
          <c:tx>
            <c:strRef>
              <c:f>'strukt. stat (prava)'!$FQ$84</c:f>
              <c:strCache>
                <c:ptCount val="1"/>
                <c:pt idx="0">
                  <c:v>Stroj. ind.</c:v>
                </c:pt>
              </c:strCache>
            </c:strRef>
          </c:tx>
          <c:spPr>
            <a:ln w="28575" cap="rnd">
              <a:solidFill>
                <a:schemeClr val="accent4">
                  <a:lumMod val="60000"/>
                </a:schemeClr>
              </a:solidFill>
              <a:round/>
            </a:ln>
            <a:effectLst/>
          </c:spPr>
          <c:marker>
            <c:symbol val="none"/>
          </c:marker>
          <c:cat>
            <c:numRef>
              <c:f>'strukt. stat (prava)'!$FR$74:$GB$74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(prava)'!$FR$84:$GB$84</c:f>
              <c:numCache>
                <c:formatCode>#,##0</c:formatCode>
                <c:ptCount val="11"/>
                <c:pt idx="0">
                  <c:v>100</c:v>
                </c:pt>
                <c:pt idx="1">
                  <c:v>86.139727498146684</c:v>
                </c:pt>
                <c:pt idx="2">
                  <c:v>82.711725759860926</c:v>
                </c:pt>
                <c:pt idx="3">
                  <c:v>84.069122421329794</c:v>
                </c:pt>
                <c:pt idx="4">
                  <c:v>87.770648533960241</c:v>
                </c:pt>
                <c:pt idx="5">
                  <c:v>88.322809887778249</c:v>
                </c:pt>
                <c:pt idx="6">
                  <c:v>89.465477133873208</c:v>
                </c:pt>
                <c:pt idx="7">
                  <c:v>90.894450267133621</c:v>
                </c:pt>
                <c:pt idx="8">
                  <c:v>90.557018328689068</c:v>
                </c:pt>
                <c:pt idx="9">
                  <c:v>98.749968046218171</c:v>
                </c:pt>
                <c:pt idx="10">
                  <c:v>105.30177151767644</c:v>
                </c:pt>
              </c:numCache>
            </c:numRef>
          </c:val>
          <c:smooth val="0"/>
          <c:extLst xmlns:c16r2="http://schemas.microsoft.com/office/drawing/2015/06/chart">
            <c:ext xmlns:c16="http://schemas.microsoft.com/office/drawing/2014/chart" uri="{C3380CC4-5D6E-409C-BE32-E72D297353CC}">
              <c16:uniqueId val="{00000008-9E01-439D-997B-8A7661DCE92D}"/>
            </c:ext>
          </c:extLst>
        </c:ser>
        <c:ser>
          <c:idx val="10"/>
          <c:order val="9"/>
          <c:tx>
            <c:strRef>
              <c:f>'strukt. stat (prava)'!$FQ$85</c:f>
              <c:strCache>
                <c:ptCount val="1"/>
                <c:pt idx="0">
                  <c:v>Dr. pred. dej.</c:v>
                </c:pt>
              </c:strCache>
            </c:strRef>
          </c:tx>
          <c:spPr>
            <a:ln w="28575" cap="rnd">
              <a:solidFill>
                <a:schemeClr val="accent5">
                  <a:lumMod val="60000"/>
                </a:schemeClr>
              </a:solidFill>
              <a:round/>
            </a:ln>
            <a:effectLst/>
          </c:spPr>
          <c:marker>
            <c:symbol val="none"/>
          </c:marker>
          <c:cat>
            <c:numRef>
              <c:f>'strukt. stat (prava)'!$FR$74:$GB$74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(prava)'!$FR$85:$GB$85</c:f>
              <c:numCache>
                <c:formatCode>#,##0</c:formatCode>
                <c:ptCount val="11"/>
                <c:pt idx="0">
                  <c:v>100</c:v>
                </c:pt>
                <c:pt idx="1">
                  <c:v>89.060220879349927</c:v>
                </c:pt>
                <c:pt idx="2">
                  <c:v>87.059804125859458</c:v>
                </c:pt>
                <c:pt idx="3">
                  <c:v>86.580537612002459</c:v>
                </c:pt>
                <c:pt idx="4">
                  <c:v>82.058762242133497</c:v>
                </c:pt>
                <c:pt idx="5">
                  <c:v>79.266513857053553</c:v>
                </c:pt>
                <c:pt idx="6">
                  <c:v>80.871014794748902</c:v>
                </c:pt>
                <c:pt idx="7">
                  <c:v>81.850385496978518</c:v>
                </c:pt>
                <c:pt idx="8">
                  <c:v>87.226505521983739</c:v>
                </c:pt>
                <c:pt idx="9">
                  <c:v>87.184830172952346</c:v>
                </c:pt>
                <c:pt idx="10">
                  <c:v>89.914565534486343</c:v>
                </c:pt>
              </c:numCache>
            </c:numRef>
          </c:val>
          <c:smooth val="0"/>
          <c:extLst xmlns:c16r2="http://schemas.microsoft.com/office/drawing/2015/06/chart">
            <c:ext xmlns:c16="http://schemas.microsoft.com/office/drawing/2014/chart" uri="{C3380CC4-5D6E-409C-BE32-E72D297353CC}">
              <c16:uniqueId val="{00000009-9E01-439D-997B-8A7661DCE92D}"/>
            </c:ext>
          </c:extLst>
        </c:ser>
        <c:dLbls>
          <c:showLegendKey val="0"/>
          <c:showVal val="0"/>
          <c:showCatName val="0"/>
          <c:showSerName val="0"/>
          <c:showPercent val="0"/>
          <c:showBubbleSize val="0"/>
        </c:dLbls>
        <c:marker val="1"/>
        <c:smooth val="0"/>
        <c:axId val="248125696"/>
        <c:axId val="248139776"/>
        <c:extLst xmlns:c16r2="http://schemas.microsoft.com/office/drawing/2015/06/chart">
          <c:ext xmlns:c15="http://schemas.microsoft.com/office/drawing/2012/chart" uri="{02D57815-91ED-43cb-92C2-25804820EDAC}">
            <c15:filteredLineSeries>
              <c15:ser>
                <c:idx val="0"/>
                <c:order val="0"/>
                <c:tx>
                  <c:strRef>
                    <c:extLst>
                      <c:ext uri="{02D57815-91ED-43cb-92C2-25804820EDAC}">
                        <c15:formulaRef>
                          <c15:sqref>'strukt. stat (prava)'!$FQ$75</c15:sqref>
                        </c15:formulaRef>
                      </c:ext>
                    </c:extLst>
                    <c:strCache>
                      <c:ptCount val="1"/>
                      <c:pt idx="0">
                        <c:v>Pred. dej.</c:v>
                      </c:pt>
                    </c:strCache>
                  </c:strRef>
                </c:tx>
                <c:spPr>
                  <a:ln w="28575" cap="rnd">
                    <a:solidFill>
                      <a:schemeClr val="accent1"/>
                    </a:solidFill>
                    <a:round/>
                  </a:ln>
                  <a:effectLst/>
                </c:spPr>
                <c:marker>
                  <c:symbol val="none"/>
                </c:marker>
                <c:cat>
                  <c:numRef>
                    <c:extLst>
                      <c:ext uri="{02D57815-91ED-43cb-92C2-25804820EDAC}">
                        <c15:formulaRef>
                          <c15:sqref>'strukt. stat (prava)'!$FR$74:$GB$74</c15:sqref>
                        </c15:formulaRef>
                      </c:ext>
                    </c:extLst>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extLst>
                      <c:ext uri="{02D57815-91ED-43cb-92C2-25804820EDAC}">
                        <c15:formulaRef>
                          <c15:sqref>'strukt. stat (prava)'!$FR$75:$GB$75</c15:sqref>
                        </c15:formulaRef>
                      </c:ext>
                    </c:extLst>
                    <c:numCache>
                      <c:formatCode>#,##0</c:formatCode>
                      <c:ptCount val="11"/>
                      <c:pt idx="0">
                        <c:v>100</c:v>
                      </c:pt>
                      <c:pt idx="1">
                        <c:v>89.357148662193765</c:v>
                      </c:pt>
                      <c:pt idx="2">
                        <c:v>84.721557508059348</c:v>
                      </c:pt>
                      <c:pt idx="3">
                        <c:v>82.90922061386479</c:v>
                      </c:pt>
                      <c:pt idx="4">
                        <c:v>81.596698603046747</c:v>
                      </c:pt>
                      <c:pt idx="5">
                        <c:v>80.219160022033392</c:v>
                      </c:pt>
                      <c:pt idx="6">
                        <c:v>80.052555060907878</c:v>
                      </c:pt>
                      <c:pt idx="7">
                        <c:v>81.393070317226673</c:v>
                      </c:pt>
                      <c:pt idx="8">
                        <c:v>83.6821953928536</c:v>
                      </c:pt>
                      <c:pt idx="9">
                        <c:v>87.183608600247425</c:v>
                      </c:pt>
                      <c:pt idx="10">
                        <c:v>91.156843445517026</c:v>
                      </c:pt>
                    </c:numCache>
                  </c:numRef>
                </c:val>
                <c:smooth val="0"/>
                <c:extLst>
                  <c:ext xmlns:c16="http://schemas.microsoft.com/office/drawing/2014/chart" uri="{C3380CC4-5D6E-409C-BE32-E72D297353CC}">
                    <c16:uniqueId val="{0000000A-9E01-439D-997B-8A7661DCE92D}"/>
                  </c:ext>
                </c:extLst>
              </c15:ser>
            </c15:filteredLineSeries>
          </c:ext>
        </c:extLst>
      </c:lineChart>
      <c:catAx>
        <c:axId val="248125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48139776"/>
        <c:crosses val="autoZero"/>
        <c:auto val="1"/>
        <c:lblAlgn val="ctr"/>
        <c:lblOffset val="100"/>
        <c:noMultiLvlLbl val="0"/>
      </c:catAx>
      <c:valAx>
        <c:axId val="248139776"/>
        <c:scaling>
          <c:orientation val="minMax"/>
          <c:max val="110"/>
          <c:min val="4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48125696"/>
        <c:crosses val="autoZero"/>
        <c:crossBetween val="between"/>
      </c:valAx>
      <c:spPr>
        <a:noFill/>
        <a:ln>
          <a:noFill/>
        </a:ln>
        <a:effectLst/>
      </c:spPr>
    </c:plotArea>
    <c:legend>
      <c:legendPos val="b"/>
      <c:layout>
        <c:manualLayout>
          <c:xMode val="edge"/>
          <c:yMode val="edge"/>
          <c:x val="0.75393722992747769"/>
          <c:y val="0.17024848162392225"/>
          <c:w val="0.23723059363772461"/>
          <c:h val="0.8019739349275284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rebuchet MS" panose="020B0603020202020204" pitchFamily="34" charset="0"/>
        </a:defRPr>
      </a:pPr>
      <a:endParaRPr lang="sl-SI"/>
    </a:p>
  </c:tx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rebuchet MS" panose="020B0603020202020204" pitchFamily="34" charset="0"/>
                <a:ea typeface="+mn-ea"/>
                <a:cs typeface="+mn-cs"/>
              </a:defRPr>
            </a:pPr>
            <a:r>
              <a:rPr lang="sl-SI" sz="1200"/>
              <a:t>Dodana vrednost in bruto marža v predelovalnih dejavnostih</a:t>
            </a:r>
          </a:p>
        </c:rich>
      </c:tx>
      <c:overlay val="0"/>
      <c:spPr>
        <a:noFill/>
        <a:ln>
          <a:noFill/>
        </a:ln>
        <a:effectLst/>
      </c:spPr>
    </c:title>
    <c:autoTitleDeleted val="0"/>
    <c:plotArea>
      <c:layout>
        <c:manualLayout>
          <c:layoutTarget val="inner"/>
          <c:xMode val="edge"/>
          <c:yMode val="edge"/>
          <c:x val="0.10413293786993746"/>
          <c:y val="0.12914158901447778"/>
          <c:w val="0.76240045163890702"/>
          <c:h val="0.64308070239286685"/>
        </c:manualLayout>
      </c:layout>
      <c:lineChart>
        <c:grouping val="standard"/>
        <c:varyColors val="0"/>
        <c:ser>
          <c:idx val="0"/>
          <c:order val="0"/>
          <c:tx>
            <c:v>dodana vrednost (leva os)</c:v>
          </c:tx>
          <c:spPr>
            <a:ln w="28575" cap="rnd">
              <a:solidFill>
                <a:schemeClr val="accent1"/>
              </a:solidFill>
              <a:round/>
            </a:ln>
            <a:effectLst/>
          </c:spPr>
          <c:marker>
            <c:symbol val="none"/>
          </c:marker>
          <c:cat>
            <c:numRef>
              <c:f>'strukt. stat (prava)'!$D$33:$M$33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'strukt. stat (prava)'!$BL$31:$BU$31</c:f>
              <c:numCache>
                <c:formatCode>#,##0.0</c:formatCode>
                <c:ptCount val="10"/>
                <c:pt idx="0">
                  <c:v>-21.099145013209764</c:v>
                </c:pt>
                <c:pt idx="1">
                  <c:v>16.318847454721919</c:v>
                </c:pt>
                <c:pt idx="2">
                  <c:v>2.2275187596472472</c:v>
                </c:pt>
                <c:pt idx="3">
                  <c:v>-2.5591573888195431</c:v>
                </c:pt>
                <c:pt idx="4">
                  <c:v>2.0406345865364082</c:v>
                </c:pt>
                <c:pt idx="5">
                  <c:v>9.4981813626752789</c:v>
                </c:pt>
                <c:pt idx="6">
                  <c:v>3.9418129639364565</c:v>
                </c:pt>
                <c:pt idx="7">
                  <c:v>6.8747231910293909</c:v>
                </c:pt>
                <c:pt idx="8">
                  <c:v>9.3277880671182061</c:v>
                </c:pt>
                <c:pt idx="9">
                  <c:v>5.3322452379290297</c:v>
                </c:pt>
              </c:numCache>
            </c:numRef>
          </c:val>
          <c:smooth val="0"/>
          <c:extLst xmlns:c15="http://schemas.microsoft.com/office/drawing/2012/chart" xmlns:c16r2="http://schemas.microsoft.com/office/drawing/2015/06/chart">
            <c:ext xmlns:c16="http://schemas.microsoft.com/office/drawing/2014/chart" uri="{C3380CC4-5D6E-409C-BE32-E72D297353CC}">
              <c16:uniqueId val="{00000000-DF01-415B-85B5-4D594EEA089A}"/>
            </c:ext>
          </c:extLst>
        </c:ser>
        <c:dLbls>
          <c:showLegendKey val="0"/>
          <c:showVal val="0"/>
          <c:showCatName val="0"/>
          <c:showSerName val="0"/>
          <c:showPercent val="0"/>
          <c:showBubbleSize val="0"/>
        </c:dLbls>
        <c:marker val="1"/>
        <c:smooth val="0"/>
        <c:axId val="247849344"/>
        <c:axId val="247850880"/>
        <c:extLst xmlns:c16r2="http://schemas.microsoft.com/office/drawing/2015/06/chart"/>
      </c:lineChart>
      <c:lineChart>
        <c:grouping val="standard"/>
        <c:varyColors val="0"/>
        <c:ser>
          <c:idx val="4"/>
          <c:order val="1"/>
          <c:tx>
            <c:v>bruto marža (desna os)</c:v>
          </c:tx>
          <c:spPr>
            <a:ln w="28575" cap="rnd">
              <a:solidFill>
                <a:schemeClr val="accent5"/>
              </a:solidFill>
              <a:round/>
            </a:ln>
            <a:effectLst/>
          </c:spPr>
          <c:marker>
            <c:symbol val="none"/>
          </c:marker>
          <c:cat>
            <c:numRef>
              <c:f>'strukt. stat (prava)'!$D$33:$M$33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'strukt. stat (prava)'!$GM$34:$GV$34</c:f>
              <c:numCache>
                <c:formatCode>0.0%</c:formatCode>
                <c:ptCount val="10"/>
                <c:pt idx="0">
                  <c:v>0.25580396905396097</c:v>
                </c:pt>
                <c:pt idx="1">
                  <c:v>0.26988410063424051</c:v>
                </c:pt>
                <c:pt idx="2">
                  <c:v>0.25903750679088122</c:v>
                </c:pt>
                <c:pt idx="3">
                  <c:v>0.25797067512294897</c:v>
                </c:pt>
                <c:pt idx="4">
                  <c:v>0.26378529675693324</c:v>
                </c:pt>
                <c:pt idx="5">
                  <c:v>0.2790761019294925</c:v>
                </c:pt>
                <c:pt idx="6">
                  <c:v>0.28048928640000581</c:v>
                </c:pt>
                <c:pt idx="7">
                  <c:v>0.28998004683075457</c:v>
                </c:pt>
                <c:pt idx="8">
                  <c:v>0.28500248781770066</c:v>
                </c:pt>
                <c:pt idx="9">
                  <c:v>0.28171418470663945</c:v>
                </c:pt>
              </c:numCache>
            </c:numRef>
          </c:val>
          <c:smooth val="0"/>
          <c:extLst xmlns:c16r2="http://schemas.microsoft.com/office/drawing/2015/06/chart">
            <c:ext xmlns:c16="http://schemas.microsoft.com/office/drawing/2014/chart" uri="{C3380CC4-5D6E-409C-BE32-E72D297353CC}">
              <c16:uniqueId val="{00000001-DF01-415B-85B5-4D594EEA089A}"/>
            </c:ext>
          </c:extLst>
        </c:ser>
        <c:dLbls>
          <c:showLegendKey val="0"/>
          <c:showVal val="0"/>
          <c:showCatName val="0"/>
          <c:showSerName val="0"/>
          <c:showPercent val="0"/>
          <c:showBubbleSize val="0"/>
        </c:dLbls>
        <c:marker val="1"/>
        <c:smooth val="0"/>
        <c:axId val="247854976"/>
        <c:axId val="247853056"/>
      </c:lineChart>
      <c:catAx>
        <c:axId val="2478493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47850880"/>
        <c:crosses val="autoZero"/>
        <c:auto val="1"/>
        <c:lblAlgn val="ctr"/>
        <c:lblOffset val="100"/>
        <c:noMultiLvlLbl val="0"/>
      </c:catAx>
      <c:valAx>
        <c:axId val="247850880"/>
        <c:scaling>
          <c:orientation val="minMax"/>
          <c:min val="-2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sl-SI"/>
                  <a:t>v</a:t>
                </a:r>
                <a:r>
                  <a:rPr lang="sl-SI" baseline="0"/>
                  <a:t> %</a:t>
                </a:r>
                <a:endParaRPr lang="sl-SI"/>
              </a:p>
            </c:rich>
          </c:tx>
          <c:layout>
            <c:manualLayout>
              <c:xMode val="edge"/>
              <c:yMode val="edge"/>
              <c:x val="1.2458466314711281E-4"/>
              <c:y val="0.3788281321080894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47849344"/>
        <c:crosses val="autoZero"/>
        <c:crossBetween val="between"/>
      </c:valAx>
      <c:valAx>
        <c:axId val="247853056"/>
        <c:scaling>
          <c:orientation val="minMax"/>
          <c:min val="0.25"/>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sl-SI"/>
                  <a:t>bruto</a:t>
                </a:r>
                <a:r>
                  <a:rPr lang="sl-SI" baseline="0"/>
                  <a:t> marža v </a:t>
                </a:r>
                <a:r>
                  <a:rPr lang="sl-SI"/>
                  <a:t>%</a:t>
                </a:r>
              </a:p>
            </c:rich>
          </c:tx>
          <c:overlay val="0"/>
          <c:spPr>
            <a:noFill/>
            <a:ln>
              <a:noFill/>
            </a:ln>
            <a:effectLst/>
          </c:sp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47854976"/>
        <c:crosses val="max"/>
        <c:crossBetween val="between"/>
      </c:valAx>
      <c:catAx>
        <c:axId val="247854976"/>
        <c:scaling>
          <c:orientation val="minMax"/>
        </c:scaling>
        <c:delete val="1"/>
        <c:axPos val="b"/>
        <c:numFmt formatCode="General" sourceLinked="1"/>
        <c:majorTickMark val="out"/>
        <c:minorTickMark val="none"/>
        <c:tickLblPos val="none"/>
        <c:crossAx val="247853056"/>
        <c:crosses val="autoZero"/>
        <c:auto val="1"/>
        <c:lblAlgn val="ctr"/>
        <c:lblOffset val="100"/>
        <c:noMultiLvlLbl val="0"/>
      </c:catAx>
      <c:spPr>
        <a:noFill/>
        <a:ln>
          <a:noFill/>
        </a:ln>
        <a:effectLst/>
      </c:spPr>
    </c:plotArea>
    <c:legend>
      <c:legendPos val="b"/>
      <c:layout>
        <c:manualLayout>
          <c:xMode val="edge"/>
          <c:yMode val="edge"/>
          <c:x val="1.161023622047244E-2"/>
          <c:y val="0.85460306684490162"/>
          <c:w val="0.9795573053368325"/>
          <c:h val="0.117618960968064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rebuchet MS" panose="020B0603020202020204" pitchFamily="34" charset="0"/>
        </a:defRPr>
      </a:pPr>
      <a:endParaRPr lang="sl-SI"/>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20" baseline="0">
                <a:solidFill>
                  <a:schemeClr val="tx1"/>
                </a:solidFill>
                <a:latin typeface="Trebuchet MS" panose="020B0603020202020204" pitchFamily="34" charset="0"/>
                <a:ea typeface="+mn-ea"/>
                <a:cs typeface="+mn-cs"/>
              </a:defRPr>
            </a:pPr>
            <a:r>
              <a:rPr lang="sl-SI" sz="1200"/>
              <a:t>Struktura</a:t>
            </a:r>
            <a:r>
              <a:rPr lang="sl-SI" sz="1200" baseline="0"/>
              <a:t> dodane vrednosti po </a:t>
            </a:r>
            <a:r>
              <a:rPr lang="sl-SI" sz="1200"/>
              <a:t>predelovalnih dejavnostih, v %, v letu </a:t>
            </a:r>
            <a:r>
              <a:rPr lang="en-US" sz="1200"/>
              <a:t>2018</a:t>
            </a:r>
          </a:p>
        </c:rich>
      </c:tx>
      <c:overlay val="0"/>
      <c:spPr>
        <a:noFill/>
        <a:ln>
          <a:noFill/>
        </a:ln>
        <a:effectLst/>
      </c:spPr>
    </c:title>
    <c:autoTitleDeleted val="0"/>
    <c:plotArea>
      <c:layout>
        <c:manualLayout>
          <c:layoutTarget val="inner"/>
          <c:xMode val="edge"/>
          <c:yMode val="edge"/>
          <c:x val="7.9069116360454925E-2"/>
          <c:y val="0.24347477398658487"/>
          <c:w val="0.44096850393700915"/>
          <c:h val="0.7241178186060091"/>
        </c:manualLayout>
      </c:layout>
      <c:pieChart>
        <c:varyColors val="1"/>
        <c:ser>
          <c:idx val="0"/>
          <c:order val="0"/>
          <c:tx>
            <c:strRef>
              <c:f>'strukt. stat (prava)'!$L$59</c:f>
              <c:strCache>
                <c:ptCount val="1"/>
                <c:pt idx="0">
                  <c:v>2018</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01-8E1C-492B-8164-DB877DA71FF7}"/>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03-8E1C-492B-8164-DB877DA71FF7}"/>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05-8E1C-492B-8164-DB877DA71FF7}"/>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07-8E1C-492B-8164-DB877DA71FF7}"/>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extLst xmlns:c16r2="http://schemas.microsoft.com/office/drawing/2015/06/chart">
              <c:ext xmlns:c16="http://schemas.microsoft.com/office/drawing/2014/chart" uri="{C3380CC4-5D6E-409C-BE32-E72D297353CC}">
                <c16:uniqueId val="{00000009-8E1C-492B-8164-DB877DA71FF7}"/>
              </c:ext>
            </c:extLst>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0B-8E1C-492B-8164-DB877DA71FF7}"/>
              </c:ext>
            </c:extLst>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extLst xmlns:c16r2="http://schemas.microsoft.com/office/drawing/2015/06/chart">
              <c:ext xmlns:c16="http://schemas.microsoft.com/office/drawing/2014/chart" uri="{C3380CC4-5D6E-409C-BE32-E72D297353CC}">
                <c16:uniqueId val="{0000000D-8E1C-492B-8164-DB877DA71FF7}"/>
              </c:ext>
            </c:extLst>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w="9525" cap="flat" cmpd="sng" algn="ctr">
                <a:solidFill>
                  <a:schemeClr val="accent2">
                    <a:lumMod val="60000"/>
                    <a:shade val="95000"/>
                  </a:schemeClr>
                </a:solidFill>
                <a:round/>
              </a:ln>
              <a:effectLst/>
            </c:spPr>
            <c:extLst xmlns:c16r2="http://schemas.microsoft.com/office/drawing/2015/06/chart">
              <c:ext xmlns:c16="http://schemas.microsoft.com/office/drawing/2014/chart" uri="{C3380CC4-5D6E-409C-BE32-E72D297353CC}">
                <c16:uniqueId val="{0000000F-8E1C-492B-8164-DB877DA71FF7}"/>
              </c:ext>
            </c:extLst>
          </c:dPt>
          <c:dPt>
            <c:idx val="8"/>
            <c:bubble3D val="0"/>
            <c:spPr>
              <a:gradFill rotWithShape="1">
                <a:gsLst>
                  <a:gs pos="0">
                    <a:schemeClr val="accent3">
                      <a:lumMod val="60000"/>
                      <a:lumMod val="110000"/>
                      <a:satMod val="105000"/>
                      <a:tint val="67000"/>
                    </a:schemeClr>
                  </a:gs>
                  <a:gs pos="50000">
                    <a:schemeClr val="accent3">
                      <a:lumMod val="60000"/>
                      <a:lumMod val="105000"/>
                      <a:satMod val="103000"/>
                      <a:tint val="73000"/>
                    </a:schemeClr>
                  </a:gs>
                  <a:gs pos="100000">
                    <a:schemeClr val="accent3">
                      <a:lumMod val="60000"/>
                      <a:lumMod val="105000"/>
                      <a:satMod val="109000"/>
                      <a:tint val="81000"/>
                    </a:schemeClr>
                  </a:gs>
                </a:gsLst>
                <a:lin ang="5400000" scaled="0"/>
              </a:gradFill>
              <a:ln w="9525" cap="flat" cmpd="sng" algn="ctr">
                <a:solidFill>
                  <a:schemeClr val="accent3">
                    <a:lumMod val="60000"/>
                    <a:shade val="95000"/>
                  </a:schemeClr>
                </a:solidFill>
                <a:round/>
              </a:ln>
              <a:effectLst/>
            </c:spPr>
            <c:extLst xmlns:c16r2="http://schemas.microsoft.com/office/drawing/2015/06/chart">
              <c:ext xmlns:c16="http://schemas.microsoft.com/office/drawing/2014/chart" uri="{C3380CC4-5D6E-409C-BE32-E72D297353CC}">
                <c16:uniqueId val="{00000011-8E1C-492B-8164-DB877DA71FF7}"/>
              </c:ext>
            </c:extLst>
          </c:dPt>
          <c:dPt>
            <c:idx val="9"/>
            <c:bubble3D val="0"/>
            <c:spPr>
              <a:gradFill rotWithShape="1">
                <a:gsLst>
                  <a:gs pos="0">
                    <a:schemeClr val="accent4">
                      <a:lumMod val="60000"/>
                      <a:lumMod val="110000"/>
                      <a:satMod val="105000"/>
                      <a:tint val="67000"/>
                    </a:schemeClr>
                  </a:gs>
                  <a:gs pos="50000">
                    <a:schemeClr val="accent4">
                      <a:lumMod val="60000"/>
                      <a:lumMod val="105000"/>
                      <a:satMod val="103000"/>
                      <a:tint val="73000"/>
                    </a:schemeClr>
                  </a:gs>
                  <a:gs pos="100000">
                    <a:schemeClr val="accent4">
                      <a:lumMod val="60000"/>
                      <a:lumMod val="105000"/>
                      <a:satMod val="109000"/>
                      <a:tint val="81000"/>
                    </a:schemeClr>
                  </a:gs>
                </a:gsLst>
                <a:lin ang="5400000" scaled="0"/>
              </a:gradFill>
              <a:ln w="9525" cap="flat" cmpd="sng" algn="ctr">
                <a:solidFill>
                  <a:schemeClr val="accent4">
                    <a:lumMod val="60000"/>
                    <a:shade val="95000"/>
                  </a:schemeClr>
                </a:solidFill>
                <a:round/>
              </a:ln>
              <a:effectLst/>
            </c:spPr>
            <c:extLst xmlns:c16r2="http://schemas.microsoft.com/office/drawing/2015/06/chart">
              <c:ext xmlns:c16="http://schemas.microsoft.com/office/drawing/2014/chart" uri="{C3380CC4-5D6E-409C-BE32-E72D297353CC}">
                <c16:uniqueId val="{00000013-8E1C-492B-8164-DB877DA71FF7}"/>
              </c:ext>
            </c:extLst>
          </c:dPt>
          <c:dLbls>
            <c:dLbl>
              <c:idx val="2"/>
              <c:layout>
                <c:manualLayout>
                  <c:x val="-4.5065739446120821E-2"/>
                  <c:y val="5.8403223822598285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E1C-492B-8164-DB877DA71FF7}"/>
                </c:ext>
              </c:extLst>
            </c:dLbl>
            <c:dLbl>
              <c:idx val="8"/>
              <c:layout>
                <c:manualLayout>
                  <c:x val="4.4079770402531617E-4"/>
                  <c:y val="8.8977003371004712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8E1C-492B-8164-DB877DA71FF7}"/>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rebuchet MS" panose="020B0603020202020204" pitchFamily="34" charset="0"/>
                    <a:ea typeface="+mn-ea"/>
                    <a:cs typeface="+mn-cs"/>
                  </a:defRPr>
                </a:pPr>
                <a:endParaRPr lang="sl-SI"/>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'strukt. stat (prava)'!$BQ$61:$BQ$70</c:f>
              <c:strCache>
                <c:ptCount val="9"/>
                <c:pt idx="0">
                  <c:v>Tekst. ind.</c:v>
                </c:pt>
                <c:pt idx="1">
                  <c:v>Lesna ind.</c:v>
                </c:pt>
                <c:pt idx="2">
                  <c:v>Papir. ind.</c:v>
                </c:pt>
                <c:pt idx="3">
                  <c:v>Kemij. ind.</c:v>
                </c:pt>
                <c:pt idx="4">
                  <c:v>Nekov. ind.</c:v>
                </c:pt>
                <c:pt idx="5">
                  <c:v>Kovin. ind.</c:v>
                </c:pt>
                <c:pt idx="6">
                  <c:v>Elektro ind.</c:v>
                </c:pt>
                <c:pt idx="7">
                  <c:v>Stroj. ind.</c:v>
                </c:pt>
                <c:pt idx="8">
                  <c:v>Dr. pred. dej.</c:v>
                </c:pt>
              </c:strCache>
              <c:extLst xmlns:c16r2="http://schemas.microsoft.com/office/drawing/2015/06/chart"/>
            </c:strRef>
          </c:cat>
          <c:val>
            <c:numRef>
              <c:f>'strukt. stat (prava)'!$BS$61:$BS$70</c:f>
              <c:numCache>
                <c:formatCode>0.0%</c:formatCode>
                <c:ptCount val="9"/>
                <c:pt idx="0">
                  <c:v>2.9889354593049852E-2</c:v>
                </c:pt>
                <c:pt idx="1">
                  <c:v>4.9768869246841978E-2</c:v>
                </c:pt>
                <c:pt idx="2">
                  <c:v>3.4054134420152919E-2</c:v>
                </c:pt>
                <c:pt idx="3">
                  <c:v>0.23273714877829327</c:v>
                </c:pt>
                <c:pt idx="4">
                  <c:v>3.8163529122020916E-2</c:v>
                </c:pt>
                <c:pt idx="5">
                  <c:v>0.19836216651174721</c:v>
                </c:pt>
                <c:pt idx="6">
                  <c:v>0.12659575554730879</c:v>
                </c:pt>
                <c:pt idx="7">
                  <c:v>0.20376335116325794</c:v>
                </c:pt>
                <c:pt idx="8">
                  <c:v>1.9310455190823375E-2</c:v>
                </c:pt>
              </c:numCache>
              <c:extLst xmlns:c16r2="http://schemas.microsoft.com/office/drawing/2015/06/chart"/>
            </c:numRef>
          </c:val>
          <c:extLst xmlns:c16r2="http://schemas.microsoft.com/office/drawing/2015/06/chart">
            <c:ext xmlns:c16="http://schemas.microsoft.com/office/drawing/2014/chart" uri="{C3380CC4-5D6E-409C-BE32-E72D297353CC}">
              <c16:uniqueId val="{00000014-8E1C-492B-8164-DB877DA71FF7}"/>
            </c:ext>
          </c:extLst>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68994552351701344"/>
          <c:y val="0.16087853601633134"/>
          <c:w val="0.31005438509375655"/>
          <c:h val="0.8288922383510637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rebuchet MS" panose="020B0603020202020204" pitchFamily="34" charset="0"/>
              <a:ea typeface="+mn-ea"/>
              <a:cs typeface="+mn-cs"/>
            </a:defRPr>
          </a:pPr>
          <a:endParaRPr lang="sl-SI"/>
        </a:p>
      </c:txPr>
    </c:legend>
    <c:plotVisOnly val="1"/>
    <c:dispBlanksAs val="zero"/>
    <c:showDLblsOverMax val="0"/>
  </c:chart>
  <c:spPr>
    <a:solidFill>
      <a:schemeClr val="bg1"/>
    </a:solidFill>
    <a:ln w="9525" cap="flat" cmpd="sng" algn="ctr">
      <a:noFill/>
      <a:round/>
    </a:ln>
    <a:effectLst/>
  </c:spPr>
  <c:txPr>
    <a:bodyPr/>
    <a:lstStyle/>
    <a:p>
      <a:pPr>
        <a:defRPr>
          <a:solidFill>
            <a:schemeClr val="tx1"/>
          </a:solidFill>
          <a:latin typeface="Trebuchet MS" panose="020B0603020202020204" pitchFamily="34" charset="0"/>
        </a:defRPr>
      </a:pPr>
      <a:endParaRPr lang="sl-SI"/>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rebuchet MS" panose="020B0603020202020204" pitchFamily="34" charset="0"/>
                <a:ea typeface="+mn-ea"/>
                <a:cs typeface="+mn-cs"/>
              </a:defRPr>
            </a:pPr>
            <a:r>
              <a:rPr lang="sl-SI" sz="1200"/>
              <a:t>Gibanje dodane vrednosti</a:t>
            </a:r>
          </a:p>
          <a:p>
            <a:pPr>
              <a:defRPr sz="1200" b="0" i="0" u="none" strike="noStrike" kern="1200" spc="0" baseline="0">
                <a:solidFill>
                  <a:schemeClr val="tx1">
                    <a:lumMod val="65000"/>
                    <a:lumOff val="35000"/>
                  </a:schemeClr>
                </a:solidFill>
                <a:latin typeface="Trebuchet MS" panose="020B0603020202020204" pitchFamily="34" charset="0"/>
                <a:ea typeface="+mn-ea"/>
                <a:cs typeface="+mn-cs"/>
              </a:defRPr>
            </a:pPr>
            <a:r>
              <a:rPr lang="sl-SI" sz="1200"/>
              <a:t>2008=100</a:t>
            </a:r>
          </a:p>
        </c:rich>
      </c:tx>
      <c:overlay val="0"/>
      <c:spPr>
        <a:noFill/>
        <a:ln>
          <a:noFill/>
        </a:ln>
        <a:effectLst/>
      </c:spPr>
    </c:title>
    <c:autoTitleDeleted val="0"/>
    <c:plotArea>
      <c:layout>
        <c:manualLayout>
          <c:layoutTarget val="inner"/>
          <c:xMode val="edge"/>
          <c:yMode val="edge"/>
          <c:x val="7.3219094200462451E-2"/>
          <c:y val="0.16597075929256808"/>
          <c:w val="0.72671127194539265"/>
          <c:h val="0.73493277716733252"/>
        </c:manualLayout>
      </c:layout>
      <c:lineChart>
        <c:grouping val="standard"/>
        <c:varyColors val="0"/>
        <c:ser>
          <c:idx val="1"/>
          <c:order val="0"/>
          <c:tx>
            <c:strRef>
              <c:f>'strukt. stat (prava)'!$BJ$76</c:f>
              <c:strCache>
                <c:ptCount val="1"/>
                <c:pt idx="0">
                  <c:v>Prehr. ind.</c:v>
                </c:pt>
              </c:strCache>
            </c:strRef>
          </c:tx>
          <c:spPr>
            <a:ln w="28575" cap="rnd">
              <a:solidFill>
                <a:schemeClr val="accent2"/>
              </a:solidFill>
              <a:round/>
            </a:ln>
            <a:effectLst/>
          </c:spPr>
          <c:marker>
            <c:symbol val="none"/>
          </c:marker>
          <c:cat>
            <c:numRef>
              <c:f>'strukt. stat (prava)'!$BK$74:$BU$74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(prava)'!$BK$76:$BU$76</c:f>
              <c:numCache>
                <c:formatCode>#,##0</c:formatCode>
                <c:ptCount val="11"/>
                <c:pt idx="0">
                  <c:v>100</c:v>
                </c:pt>
                <c:pt idx="1">
                  <c:v>96.555031469999548</c:v>
                </c:pt>
                <c:pt idx="2">
                  <c:v>100.30159193651861</c:v>
                </c:pt>
                <c:pt idx="3">
                  <c:v>100.05413735114891</c:v>
                </c:pt>
                <c:pt idx="4">
                  <c:v>95.135524546173414</c:v>
                </c:pt>
                <c:pt idx="5">
                  <c:v>93.73093736478954</c:v>
                </c:pt>
                <c:pt idx="6">
                  <c:v>100.50897635647058</c:v>
                </c:pt>
                <c:pt idx="7">
                  <c:v>107.82711002457495</c:v>
                </c:pt>
                <c:pt idx="8">
                  <c:v>111.55214343414106</c:v>
                </c:pt>
                <c:pt idx="9">
                  <c:v>115.79041598373341</c:v>
                </c:pt>
                <c:pt idx="10">
                  <c:v>126.4669836756707</c:v>
                </c:pt>
              </c:numCache>
            </c:numRef>
          </c:val>
          <c:smooth val="0"/>
          <c:extLst xmlns:c16r2="http://schemas.microsoft.com/office/drawing/2015/06/chart">
            <c:ext xmlns:c16="http://schemas.microsoft.com/office/drawing/2014/chart" uri="{C3380CC4-5D6E-409C-BE32-E72D297353CC}">
              <c16:uniqueId val="{00000000-B159-469D-AC12-0ABF6C2FA454}"/>
            </c:ext>
          </c:extLst>
        </c:ser>
        <c:ser>
          <c:idx val="2"/>
          <c:order val="1"/>
          <c:tx>
            <c:strRef>
              <c:f>'strukt. stat (prava)'!$BJ$77</c:f>
              <c:strCache>
                <c:ptCount val="1"/>
                <c:pt idx="0">
                  <c:v>Tekst. ind.</c:v>
                </c:pt>
              </c:strCache>
            </c:strRef>
          </c:tx>
          <c:spPr>
            <a:ln w="28575" cap="rnd">
              <a:solidFill>
                <a:schemeClr val="accent3"/>
              </a:solidFill>
              <a:round/>
            </a:ln>
            <a:effectLst/>
          </c:spPr>
          <c:marker>
            <c:symbol val="none"/>
          </c:marker>
          <c:cat>
            <c:numRef>
              <c:f>'strukt. stat (prava)'!$BK$74:$BU$74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(prava)'!$BK$77:$BU$77</c:f>
              <c:numCache>
                <c:formatCode>#,##0</c:formatCode>
                <c:ptCount val="11"/>
                <c:pt idx="0">
                  <c:v>100</c:v>
                </c:pt>
                <c:pt idx="1">
                  <c:v>80.934106778659512</c:v>
                </c:pt>
                <c:pt idx="2">
                  <c:v>82.566029823814574</c:v>
                </c:pt>
                <c:pt idx="3">
                  <c:v>85.588438983169056</c:v>
                </c:pt>
                <c:pt idx="4">
                  <c:v>75.816914563094457</c:v>
                </c:pt>
                <c:pt idx="5">
                  <c:v>67.935904848434788</c:v>
                </c:pt>
                <c:pt idx="6">
                  <c:v>76.431308016341418</c:v>
                </c:pt>
                <c:pt idx="7">
                  <c:v>70.629832709620842</c:v>
                </c:pt>
                <c:pt idx="8">
                  <c:v>70.442528480027704</c:v>
                </c:pt>
                <c:pt idx="9">
                  <c:v>80.412253559606327</c:v>
                </c:pt>
                <c:pt idx="10">
                  <c:v>83.660120337249268</c:v>
                </c:pt>
              </c:numCache>
            </c:numRef>
          </c:val>
          <c:smooth val="0"/>
          <c:extLst xmlns:c16r2="http://schemas.microsoft.com/office/drawing/2015/06/chart">
            <c:ext xmlns:c16="http://schemas.microsoft.com/office/drawing/2014/chart" uri="{C3380CC4-5D6E-409C-BE32-E72D297353CC}">
              <c16:uniqueId val="{00000001-B159-469D-AC12-0ABF6C2FA454}"/>
            </c:ext>
          </c:extLst>
        </c:ser>
        <c:ser>
          <c:idx val="3"/>
          <c:order val="2"/>
          <c:tx>
            <c:strRef>
              <c:f>'strukt. stat (prava)'!$BJ$78</c:f>
              <c:strCache>
                <c:ptCount val="1"/>
                <c:pt idx="0">
                  <c:v>Lesna ind.</c:v>
                </c:pt>
              </c:strCache>
            </c:strRef>
          </c:tx>
          <c:spPr>
            <a:ln w="28575" cap="rnd">
              <a:solidFill>
                <a:schemeClr val="accent4"/>
              </a:solidFill>
              <a:round/>
            </a:ln>
            <a:effectLst/>
          </c:spPr>
          <c:marker>
            <c:symbol val="none"/>
          </c:marker>
          <c:cat>
            <c:numRef>
              <c:f>'strukt. stat (prava)'!$BK$74:$BU$74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(prava)'!$BK$78:$BU$78</c:f>
              <c:numCache>
                <c:formatCode>#,##0</c:formatCode>
                <c:ptCount val="11"/>
                <c:pt idx="0">
                  <c:v>100</c:v>
                </c:pt>
                <c:pt idx="1">
                  <c:v>71.852591902999137</c:v>
                </c:pt>
                <c:pt idx="2">
                  <c:v>73.092118707567948</c:v>
                </c:pt>
                <c:pt idx="3">
                  <c:v>71.625984877727205</c:v>
                </c:pt>
                <c:pt idx="4">
                  <c:v>67.701232942031282</c:v>
                </c:pt>
                <c:pt idx="5">
                  <c:v>65.462182965872827</c:v>
                </c:pt>
                <c:pt idx="6">
                  <c:v>73.133443836424689</c:v>
                </c:pt>
                <c:pt idx="7">
                  <c:v>78.592447946231758</c:v>
                </c:pt>
                <c:pt idx="8">
                  <c:v>83.034899298381063</c:v>
                </c:pt>
                <c:pt idx="9">
                  <c:v>88.855838877409028</c:v>
                </c:pt>
                <c:pt idx="10">
                  <c:v>99.714130015213314</c:v>
                </c:pt>
              </c:numCache>
            </c:numRef>
          </c:val>
          <c:smooth val="0"/>
          <c:extLst xmlns:c16r2="http://schemas.microsoft.com/office/drawing/2015/06/chart">
            <c:ext xmlns:c16="http://schemas.microsoft.com/office/drawing/2014/chart" uri="{C3380CC4-5D6E-409C-BE32-E72D297353CC}">
              <c16:uniqueId val="{00000002-B159-469D-AC12-0ABF6C2FA454}"/>
            </c:ext>
          </c:extLst>
        </c:ser>
        <c:ser>
          <c:idx val="4"/>
          <c:order val="3"/>
          <c:tx>
            <c:strRef>
              <c:f>'strukt. stat (prava)'!$BJ$79</c:f>
              <c:strCache>
                <c:ptCount val="1"/>
                <c:pt idx="0">
                  <c:v>Papir. ind.</c:v>
                </c:pt>
              </c:strCache>
            </c:strRef>
          </c:tx>
          <c:spPr>
            <a:ln w="28575" cap="rnd">
              <a:solidFill>
                <a:schemeClr val="accent5"/>
              </a:solidFill>
              <a:round/>
            </a:ln>
            <a:effectLst/>
          </c:spPr>
          <c:marker>
            <c:symbol val="none"/>
          </c:marker>
          <c:cat>
            <c:numRef>
              <c:f>'strukt. stat (prava)'!$BK$74:$BU$74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(prava)'!$BK$79:$BU$79</c:f>
              <c:numCache>
                <c:formatCode>#,##0</c:formatCode>
                <c:ptCount val="11"/>
                <c:pt idx="0">
                  <c:v>100</c:v>
                </c:pt>
                <c:pt idx="1">
                  <c:v>96.944659661974626</c:v>
                </c:pt>
                <c:pt idx="2">
                  <c:v>86.324312571391758</c:v>
                </c:pt>
                <c:pt idx="3">
                  <c:v>86.091571401009972</c:v>
                </c:pt>
                <c:pt idx="4">
                  <c:v>84.069785602508688</c:v>
                </c:pt>
                <c:pt idx="5">
                  <c:v>89.598000875841748</c:v>
                </c:pt>
                <c:pt idx="6">
                  <c:v>93.05788211659673</c:v>
                </c:pt>
                <c:pt idx="7">
                  <c:v>94.354801664711843</c:v>
                </c:pt>
                <c:pt idx="8">
                  <c:v>93.188033428981541</c:v>
                </c:pt>
                <c:pt idx="9">
                  <c:v>97.819888957962618</c:v>
                </c:pt>
                <c:pt idx="10">
                  <c:v>91.887439020282173</c:v>
                </c:pt>
              </c:numCache>
            </c:numRef>
          </c:val>
          <c:smooth val="0"/>
          <c:extLst xmlns:c16r2="http://schemas.microsoft.com/office/drawing/2015/06/chart">
            <c:ext xmlns:c16="http://schemas.microsoft.com/office/drawing/2014/chart" uri="{C3380CC4-5D6E-409C-BE32-E72D297353CC}">
              <c16:uniqueId val="{00000003-B159-469D-AC12-0ABF6C2FA454}"/>
            </c:ext>
          </c:extLst>
        </c:ser>
        <c:ser>
          <c:idx val="5"/>
          <c:order val="4"/>
          <c:tx>
            <c:strRef>
              <c:f>'strukt. stat (prava)'!$BJ$80</c:f>
              <c:strCache>
                <c:ptCount val="1"/>
                <c:pt idx="0">
                  <c:v>Kemij. ind.</c:v>
                </c:pt>
              </c:strCache>
            </c:strRef>
          </c:tx>
          <c:spPr>
            <a:ln w="28575" cap="rnd">
              <a:solidFill>
                <a:schemeClr val="accent6"/>
              </a:solidFill>
              <a:round/>
            </a:ln>
            <a:effectLst/>
          </c:spPr>
          <c:marker>
            <c:symbol val="none"/>
          </c:marker>
          <c:cat>
            <c:numRef>
              <c:f>'strukt. stat (prava)'!$BK$74:$BU$74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(prava)'!$BK$80:$BU$80</c:f>
              <c:numCache>
                <c:formatCode>#,##0</c:formatCode>
                <c:ptCount val="11"/>
                <c:pt idx="0">
                  <c:v>100</c:v>
                </c:pt>
                <c:pt idx="1">
                  <c:v>85.916329656335748</c:v>
                </c:pt>
                <c:pt idx="2">
                  <c:v>96.633980966803719</c:v>
                </c:pt>
                <c:pt idx="3">
                  <c:v>99.709029582336697</c:v>
                </c:pt>
                <c:pt idx="4">
                  <c:v>100.13966855392425</c:v>
                </c:pt>
                <c:pt idx="5">
                  <c:v>105.00080882479443</c:v>
                </c:pt>
                <c:pt idx="6">
                  <c:v>113.60216145519627</c:v>
                </c:pt>
                <c:pt idx="7">
                  <c:v>114.07985682080228</c:v>
                </c:pt>
                <c:pt idx="8">
                  <c:v>113.21029788845101</c:v>
                </c:pt>
                <c:pt idx="9">
                  <c:v>131.18660448467537</c:v>
                </c:pt>
                <c:pt idx="10">
                  <c:v>139.21652067665912</c:v>
                </c:pt>
              </c:numCache>
            </c:numRef>
          </c:val>
          <c:smooth val="0"/>
          <c:extLst xmlns:c16r2="http://schemas.microsoft.com/office/drawing/2015/06/chart">
            <c:ext xmlns:c16="http://schemas.microsoft.com/office/drawing/2014/chart" uri="{C3380CC4-5D6E-409C-BE32-E72D297353CC}">
              <c16:uniqueId val="{00000004-B159-469D-AC12-0ABF6C2FA454}"/>
            </c:ext>
          </c:extLst>
        </c:ser>
        <c:ser>
          <c:idx val="6"/>
          <c:order val="5"/>
          <c:tx>
            <c:strRef>
              <c:f>'strukt. stat (prava)'!$BJ$81</c:f>
              <c:strCache>
                <c:ptCount val="1"/>
                <c:pt idx="0">
                  <c:v>Nekov. ind.</c:v>
                </c:pt>
              </c:strCache>
            </c:strRef>
          </c:tx>
          <c:spPr>
            <a:ln w="28575" cap="rnd">
              <a:solidFill>
                <a:schemeClr val="accent1">
                  <a:lumMod val="60000"/>
                </a:schemeClr>
              </a:solidFill>
              <a:round/>
            </a:ln>
            <a:effectLst/>
          </c:spPr>
          <c:marker>
            <c:symbol val="none"/>
          </c:marker>
          <c:cat>
            <c:numRef>
              <c:f>'strukt. stat (prava)'!$BK$74:$BU$74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(prava)'!$BK$81:$BU$81</c:f>
              <c:numCache>
                <c:formatCode>#,##0</c:formatCode>
                <c:ptCount val="11"/>
                <c:pt idx="0">
                  <c:v>100</c:v>
                </c:pt>
                <c:pt idx="1">
                  <c:v>75.105523357127183</c:v>
                </c:pt>
                <c:pt idx="2">
                  <c:v>87.535335803074346</c:v>
                </c:pt>
                <c:pt idx="3">
                  <c:v>76.720643853829159</c:v>
                </c:pt>
                <c:pt idx="4">
                  <c:v>77.110467142543428</c:v>
                </c:pt>
                <c:pt idx="5">
                  <c:v>80.542073808263709</c:v>
                </c:pt>
                <c:pt idx="6">
                  <c:v>84.853687186172849</c:v>
                </c:pt>
                <c:pt idx="7">
                  <c:v>90.35961843786707</c:v>
                </c:pt>
                <c:pt idx="8">
                  <c:v>92.473957997186019</c:v>
                </c:pt>
                <c:pt idx="9">
                  <c:v>98.546875605065125</c:v>
                </c:pt>
                <c:pt idx="10">
                  <c:v>108.64258883969441</c:v>
                </c:pt>
              </c:numCache>
            </c:numRef>
          </c:val>
          <c:smooth val="0"/>
          <c:extLst xmlns:c16r2="http://schemas.microsoft.com/office/drawing/2015/06/chart">
            <c:ext xmlns:c16="http://schemas.microsoft.com/office/drawing/2014/chart" uri="{C3380CC4-5D6E-409C-BE32-E72D297353CC}">
              <c16:uniqueId val="{00000005-B159-469D-AC12-0ABF6C2FA454}"/>
            </c:ext>
          </c:extLst>
        </c:ser>
        <c:ser>
          <c:idx val="7"/>
          <c:order val="6"/>
          <c:tx>
            <c:strRef>
              <c:f>'strukt. stat (prava)'!$BJ$82</c:f>
              <c:strCache>
                <c:ptCount val="1"/>
                <c:pt idx="0">
                  <c:v>Kovin. ind.</c:v>
                </c:pt>
              </c:strCache>
            </c:strRef>
          </c:tx>
          <c:spPr>
            <a:ln w="28575" cap="rnd">
              <a:solidFill>
                <a:schemeClr val="accent2">
                  <a:lumMod val="60000"/>
                </a:schemeClr>
              </a:solidFill>
              <a:round/>
            </a:ln>
            <a:effectLst/>
          </c:spPr>
          <c:marker>
            <c:symbol val="none"/>
          </c:marker>
          <c:cat>
            <c:numRef>
              <c:f>'strukt. stat (prava)'!$BK$74:$BU$74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(prava)'!$BK$82:$BU$82</c:f>
              <c:numCache>
                <c:formatCode>#,##0</c:formatCode>
                <c:ptCount val="11"/>
                <c:pt idx="0">
                  <c:v>100</c:v>
                </c:pt>
                <c:pt idx="1">
                  <c:v>64.323627751462809</c:v>
                </c:pt>
                <c:pt idx="2">
                  <c:v>83.276214358688549</c:v>
                </c:pt>
                <c:pt idx="3">
                  <c:v>88.658323271725308</c:v>
                </c:pt>
                <c:pt idx="4">
                  <c:v>83.783706386798869</c:v>
                </c:pt>
                <c:pt idx="5">
                  <c:v>87.974520912665241</c:v>
                </c:pt>
                <c:pt idx="6">
                  <c:v>102.84751246091473</c:v>
                </c:pt>
                <c:pt idx="7">
                  <c:v>105.64417510293798</c:v>
                </c:pt>
                <c:pt idx="8">
                  <c:v>125.37189251106757</c:v>
                </c:pt>
                <c:pt idx="9">
                  <c:v>130.50733723414135</c:v>
                </c:pt>
                <c:pt idx="10">
                  <c:v>135.27158601900831</c:v>
                </c:pt>
              </c:numCache>
            </c:numRef>
          </c:val>
          <c:smooth val="0"/>
          <c:extLst xmlns:c16r2="http://schemas.microsoft.com/office/drawing/2015/06/chart">
            <c:ext xmlns:c16="http://schemas.microsoft.com/office/drawing/2014/chart" uri="{C3380CC4-5D6E-409C-BE32-E72D297353CC}">
              <c16:uniqueId val="{00000006-B159-469D-AC12-0ABF6C2FA454}"/>
            </c:ext>
          </c:extLst>
        </c:ser>
        <c:ser>
          <c:idx val="8"/>
          <c:order val="7"/>
          <c:tx>
            <c:strRef>
              <c:f>'strukt. stat (prava)'!$BJ$83</c:f>
              <c:strCache>
                <c:ptCount val="1"/>
                <c:pt idx="0">
                  <c:v>Elektro ind.</c:v>
                </c:pt>
              </c:strCache>
            </c:strRef>
          </c:tx>
          <c:spPr>
            <a:ln w="28575" cap="rnd">
              <a:solidFill>
                <a:schemeClr val="accent3">
                  <a:lumMod val="60000"/>
                </a:schemeClr>
              </a:solidFill>
              <a:round/>
            </a:ln>
            <a:effectLst/>
          </c:spPr>
          <c:marker>
            <c:symbol val="none"/>
          </c:marker>
          <c:cat>
            <c:numRef>
              <c:f>'strukt. stat (prava)'!$BK$74:$BU$74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(prava)'!$BK$83:$BU$83</c:f>
              <c:numCache>
                <c:formatCode>#,##0</c:formatCode>
                <c:ptCount val="11"/>
                <c:pt idx="0">
                  <c:v>100</c:v>
                </c:pt>
                <c:pt idx="1">
                  <c:v>81.931434016003948</c:v>
                </c:pt>
                <c:pt idx="2">
                  <c:v>110.1013433470816</c:v>
                </c:pt>
                <c:pt idx="3">
                  <c:v>107.49145918624745</c:v>
                </c:pt>
                <c:pt idx="4">
                  <c:v>107.15453968771592</c:v>
                </c:pt>
                <c:pt idx="5">
                  <c:v>105.46981481528658</c:v>
                </c:pt>
                <c:pt idx="6">
                  <c:v>113.16661019496749</c:v>
                </c:pt>
                <c:pt idx="7">
                  <c:v>126.76099988026321</c:v>
                </c:pt>
                <c:pt idx="8">
                  <c:v>128.32110912115598</c:v>
                </c:pt>
                <c:pt idx="9">
                  <c:v>140.09647743976848</c:v>
                </c:pt>
                <c:pt idx="10">
                  <c:v>142.0844935507622</c:v>
                </c:pt>
              </c:numCache>
            </c:numRef>
          </c:val>
          <c:smooth val="0"/>
          <c:extLst xmlns:c16r2="http://schemas.microsoft.com/office/drawing/2015/06/chart">
            <c:ext xmlns:c16="http://schemas.microsoft.com/office/drawing/2014/chart" uri="{C3380CC4-5D6E-409C-BE32-E72D297353CC}">
              <c16:uniqueId val="{00000007-B159-469D-AC12-0ABF6C2FA454}"/>
            </c:ext>
          </c:extLst>
        </c:ser>
        <c:ser>
          <c:idx val="9"/>
          <c:order val="8"/>
          <c:tx>
            <c:strRef>
              <c:f>'strukt. stat (prava)'!$BJ$84</c:f>
              <c:strCache>
                <c:ptCount val="1"/>
                <c:pt idx="0">
                  <c:v>Stroj. ind.</c:v>
                </c:pt>
              </c:strCache>
            </c:strRef>
          </c:tx>
          <c:spPr>
            <a:ln w="28575" cap="rnd">
              <a:solidFill>
                <a:schemeClr val="accent4">
                  <a:lumMod val="60000"/>
                </a:schemeClr>
              </a:solidFill>
              <a:round/>
            </a:ln>
            <a:effectLst/>
          </c:spPr>
          <c:marker>
            <c:symbol val="none"/>
          </c:marker>
          <c:cat>
            <c:numRef>
              <c:f>'strukt. stat (prava)'!$BK$74:$BU$74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(prava)'!$BK$84:$BU$84</c:f>
              <c:numCache>
                <c:formatCode>#,##0</c:formatCode>
                <c:ptCount val="11"/>
                <c:pt idx="0">
                  <c:v>100</c:v>
                </c:pt>
                <c:pt idx="1">
                  <c:v>76.396531639969083</c:v>
                </c:pt>
                <c:pt idx="2">
                  <c:v>90.983145540021084</c:v>
                </c:pt>
                <c:pt idx="3">
                  <c:v>98.076761383719372</c:v>
                </c:pt>
                <c:pt idx="4">
                  <c:v>97.152774206398433</c:v>
                </c:pt>
                <c:pt idx="5">
                  <c:v>98.759119261202542</c:v>
                </c:pt>
                <c:pt idx="6">
                  <c:v>106.16464098049249</c:v>
                </c:pt>
                <c:pt idx="7">
                  <c:v>113.5770360737848</c:v>
                </c:pt>
                <c:pt idx="8">
                  <c:v>121.99536822754295</c:v>
                </c:pt>
                <c:pt idx="9">
                  <c:v>137.71090523641658</c:v>
                </c:pt>
                <c:pt idx="10">
                  <c:v>146.51225248302677</c:v>
                </c:pt>
              </c:numCache>
            </c:numRef>
          </c:val>
          <c:smooth val="0"/>
          <c:extLst xmlns:c16r2="http://schemas.microsoft.com/office/drawing/2015/06/chart">
            <c:ext xmlns:c16="http://schemas.microsoft.com/office/drawing/2014/chart" uri="{C3380CC4-5D6E-409C-BE32-E72D297353CC}">
              <c16:uniqueId val="{00000008-B159-469D-AC12-0ABF6C2FA454}"/>
            </c:ext>
          </c:extLst>
        </c:ser>
        <c:ser>
          <c:idx val="10"/>
          <c:order val="9"/>
          <c:tx>
            <c:strRef>
              <c:f>'strukt. stat (prava)'!$BJ$85</c:f>
              <c:strCache>
                <c:ptCount val="1"/>
                <c:pt idx="0">
                  <c:v>Dr. pred. dej.</c:v>
                </c:pt>
              </c:strCache>
            </c:strRef>
          </c:tx>
          <c:spPr>
            <a:ln w="28575" cap="rnd">
              <a:solidFill>
                <a:schemeClr val="accent5">
                  <a:lumMod val="60000"/>
                </a:schemeClr>
              </a:solidFill>
              <a:round/>
            </a:ln>
            <a:effectLst/>
          </c:spPr>
          <c:marker>
            <c:symbol val="none"/>
          </c:marker>
          <c:cat>
            <c:numRef>
              <c:f>'strukt. stat (prava)'!$BK$74:$BU$74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(prava)'!$BK$85:$BU$85</c:f>
              <c:numCache>
                <c:formatCode>#,##0</c:formatCode>
                <c:ptCount val="11"/>
                <c:pt idx="0">
                  <c:v>100</c:v>
                </c:pt>
                <c:pt idx="1">
                  <c:v>73.451687326477142</c:v>
                </c:pt>
                <c:pt idx="2">
                  <c:v>99.682477613107238</c:v>
                </c:pt>
                <c:pt idx="3">
                  <c:v>89.841629843976349</c:v>
                </c:pt>
                <c:pt idx="4">
                  <c:v>77.904821491416726</c:v>
                </c:pt>
                <c:pt idx="5">
                  <c:v>83.501349079106873</c:v>
                </c:pt>
                <c:pt idx="6">
                  <c:v>91.860947092636408</c:v>
                </c:pt>
                <c:pt idx="7">
                  <c:v>94.326829077542712</c:v>
                </c:pt>
                <c:pt idx="8">
                  <c:v>127.60020333945938</c:v>
                </c:pt>
                <c:pt idx="9">
                  <c:v>137.36518984866893</c:v>
                </c:pt>
                <c:pt idx="10">
                  <c:v>133.07550932624196</c:v>
                </c:pt>
              </c:numCache>
            </c:numRef>
          </c:val>
          <c:smooth val="0"/>
          <c:extLst xmlns:c16r2="http://schemas.microsoft.com/office/drawing/2015/06/chart">
            <c:ext xmlns:c16="http://schemas.microsoft.com/office/drawing/2014/chart" uri="{C3380CC4-5D6E-409C-BE32-E72D297353CC}">
              <c16:uniqueId val="{00000009-B159-469D-AC12-0ABF6C2FA454}"/>
            </c:ext>
          </c:extLst>
        </c:ser>
        <c:dLbls>
          <c:showLegendKey val="0"/>
          <c:showVal val="0"/>
          <c:showCatName val="0"/>
          <c:showSerName val="0"/>
          <c:showPercent val="0"/>
          <c:showBubbleSize val="0"/>
        </c:dLbls>
        <c:marker val="1"/>
        <c:smooth val="0"/>
        <c:axId val="250505472"/>
        <c:axId val="250507264"/>
        <c:extLst xmlns:c16r2="http://schemas.microsoft.com/office/drawing/2015/06/chart">
          <c:ext xmlns:c15="http://schemas.microsoft.com/office/drawing/2012/chart" uri="{02D57815-91ED-43cb-92C2-25804820EDAC}">
            <c15:filteredLineSeries>
              <c15:ser>
                <c:idx val="0"/>
                <c:order val="0"/>
                <c:tx>
                  <c:strRef>
                    <c:extLst>
                      <c:ext uri="{02D57815-91ED-43cb-92C2-25804820EDAC}">
                        <c15:formulaRef>
                          <c15:sqref>'strukt. stat (prava)'!$BJ$75</c15:sqref>
                        </c15:formulaRef>
                      </c:ext>
                    </c:extLst>
                    <c:strCache>
                      <c:ptCount val="1"/>
                      <c:pt idx="0">
                        <c:v>Pred. dej.</c:v>
                      </c:pt>
                    </c:strCache>
                  </c:strRef>
                </c:tx>
                <c:spPr>
                  <a:ln w="28575" cap="rnd">
                    <a:solidFill>
                      <a:schemeClr val="accent1"/>
                    </a:solidFill>
                    <a:round/>
                  </a:ln>
                  <a:effectLst/>
                </c:spPr>
                <c:marker>
                  <c:symbol val="none"/>
                </c:marker>
                <c:cat>
                  <c:numRef>
                    <c:extLst>
                      <c:ext uri="{02D57815-91ED-43cb-92C2-25804820EDAC}">
                        <c15:formulaRef>
                          <c15:sqref>'strukt. stat (prava)'!$BK$74:$BU$74</c15:sqref>
                        </c15:formulaRef>
                      </c:ext>
                    </c:extLst>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extLst>
                      <c:ext uri="{02D57815-91ED-43cb-92C2-25804820EDAC}">
                        <c15:formulaRef>
                          <c15:sqref>'strukt. stat (prava)'!$BK$75:$BU$75</c15:sqref>
                        </c15:formulaRef>
                      </c:ext>
                    </c:extLst>
                    <c:numCache>
                      <c:formatCode>#,##0</c:formatCode>
                      <c:ptCount val="11"/>
                      <c:pt idx="0">
                        <c:v>100</c:v>
                      </c:pt>
                      <c:pt idx="1">
                        <c:v>78.900854986790236</c:v>
                      </c:pt>
                      <c:pt idx="2">
                        <c:v>91.776565152555889</c:v>
                      </c:pt>
                      <c:pt idx="3">
                        <c:v>93.820905358288925</c:v>
                      </c:pt>
                      <c:pt idx="4">
                        <c:v>91.419880726554894</c:v>
                      </c:pt>
                      <c:pt idx="5">
                        <c:v>93.285426431631308</c:v>
                      </c:pt>
                      <c:pt idx="6">
                        <c:v>102.14584541905268</c:v>
                      </c:pt>
                      <c:pt idx="7">
                        <c:v>106.17224359590338</c:v>
                      </c:pt>
                      <c:pt idx="8">
                        <c:v>113.47129144882713</c:v>
                      </c:pt>
                      <c:pt idx="9">
                        <c:v>124.05565303219576</c:v>
                      </c:pt>
                      <c:pt idx="10">
                        <c:v>130.67060468338678</c:v>
                      </c:pt>
                    </c:numCache>
                  </c:numRef>
                </c:val>
                <c:smooth val="0"/>
                <c:extLst>
                  <c:ext xmlns:c16="http://schemas.microsoft.com/office/drawing/2014/chart" uri="{C3380CC4-5D6E-409C-BE32-E72D297353CC}">
                    <c16:uniqueId val="{0000000A-B159-469D-AC12-0ABF6C2FA454}"/>
                  </c:ext>
                </c:extLst>
              </c15:ser>
            </c15:filteredLineSeries>
          </c:ext>
        </c:extLst>
      </c:lineChart>
      <c:catAx>
        <c:axId val="250505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50507264"/>
        <c:crosses val="autoZero"/>
        <c:auto val="1"/>
        <c:lblAlgn val="ctr"/>
        <c:lblOffset val="100"/>
        <c:noMultiLvlLbl val="0"/>
      </c:catAx>
      <c:valAx>
        <c:axId val="250507264"/>
        <c:scaling>
          <c:orientation val="minMax"/>
          <c:max val="150"/>
          <c:min val="6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50505472"/>
        <c:crosses val="autoZero"/>
        <c:crossBetween val="between"/>
      </c:valAx>
      <c:spPr>
        <a:noFill/>
        <a:ln>
          <a:noFill/>
        </a:ln>
        <a:effectLst/>
      </c:spPr>
    </c:plotArea>
    <c:legend>
      <c:legendPos val="b"/>
      <c:layout>
        <c:manualLayout>
          <c:xMode val="edge"/>
          <c:yMode val="edge"/>
          <c:x val="0.78235382531371134"/>
          <c:y val="0.1188104953003504"/>
          <c:w val="0.20881397520370787"/>
          <c:h val="0.853411882449278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rebuchet MS" panose="020B0603020202020204" pitchFamily="34" charset="0"/>
        </a:defRPr>
      </a:pPr>
      <a:endParaRPr lang="sl-SI"/>
    </a:p>
  </c:txPr>
  <c:externalData r:id="rId2">
    <c:autoUpdate val="0"/>
  </c:externalData>
  <c:userShapes r:id="rId3"/>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rebuchet MS" panose="020B0603020202020204" pitchFamily="34" charset="0"/>
                <a:ea typeface="+mn-ea"/>
                <a:cs typeface="+mn-cs"/>
              </a:defRPr>
            </a:pPr>
            <a:r>
              <a:rPr lang="sl-SI" sz="1200"/>
              <a:t>Gibanje dodane vrednosti na zaposlenega v predelovalnih dejavnostih</a:t>
            </a:r>
          </a:p>
        </c:rich>
      </c:tx>
      <c:overlay val="0"/>
      <c:spPr>
        <a:noFill/>
        <a:ln>
          <a:noFill/>
        </a:ln>
        <a:effectLst/>
      </c:spPr>
    </c:title>
    <c:autoTitleDeleted val="0"/>
    <c:plotArea>
      <c:layout>
        <c:manualLayout>
          <c:layoutTarget val="inner"/>
          <c:xMode val="edge"/>
          <c:yMode val="edge"/>
          <c:x val="0.22093148779354224"/>
          <c:y val="0.25782518879287913"/>
          <c:w val="0.75859125577162123"/>
          <c:h val="0.50409503331291361"/>
        </c:manualLayout>
      </c:layout>
      <c:barChart>
        <c:barDir val="col"/>
        <c:grouping val="clustered"/>
        <c:varyColors val="0"/>
        <c:ser>
          <c:idx val="0"/>
          <c:order val="0"/>
          <c:tx>
            <c:strRef>
              <c:f>'strukt. stat (prava)'!$LV$4</c:f>
              <c:strCache>
                <c:ptCount val="1"/>
                <c:pt idx="0">
                  <c:v>Dodana vrednost na zaposlenega</c:v>
                </c:pt>
              </c:strCache>
            </c:strRef>
          </c:tx>
          <c:spPr>
            <a:solidFill>
              <a:schemeClr val="accent1"/>
            </a:solidFill>
            <a:ln>
              <a:noFill/>
            </a:ln>
            <a:effectLst/>
          </c:spPr>
          <c:invertIfNegative val="0"/>
          <c:cat>
            <c:numRef>
              <c:f>'strukt. stat (prava)'!$LV$5:$MF$5</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(prava)'!$LV$6:$MF$6</c:f>
              <c:numCache>
                <c:formatCode>#,##0</c:formatCode>
                <c:ptCount val="11"/>
                <c:pt idx="0">
                  <c:v>30447.151461518297</c:v>
                </c:pt>
                <c:pt idx="1">
                  <c:v>26884.321156081016</c:v>
                </c:pt>
                <c:pt idx="2">
                  <c:v>32982.573290770226</c:v>
                </c:pt>
                <c:pt idx="3">
                  <c:v>34454.301880421939</c:v>
                </c:pt>
                <c:pt idx="4">
                  <c:v>34112.592822124592</c:v>
                </c:pt>
                <c:pt idx="5">
                  <c:v>35406.447872753582</c:v>
                </c:pt>
                <c:pt idx="6">
                  <c:v>38850.103213725728</c:v>
                </c:pt>
                <c:pt idx="7">
                  <c:v>39716.432482207325</c:v>
                </c:pt>
                <c:pt idx="8">
                  <c:v>41285.695016213227</c:v>
                </c:pt>
                <c:pt idx="9">
                  <c:v>43323.983925094253</c:v>
                </c:pt>
                <c:pt idx="10">
                  <c:v>43645.079644965597</c:v>
                </c:pt>
              </c:numCache>
            </c:numRef>
          </c:val>
          <c:extLst xmlns:c15="http://schemas.microsoft.com/office/drawing/2012/chart" xmlns:c16r2="http://schemas.microsoft.com/office/drawing/2015/06/chart">
            <c:ext xmlns:c16="http://schemas.microsoft.com/office/drawing/2014/chart" uri="{C3380CC4-5D6E-409C-BE32-E72D297353CC}">
              <c16:uniqueId val="{00000000-01DD-44C1-B8FD-B9B40F9A6DFA}"/>
            </c:ext>
          </c:extLst>
        </c:ser>
        <c:dLbls>
          <c:showLegendKey val="0"/>
          <c:showVal val="0"/>
          <c:showCatName val="0"/>
          <c:showSerName val="0"/>
          <c:showPercent val="0"/>
          <c:showBubbleSize val="0"/>
        </c:dLbls>
        <c:gapWidth val="150"/>
        <c:axId val="250303616"/>
        <c:axId val="250305152"/>
      </c:barChart>
      <c:catAx>
        <c:axId val="25030361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50305152"/>
        <c:crosses val="autoZero"/>
        <c:auto val="1"/>
        <c:lblAlgn val="ctr"/>
        <c:lblOffset val="100"/>
        <c:noMultiLvlLbl val="0"/>
      </c:catAx>
      <c:valAx>
        <c:axId val="250305152"/>
        <c:scaling>
          <c:orientation val="minMax"/>
          <c:min val="200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sl-SI"/>
                  <a:t>v</a:t>
                </a:r>
                <a:r>
                  <a:rPr lang="sl-SI" baseline="0"/>
                  <a:t> %</a:t>
                </a:r>
                <a:endParaRPr lang="sl-SI"/>
              </a:p>
            </c:rich>
          </c:tx>
          <c:layout>
            <c:manualLayout>
              <c:xMode val="edge"/>
              <c:yMode val="edge"/>
              <c:x val="1.2458466314711281E-4"/>
              <c:y val="0.3788281321080894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503036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rebuchet MS" panose="020B0603020202020204" pitchFamily="34" charset="0"/>
        </a:defRPr>
      </a:pPr>
      <a:endParaRPr lang="sl-SI"/>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rebuchet MS" panose="020B0603020202020204" pitchFamily="34" charset="0"/>
                <a:ea typeface="+mn-ea"/>
                <a:cs typeface="+mn-cs"/>
              </a:defRPr>
            </a:pPr>
            <a:r>
              <a:rPr lang="sl-SI" sz="1200"/>
              <a:t>Gibanje dodane vrednosti na zaposlenega</a:t>
            </a:r>
          </a:p>
          <a:p>
            <a:pPr>
              <a:defRPr sz="1200" b="0" i="0" u="none" strike="noStrike" kern="1200" spc="0" baseline="0">
                <a:solidFill>
                  <a:schemeClr val="tx1">
                    <a:lumMod val="65000"/>
                    <a:lumOff val="35000"/>
                  </a:schemeClr>
                </a:solidFill>
                <a:latin typeface="Trebuchet MS" panose="020B0603020202020204" pitchFamily="34" charset="0"/>
                <a:ea typeface="+mn-ea"/>
                <a:cs typeface="+mn-cs"/>
              </a:defRPr>
            </a:pPr>
            <a:r>
              <a:rPr lang="sl-SI" sz="1200"/>
              <a:t>2008=100</a:t>
            </a:r>
          </a:p>
        </c:rich>
      </c:tx>
      <c:overlay val="0"/>
      <c:spPr>
        <a:noFill/>
        <a:ln>
          <a:noFill/>
        </a:ln>
        <a:effectLst/>
      </c:spPr>
    </c:title>
    <c:autoTitleDeleted val="0"/>
    <c:plotArea>
      <c:layout>
        <c:manualLayout>
          <c:layoutTarget val="inner"/>
          <c:xMode val="edge"/>
          <c:yMode val="edge"/>
          <c:x val="7.3219094200462451E-2"/>
          <c:y val="0.16597075929256808"/>
          <c:w val="0.69409802058069614"/>
          <c:h val="0.73493277716733252"/>
        </c:manualLayout>
      </c:layout>
      <c:lineChart>
        <c:grouping val="standard"/>
        <c:varyColors val="0"/>
        <c:ser>
          <c:idx val="0"/>
          <c:order val="0"/>
          <c:tx>
            <c:strRef>
              <c:f>'strukt. stat (prava)'!$LU$75</c:f>
              <c:strCache>
                <c:ptCount val="1"/>
                <c:pt idx="0">
                  <c:v>Pred. dej.</c:v>
                </c:pt>
              </c:strCache>
            </c:strRef>
          </c:tx>
          <c:spPr>
            <a:ln w="28575" cap="rnd">
              <a:solidFill>
                <a:schemeClr val="accent1"/>
              </a:solidFill>
              <a:round/>
            </a:ln>
            <a:effectLst/>
          </c:spPr>
          <c:marker>
            <c:symbol val="none"/>
          </c:marker>
          <c:cat>
            <c:numRef>
              <c:f>'strukt. stat (prava)'!$LV$74:$MF$74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(prava)'!$LV$75:$MF$75</c:f>
              <c:numCache>
                <c:formatCode>#,##0</c:formatCode>
                <c:ptCount val="11"/>
                <c:pt idx="0">
                  <c:v>100</c:v>
                </c:pt>
                <c:pt idx="1">
                  <c:v>88.298313193796488</c:v>
                </c:pt>
                <c:pt idx="2">
                  <c:v>108.32728747205265</c:v>
                </c:pt>
                <c:pt idx="3">
                  <c:v>113.16100267694401</c:v>
                </c:pt>
                <c:pt idx="4">
                  <c:v>112.03870045195845</c:v>
                </c:pt>
                <c:pt idx="5">
                  <c:v>116.28821145223796</c:v>
                </c:pt>
                <c:pt idx="6">
                  <c:v>127.59848244860531</c:v>
                </c:pt>
                <c:pt idx="7">
                  <c:v>130.44383653559294</c:v>
                </c:pt>
                <c:pt idx="8">
                  <c:v>135.59789022757585</c:v>
                </c:pt>
                <c:pt idx="9">
                  <c:v>142.29240452871517</c:v>
                </c:pt>
                <c:pt idx="10">
                  <c:v>143.34700472761162</c:v>
                </c:pt>
              </c:numCache>
            </c:numRef>
          </c:val>
          <c:smooth val="0"/>
          <c:extLst xmlns:c15="http://schemas.microsoft.com/office/drawing/2012/chart" xmlns:c16r2="http://schemas.microsoft.com/office/drawing/2015/06/chart">
            <c:ext xmlns:c16="http://schemas.microsoft.com/office/drawing/2014/chart" uri="{C3380CC4-5D6E-409C-BE32-E72D297353CC}">
              <c16:uniqueId val="{00000000-2F58-416C-8FF2-51E96825706D}"/>
            </c:ext>
          </c:extLst>
        </c:ser>
        <c:ser>
          <c:idx val="1"/>
          <c:order val="1"/>
          <c:tx>
            <c:strRef>
              <c:f>'strukt. stat (prava)'!$LU$76</c:f>
              <c:strCache>
                <c:ptCount val="1"/>
                <c:pt idx="0">
                  <c:v>Prehr. ind.</c:v>
                </c:pt>
              </c:strCache>
            </c:strRef>
          </c:tx>
          <c:spPr>
            <a:ln w="28575" cap="rnd">
              <a:solidFill>
                <a:schemeClr val="accent2"/>
              </a:solidFill>
              <a:round/>
            </a:ln>
            <a:effectLst/>
          </c:spPr>
          <c:marker>
            <c:symbol val="none"/>
          </c:marker>
          <c:cat>
            <c:numRef>
              <c:f>'strukt. stat (prava)'!$LV$74:$MF$74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(prava)'!$LV$76:$MF$76</c:f>
              <c:numCache>
                <c:formatCode>#,##0</c:formatCode>
                <c:ptCount val="11"/>
                <c:pt idx="0">
                  <c:v>100</c:v>
                </c:pt>
                <c:pt idx="1">
                  <c:v>101.38366204178328</c:v>
                </c:pt>
                <c:pt idx="2">
                  <c:v>108.54555839705409</c:v>
                </c:pt>
                <c:pt idx="3">
                  <c:v>114.04154623573542</c:v>
                </c:pt>
                <c:pt idx="4">
                  <c:v>108.58554625764255</c:v>
                </c:pt>
                <c:pt idx="5">
                  <c:v>110.51856793758795</c:v>
                </c:pt>
                <c:pt idx="6">
                  <c:v>119.9328091553423</c:v>
                </c:pt>
                <c:pt idx="7">
                  <c:v>125.48038141758026</c:v>
                </c:pt>
                <c:pt idx="8">
                  <c:v>126.90449983916852</c:v>
                </c:pt>
                <c:pt idx="9">
                  <c:v>128.26802323822309</c:v>
                </c:pt>
                <c:pt idx="10">
                  <c:v>134.67134145213149</c:v>
                </c:pt>
              </c:numCache>
            </c:numRef>
          </c:val>
          <c:smooth val="0"/>
          <c:extLst xmlns:c16r2="http://schemas.microsoft.com/office/drawing/2015/06/chart">
            <c:ext xmlns:c16="http://schemas.microsoft.com/office/drawing/2014/chart" uri="{C3380CC4-5D6E-409C-BE32-E72D297353CC}">
              <c16:uniqueId val="{00000001-2F58-416C-8FF2-51E96825706D}"/>
            </c:ext>
          </c:extLst>
        </c:ser>
        <c:ser>
          <c:idx val="2"/>
          <c:order val="2"/>
          <c:tx>
            <c:strRef>
              <c:f>'strukt. stat (prava)'!$LU$77</c:f>
              <c:strCache>
                <c:ptCount val="1"/>
                <c:pt idx="0">
                  <c:v>Tekst. ind.</c:v>
                </c:pt>
              </c:strCache>
            </c:strRef>
          </c:tx>
          <c:spPr>
            <a:ln w="28575" cap="rnd">
              <a:solidFill>
                <a:schemeClr val="accent3"/>
              </a:solidFill>
              <a:round/>
            </a:ln>
            <a:effectLst/>
          </c:spPr>
          <c:marker>
            <c:symbol val="none"/>
          </c:marker>
          <c:cat>
            <c:numRef>
              <c:f>'strukt. stat (prava)'!$LV$74:$MF$74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(prava)'!$LV$77:$MF$77</c:f>
              <c:numCache>
                <c:formatCode>#,##0</c:formatCode>
                <c:ptCount val="11"/>
                <c:pt idx="0">
                  <c:v>100</c:v>
                </c:pt>
                <c:pt idx="1">
                  <c:v>96.180026563150449</c:v>
                </c:pt>
                <c:pt idx="2">
                  <c:v>126.52252490933493</c:v>
                </c:pt>
                <c:pt idx="3">
                  <c:v>138.66973046792344</c:v>
                </c:pt>
                <c:pt idx="4">
                  <c:v>137.54611555798385</c:v>
                </c:pt>
                <c:pt idx="5">
                  <c:v>136.3416382579197</c:v>
                </c:pt>
                <c:pt idx="6">
                  <c:v>161.45543925724832</c:v>
                </c:pt>
                <c:pt idx="7">
                  <c:v>155.37373390554075</c:v>
                </c:pt>
                <c:pt idx="8">
                  <c:v>161.72137018588001</c:v>
                </c:pt>
                <c:pt idx="9">
                  <c:v>187.32675057134699</c:v>
                </c:pt>
                <c:pt idx="10">
                  <c:v>190.70418441266489</c:v>
                </c:pt>
              </c:numCache>
            </c:numRef>
          </c:val>
          <c:smooth val="0"/>
          <c:extLst xmlns:c16r2="http://schemas.microsoft.com/office/drawing/2015/06/chart">
            <c:ext xmlns:c16="http://schemas.microsoft.com/office/drawing/2014/chart" uri="{C3380CC4-5D6E-409C-BE32-E72D297353CC}">
              <c16:uniqueId val="{00000002-2F58-416C-8FF2-51E96825706D}"/>
            </c:ext>
          </c:extLst>
        </c:ser>
        <c:ser>
          <c:idx val="3"/>
          <c:order val="3"/>
          <c:tx>
            <c:strRef>
              <c:f>'strukt. stat (prava)'!$LU$78</c:f>
              <c:strCache>
                <c:ptCount val="1"/>
                <c:pt idx="0">
                  <c:v>Lesna ind.</c:v>
                </c:pt>
              </c:strCache>
            </c:strRef>
          </c:tx>
          <c:spPr>
            <a:ln w="28575" cap="rnd">
              <a:solidFill>
                <a:schemeClr val="accent4"/>
              </a:solidFill>
              <a:round/>
            </a:ln>
            <a:effectLst/>
          </c:spPr>
          <c:marker>
            <c:symbol val="none"/>
          </c:marker>
          <c:cat>
            <c:numRef>
              <c:f>'strukt. stat (prava)'!$LV$74:$MF$74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(prava)'!$LV$78:$MF$78</c:f>
              <c:numCache>
                <c:formatCode>#,##0</c:formatCode>
                <c:ptCount val="11"/>
                <c:pt idx="0">
                  <c:v>100</c:v>
                </c:pt>
                <c:pt idx="1">
                  <c:v>87.577304219088589</c:v>
                </c:pt>
                <c:pt idx="2">
                  <c:v>96.113670752289025</c:v>
                </c:pt>
                <c:pt idx="3">
                  <c:v>103.70772161320616</c:v>
                </c:pt>
                <c:pt idx="4">
                  <c:v>109.03378357930272</c:v>
                </c:pt>
                <c:pt idx="5">
                  <c:v>118.57047152284133</c:v>
                </c:pt>
                <c:pt idx="6">
                  <c:v>133.85212857373855</c:v>
                </c:pt>
                <c:pt idx="7">
                  <c:v>144.05890412845557</c:v>
                </c:pt>
                <c:pt idx="8">
                  <c:v>148.72416058265082</c:v>
                </c:pt>
                <c:pt idx="9">
                  <c:v>156.94231119819605</c:v>
                </c:pt>
                <c:pt idx="10">
                  <c:v>166.78587150467752</c:v>
                </c:pt>
              </c:numCache>
            </c:numRef>
          </c:val>
          <c:smooth val="0"/>
          <c:extLst xmlns:c16r2="http://schemas.microsoft.com/office/drawing/2015/06/chart">
            <c:ext xmlns:c16="http://schemas.microsoft.com/office/drawing/2014/chart" uri="{C3380CC4-5D6E-409C-BE32-E72D297353CC}">
              <c16:uniqueId val="{00000003-2F58-416C-8FF2-51E96825706D}"/>
            </c:ext>
          </c:extLst>
        </c:ser>
        <c:ser>
          <c:idx val="4"/>
          <c:order val="4"/>
          <c:tx>
            <c:strRef>
              <c:f>'strukt. stat (prava)'!$LU$79</c:f>
              <c:strCache>
                <c:ptCount val="1"/>
                <c:pt idx="0">
                  <c:v>Papir. ind.</c:v>
                </c:pt>
              </c:strCache>
            </c:strRef>
          </c:tx>
          <c:spPr>
            <a:ln w="28575" cap="rnd">
              <a:solidFill>
                <a:schemeClr val="accent5"/>
              </a:solidFill>
              <a:round/>
            </a:ln>
            <a:effectLst/>
          </c:spPr>
          <c:marker>
            <c:symbol val="none"/>
          </c:marker>
          <c:cat>
            <c:numRef>
              <c:f>'strukt. stat (prava)'!$LV$74:$MF$74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(prava)'!$LV$79:$MF$79</c:f>
              <c:numCache>
                <c:formatCode>#,##0</c:formatCode>
                <c:ptCount val="11"/>
                <c:pt idx="0">
                  <c:v>100</c:v>
                </c:pt>
                <c:pt idx="1">
                  <c:v>113.51177442165222</c:v>
                </c:pt>
                <c:pt idx="2">
                  <c:v>109.63852460249925</c:v>
                </c:pt>
                <c:pt idx="3">
                  <c:v>115.92339536093542</c:v>
                </c:pt>
                <c:pt idx="4">
                  <c:v>117.47587445908528</c:v>
                </c:pt>
                <c:pt idx="5">
                  <c:v>124.07447764322815</c:v>
                </c:pt>
                <c:pt idx="6">
                  <c:v>134.44540721262894</c:v>
                </c:pt>
                <c:pt idx="7">
                  <c:v>138.45020147675407</c:v>
                </c:pt>
                <c:pt idx="8">
                  <c:v>136.75554162165938</c:v>
                </c:pt>
                <c:pt idx="9">
                  <c:v>140.42907461075339</c:v>
                </c:pt>
                <c:pt idx="10">
                  <c:v>185.94925214533836</c:v>
                </c:pt>
              </c:numCache>
            </c:numRef>
          </c:val>
          <c:smooth val="0"/>
          <c:extLst xmlns:c16r2="http://schemas.microsoft.com/office/drawing/2015/06/chart">
            <c:ext xmlns:c16="http://schemas.microsoft.com/office/drawing/2014/chart" uri="{C3380CC4-5D6E-409C-BE32-E72D297353CC}">
              <c16:uniqueId val="{00000004-2F58-416C-8FF2-51E96825706D}"/>
            </c:ext>
          </c:extLst>
        </c:ser>
        <c:ser>
          <c:idx val="5"/>
          <c:order val="5"/>
          <c:tx>
            <c:strRef>
              <c:f>'strukt. stat (prava)'!$LU$80</c:f>
              <c:strCache>
                <c:ptCount val="1"/>
                <c:pt idx="0">
                  <c:v>Kemij. ind.</c:v>
                </c:pt>
              </c:strCache>
            </c:strRef>
          </c:tx>
          <c:spPr>
            <a:ln w="28575" cap="rnd">
              <a:solidFill>
                <a:schemeClr val="accent6"/>
              </a:solidFill>
              <a:round/>
            </a:ln>
            <a:effectLst/>
          </c:spPr>
          <c:marker>
            <c:symbol val="none"/>
          </c:marker>
          <c:cat>
            <c:numRef>
              <c:f>'strukt. stat (prava)'!$LV$74:$MF$74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(prava)'!$LV$80:$MF$80</c:f>
              <c:numCache>
                <c:formatCode>#,##0</c:formatCode>
                <c:ptCount val="11"/>
                <c:pt idx="0">
                  <c:v>100</c:v>
                </c:pt>
                <c:pt idx="1">
                  <c:v>92.418532992178584</c:v>
                </c:pt>
                <c:pt idx="2">
                  <c:v>103.49629376215377</c:v>
                </c:pt>
                <c:pt idx="3">
                  <c:v>104.36361744115582</c:v>
                </c:pt>
                <c:pt idx="4">
                  <c:v>119.15083899137171</c:v>
                </c:pt>
                <c:pt idx="5">
                  <c:v>124.335523379981</c:v>
                </c:pt>
                <c:pt idx="6">
                  <c:v>145.2677988742698</c:v>
                </c:pt>
                <c:pt idx="7">
                  <c:v>140.30409231706847</c:v>
                </c:pt>
                <c:pt idx="8">
                  <c:v>135.74136697801529</c:v>
                </c:pt>
                <c:pt idx="9">
                  <c:v>149.00822273998122</c:v>
                </c:pt>
                <c:pt idx="10">
                  <c:v>151.57655006985152</c:v>
                </c:pt>
              </c:numCache>
            </c:numRef>
          </c:val>
          <c:smooth val="0"/>
          <c:extLst xmlns:c16r2="http://schemas.microsoft.com/office/drawing/2015/06/chart">
            <c:ext xmlns:c16="http://schemas.microsoft.com/office/drawing/2014/chart" uri="{C3380CC4-5D6E-409C-BE32-E72D297353CC}">
              <c16:uniqueId val="{00000005-2F58-416C-8FF2-51E96825706D}"/>
            </c:ext>
          </c:extLst>
        </c:ser>
        <c:ser>
          <c:idx val="6"/>
          <c:order val="6"/>
          <c:tx>
            <c:strRef>
              <c:f>'strukt. stat (prava)'!$LU$81</c:f>
              <c:strCache>
                <c:ptCount val="1"/>
                <c:pt idx="0">
                  <c:v>Nekov. ind.</c:v>
                </c:pt>
              </c:strCache>
            </c:strRef>
          </c:tx>
          <c:spPr>
            <a:ln w="28575" cap="rnd">
              <a:solidFill>
                <a:schemeClr val="accent1">
                  <a:lumMod val="60000"/>
                </a:schemeClr>
              </a:solidFill>
              <a:round/>
            </a:ln>
            <a:effectLst/>
          </c:spPr>
          <c:marker>
            <c:symbol val="none"/>
          </c:marker>
          <c:cat>
            <c:numRef>
              <c:f>'strukt. stat (prava)'!$LV$74:$MF$74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(prava)'!$LV$81:$MF$81</c:f>
              <c:numCache>
                <c:formatCode>#,##0</c:formatCode>
                <c:ptCount val="11"/>
                <c:pt idx="0">
                  <c:v>100</c:v>
                </c:pt>
                <c:pt idx="1">
                  <c:v>83.310563753711193</c:v>
                </c:pt>
                <c:pt idx="2">
                  <c:v>91.033893269918906</c:v>
                </c:pt>
                <c:pt idx="3">
                  <c:v>87.876250820768149</c:v>
                </c:pt>
                <c:pt idx="4">
                  <c:v>93.064356896173379</c:v>
                </c:pt>
                <c:pt idx="5">
                  <c:v>101.10239222767257</c:v>
                </c:pt>
                <c:pt idx="6">
                  <c:v>109.83599102778705</c:v>
                </c:pt>
                <c:pt idx="7">
                  <c:v>117.42277148485201</c:v>
                </c:pt>
                <c:pt idx="8">
                  <c:v>122.6162643180635</c:v>
                </c:pt>
                <c:pt idx="9">
                  <c:v>130.55230292047037</c:v>
                </c:pt>
                <c:pt idx="10">
                  <c:v>139.17541343394197</c:v>
                </c:pt>
              </c:numCache>
            </c:numRef>
          </c:val>
          <c:smooth val="0"/>
          <c:extLst xmlns:c16r2="http://schemas.microsoft.com/office/drawing/2015/06/chart">
            <c:ext xmlns:c16="http://schemas.microsoft.com/office/drawing/2014/chart" uri="{C3380CC4-5D6E-409C-BE32-E72D297353CC}">
              <c16:uniqueId val="{00000006-2F58-416C-8FF2-51E96825706D}"/>
            </c:ext>
          </c:extLst>
        </c:ser>
        <c:ser>
          <c:idx val="7"/>
          <c:order val="7"/>
          <c:tx>
            <c:strRef>
              <c:f>'strukt. stat (prava)'!$LU$82</c:f>
              <c:strCache>
                <c:ptCount val="1"/>
                <c:pt idx="0">
                  <c:v>Kovin. ind.</c:v>
                </c:pt>
              </c:strCache>
            </c:strRef>
          </c:tx>
          <c:spPr>
            <a:ln w="28575" cap="rnd">
              <a:solidFill>
                <a:schemeClr val="accent2">
                  <a:lumMod val="60000"/>
                </a:schemeClr>
              </a:solidFill>
              <a:round/>
            </a:ln>
            <a:effectLst/>
          </c:spPr>
          <c:marker>
            <c:symbol val="none"/>
          </c:marker>
          <c:cat>
            <c:numRef>
              <c:f>'strukt. stat (prava)'!$LV$74:$MF$74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(prava)'!$LV$82:$MF$82</c:f>
              <c:numCache>
                <c:formatCode>#,##0</c:formatCode>
                <c:ptCount val="11"/>
                <c:pt idx="0">
                  <c:v>100</c:v>
                </c:pt>
                <c:pt idx="1">
                  <c:v>71.740619676098106</c:v>
                </c:pt>
                <c:pt idx="2">
                  <c:v>97.495827322096858</c:v>
                </c:pt>
                <c:pt idx="3">
                  <c:v>105.67627607577711</c:v>
                </c:pt>
                <c:pt idx="4">
                  <c:v>101.17648031600122</c:v>
                </c:pt>
                <c:pt idx="5">
                  <c:v>105.64101934541486</c:v>
                </c:pt>
                <c:pt idx="6">
                  <c:v>123.75770944897482</c:v>
                </c:pt>
                <c:pt idx="7">
                  <c:v>121.21899275547206</c:v>
                </c:pt>
                <c:pt idx="8">
                  <c:v>132.6309340760242</c:v>
                </c:pt>
                <c:pt idx="9">
                  <c:v>134.67430649880973</c:v>
                </c:pt>
                <c:pt idx="10">
                  <c:v>135.52178397966384</c:v>
                </c:pt>
              </c:numCache>
            </c:numRef>
          </c:val>
          <c:smooth val="0"/>
          <c:extLst xmlns:c16r2="http://schemas.microsoft.com/office/drawing/2015/06/chart">
            <c:ext xmlns:c16="http://schemas.microsoft.com/office/drawing/2014/chart" uri="{C3380CC4-5D6E-409C-BE32-E72D297353CC}">
              <c16:uniqueId val="{00000007-2F58-416C-8FF2-51E96825706D}"/>
            </c:ext>
          </c:extLst>
        </c:ser>
        <c:ser>
          <c:idx val="8"/>
          <c:order val="8"/>
          <c:tx>
            <c:strRef>
              <c:f>'strukt. stat (prava)'!$LU$83</c:f>
              <c:strCache>
                <c:ptCount val="1"/>
                <c:pt idx="0">
                  <c:v>Elektro ind.</c:v>
                </c:pt>
              </c:strCache>
            </c:strRef>
          </c:tx>
          <c:spPr>
            <a:ln w="28575" cap="rnd">
              <a:solidFill>
                <a:schemeClr val="accent3">
                  <a:lumMod val="60000"/>
                </a:schemeClr>
              </a:solidFill>
              <a:round/>
            </a:ln>
            <a:effectLst/>
          </c:spPr>
          <c:marker>
            <c:symbol val="none"/>
          </c:marker>
          <c:cat>
            <c:numRef>
              <c:f>'strukt. stat (prava)'!$LV$74:$MF$74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(prava)'!$LV$83:$MF$83</c:f>
              <c:numCache>
                <c:formatCode>#,##0</c:formatCode>
                <c:ptCount val="11"/>
                <c:pt idx="0">
                  <c:v>100</c:v>
                </c:pt>
                <c:pt idx="1">
                  <c:v>84.3493067704254</c:v>
                </c:pt>
                <c:pt idx="2">
                  <c:v>118.04608461752065</c:v>
                </c:pt>
                <c:pt idx="3">
                  <c:v>115.695191684639</c:v>
                </c:pt>
                <c:pt idx="4">
                  <c:v>112.89570328577832</c:v>
                </c:pt>
                <c:pt idx="5">
                  <c:v>114.29787005703348</c:v>
                </c:pt>
                <c:pt idx="6">
                  <c:v>123.71935789920491</c:v>
                </c:pt>
                <c:pt idx="7">
                  <c:v>132.49449741330881</c:v>
                </c:pt>
                <c:pt idx="8">
                  <c:v>138.01070371523411</c:v>
                </c:pt>
                <c:pt idx="9">
                  <c:v>144.07257514959312</c:v>
                </c:pt>
                <c:pt idx="10">
                  <c:v>137.78504841334254</c:v>
                </c:pt>
              </c:numCache>
            </c:numRef>
          </c:val>
          <c:smooth val="0"/>
          <c:extLst xmlns:c16r2="http://schemas.microsoft.com/office/drawing/2015/06/chart">
            <c:ext xmlns:c16="http://schemas.microsoft.com/office/drawing/2014/chart" uri="{C3380CC4-5D6E-409C-BE32-E72D297353CC}">
              <c16:uniqueId val="{00000008-2F58-416C-8FF2-51E96825706D}"/>
            </c:ext>
          </c:extLst>
        </c:ser>
        <c:ser>
          <c:idx val="9"/>
          <c:order val="9"/>
          <c:tx>
            <c:strRef>
              <c:f>'strukt. stat (prava)'!$LU$84</c:f>
              <c:strCache>
                <c:ptCount val="1"/>
                <c:pt idx="0">
                  <c:v>Stroj. ind.</c:v>
                </c:pt>
              </c:strCache>
            </c:strRef>
          </c:tx>
          <c:spPr>
            <a:ln w="28575" cap="rnd">
              <a:solidFill>
                <a:schemeClr val="accent4">
                  <a:lumMod val="60000"/>
                </a:schemeClr>
              </a:solidFill>
              <a:round/>
            </a:ln>
            <a:effectLst/>
          </c:spPr>
          <c:marker>
            <c:symbol val="none"/>
          </c:marker>
          <c:cat>
            <c:numRef>
              <c:f>'strukt. stat (prava)'!$LV$74:$MF$74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(prava)'!$LV$84:$MF$84</c:f>
              <c:numCache>
                <c:formatCode>#,##0</c:formatCode>
                <c:ptCount val="11"/>
                <c:pt idx="0">
                  <c:v>100</c:v>
                </c:pt>
                <c:pt idx="1">
                  <c:v>88.689079776358184</c:v>
                </c:pt>
                <c:pt idx="2">
                  <c:v>110.00029887439985</c:v>
                </c:pt>
                <c:pt idx="3">
                  <c:v>116.66204970260939</c:v>
                </c:pt>
                <c:pt idx="4">
                  <c:v>110.68936578360601</c:v>
                </c:pt>
                <c:pt idx="5">
                  <c:v>111.81609754794259</c:v>
                </c:pt>
                <c:pt idx="6">
                  <c:v>118.66548347093794</c:v>
                </c:pt>
                <c:pt idx="7">
                  <c:v>124.95486329472112</c:v>
                </c:pt>
                <c:pt idx="8">
                  <c:v>134.7166354182994</c:v>
                </c:pt>
                <c:pt idx="9">
                  <c:v>139.45412637699772</c:v>
                </c:pt>
                <c:pt idx="10">
                  <c:v>139.13560082741057</c:v>
                </c:pt>
              </c:numCache>
            </c:numRef>
          </c:val>
          <c:smooth val="0"/>
          <c:extLst xmlns:c16r2="http://schemas.microsoft.com/office/drawing/2015/06/chart">
            <c:ext xmlns:c16="http://schemas.microsoft.com/office/drawing/2014/chart" uri="{C3380CC4-5D6E-409C-BE32-E72D297353CC}">
              <c16:uniqueId val="{00000009-2F58-416C-8FF2-51E96825706D}"/>
            </c:ext>
          </c:extLst>
        </c:ser>
        <c:ser>
          <c:idx val="10"/>
          <c:order val="10"/>
          <c:tx>
            <c:strRef>
              <c:f>'strukt. stat (prava)'!$LU$85</c:f>
              <c:strCache>
                <c:ptCount val="1"/>
                <c:pt idx="0">
                  <c:v>Dr. pred. dej.</c:v>
                </c:pt>
              </c:strCache>
            </c:strRef>
          </c:tx>
          <c:spPr>
            <a:ln w="28575" cap="rnd">
              <a:solidFill>
                <a:schemeClr val="accent5">
                  <a:lumMod val="60000"/>
                </a:schemeClr>
              </a:solidFill>
              <a:round/>
            </a:ln>
            <a:effectLst/>
          </c:spPr>
          <c:marker>
            <c:symbol val="none"/>
          </c:marker>
          <c:cat>
            <c:numRef>
              <c:f>'strukt. stat (prava)'!$LV$74:$MF$74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(prava)'!$LV$85:$MF$85</c:f>
              <c:numCache>
                <c:formatCode>#,##0</c:formatCode>
                <c:ptCount val="11"/>
                <c:pt idx="0">
                  <c:v>100</c:v>
                </c:pt>
                <c:pt idx="1">
                  <c:v>82.474180505326103</c:v>
                </c:pt>
                <c:pt idx="2">
                  <c:v>114.49885353406013</c:v>
                </c:pt>
                <c:pt idx="3">
                  <c:v>103.76654190643588</c:v>
                </c:pt>
                <c:pt idx="4">
                  <c:v>94.937846200433938</c:v>
                </c:pt>
                <c:pt idx="5">
                  <c:v>105.34252740027179</c:v>
                </c:pt>
                <c:pt idx="6">
                  <c:v>113.58945763915584</c:v>
                </c:pt>
                <c:pt idx="7">
                  <c:v>115.24298695089803</c:v>
                </c:pt>
                <c:pt idx="8">
                  <c:v>146.28604295892694</c:v>
                </c:pt>
                <c:pt idx="9">
                  <c:v>157.55629686514382</c:v>
                </c:pt>
                <c:pt idx="10">
                  <c:v>148.00217132251166</c:v>
                </c:pt>
              </c:numCache>
            </c:numRef>
          </c:val>
          <c:smooth val="0"/>
          <c:extLst xmlns:c16r2="http://schemas.microsoft.com/office/drawing/2015/06/chart">
            <c:ext xmlns:c16="http://schemas.microsoft.com/office/drawing/2014/chart" uri="{C3380CC4-5D6E-409C-BE32-E72D297353CC}">
              <c16:uniqueId val="{0000000A-2F58-416C-8FF2-51E96825706D}"/>
            </c:ext>
          </c:extLst>
        </c:ser>
        <c:dLbls>
          <c:showLegendKey val="0"/>
          <c:showVal val="0"/>
          <c:showCatName val="0"/>
          <c:showSerName val="0"/>
          <c:showPercent val="0"/>
          <c:showBubbleSize val="0"/>
        </c:dLbls>
        <c:marker val="1"/>
        <c:smooth val="0"/>
        <c:axId val="250555776"/>
        <c:axId val="250573952"/>
        <c:extLst xmlns:c16r2="http://schemas.microsoft.com/office/drawing/2015/06/chart"/>
      </c:lineChart>
      <c:catAx>
        <c:axId val="25055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50573952"/>
        <c:crosses val="autoZero"/>
        <c:auto val="1"/>
        <c:lblAlgn val="ctr"/>
        <c:lblOffset val="100"/>
        <c:noMultiLvlLbl val="0"/>
      </c:catAx>
      <c:valAx>
        <c:axId val="250573952"/>
        <c:scaling>
          <c:orientation val="minMax"/>
          <c:max val="200"/>
          <c:min val="65"/>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50555776"/>
        <c:crosses val="autoZero"/>
        <c:crossBetween val="between"/>
        <c:majorUnit val="20"/>
      </c:valAx>
      <c:spPr>
        <a:noFill/>
        <a:ln>
          <a:noFill/>
        </a:ln>
        <a:effectLst/>
      </c:spPr>
    </c:plotArea>
    <c:legend>
      <c:legendPos val="b"/>
      <c:layout>
        <c:manualLayout>
          <c:xMode val="edge"/>
          <c:yMode val="edge"/>
          <c:x val="0.77237273285648522"/>
          <c:y val="0.1188104953003504"/>
          <c:w val="0.21879506360293183"/>
          <c:h val="0.853411882449278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rebuchet MS" panose="020B0603020202020204" pitchFamily="34" charset="0"/>
        </a:defRPr>
      </a:pPr>
      <a:endParaRPr lang="sl-SI"/>
    </a:p>
  </c:tx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rebuchet MS" panose="020B0603020202020204" pitchFamily="34" charset="0"/>
                <a:ea typeface="+mn-ea"/>
                <a:cs typeface="+mn-cs"/>
              </a:defRPr>
            </a:pPr>
            <a:r>
              <a:rPr lang="sl-SI" sz="1200"/>
              <a:t>Strošek dela in strošek dela v dodani vrednosti v predelovalnih dejavnostih</a:t>
            </a:r>
          </a:p>
        </c:rich>
      </c:tx>
      <c:overlay val="0"/>
      <c:spPr>
        <a:noFill/>
        <a:ln>
          <a:noFill/>
        </a:ln>
        <a:effectLst/>
      </c:spPr>
    </c:title>
    <c:autoTitleDeleted val="0"/>
    <c:plotArea>
      <c:layout>
        <c:manualLayout>
          <c:layoutTarget val="inner"/>
          <c:xMode val="edge"/>
          <c:yMode val="edge"/>
          <c:x val="0.10413293786993746"/>
          <c:y val="0.20448708088026318"/>
          <c:w val="0.76240045163890702"/>
          <c:h val="0.56773527553429581"/>
        </c:manualLayout>
      </c:layout>
      <c:lineChart>
        <c:grouping val="standard"/>
        <c:varyColors val="0"/>
        <c:ser>
          <c:idx val="0"/>
          <c:order val="0"/>
          <c:tx>
            <c:v>strošek dela (leva os)</c:v>
          </c:tx>
          <c:spPr>
            <a:ln w="28575" cap="rnd">
              <a:solidFill>
                <a:schemeClr val="accent1"/>
              </a:solidFill>
              <a:round/>
            </a:ln>
            <a:effectLst/>
          </c:spPr>
          <c:marker>
            <c:symbol val="none"/>
          </c:marker>
          <c:cat>
            <c:numRef>
              <c:f>'strukt. stat (prava)'!$D$33:$M$33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'strukt. stat (prava)'!$CZ$31:$DI$31</c:f>
              <c:numCache>
                <c:formatCode>#,##0.0</c:formatCode>
                <c:ptCount val="10"/>
                <c:pt idx="0">
                  <c:v>-10.640658026286868</c:v>
                </c:pt>
                <c:pt idx="1">
                  <c:v>1.9215973564598272</c:v>
                </c:pt>
                <c:pt idx="2">
                  <c:v>1.8990168147726649</c:v>
                </c:pt>
                <c:pt idx="3">
                  <c:v>0.7983192543699007</c:v>
                </c:pt>
                <c:pt idx="4">
                  <c:v>-0.18019493816036983</c:v>
                </c:pt>
                <c:pt idx="5">
                  <c:v>3.6152385645939797</c:v>
                </c:pt>
                <c:pt idx="6">
                  <c:v>3.9700870773532837</c:v>
                </c:pt>
                <c:pt idx="7">
                  <c:v>6.3986436156809834</c:v>
                </c:pt>
                <c:pt idx="8">
                  <c:v>6.8445531588639845</c:v>
                </c:pt>
                <c:pt idx="9">
                  <c:v>8.8156391763992819</c:v>
                </c:pt>
              </c:numCache>
            </c:numRef>
          </c:val>
          <c:smooth val="0"/>
          <c:extLst xmlns:c15="http://schemas.microsoft.com/office/drawing/2012/chart" xmlns:c16r2="http://schemas.microsoft.com/office/drawing/2015/06/chart">
            <c:ext xmlns:c16="http://schemas.microsoft.com/office/drawing/2014/chart" uri="{C3380CC4-5D6E-409C-BE32-E72D297353CC}">
              <c16:uniqueId val="{00000000-19C7-407F-A00F-CDFAA36F7D1E}"/>
            </c:ext>
          </c:extLst>
        </c:ser>
        <c:dLbls>
          <c:showLegendKey val="0"/>
          <c:showVal val="0"/>
          <c:showCatName val="0"/>
          <c:showSerName val="0"/>
          <c:showPercent val="0"/>
          <c:showBubbleSize val="0"/>
        </c:dLbls>
        <c:marker val="1"/>
        <c:smooth val="0"/>
        <c:axId val="250591104"/>
        <c:axId val="250592640"/>
        <c:extLst xmlns:c16r2="http://schemas.microsoft.com/office/drawing/2015/06/chart"/>
      </c:lineChart>
      <c:lineChart>
        <c:grouping val="standard"/>
        <c:varyColors val="0"/>
        <c:ser>
          <c:idx val="4"/>
          <c:order val="1"/>
          <c:tx>
            <c:v>strošek dela v dodani vrednosti (desna os)</c:v>
          </c:tx>
          <c:spPr>
            <a:ln w="28575" cap="rnd">
              <a:solidFill>
                <a:schemeClr val="accent5"/>
              </a:solidFill>
              <a:round/>
            </a:ln>
            <a:effectLst/>
          </c:spPr>
          <c:marker>
            <c:symbol val="none"/>
          </c:marker>
          <c:cat>
            <c:numRef>
              <c:f>'strukt. stat (prava)'!$D$33:$M$33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'strukt. stat (prava)'!$DT$34:$EC$34</c:f>
              <c:numCache>
                <c:formatCode>0.0%</c:formatCode>
                <c:ptCount val="10"/>
                <c:pt idx="0">
                  <c:v>0.72552397477313035</c:v>
                </c:pt>
                <c:pt idx="1">
                  <c:v>0.63572296362435765</c:v>
                </c:pt>
                <c:pt idx="2">
                  <c:v>0.63368010635377514</c:v>
                </c:pt>
                <c:pt idx="3">
                  <c:v>0.65551454558195144</c:v>
                </c:pt>
                <c:pt idx="4">
                  <c:v>0.64124781681654408</c:v>
                </c:pt>
                <c:pt idx="5">
                  <c:v>0.606795881827492</c:v>
                </c:pt>
                <c:pt idx="6">
                  <c:v>0.60696094163445768</c:v>
                </c:pt>
                <c:pt idx="7">
                  <c:v>0.60425719935827971</c:v>
                </c:pt>
                <c:pt idx="8">
                  <c:v>0.59053230290204106</c:v>
                </c:pt>
                <c:pt idx="9">
                  <c:v>0.61006152341522424</c:v>
                </c:pt>
              </c:numCache>
            </c:numRef>
          </c:val>
          <c:smooth val="0"/>
          <c:extLst xmlns:c16r2="http://schemas.microsoft.com/office/drawing/2015/06/chart">
            <c:ext xmlns:c16="http://schemas.microsoft.com/office/drawing/2014/chart" uri="{C3380CC4-5D6E-409C-BE32-E72D297353CC}">
              <c16:uniqueId val="{00000001-19C7-407F-A00F-CDFAA36F7D1E}"/>
            </c:ext>
          </c:extLst>
        </c:ser>
        <c:dLbls>
          <c:showLegendKey val="0"/>
          <c:showVal val="0"/>
          <c:showCatName val="0"/>
          <c:showSerName val="0"/>
          <c:showPercent val="0"/>
          <c:showBubbleSize val="0"/>
        </c:dLbls>
        <c:marker val="1"/>
        <c:smooth val="0"/>
        <c:axId val="250609024"/>
        <c:axId val="250607104"/>
      </c:lineChart>
      <c:catAx>
        <c:axId val="2505911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50592640"/>
        <c:crosses val="autoZero"/>
        <c:auto val="1"/>
        <c:lblAlgn val="ctr"/>
        <c:lblOffset val="100"/>
        <c:noMultiLvlLbl val="0"/>
      </c:catAx>
      <c:valAx>
        <c:axId val="250592640"/>
        <c:scaling>
          <c:orientation val="minMax"/>
          <c:min val="-1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sl-SI"/>
                  <a:t>rast v</a:t>
                </a:r>
                <a:r>
                  <a:rPr lang="sl-SI" baseline="0"/>
                  <a:t> %</a:t>
                </a:r>
                <a:endParaRPr lang="sl-SI"/>
              </a:p>
            </c:rich>
          </c:tx>
          <c:layout>
            <c:manualLayout>
              <c:xMode val="edge"/>
              <c:yMode val="edge"/>
              <c:x val="1.2458466314711281E-4"/>
              <c:y val="0.3788281321080894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50591104"/>
        <c:crosses val="autoZero"/>
        <c:crossBetween val="between"/>
      </c:valAx>
      <c:valAx>
        <c:axId val="250607104"/>
        <c:scaling>
          <c:orientation val="minMax"/>
          <c:min val="0.55000000000000004"/>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sl-SI"/>
                  <a:t> </a:t>
                </a:r>
                <a:r>
                  <a:rPr lang="sl-SI" baseline="0"/>
                  <a:t>v </a:t>
                </a:r>
                <a:r>
                  <a:rPr lang="sl-SI"/>
                  <a:t>%</a:t>
                </a:r>
              </a:p>
            </c:rich>
          </c:tx>
          <c:layout>
            <c:manualLayout>
              <c:xMode val="edge"/>
              <c:yMode val="edge"/>
              <c:x val="0.94839643593172052"/>
              <c:y val="0.46320656365747725"/>
            </c:manualLayout>
          </c:layout>
          <c:overlay val="0"/>
          <c:spPr>
            <a:noFill/>
            <a:ln>
              <a:noFill/>
            </a:ln>
            <a:effectLst/>
          </c:sp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50609024"/>
        <c:crosses val="max"/>
        <c:crossBetween val="between"/>
      </c:valAx>
      <c:catAx>
        <c:axId val="250609024"/>
        <c:scaling>
          <c:orientation val="minMax"/>
        </c:scaling>
        <c:delete val="1"/>
        <c:axPos val="b"/>
        <c:numFmt formatCode="General" sourceLinked="1"/>
        <c:majorTickMark val="out"/>
        <c:minorTickMark val="none"/>
        <c:tickLblPos val="none"/>
        <c:crossAx val="250607104"/>
        <c:crosses val="autoZero"/>
        <c:auto val="1"/>
        <c:lblAlgn val="ctr"/>
        <c:lblOffset val="100"/>
        <c:noMultiLvlLbl val="0"/>
      </c:catAx>
      <c:spPr>
        <a:noFill/>
        <a:ln>
          <a:noFill/>
        </a:ln>
        <a:effectLst/>
      </c:spPr>
    </c:plotArea>
    <c:legend>
      <c:legendPos val="b"/>
      <c:layout>
        <c:manualLayout>
          <c:xMode val="edge"/>
          <c:yMode val="edge"/>
          <c:x val="1.161023622047244E-2"/>
          <c:y val="0.85460306684490162"/>
          <c:w val="0.9795573053368325"/>
          <c:h val="0.117618960968064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rebuchet MS" panose="020B0603020202020204" pitchFamily="34" charset="0"/>
        </a:defRPr>
      </a:pPr>
      <a:endParaRPr lang="sl-SI"/>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rebuchet MS" panose="020B0603020202020204" pitchFamily="34" charset="0"/>
                <a:ea typeface="+mn-ea"/>
                <a:cs typeface="+mn-cs"/>
              </a:defRPr>
            </a:pPr>
            <a:r>
              <a:rPr lang="sl-SI" sz="1200"/>
              <a:t>Gibanje stroškov dela</a:t>
            </a:r>
          </a:p>
          <a:p>
            <a:pPr>
              <a:defRPr sz="1200" b="0" i="0" u="none" strike="noStrike" kern="1200" spc="0" baseline="0">
                <a:solidFill>
                  <a:schemeClr val="tx1">
                    <a:lumMod val="65000"/>
                    <a:lumOff val="35000"/>
                  </a:schemeClr>
                </a:solidFill>
                <a:latin typeface="Trebuchet MS" panose="020B0603020202020204" pitchFamily="34" charset="0"/>
                <a:ea typeface="+mn-ea"/>
                <a:cs typeface="+mn-cs"/>
              </a:defRPr>
            </a:pPr>
            <a:r>
              <a:rPr lang="sl-SI" sz="1200"/>
              <a:t>2008=100</a:t>
            </a:r>
          </a:p>
        </c:rich>
      </c:tx>
      <c:overlay val="0"/>
      <c:spPr>
        <a:noFill/>
        <a:ln>
          <a:noFill/>
        </a:ln>
        <a:effectLst/>
      </c:spPr>
    </c:title>
    <c:autoTitleDeleted val="0"/>
    <c:plotArea>
      <c:layout>
        <c:manualLayout>
          <c:layoutTarget val="inner"/>
          <c:xMode val="edge"/>
          <c:yMode val="edge"/>
          <c:x val="7.3219094200462451E-2"/>
          <c:y val="0.16597075929256808"/>
          <c:w val="0.72671127194539265"/>
          <c:h val="0.73493277716733252"/>
        </c:manualLayout>
      </c:layout>
      <c:lineChart>
        <c:grouping val="standard"/>
        <c:varyColors val="0"/>
        <c:ser>
          <c:idx val="1"/>
          <c:order val="0"/>
          <c:tx>
            <c:strRef>
              <c:f>'strukt. stat (prava)'!$CX$76</c:f>
              <c:strCache>
                <c:ptCount val="1"/>
                <c:pt idx="0">
                  <c:v>Prehr. ind.</c:v>
                </c:pt>
              </c:strCache>
            </c:strRef>
          </c:tx>
          <c:spPr>
            <a:ln w="28575" cap="rnd">
              <a:solidFill>
                <a:schemeClr val="accent2"/>
              </a:solidFill>
              <a:round/>
            </a:ln>
            <a:effectLst/>
          </c:spPr>
          <c:marker>
            <c:symbol val="none"/>
          </c:marker>
          <c:cat>
            <c:numRef>
              <c:f>'strukt. stat (prava)'!$CY$74:$DI$74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(prava)'!$CY$76:$DI$76</c:f>
              <c:numCache>
                <c:formatCode>#,##0</c:formatCode>
                <c:ptCount val="11"/>
                <c:pt idx="0">
                  <c:v>100</c:v>
                </c:pt>
                <c:pt idx="1">
                  <c:v>97.526851863538042</c:v>
                </c:pt>
                <c:pt idx="2">
                  <c:v>98.115005490275294</c:v>
                </c:pt>
                <c:pt idx="3">
                  <c:v>93.419558001287427</c:v>
                </c:pt>
                <c:pt idx="4">
                  <c:v>92.993588368189208</c:v>
                </c:pt>
                <c:pt idx="5">
                  <c:v>90.425149247138123</c:v>
                </c:pt>
                <c:pt idx="6">
                  <c:v>91.935290479736466</c:v>
                </c:pt>
                <c:pt idx="7">
                  <c:v>94.978922391487956</c:v>
                </c:pt>
                <c:pt idx="8">
                  <c:v>102.65899710971715</c:v>
                </c:pt>
                <c:pt idx="9">
                  <c:v>106.87704307657336</c:v>
                </c:pt>
                <c:pt idx="10">
                  <c:v>115.00896113894814</c:v>
                </c:pt>
              </c:numCache>
            </c:numRef>
          </c:val>
          <c:smooth val="0"/>
          <c:extLst xmlns:c16r2="http://schemas.microsoft.com/office/drawing/2015/06/chart">
            <c:ext xmlns:c16="http://schemas.microsoft.com/office/drawing/2014/chart" uri="{C3380CC4-5D6E-409C-BE32-E72D297353CC}">
              <c16:uniqueId val="{00000000-715F-4D9D-A92F-7EEFFABBA592}"/>
            </c:ext>
          </c:extLst>
        </c:ser>
        <c:ser>
          <c:idx val="2"/>
          <c:order val="1"/>
          <c:tx>
            <c:strRef>
              <c:f>'strukt. stat (prava)'!$CX$77</c:f>
              <c:strCache>
                <c:ptCount val="1"/>
                <c:pt idx="0">
                  <c:v>Tekst. ind.</c:v>
                </c:pt>
              </c:strCache>
            </c:strRef>
          </c:tx>
          <c:spPr>
            <a:ln w="28575" cap="rnd">
              <a:solidFill>
                <a:schemeClr val="accent3"/>
              </a:solidFill>
              <a:round/>
            </a:ln>
            <a:effectLst/>
          </c:spPr>
          <c:marker>
            <c:symbol val="none"/>
          </c:marker>
          <c:cat>
            <c:numRef>
              <c:f>'strukt. stat (prava)'!$CY$74:$DI$74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(prava)'!$CY$77:$DI$77</c:f>
              <c:numCache>
                <c:formatCode>#,##0</c:formatCode>
                <c:ptCount val="11"/>
                <c:pt idx="0">
                  <c:v>100</c:v>
                </c:pt>
                <c:pt idx="1">
                  <c:v>83.131378688138753</c:v>
                </c:pt>
                <c:pt idx="2">
                  <c:v>72.919415460763531</c:v>
                </c:pt>
                <c:pt idx="3">
                  <c:v>72.327815537788595</c:v>
                </c:pt>
                <c:pt idx="4">
                  <c:v>69.498548636716919</c:v>
                </c:pt>
                <c:pt idx="5">
                  <c:v>62.556966900358738</c:v>
                </c:pt>
                <c:pt idx="6">
                  <c:v>59.754445022929403</c:v>
                </c:pt>
                <c:pt idx="7">
                  <c:v>58.376898005177836</c:v>
                </c:pt>
                <c:pt idx="8">
                  <c:v>54.667184925791474</c:v>
                </c:pt>
                <c:pt idx="9">
                  <c:v>57.333128882486008</c:v>
                </c:pt>
                <c:pt idx="10">
                  <c:v>64.218367769037343</c:v>
                </c:pt>
              </c:numCache>
            </c:numRef>
          </c:val>
          <c:smooth val="0"/>
          <c:extLst xmlns:c16r2="http://schemas.microsoft.com/office/drawing/2015/06/chart">
            <c:ext xmlns:c16="http://schemas.microsoft.com/office/drawing/2014/chart" uri="{C3380CC4-5D6E-409C-BE32-E72D297353CC}">
              <c16:uniqueId val="{00000001-715F-4D9D-A92F-7EEFFABBA592}"/>
            </c:ext>
          </c:extLst>
        </c:ser>
        <c:ser>
          <c:idx val="3"/>
          <c:order val="2"/>
          <c:tx>
            <c:strRef>
              <c:f>'strukt. stat (prava)'!$CX$78</c:f>
              <c:strCache>
                <c:ptCount val="1"/>
                <c:pt idx="0">
                  <c:v>Lesna ind.</c:v>
                </c:pt>
              </c:strCache>
            </c:strRef>
          </c:tx>
          <c:spPr>
            <a:ln w="28575" cap="rnd">
              <a:solidFill>
                <a:schemeClr val="accent4"/>
              </a:solidFill>
              <a:round/>
            </a:ln>
            <a:effectLst/>
          </c:spPr>
          <c:marker>
            <c:symbol val="none"/>
          </c:marker>
          <c:cat>
            <c:numRef>
              <c:f>'strukt. stat (prava)'!$CY$74:$DI$74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(prava)'!$CY$78:$DI$78</c:f>
              <c:numCache>
                <c:formatCode>#,##0</c:formatCode>
                <c:ptCount val="11"/>
                <c:pt idx="0">
                  <c:v>100</c:v>
                </c:pt>
                <c:pt idx="1">
                  <c:v>81.309306893205971</c:v>
                </c:pt>
                <c:pt idx="2">
                  <c:v>79.755495870702049</c:v>
                </c:pt>
                <c:pt idx="3">
                  <c:v>75.449016777491181</c:v>
                </c:pt>
                <c:pt idx="4">
                  <c:v>67.510471142241656</c:v>
                </c:pt>
                <c:pt idx="5">
                  <c:v>63.702406587945759</c:v>
                </c:pt>
                <c:pt idx="6">
                  <c:v>64.543055917082754</c:v>
                </c:pt>
                <c:pt idx="7">
                  <c:v>66.162237629853948</c:v>
                </c:pt>
                <c:pt idx="8">
                  <c:v>71.247249106699172</c:v>
                </c:pt>
                <c:pt idx="9">
                  <c:v>74.456033034383211</c:v>
                </c:pt>
                <c:pt idx="10">
                  <c:v>80.144762062519149</c:v>
                </c:pt>
              </c:numCache>
            </c:numRef>
          </c:val>
          <c:smooth val="0"/>
          <c:extLst xmlns:c16r2="http://schemas.microsoft.com/office/drawing/2015/06/chart">
            <c:ext xmlns:c16="http://schemas.microsoft.com/office/drawing/2014/chart" uri="{C3380CC4-5D6E-409C-BE32-E72D297353CC}">
              <c16:uniqueId val="{00000002-715F-4D9D-A92F-7EEFFABBA592}"/>
            </c:ext>
          </c:extLst>
        </c:ser>
        <c:ser>
          <c:idx val="4"/>
          <c:order val="3"/>
          <c:tx>
            <c:strRef>
              <c:f>'strukt. stat (prava)'!$CX$79</c:f>
              <c:strCache>
                <c:ptCount val="1"/>
                <c:pt idx="0">
                  <c:v>Papir. ind.</c:v>
                </c:pt>
              </c:strCache>
            </c:strRef>
          </c:tx>
          <c:spPr>
            <a:ln w="28575" cap="rnd">
              <a:solidFill>
                <a:schemeClr val="accent5"/>
              </a:solidFill>
              <a:round/>
            </a:ln>
            <a:effectLst/>
          </c:spPr>
          <c:marker>
            <c:symbol val="none"/>
          </c:marker>
          <c:cat>
            <c:numRef>
              <c:f>'strukt. stat (prava)'!$CY$74:$DI$74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(prava)'!$CY$79:$DI$79</c:f>
              <c:numCache>
                <c:formatCode>#,##0</c:formatCode>
                <c:ptCount val="11"/>
                <c:pt idx="0">
                  <c:v>100</c:v>
                </c:pt>
                <c:pt idx="1">
                  <c:v>88.581728081435131</c:v>
                </c:pt>
                <c:pt idx="2">
                  <c:v>84.466140999780862</c:v>
                </c:pt>
                <c:pt idx="3">
                  <c:v>82.152520920080988</c:v>
                </c:pt>
                <c:pt idx="4">
                  <c:v>77.561060696188093</c:v>
                </c:pt>
                <c:pt idx="5">
                  <c:v>78.960950672886412</c:v>
                </c:pt>
                <c:pt idx="6">
                  <c:v>79.635402457186714</c:v>
                </c:pt>
                <c:pt idx="7">
                  <c:v>80.068339676817729</c:v>
                </c:pt>
                <c:pt idx="8">
                  <c:v>83.571642612114189</c:v>
                </c:pt>
                <c:pt idx="9">
                  <c:v>87.006069171560313</c:v>
                </c:pt>
                <c:pt idx="10">
                  <c:v>89.452522261828634</c:v>
                </c:pt>
              </c:numCache>
            </c:numRef>
          </c:val>
          <c:smooth val="0"/>
          <c:extLst xmlns:c16r2="http://schemas.microsoft.com/office/drawing/2015/06/chart">
            <c:ext xmlns:c16="http://schemas.microsoft.com/office/drawing/2014/chart" uri="{C3380CC4-5D6E-409C-BE32-E72D297353CC}">
              <c16:uniqueId val="{00000003-715F-4D9D-A92F-7EEFFABBA592}"/>
            </c:ext>
          </c:extLst>
        </c:ser>
        <c:ser>
          <c:idx val="5"/>
          <c:order val="4"/>
          <c:tx>
            <c:strRef>
              <c:f>'strukt. stat (prava)'!$CX$80</c:f>
              <c:strCache>
                <c:ptCount val="1"/>
                <c:pt idx="0">
                  <c:v>Kemij. ind.</c:v>
                </c:pt>
              </c:strCache>
            </c:strRef>
          </c:tx>
          <c:spPr>
            <a:ln w="28575" cap="rnd">
              <a:solidFill>
                <a:schemeClr val="accent6"/>
              </a:solidFill>
              <a:round/>
            </a:ln>
            <a:effectLst/>
          </c:spPr>
          <c:marker>
            <c:symbol val="none"/>
          </c:marker>
          <c:cat>
            <c:numRef>
              <c:f>'strukt. stat (prava)'!$CY$74:$DI$74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(prava)'!$CY$80:$DI$80</c:f>
              <c:numCache>
                <c:formatCode>#,##0</c:formatCode>
                <c:ptCount val="11"/>
                <c:pt idx="0">
                  <c:v>100</c:v>
                </c:pt>
                <c:pt idx="1">
                  <c:v>95.756408535399288</c:v>
                </c:pt>
                <c:pt idx="2">
                  <c:v>98.938006306486116</c:v>
                </c:pt>
                <c:pt idx="3">
                  <c:v>102.28753962100845</c:v>
                </c:pt>
                <c:pt idx="4">
                  <c:v>104.89547176737777</c:v>
                </c:pt>
                <c:pt idx="5">
                  <c:v>109.92052512047252</c:v>
                </c:pt>
                <c:pt idx="6">
                  <c:v>114.83681760775389</c:v>
                </c:pt>
                <c:pt idx="7">
                  <c:v>119.24902950789136</c:v>
                </c:pt>
                <c:pt idx="8">
                  <c:v>125.88823656721118</c:v>
                </c:pt>
                <c:pt idx="9">
                  <c:v>134.39884280630471</c:v>
                </c:pt>
                <c:pt idx="10">
                  <c:v>147.7576632577304</c:v>
                </c:pt>
              </c:numCache>
            </c:numRef>
          </c:val>
          <c:smooth val="0"/>
          <c:extLst xmlns:c16r2="http://schemas.microsoft.com/office/drawing/2015/06/chart">
            <c:ext xmlns:c16="http://schemas.microsoft.com/office/drawing/2014/chart" uri="{C3380CC4-5D6E-409C-BE32-E72D297353CC}">
              <c16:uniqueId val="{00000004-715F-4D9D-A92F-7EEFFABBA592}"/>
            </c:ext>
          </c:extLst>
        </c:ser>
        <c:ser>
          <c:idx val="6"/>
          <c:order val="5"/>
          <c:tx>
            <c:strRef>
              <c:f>'strukt. stat (prava)'!$CX$81</c:f>
              <c:strCache>
                <c:ptCount val="1"/>
                <c:pt idx="0">
                  <c:v>Nekov. ind.</c:v>
                </c:pt>
              </c:strCache>
            </c:strRef>
          </c:tx>
          <c:spPr>
            <a:ln w="28575" cap="rnd">
              <a:solidFill>
                <a:schemeClr val="accent1">
                  <a:lumMod val="60000"/>
                </a:schemeClr>
              </a:solidFill>
              <a:round/>
            </a:ln>
            <a:effectLst/>
          </c:spPr>
          <c:marker>
            <c:symbol val="none"/>
          </c:marker>
          <c:cat>
            <c:numRef>
              <c:f>'strukt. stat (prava)'!$CY$74:$DI$74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(prava)'!$CY$81:$DI$81</c:f>
              <c:numCache>
                <c:formatCode>#,##0</c:formatCode>
                <c:ptCount val="11"/>
                <c:pt idx="0">
                  <c:v>100</c:v>
                </c:pt>
                <c:pt idx="1">
                  <c:v>88.239388006834872</c:v>
                </c:pt>
                <c:pt idx="2">
                  <c:v>99.01433793158057</c:v>
                </c:pt>
                <c:pt idx="3">
                  <c:v>97.771226815440144</c:v>
                </c:pt>
                <c:pt idx="4">
                  <c:v>95.874591193545058</c:v>
                </c:pt>
                <c:pt idx="5">
                  <c:v>92.360270236626448</c:v>
                </c:pt>
                <c:pt idx="6">
                  <c:v>92.605271198523852</c:v>
                </c:pt>
                <c:pt idx="7">
                  <c:v>93.770298867223985</c:v>
                </c:pt>
                <c:pt idx="8">
                  <c:v>95.11186302579037</c:v>
                </c:pt>
                <c:pt idx="9">
                  <c:v>95.739359715730984</c:v>
                </c:pt>
                <c:pt idx="10">
                  <c:v>105.23724919936194</c:v>
                </c:pt>
              </c:numCache>
            </c:numRef>
          </c:val>
          <c:smooth val="0"/>
          <c:extLst xmlns:c16r2="http://schemas.microsoft.com/office/drawing/2015/06/chart">
            <c:ext xmlns:c16="http://schemas.microsoft.com/office/drawing/2014/chart" uri="{C3380CC4-5D6E-409C-BE32-E72D297353CC}">
              <c16:uniqueId val="{00000005-715F-4D9D-A92F-7EEFFABBA592}"/>
            </c:ext>
          </c:extLst>
        </c:ser>
        <c:ser>
          <c:idx val="7"/>
          <c:order val="6"/>
          <c:tx>
            <c:strRef>
              <c:f>'strukt. stat (prava)'!$CX$82</c:f>
              <c:strCache>
                <c:ptCount val="1"/>
                <c:pt idx="0">
                  <c:v>Kovin. ind.</c:v>
                </c:pt>
              </c:strCache>
            </c:strRef>
          </c:tx>
          <c:spPr>
            <a:ln w="28575" cap="rnd">
              <a:solidFill>
                <a:schemeClr val="accent2">
                  <a:lumMod val="60000"/>
                </a:schemeClr>
              </a:solidFill>
              <a:round/>
            </a:ln>
            <a:effectLst/>
          </c:spPr>
          <c:marker>
            <c:symbol val="none"/>
          </c:marker>
          <c:cat>
            <c:numRef>
              <c:f>'strukt. stat (prava)'!$CY$74:$DI$74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(prava)'!$CY$82:$DI$82</c:f>
              <c:numCache>
                <c:formatCode>#,##0</c:formatCode>
                <c:ptCount val="11"/>
                <c:pt idx="0">
                  <c:v>100</c:v>
                </c:pt>
                <c:pt idx="1">
                  <c:v>85.672824049633618</c:v>
                </c:pt>
                <c:pt idx="2">
                  <c:v>87.600800104613825</c:v>
                </c:pt>
                <c:pt idx="3">
                  <c:v>91.587519917858501</c:v>
                </c:pt>
                <c:pt idx="4">
                  <c:v>91.852566679420548</c:v>
                </c:pt>
                <c:pt idx="5">
                  <c:v>94.188102076300225</c:v>
                </c:pt>
                <c:pt idx="6">
                  <c:v>97.141878114813679</c:v>
                </c:pt>
                <c:pt idx="7">
                  <c:v>103.94494679691803</c:v>
                </c:pt>
                <c:pt idx="8">
                  <c:v>118.33629578685833</c:v>
                </c:pt>
                <c:pt idx="9">
                  <c:v>124.16490291708824</c:v>
                </c:pt>
                <c:pt idx="10">
                  <c:v>133.87392056104133</c:v>
                </c:pt>
              </c:numCache>
            </c:numRef>
          </c:val>
          <c:smooth val="0"/>
          <c:extLst xmlns:c16r2="http://schemas.microsoft.com/office/drawing/2015/06/chart">
            <c:ext xmlns:c16="http://schemas.microsoft.com/office/drawing/2014/chart" uri="{C3380CC4-5D6E-409C-BE32-E72D297353CC}">
              <c16:uniqueId val="{00000006-715F-4D9D-A92F-7EEFFABBA592}"/>
            </c:ext>
          </c:extLst>
        </c:ser>
        <c:ser>
          <c:idx val="8"/>
          <c:order val="7"/>
          <c:tx>
            <c:strRef>
              <c:f>'strukt. stat (prava)'!$CX$83</c:f>
              <c:strCache>
                <c:ptCount val="1"/>
                <c:pt idx="0">
                  <c:v>Elektro ind.</c:v>
                </c:pt>
              </c:strCache>
            </c:strRef>
          </c:tx>
          <c:spPr>
            <a:ln w="28575" cap="rnd">
              <a:solidFill>
                <a:schemeClr val="accent3">
                  <a:lumMod val="60000"/>
                </a:schemeClr>
              </a:solidFill>
              <a:round/>
            </a:ln>
            <a:effectLst/>
          </c:spPr>
          <c:marker>
            <c:symbol val="none"/>
          </c:marker>
          <c:cat>
            <c:numRef>
              <c:f>'strukt. stat (prava)'!$CY$74:$DI$74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(prava)'!$CY$83:$DI$83</c:f>
              <c:numCache>
                <c:formatCode>#,##0</c:formatCode>
                <c:ptCount val="11"/>
                <c:pt idx="0">
                  <c:v>100</c:v>
                </c:pt>
                <c:pt idx="1">
                  <c:v>96.270588752260835</c:v>
                </c:pt>
                <c:pt idx="2">
                  <c:v>100.30246881934625</c:v>
                </c:pt>
                <c:pt idx="3">
                  <c:v>101.73699860117347</c:v>
                </c:pt>
                <c:pt idx="4">
                  <c:v>103.00949151549305</c:v>
                </c:pt>
                <c:pt idx="5">
                  <c:v>101.22397340032079</c:v>
                </c:pt>
                <c:pt idx="6">
                  <c:v>107.29239140783469</c:v>
                </c:pt>
                <c:pt idx="7">
                  <c:v>113.70099529086076</c:v>
                </c:pt>
                <c:pt idx="8">
                  <c:v>114.22848479966018</c:v>
                </c:pt>
                <c:pt idx="9">
                  <c:v>123.81941952352007</c:v>
                </c:pt>
                <c:pt idx="10">
                  <c:v>135.59959133752736</c:v>
                </c:pt>
              </c:numCache>
            </c:numRef>
          </c:val>
          <c:smooth val="0"/>
          <c:extLst xmlns:c16r2="http://schemas.microsoft.com/office/drawing/2015/06/chart">
            <c:ext xmlns:c16="http://schemas.microsoft.com/office/drawing/2014/chart" uri="{C3380CC4-5D6E-409C-BE32-E72D297353CC}">
              <c16:uniqueId val="{00000007-715F-4D9D-A92F-7EEFFABBA592}"/>
            </c:ext>
          </c:extLst>
        </c:ser>
        <c:ser>
          <c:idx val="9"/>
          <c:order val="8"/>
          <c:tx>
            <c:strRef>
              <c:f>'strukt. stat (prava)'!$CX$84</c:f>
              <c:strCache>
                <c:ptCount val="1"/>
                <c:pt idx="0">
                  <c:v>Stroj. ind.</c:v>
                </c:pt>
              </c:strCache>
            </c:strRef>
          </c:tx>
          <c:spPr>
            <a:ln w="28575" cap="rnd">
              <a:solidFill>
                <a:schemeClr val="accent4">
                  <a:lumMod val="60000"/>
                </a:schemeClr>
              </a:solidFill>
              <a:round/>
            </a:ln>
            <a:effectLst/>
          </c:spPr>
          <c:marker>
            <c:symbol val="none"/>
          </c:marker>
          <c:cat>
            <c:numRef>
              <c:f>'strukt. stat (prava)'!$CY$74:$DI$74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(prava)'!$CY$84:$DI$84</c:f>
              <c:numCache>
                <c:formatCode>#,##0</c:formatCode>
                <c:ptCount val="11"/>
                <c:pt idx="0">
                  <c:v>100</c:v>
                </c:pt>
                <c:pt idx="1">
                  <c:v>84.848416547364849</c:v>
                </c:pt>
                <c:pt idx="2">
                  <c:v>88.575635684528081</c:v>
                </c:pt>
                <c:pt idx="3">
                  <c:v>94.562637155779058</c:v>
                </c:pt>
                <c:pt idx="4">
                  <c:v>101.26387657342097</c:v>
                </c:pt>
                <c:pt idx="5">
                  <c:v>100.44434757194043</c:v>
                </c:pt>
                <c:pt idx="6">
                  <c:v>106.57158850541668</c:v>
                </c:pt>
                <c:pt idx="7">
                  <c:v>112.15800841139531</c:v>
                </c:pt>
                <c:pt idx="8">
                  <c:v>115.18224690269396</c:v>
                </c:pt>
                <c:pt idx="9">
                  <c:v>128.94352277962435</c:v>
                </c:pt>
                <c:pt idx="10">
                  <c:v>142.81613323491968</c:v>
                </c:pt>
              </c:numCache>
            </c:numRef>
          </c:val>
          <c:smooth val="0"/>
          <c:extLst xmlns:c16r2="http://schemas.microsoft.com/office/drawing/2015/06/chart">
            <c:ext xmlns:c16="http://schemas.microsoft.com/office/drawing/2014/chart" uri="{C3380CC4-5D6E-409C-BE32-E72D297353CC}">
              <c16:uniqueId val="{00000008-715F-4D9D-A92F-7EEFFABBA592}"/>
            </c:ext>
          </c:extLst>
        </c:ser>
        <c:ser>
          <c:idx val="10"/>
          <c:order val="9"/>
          <c:tx>
            <c:strRef>
              <c:f>'strukt. stat (prava)'!$CX$85</c:f>
              <c:strCache>
                <c:ptCount val="1"/>
                <c:pt idx="0">
                  <c:v>Dr. pred. dej.</c:v>
                </c:pt>
              </c:strCache>
            </c:strRef>
          </c:tx>
          <c:spPr>
            <a:ln w="28575" cap="rnd">
              <a:solidFill>
                <a:schemeClr val="accent5">
                  <a:lumMod val="60000"/>
                </a:schemeClr>
              </a:solidFill>
              <a:round/>
            </a:ln>
            <a:effectLst/>
          </c:spPr>
          <c:marker>
            <c:symbol val="none"/>
          </c:marker>
          <c:cat>
            <c:numRef>
              <c:f>'strukt. stat (prava)'!$CY$74:$DI$74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(prava)'!$CY$85:$DI$85</c:f>
              <c:numCache>
                <c:formatCode>#,##0</c:formatCode>
                <c:ptCount val="11"/>
                <c:pt idx="0">
                  <c:v>100</c:v>
                </c:pt>
                <c:pt idx="1">
                  <c:v>92.562415405850899</c:v>
                </c:pt>
                <c:pt idx="2">
                  <c:v>101.96995483845031</c:v>
                </c:pt>
                <c:pt idx="3">
                  <c:v>101.03724152718401</c:v>
                </c:pt>
                <c:pt idx="4">
                  <c:v>97.342571126090178</c:v>
                </c:pt>
                <c:pt idx="5">
                  <c:v>97.118773535599516</c:v>
                </c:pt>
                <c:pt idx="6">
                  <c:v>98.500422133179427</c:v>
                </c:pt>
                <c:pt idx="7">
                  <c:v>103.19481111215306</c:v>
                </c:pt>
                <c:pt idx="8">
                  <c:v>113.04994572573403</c:v>
                </c:pt>
                <c:pt idx="9">
                  <c:v>123.91417965452086</c:v>
                </c:pt>
                <c:pt idx="10">
                  <c:v>133.1917288698892</c:v>
                </c:pt>
              </c:numCache>
            </c:numRef>
          </c:val>
          <c:smooth val="0"/>
          <c:extLst xmlns:c16r2="http://schemas.microsoft.com/office/drawing/2015/06/chart">
            <c:ext xmlns:c16="http://schemas.microsoft.com/office/drawing/2014/chart" uri="{C3380CC4-5D6E-409C-BE32-E72D297353CC}">
              <c16:uniqueId val="{00000009-715F-4D9D-A92F-7EEFFABBA592}"/>
            </c:ext>
          </c:extLst>
        </c:ser>
        <c:dLbls>
          <c:showLegendKey val="0"/>
          <c:showVal val="0"/>
          <c:showCatName val="0"/>
          <c:showSerName val="0"/>
          <c:showPercent val="0"/>
          <c:showBubbleSize val="0"/>
        </c:dLbls>
        <c:marker val="1"/>
        <c:smooth val="0"/>
        <c:axId val="252125184"/>
        <c:axId val="252126720"/>
        <c:extLst xmlns:c16r2="http://schemas.microsoft.com/office/drawing/2015/06/chart">
          <c:ext xmlns:c15="http://schemas.microsoft.com/office/drawing/2012/chart" uri="{02D57815-91ED-43cb-92C2-25804820EDAC}">
            <c15:filteredLineSeries>
              <c15:ser>
                <c:idx val="0"/>
                <c:order val="0"/>
                <c:tx>
                  <c:strRef>
                    <c:extLst>
                      <c:ext uri="{02D57815-91ED-43cb-92C2-25804820EDAC}">
                        <c15:formulaRef>
                          <c15:sqref>'strukt. stat (prava)'!$CX$75</c15:sqref>
                        </c15:formulaRef>
                      </c:ext>
                    </c:extLst>
                    <c:strCache>
                      <c:ptCount val="1"/>
                      <c:pt idx="0">
                        <c:v>Pred. dej.</c:v>
                      </c:pt>
                    </c:strCache>
                  </c:strRef>
                </c:tx>
                <c:spPr>
                  <a:ln w="28575" cap="rnd">
                    <a:solidFill>
                      <a:schemeClr val="accent1"/>
                    </a:solidFill>
                    <a:round/>
                  </a:ln>
                  <a:effectLst/>
                </c:spPr>
                <c:marker>
                  <c:symbol val="none"/>
                </c:marker>
                <c:cat>
                  <c:numRef>
                    <c:extLst>
                      <c:ext uri="{02D57815-91ED-43cb-92C2-25804820EDAC}">
                        <c15:formulaRef>
                          <c15:sqref>'strukt. stat (prava)'!$CY$74:$DI$74</c15:sqref>
                        </c15:formulaRef>
                      </c:ext>
                    </c:extLst>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extLst>
                      <c:ext uri="{02D57815-91ED-43cb-92C2-25804820EDAC}">
                        <c15:formulaRef>
                          <c15:sqref>'strukt. stat (prava)'!$CY$75:$DI$75</c15:sqref>
                        </c15:formulaRef>
                      </c:ext>
                    </c:extLst>
                    <c:numCache>
                      <c:formatCode>#,##0</c:formatCode>
                      <c:ptCount val="11"/>
                      <c:pt idx="0">
                        <c:v>100</c:v>
                      </c:pt>
                      <c:pt idx="1">
                        <c:v>89.359341973713114</c:v>
                      </c:pt>
                      <c:pt idx="2">
                        <c:v>91.076468726829873</c:v>
                      </c:pt>
                      <c:pt idx="3">
                        <c:v>92.806026182253547</c:v>
                      </c:pt>
                      <c:pt idx="4">
                        <c:v>93.546914558482058</c:v>
                      </c:pt>
                      <c:pt idx="5">
                        <c:v>93.378347753642458</c:v>
                      </c:pt>
                      <c:pt idx="6">
                        <c:v>96.754197792612828</c:v>
                      </c:pt>
                      <c:pt idx="7">
                        <c:v>100.59542369597419</c:v>
                      </c:pt>
                      <c:pt idx="8">
                        <c:v>107.03216635196388</c:v>
                      </c:pt>
                      <c:pt idx="9">
                        <c:v>114.35803987500779</c:v>
                      </c:pt>
                      <c:pt idx="10">
                        <c:v>124.4394320395912</c:v>
                      </c:pt>
                    </c:numCache>
                  </c:numRef>
                </c:val>
                <c:smooth val="0"/>
                <c:extLst>
                  <c:ext xmlns:c16="http://schemas.microsoft.com/office/drawing/2014/chart" uri="{C3380CC4-5D6E-409C-BE32-E72D297353CC}">
                    <c16:uniqueId val="{0000000A-715F-4D9D-A92F-7EEFFABBA592}"/>
                  </c:ext>
                </c:extLst>
              </c15:ser>
            </c15:filteredLineSeries>
          </c:ext>
        </c:extLst>
      </c:lineChart>
      <c:catAx>
        <c:axId val="25212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52126720"/>
        <c:crosses val="autoZero"/>
        <c:auto val="1"/>
        <c:lblAlgn val="ctr"/>
        <c:lblOffset val="100"/>
        <c:noMultiLvlLbl val="0"/>
      </c:catAx>
      <c:valAx>
        <c:axId val="252126720"/>
        <c:scaling>
          <c:orientation val="minMax"/>
          <c:max val="150"/>
          <c:min val="5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52125184"/>
        <c:crosses val="autoZero"/>
        <c:crossBetween val="between"/>
      </c:valAx>
      <c:spPr>
        <a:noFill/>
        <a:ln>
          <a:noFill/>
        </a:ln>
        <a:effectLst/>
      </c:spPr>
    </c:plotArea>
    <c:legend>
      <c:legendPos val="b"/>
      <c:layout>
        <c:manualLayout>
          <c:xMode val="edge"/>
          <c:yMode val="edge"/>
          <c:x val="0.78473989069190264"/>
          <c:y val="0.1188104953003504"/>
          <c:w val="0.2064279098255167"/>
          <c:h val="0.853411882449278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rebuchet MS" panose="020B0603020202020204" pitchFamily="34" charset="0"/>
        </a:defRPr>
      </a:pPr>
      <a:endParaRPr lang="sl-SI"/>
    </a:p>
  </c:txPr>
  <c:externalData r:id="rId2">
    <c:autoUpdate val="0"/>
  </c:externalData>
  <c:userShapes r:id="rId3"/>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Stroški dela v dodani</a:t>
            </a:r>
            <a:r>
              <a:rPr lang="sl-SI" baseline="0"/>
              <a:t> vrednosti, v %, 2018</a:t>
            </a:r>
            <a:endParaRPr lang="sl-SI"/>
          </a:p>
        </c:rich>
      </c:tx>
      <c:overlay val="0"/>
      <c:spPr>
        <a:noFill/>
        <a:ln>
          <a:noFill/>
        </a:ln>
        <a:effectLst/>
      </c:spPr>
    </c:title>
    <c:autoTitleDeleted val="0"/>
    <c:plotArea>
      <c:layout/>
      <c:barChart>
        <c:barDir val="col"/>
        <c:grouping val="clustered"/>
        <c:varyColors val="0"/>
        <c:ser>
          <c:idx val="0"/>
          <c:order val="0"/>
          <c:tx>
            <c:strRef>
              <c:f>'strukt. stat (prava)'!$EU$33</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'strukt. stat (prava)'!$EJ$34:$EJ$44</c:f>
              <c:strCache>
                <c:ptCount val="11"/>
                <c:pt idx="0">
                  <c:v>Pred. dej.</c:v>
                </c:pt>
                <c:pt idx="1">
                  <c:v>Prehr. ind.</c:v>
                </c:pt>
                <c:pt idx="2">
                  <c:v>Tekst. ind.</c:v>
                </c:pt>
                <c:pt idx="3">
                  <c:v>Lesna ind.</c:v>
                </c:pt>
                <c:pt idx="4">
                  <c:v>Papir. ind.</c:v>
                </c:pt>
                <c:pt idx="5">
                  <c:v>Kemij. ind.</c:v>
                </c:pt>
                <c:pt idx="6">
                  <c:v>Nekov. ind.</c:v>
                </c:pt>
                <c:pt idx="7">
                  <c:v>Kovin. ind.</c:v>
                </c:pt>
                <c:pt idx="8">
                  <c:v>Elektro ind.</c:v>
                </c:pt>
                <c:pt idx="9">
                  <c:v>Stroj. ind.</c:v>
                </c:pt>
                <c:pt idx="10">
                  <c:v>Dr. pred. dej.</c:v>
                </c:pt>
              </c:strCache>
            </c:strRef>
          </c:cat>
          <c:val>
            <c:numRef>
              <c:f>'strukt. stat (prava)'!$EU$34:$EU$44</c:f>
              <c:numCache>
                <c:formatCode>0.0%</c:formatCode>
                <c:ptCount val="11"/>
                <c:pt idx="0">
                  <c:v>0.61011255210798288</c:v>
                </c:pt>
                <c:pt idx="1">
                  <c:v>0.6141702430961028</c:v>
                </c:pt>
                <c:pt idx="2">
                  <c:v>0.6838082291650861</c:v>
                </c:pt>
                <c:pt idx="3">
                  <c:v>0.61787396098195047</c:v>
                </c:pt>
                <c:pt idx="4">
                  <c:v>0.66657112767120363</c:v>
                </c:pt>
                <c:pt idx="5">
                  <c:v>0.52602389286539863</c:v>
                </c:pt>
                <c:pt idx="6">
                  <c:v>0.55311366204722456</c:v>
                </c:pt>
                <c:pt idx="7">
                  <c:v>0.63260659981977085</c:v>
                </c:pt>
                <c:pt idx="8">
                  <c:v>0.66396010897951385</c:v>
                </c:pt>
                <c:pt idx="9">
                  <c:v>0.64232398425946813</c:v>
                </c:pt>
                <c:pt idx="10">
                  <c:v>0.58414293690675556</c:v>
                </c:pt>
              </c:numCache>
            </c:numRef>
          </c:val>
          <c:extLst xmlns:c16r2="http://schemas.microsoft.com/office/drawing/2015/06/chart">
            <c:ext xmlns:c16="http://schemas.microsoft.com/office/drawing/2014/chart" uri="{C3380CC4-5D6E-409C-BE32-E72D297353CC}">
              <c16:uniqueId val="{00000000-24AC-4976-8074-CEC832FAA018}"/>
            </c:ext>
          </c:extLst>
        </c:ser>
        <c:dLbls>
          <c:showLegendKey val="0"/>
          <c:showVal val="1"/>
          <c:showCatName val="0"/>
          <c:showSerName val="0"/>
          <c:showPercent val="0"/>
          <c:showBubbleSize val="0"/>
        </c:dLbls>
        <c:gapWidth val="219"/>
        <c:overlap val="-27"/>
        <c:axId val="252295808"/>
        <c:axId val="252302848"/>
      </c:barChart>
      <c:catAx>
        <c:axId val="252295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52302848"/>
        <c:crosses val="autoZero"/>
        <c:auto val="1"/>
        <c:lblAlgn val="ctr"/>
        <c:lblOffset val="100"/>
        <c:noMultiLvlLbl val="0"/>
      </c:catAx>
      <c:valAx>
        <c:axId val="25230284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522958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l-SI"/>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rebuchet MS" panose="020B0603020202020204" pitchFamily="34" charset="0"/>
                <a:ea typeface="+mn-ea"/>
                <a:cs typeface="+mn-cs"/>
              </a:defRPr>
            </a:pPr>
            <a:r>
              <a:rPr lang="sl-SI" sz="1200"/>
              <a:t>Gibanje bruto poslovnega presežka</a:t>
            </a:r>
          </a:p>
          <a:p>
            <a:pPr>
              <a:defRPr sz="1200" b="0" i="0" u="none" strike="noStrike" kern="1200" spc="0" baseline="0">
                <a:solidFill>
                  <a:schemeClr val="tx1">
                    <a:lumMod val="65000"/>
                    <a:lumOff val="35000"/>
                  </a:schemeClr>
                </a:solidFill>
                <a:latin typeface="Trebuchet MS" panose="020B0603020202020204" pitchFamily="34" charset="0"/>
                <a:ea typeface="+mn-ea"/>
                <a:cs typeface="+mn-cs"/>
              </a:defRPr>
            </a:pPr>
            <a:r>
              <a:rPr lang="sl-SI" sz="1200"/>
              <a:t>2008=100</a:t>
            </a:r>
          </a:p>
        </c:rich>
      </c:tx>
      <c:overlay val="0"/>
      <c:spPr>
        <a:noFill/>
        <a:ln>
          <a:noFill/>
        </a:ln>
        <a:effectLst/>
      </c:spPr>
    </c:title>
    <c:autoTitleDeleted val="0"/>
    <c:plotArea>
      <c:layout>
        <c:manualLayout>
          <c:layoutTarget val="inner"/>
          <c:xMode val="edge"/>
          <c:yMode val="edge"/>
          <c:x val="7.3219094200462451E-2"/>
          <c:y val="0.16597075929256808"/>
          <c:w val="0.72671127194539265"/>
          <c:h val="0.73493277716733252"/>
        </c:manualLayout>
      </c:layout>
      <c:lineChart>
        <c:grouping val="standard"/>
        <c:varyColors val="0"/>
        <c:ser>
          <c:idx val="1"/>
          <c:order val="0"/>
          <c:tx>
            <c:strRef>
              <c:f>'strukt. stat (prava)'!$CD$76</c:f>
              <c:strCache>
                <c:ptCount val="1"/>
                <c:pt idx="0">
                  <c:v>Prehr. ind.</c:v>
                </c:pt>
              </c:strCache>
            </c:strRef>
          </c:tx>
          <c:spPr>
            <a:ln w="28575" cap="rnd">
              <a:solidFill>
                <a:schemeClr val="accent2"/>
              </a:solidFill>
              <a:round/>
            </a:ln>
            <a:effectLst/>
          </c:spPr>
          <c:marker>
            <c:symbol val="none"/>
          </c:marker>
          <c:cat>
            <c:numRef>
              <c:f>'strukt. stat (prava)'!$CE$74:$CO$74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(prava)'!$CE$76:$CO$76</c:f>
              <c:numCache>
                <c:formatCode>#,##0</c:formatCode>
                <c:ptCount val="11"/>
                <c:pt idx="0">
                  <c:v>100</c:v>
                </c:pt>
                <c:pt idx="1">
                  <c:v>94.532127445764615</c:v>
                </c:pt>
                <c:pt idx="2">
                  <c:v>104.85310634273218</c:v>
                </c:pt>
                <c:pt idx="3">
                  <c:v>113.86442303271529</c:v>
                </c:pt>
                <c:pt idx="4">
                  <c:v>99.59409666804622</c:v>
                </c:pt>
                <c:pt idx="5">
                  <c:v>100.61213900547115</c:v>
                </c:pt>
                <c:pt idx="6">
                  <c:v>118.35563174453027</c:v>
                </c:pt>
                <c:pt idx="7">
                  <c:v>134.571404175944</c:v>
                </c:pt>
                <c:pt idx="8">
                  <c:v>130.06377542642787</c:v>
                </c:pt>
                <c:pt idx="9">
                  <c:v>134.34415085417035</c:v>
                </c:pt>
                <c:pt idx="10">
                  <c:v>150.31756352912529</c:v>
                </c:pt>
              </c:numCache>
            </c:numRef>
          </c:val>
          <c:smooth val="0"/>
          <c:extLst xmlns:c16r2="http://schemas.microsoft.com/office/drawing/2015/06/chart">
            <c:ext xmlns:c16="http://schemas.microsoft.com/office/drawing/2014/chart" uri="{C3380CC4-5D6E-409C-BE32-E72D297353CC}">
              <c16:uniqueId val="{00000000-0A30-4078-9AB8-F5FF8316B63F}"/>
            </c:ext>
          </c:extLst>
        </c:ser>
        <c:ser>
          <c:idx val="2"/>
          <c:order val="1"/>
          <c:tx>
            <c:strRef>
              <c:f>'strukt. stat (prava)'!$CD$77</c:f>
              <c:strCache>
                <c:ptCount val="1"/>
                <c:pt idx="0">
                  <c:v>Tekst. ind.</c:v>
                </c:pt>
              </c:strCache>
            </c:strRef>
          </c:tx>
          <c:spPr>
            <a:ln w="28575" cap="rnd">
              <a:solidFill>
                <a:schemeClr val="accent3"/>
              </a:solidFill>
              <a:round/>
            </a:ln>
            <a:effectLst/>
          </c:spPr>
          <c:marker>
            <c:symbol val="none"/>
          </c:marker>
          <c:cat>
            <c:numRef>
              <c:f>'strukt. stat (prava)'!$CE$74:$CO$74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(prava)'!$CE$77:$CO$77</c:f>
              <c:numCache>
                <c:formatCode>#,##0</c:formatCode>
                <c:ptCount val="11"/>
                <c:pt idx="0">
                  <c:v>100</c:v>
                </c:pt>
                <c:pt idx="1">
                  <c:v>62.999185004075109</c:v>
                </c:pt>
                <c:pt idx="2">
                  <c:v>161.30515775992549</c:v>
                </c:pt>
                <c:pt idx="3">
                  <c:v>193.82640586797123</c:v>
                </c:pt>
                <c:pt idx="4">
                  <c:v>127.38968448014923</c:v>
                </c:pt>
                <c:pt idx="5">
                  <c:v>111.84072651065296</c:v>
                </c:pt>
                <c:pt idx="6">
                  <c:v>212.55384794504604</c:v>
                </c:pt>
                <c:pt idx="7">
                  <c:v>170.64268250087318</c:v>
                </c:pt>
                <c:pt idx="8">
                  <c:v>199.20654325299802</c:v>
                </c:pt>
                <c:pt idx="9">
                  <c:v>268.79235068110364</c:v>
                </c:pt>
                <c:pt idx="10">
                  <c:v>242.35068110373734</c:v>
                </c:pt>
              </c:numCache>
            </c:numRef>
          </c:val>
          <c:smooth val="0"/>
          <c:extLst xmlns:c16r2="http://schemas.microsoft.com/office/drawing/2015/06/chart">
            <c:ext xmlns:c16="http://schemas.microsoft.com/office/drawing/2014/chart" uri="{C3380CC4-5D6E-409C-BE32-E72D297353CC}">
              <c16:uniqueId val="{00000001-0A30-4078-9AB8-F5FF8316B63F}"/>
            </c:ext>
          </c:extLst>
        </c:ser>
        <c:ser>
          <c:idx val="3"/>
          <c:order val="2"/>
          <c:tx>
            <c:strRef>
              <c:f>'strukt. stat (prava)'!$CD$78</c:f>
              <c:strCache>
                <c:ptCount val="1"/>
                <c:pt idx="0">
                  <c:v>Lesna ind.</c:v>
                </c:pt>
              </c:strCache>
            </c:strRef>
          </c:tx>
          <c:spPr>
            <a:ln w="28575" cap="rnd">
              <a:solidFill>
                <a:schemeClr val="accent4"/>
              </a:solidFill>
              <a:round/>
            </a:ln>
            <a:effectLst/>
          </c:spPr>
          <c:marker>
            <c:symbol val="none"/>
          </c:marker>
          <c:cat>
            <c:numRef>
              <c:f>'strukt. stat (prava)'!$CE$74:$CO$74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(prava)'!$CE$78:$CO$78</c:f>
              <c:numCache>
                <c:formatCode>#,##0</c:formatCode>
                <c:ptCount val="11"/>
                <c:pt idx="0">
                  <c:v>100</c:v>
                </c:pt>
                <c:pt idx="1">
                  <c:v>40.612480212628739</c:v>
                </c:pt>
                <c:pt idx="2">
                  <c:v>51.079755320604313</c:v>
                </c:pt>
                <c:pt idx="3">
                  <c:v>58.996658132853995</c:v>
                </c:pt>
                <c:pt idx="4">
                  <c:v>68.33141159686528</c:v>
                </c:pt>
                <c:pt idx="5">
                  <c:v>71.275577009517448</c:v>
                </c:pt>
                <c:pt idx="6">
                  <c:v>101.51165744884634</c:v>
                </c:pt>
                <c:pt idx="7">
                  <c:v>119.65545545154291</c:v>
                </c:pt>
                <c:pt idx="8">
                  <c:v>121.97521937110362</c:v>
                </c:pt>
                <c:pt idx="9">
                  <c:v>136.42537473861128</c:v>
                </c:pt>
                <c:pt idx="10">
                  <c:v>164.36123434110507</c:v>
                </c:pt>
              </c:numCache>
            </c:numRef>
          </c:val>
          <c:smooth val="0"/>
          <c:extLst xmlns:c16r2="http://schemas.microsoft.com/office/drawing/2015/06/chart">
            <c:ext xmlns:c16="http://schemas.microsoft.com/office/drawing/2014/chart" uri="{C3380CC4-5D6E-409C-BE32-E72D297353CC}">
              <c16:uniqueId val="{00000002-0A30-4078-9AB8-F5FF8316B63F}"/>
            </c:ext>
          </c:extLst>
        </c:ser>
        <c:ser>
          <c:idx val="4"/>
          <c:order val="3"/>
          <c:tx>
            <c:strRef>
              <c:f>'strukt. stat (prava)'!$CD$79</c:f>
              <c:strCache>
                <c:ptCount val="1"/>
                <c:pt idx="0">
                  <c:v>Papir. ind.</c:v>
                </c:pt>
              </c:strCache>
            </c:strRef>
          </c:tx>
          <c:spPr>
            <a:ln w="28575" cap="rnd">
              <a:solidFill>
                <a:schemeClr val="accent5"/>
              </a:solidFill>
              <a:round/>
            </a:ln>
            <a:effectLst/>
          </c:spPr>
          <c:marker>
            <c:symbol val="none"/>
          </c:marker>
          <c:cat>
            <c:numRef>
              <c:f>'strukt. stat (prava)'!$CE$74:$CO$74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(prava)'!$CE$79:$CO$79</c:f>
              <c:numCache>
                <c:formatCode>#,##0</c:formatCode>
                <c:ptCount val="11"/>
                <c:pt idx="0">
                  <c:v>100</c:v>
                </c:pt>
                <c:pt idx="1">
                  <c:v>115.10674670241043</c:v>
                </c:pt>
                <c:pt idx="2">
                  <c:v>90.359772325504125</c:v>
                </c:pt>
                <c:pt idx="3">
                  <c:v>94.646152650698369</c:v>
                </c:pt>
                <c:pt idx="4">
                  <c:v>98.205023602774062</c:v>
                </c:pt>
                <c:pt idx="5">
                  <c:v>112.69887522582883</c:v>
                </c:pt>
                <c:pt idx="6">
                  <c:v>122.20797637779955</c:v>
                </c:pt>
                <c:pt idx="7">
                  <c:v>125.38123822289565</c:v>
                </c:pt>
                <c:pt idx="8">
                  <c:v>114.07230413582737</c:v>
                </c:pt>
                <c:pt idx="9">
                  <c:v>121.30466033374128</c:v>
                </c:pt>
                <c:pt idx="10">
                  <c:v>97.175437574061775</c:v>
                </c:pt>
              </c:numCache>
            </c:numRef>
          </c:val>
          <c:smooth val="0"/>
          <c:extLst xmlns:c16r2="http://schemas.microsoft.com/office/drawing/2015/06/chart">
            <c:ext xmlns:c16="http://schemas.microsoft.com/office/drawing/2014/chart" uri="{C3380CC4-5D6E-409C-BE32-E72D297353CC}">
              <c16:uniqueId val="{00000003-0A30-4078-9AB8-F5FF8316B63F}"/>
            </c:ext>
          </c:extLst>
        </c:ser>
        <c:ser>
          <c:idx val="5"/>
          <c:order val="4"/>
          <c:tx>
            <c:strRef>
              <c:f>'strukt. stat (prava)'!$CD$80</c:f>
              <c:strCache>
                <c:ptCount val="1"/>
                <c:pt idx="0">
                  <c:v>Kemij. ind.</c:v>
                </c:pt>
              </c:strCache>
            </c:strRef>
          </c:tx>
          <c:spPr>
            <a:ln w="28575" cap="rnd">
              <a:solidFill>
                <a:schemeClr val="accent6"/>
              </a:solidFill>
              <a:round/>
            </a:ln>
            <a:effectLst/>
          </c:spPr>
          <c:marker>
            <c:symbol val="none"/>
          </c:marker>
          <c:cat>
            <c:numRef>
              <c:f>'strukt. stat (prava)'!$CE$74:$CO$74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(prava)'!$CE$80:$CO$80</c:f>
              <c:numCache>
                <c:formatCode>#,##0</c:formatCode>
                <c:ptCount val="11"/>
                <c:pt idx="0">
                  <c:v>100</c:v>
                </c:pt>
                <c:pt idx="1">
                  <c:v>75.976050356795199</c:v>
                </c:pt>
                <c:pt idx="2">
                  <c:v>94.306493995292627</c:v>
                </c:pt>
                <c:pt idx="3">
                  <c:v>97.104262864907597</c:v>
                </c:pt>
                <c:pt idx="4">
                  <c:v>95.335437529317829</c:v>
                </c:pt>
                <c:pt idx="5">
                  <c:v>100.03099560941659</c:v>
                </c:pt>
                <c:pt idx="6">
                  <c:v>112.35493293740095</c:v>
                </c:pt>
                <c:pt idx="7">
                  <c:v>108.85804702753443</c:v>
                </c:pt>
                <c:pt idx="8">
                  <c:v>100.40326118090533</c:v>
                </c:pt>
                <c:pt idx="9">
                  <c:v>127.94165630020382</c:v>
                </c:pt>
                <c:pt idx="10">
                  <c:v>130.58840459786657</c:v>
                </c:pt>
              </c:numCache>
            </c:numRef>
          </c:val>
          <c:smooth val="0"/>
          <c:extLst xmlns:c16r2="http://schemas.microsoft.com/office/drawing/2015/06/chart">
            <c:ext xmlns:c16="http://schemas.microsoft.com/office/drawing/2014/chart" uri="{C3380CC4-5D6E-409C-BE32-E72D297353CC}">
              <c16:uniqueId val="{00000004-0A30-4078-9AB8-F5FF8316B63F}"/>
            </c:ext>
          </c:extLst>
        </c:ser>
        <c:ser>
          <c:idx val="6"/>
          <c:order val="5"/>
          <c:tx>
            <c:strRef>
              <c:f>'strukt. stat (prava)'!$CD$81</c:f>
              <c:strCache>
                <c:ptCount val="1"/>
                <c:pt idx="0">
                  <c:v>Nekov. ind.</c:v>
                </c:pt>
              </c:strCache>
            </c:strRef>
          </c:tx>
          <c:spPr>
            <a:ln w="28575" cap="rnd">
              <a:solidFill>
                <a:schemeClr val="accent1">
                  <a:lumMod val="60000"/>
                </a:schemeClr>
              </a:solidFill>
              <a:round/>
            </a:ln>
            <a:effectLst/>
          </c:spPr>
          <c:marker>
            <c:symbol val="none"/>
          </c:marker>
          <c:cat>
            <c:numRef>
              <c:f>'strukt. stat (prava)'!$CE$74:$CO$74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(prava)'!$CE$81:$CO$81</c:f>
              <c:numCache>
                <c:formatCode>#,##0</c:formatCode>
                <c:ptCount val="11"/>
                <c:pt idx="0">
                  <c:v>100</c:v>
                </c:pt>
                <c:pt idx="1">
                  <c:v>57.672549755914375</c:v>
                </c:pt>
                <c:pt idx="2">
                  <c:v>72.298911002628458</c:v>
                </c:pt>
                <c:pt idx="3">
                  <c:v>48.779571911378163</c:v>
                </c:pt>
                <c:pt idx="4">
                  <c:v>52.204280886218434</c:v>
                </c:pt>
                <c:pt idx="5">
                  <c:v>64.855426211040182</c:v>
                </c:pt>
                <c:pt idx="6">
                  <c:v>74.564776567780456</c:v>
                </c:pt>
                <c:pt idx="7">
                  <c:v>85.832519714607585</c:v>
                </c:pt>
                <c:pt idx="8">
                  <c:v>88.972587307547656</c:v>
                </c:pt>
                <c:pt idx="9">
                  <c:v>102.27337589185095</c:v>
                </c:pt>
                <c:pt idx="10">
                  <c:v>113.16259857303773</c:v>
                </c:pt>
              </c:numCache>
            </c:numRef>
          </c:val>
          <c:smooth val="0"/>
          <c:extLst xmlns:c16r2="http://schemas.microsoft.com/office/drawing/2015/06/chart">
            <c:ext xmlns:c16="http://schemas.microsoft.com/office/drawing/2014/chart" uri="{C3380CC4-5D6E-409C-BE32-E72D297353CC}">
              <c16:uniqueId val="{00000005-0A30-4078-9AB8-F5FF8316B63F}"/>
            </c:ext>
          </c:extLst>
        </c:ser>
        <c:ser>
          <c:idx val="7"/>
          <c:order val="6"/>
          <c:tx>
            <c:strRef>
              <c:f>'strukt. stat (prava)'!$CD$82</c:f>
              <c:strCache>
                <c:ptCount val="1"/>
                <c:pt idx="0">
                  <c:v>Kovin. ind.</c:v>
                </c:pt>
              </c:strCache>
            </c:strRef>
          </c:tx>
          <c:spPr>
            <a:ln w="28575" cap="rnd">
              <a:solidFill>
                <a:schemeClr val="accent2">
                  <a:lumMod val="60000"/>
                </a:schemeClr>
              </a:solidFill>
              <a:round/>
            </a:ln>
            <a:effectLst/>
          </c:spPr>
          <c:marker>
            <c:symbol val="none"/>
          </c:marker>
          <c:cat>
            <c:numRef>
              <c:f>'strukt. stat (prava)'!$CE$74:$CO$74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(prava)'!$CE$82:$CO$82</c:f>
              <c:numCache>
                <c:formatCode>#,##0</c:formatCode>
                <c:ptCount val="11"/>
                <c:pt idx="0">
                  <c:v>100</c:v>
                </c:pt>
                <c:pt idx="1">
                  <c:v>26.498451135690811</c:v>
                </c:pt>
                <c:pt idx="2">
                  <c:v>75.614182620112331</c:v>
                </c:pt>
                <c:pt idx="3">
                  <c:v>83.468555051185461</c:v>
                </c:pt>
                <c:pt idx="4">
                  <c:v>69.487802157254436</c:v>
                </c:pt>
                <c:pt idx="5">
                  <c:v>76.965684718158172</c:v>
                </c:pt>
                <c:pt idx="6">
                  <c:v>112.95640011326856</c:v>
                </c:pt>
                <c:pt idx="7">
                  <c:v>108.65476200691606</c:v>
                </c:pt>
                <c:pt idx="8">
                  <c:v>137.83712469001262</c:v>
                </c:pt>
                <c:pt idx="9">
                  <c:v>141.7444674223637</c:v>
                </c:pt>
                <c:pt idx="10">
                  <c:v>137.74788264671255</c:v>
                </c:pt>
              </c:numCache>
            </c:numRef>
          </c:val>
          <c:smooth val="0"/>
          <c:extLst xmlns:c16r2="http://schemas.microsoft.com/office/drawing/2015/06/chart">
            <c:ext xmlns:c16="http://schemas.microsoft.com/office/drawing/2014/chart" uri="{C3380CC4-5D6E-409C-BE32-E72D297353CC}">
              <c16:uniqueId val="{00000006-0A30-4078-9AB8-F5FF8316B63F}"/>
            </c:ext>
          </c:extLst>
        </c:ser>
        <c:ser>
          <c:idx val="8"/>
          <c:order val="7"/>
          <c:tx>
            <c:strRef>
              <c:f>'strukt. stat (prava)'!$CD$83</c:f>
              <c:strCache>
                <c:ptCount val="1"/>
                <c:pt idx="0">
                  <c:v>Elektro ind.</c:v>
                </c:pt>
              </c:strCache>
            </c:strRef>
          </c:tx>
          <c:spPr>
            <a:ln w="28575" cap="rnd">
              <a:solidFill>
                <a:schemeClr val="accent3">
                  <a:lumMod val="60000"/>
                </a:schemeClr>
              </a:solidFill>
              <a:round/>
            </a:ln>
            <a:effectLst/>
          </c:spPr>
          <c:marker>
            <c:symbol val="none"/>
          </c:marker>
          <c:cat>
            <c:numRef>
              <c:f>'strukt. stat (prava)'!$CE$74:$CO$74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(prava)'!$CE$83:$CO$83</c:f>
              <c:numCache>
                <c:formatCode>#,##0</c:formatCode>
                <c:ptCount val="11"/>
                <c:pt idx="0">
                  <c:v>100</c:v>
                </c:pt>
                <c:pt idx="1">
                  <c:v>49.146859118728081</c:v>
                </c:pt>
                <c:pt idx="2">
                  <c:v>132.50516991652782</c:v>
                </c:pt>
                <c:pt idx="3">
                  <c:v>120.64826985708406</c:v>
                </c:pt>
                <c:pt idx="4">
                  <c:v>116.63164240085061</c:v>
                </c:pt>
                <c:pt idx="5">
                  <c:v>115.17736790549289</c:v>
                </c:pt>
                <c:pt idx="6">
                  <c:v>126.59723210622818</c:v>
                </c:pt>
                <c:pt idx="7">
                  <c:v>156.62096767441665</c:v>
                </c:pt>
                <c:pt idx="8">
                  <c:v>160.54202493281198</c:v>
                </c:pt>
                <c:pt idx="9">
                  <c:v>177.31181085222067</c:v>
                </c:pt>
                <c:pt idx="10">
                  <c:v>156.91136209509298</c:v>
                </c:pt>
              </c:numCache>
            </c:numRef>
          </c:val>
          <c:smooth val="0"/>
          <c:extLst xmlns:c16r2="http://schemas.microsoft.com/office/drawing/2015/06/chart">
            <c:ext xmlns:c16="http://schemas.microsoft.com/office/drawing/2014/chart" uri="{C3380CC4-5D6E-409C-BE32-E72D297353CC}">
              <c16:uniqueId val="{00000007-0A30-4078-9AB8-F5FF8316B63F}"/>
            </c:ext>
          </c:extLst>
        </c:ser>
        <c:ser>
          <c:idx val="9"/>
          <c:order val="8"/>
          <c:tx>
            <c:strRef>
              <c:f>'strukt. stat (prava)'!$CD$84</c:f>
              <c:strCache>
                <c:ptCount val="1"/>
                <c:pt idx="0">
                  <c:v>Stroj. ind.</c:v>
                </c:pt>
              </c:strCache>
            </c:strRef>
          </c:tx>
          <c:spPr>
            <a:ln w="28575" cap="rnd">
              <a:solidFill>
                <a:schemeClr val="accent4">
                  <a:lumMod val="60000"/>
                </a:schemeClr>
              </a:solidFill>
              <a:round/>
            </a:ln>
            <a:effectLst/>
          </c:spPr>
          <c:marker>
            <c:symbol val="none"/>
          </c:marker>
          <c:cat>
            <c:numRef>
              <c:f>'strukt. stat (prava)'!$CE$74:$CO$74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(prava)'!$CE$84:$CO$84</c:f>
              <c:numCache>
                <c:formatCode>#,##0</c:formatCode>
                <c:ptCount val="11"/>
                <c:pt idx="0">
                  <c:v>100</c:v>
                </c:pt>
                <c:pt idx="1">
                  <c:v>60.051563798525173</c:v>
                </c:pt>
                <c:pt idx="2">
                  <c:v>95.638991140989404</c:v>
                </c:pt>
                <c:pt idx="3">
                  <c:v>104.87267118678112</c:v>
                </c:pt>
                <c:pt idx="4">
                  <c:v>89.202377730569779</c:v>
                </c:pt>
                <c:pt idx="5">
                  <c:v>95.500082626616319</c:v>
                </c:pt>
                <c:pt idx="6">
                  <c:v>105.37765153601664</c:v>
                </c:pt>
                <c:pt idx="7">
                  <c:v>116.32127144400191</c:v>
                </c:pt>
                <c:pt idx="8">
                  <c:v>135.17115684447757</c:v>
                </c:pt>
                <c:pt idx="9">
                  <c:v>154.66600884703595</c:v>
                </c:pt>
                <c:pt idx="10">
                  <c:v>153.66011960502081</c:v>
                </c:pt>
              </c:numCache>
            </c:numRef>
          </c:val>
          <c:smooth val="0"/>
          <c:extLst xmlns:c16r2="http://schemas.microsoft.com/office/drawing/2015/06/chart">
            <c:ext xmlns:c16="http://schemas.microsoft.com/office/drawing/2014/chart" uri="{C3380CC4-5D6E-409C-BE32-E72D297353CC}">
              <c16:uniqueId val="{00000008-0A30-4078-9AB8-F5FF8316B63F}"/>
            </c:ext>
          </c:extLst>
        </c:ser>
        <c:ser>
          <c:idx val="10"/>
          <c:order val="9"/>
          <c:tx>
            <c:strRef>
              <c:f>'strukt. stat (prava)'!$CD$85</c:f>
              <c:strCache>
                <c:ptCount val="1"/>
                <c:pt idx="0">
                  <c:v>Dr. pred. dej.</c:v>
                </c:pt>
              </c:strCache>
            </c:strRef>
          </c:tx>
          <c:spPr>
            <a:ln w="28575" cap="rnd">
              <a:solidFill>
                <a:schemeClr val="accent5">
                  <a:lumMod val="60000"/>
                </a:schemeClr>
              </a:solidFill>
              <a:round/>
            </a:ln>
            <a:effectLst/>
          </c:spPr>
          <c:marker>
            <c:symbol val="none"/>
          </c:marker>
          <c:cat>
            <c:numRef>
              <c:f>'strukt. stat (prava)'!$CE$74:$CO$74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(prava)'!$CE$85:$CO$85</c:f>
              <c:numCache>
                <c:formatCode>#,##0</c:formatCode>
                <c:ptCount val="11"/>
                <c:pt idx="0">
                  <c:v>100</c:v>
                </c:pt>
                <c:pt idx="1">
                  <c:v>46.668169183382155</c:v>
                </c:pt>
                <c:pt idx="2">
                  <c:v>96.476598302155764</c:v>
                </c:pt>
                <c:pt idx="3">
                  <c:v>74.151078055743142</c:v>
                </c:pt>
                <c:pt idx="4">
                  <c:v>50.662985500713695</c:v>
                </c:pt>
                <c:pt idx="5">
                  <c:v>64.41664788520805</c:v>
                </c:pt>
                <c:pt idx="6">
                  <c:v>82.555780933062536</c:v>
                </c:pt>
                <c:pt idx="7">
                  <c:v>81.898429870032302</c:v>
                </c:pt>
                <c:pt idx="8">
                  <c:v>147.99226203891521</c:v>
                </c:pt>
                <c:pt idx="9">
                  <c:v>156.21666291037448</c:v>
                </c:pt>
                <c:pt idx="10">
                  <c:v>132.91262865299441</c:v>
                </c:pt>
              </c:numCache>
            </c:numRef>
          </c:val>
          <c:smooth val="0"/>
          <c:extLst xmlns:c16r2="http://schemas.microsoft.com/office/drawing/2015/06/chart">
            <c:ext xmlns:c16="http://schemas.microsoft.com/office/drawing/2014/chart" uri="{C3380CC4-5D6E-409C-BE32-E72D297353CC}">
              <c16:uniqueId val="{00000009-0A30-4078-9AB8-F5FF8316B63F}"/>
            </c:ext>
          </c:extLst>
        </c:ser>
        <c:dLbls>
          <c:showLegendKey val="0"/>
          <c:showVal val="0"/>
          <c:showCatName val="0"/>
          <c:showSerName val="0"/>
          <c:showPercent val="0"/>
          <c:showBubbleSize val="0"/>
        </c:dLbls>
        <c:marker val="1"/>
        <c:smooth val="0"/>
        <c:axId val="252474880"/>
        <c:axId val="252476416"/>
        <c:extLst xmlns:c16r2="http://schemas.microsoft.com/office/drawing/2015/06/chart">
          <c:ext xmlns:c15="http://schemas.microsoft.com/office/drawing/2012/chart" uri="{02D57815-91ED-43cb-92C2-25804820EDAC}">
            <c15:filteredLineSeries>
              <c15:ser>
                <c:idx val="0"/>
                <c:order val="0"/>
                <c:tx>
                  <c:strRef>
                    <c:extLst>
                      <c:ext uri="{02D57815-91ED-43cb-92C2-25804820EDAC}">
                        <c15:formulaRef>
                          <c15:sqref>'strukt. stat (prava)'!$CD$75</c15:sqref>
                        </c15:formulaRef>
                      </c:ext>
                    </c:extLst>
                    <c:strCache>
                      <c:ptCount val="1"/>
                      <c:pt idx="0">
                        <c:v>Pred. dej.</c:v>
                      </c:pt>
                    </c:strCache>
                  </c:strRef>
                </c:tx>
                <c:spPr>
                  <a:ln w="28575" cap="rnd">
                    <a:solidFill>
                      <a:schemeClr val="accent1"/>
                    </a:solidFill>
                    <a:round/>
                  </a:ln>
                  <a:effectLst/>
                </c:spPr>
                <c:marker>
                  <c:symbol val="none"/>
                </c:marker>
                <c:cat>
                  <c:numRef>
                    <c:extLst>
                      <c:ext uri="{02D57815-91ED-43cb-92C2-25804820EDAC}">
                        <c15:formulaRef>
                          <c15:sqref>'strukt. stat (prava)'!$CE$74:$CO$74</c15:sqref>
                        </c15:formulaRef>
                      </c:ext>
                    </c:extLst>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extLst>
                      <c:ext uri="{02D57815-91ED-43cb-92C2-25804820EDAC}">
                        <c15:formulaRef>
                          <c15:sqref>'strukt. stat (prava)'!$CE$75:$CO$75</c15:sqref>
                        </c15:formulaRef>
                      </c:ext>
                    </c:extLst>
                    <c:numCache>
                      <c:formatCode>#,##0</c:formatCode>
                      <c:ptCount val="11"/>
                      <c:pt idx="0">
                        <c:v>100</c:v>
                      </c:pt>
                      <c:pt idx="1">
                        <c:v>60.258703462321961</c:v>
                      </c:pt>
                      <c:pt idx="2">
                        <c:v>93.024480234961402</c:v>
                      </c:pt>
                      <c:pt idx="3">
                        <c:v>95.629917637248212</c:v>
                      </c:pt>
                      <c:pt idx="4">
                        <c:v>87.62846357013089</c:v>
                      </c:pt>
                      <c:pt idx="5">
                        <c:v>93.119795077215343</c:v>
                      </c:pt>
                      <c:pt idx="6">
                        <c:v>111.7564049717212</c:v>
                      </c:pt>
                      <c:pt idx="7">
                        <c:v>116.11287092843672</c:v>
                      </c:pt>
                      <c:pt idx="8">
                        <c:v>124.94896942374132</c:v>
                      </c:pt>
                      <c:pt idx="9">
                        <c:v>141.34155434163233</c:v>
                      </c:pt>
                      <c:pt idx="10">
                        <c:v>141.77760942948495</c:v>
                      </c:pt>
                    </c:numCache>
                  </c:numRef>
                </c:val>
                <c:smooth val="0"/>
                <c:extLst>
                  <c:ext xmlns:c16="http://schemas.microsoft.com/office/drawing/2014/chart" uri="{C3380CC4-5D6E-409C-BE32-E72D297353CC}">
                    <c16:uniqueId val="{0000000A-0A30-4078-9AB8-F5FF8316B63F}"/>
                  </c:ext>
                </c:extLst>
              </c15:ser>
            </c15:filteredLineSeries>
          </c:ext>
        </c:extLst>
      </c:lineChart>
      <c:catAx>
        <c:axId val="25247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52476416"/>
        <c:crosses val="autoZero"/>
        <c:auto val="1"/>
        <c:lblAlgn val="ctr"/>
        <c:lblOffset val="100"/>
        <c:noMultiLvlLbl val="0"/>
      </c:catAx>
      <c:valAx>
        <c:axId val="252476416"/>
        <c:scaling>
          <c:orientation val="minMax"/>
          <c:max val="280"/>
          <c:min val="2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52474880"/>
        <c:crosses val="autoZero"/>
        <c:crossBetween val="between"/>
        <c:majorUnit val="40"/>
      </c:valAx>
      <c:spPr>
        <a:noFill/>
        <a:ln>
          <a:noFill/>
        </a:ln>
        <a:effectLst/>
      </c:spPr>
    </c:plotArea>
    <c:legend>
      <c:legendPos val="b"/>
      <c:layout>
        <c:manualLayout>
          <c:xMode val="edge"/>
          <c:yMode val="edge"/>
          <c:x val="0.79905624873813852"/>
          <c:y val="0.1188104953003504"/>
          <c:w val="0.19211144760751059"/>
          <c:h val="0.853411882449278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rebuchet MS" panose="020B0603020202020204" pitchFamily="34" charset="0"/>
        </a:defRPr>
      </a:pPr>
      <a:endParaRPr lang="sl-SI"/>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l-SI" sz="1200">
                <a:latin typeface="+mn-lt"/>
              </a:rPr>
              <a:t>Gibanje števila podjetij in zaposlenih v predelovalnih dejavnostih</a:t>
            </a:r>
          </a:p>
        </c:rich>
      </c:tx>
      <c:overlay val="0"/>
      <c:spPr>
        <a:noFill/>
        <a:ln>
          <a:noFill/>
        </a:ln>
        <a:effectLst/>
      </c:spPr>
    </c:title>
    <c:autoTitleDeleted val="0"/>
    <c:plotArea>
      <c:layout>
        <c:manualLayout>
          <c:layoutTarget val="inner"/>
          <c:xMode val="edge"/>
          <c:yMode val="edge"/>
          <c:x val="0.11364678125210879"/>
          <c:y val="0.21157330217803186"/>
          <c:w val="0.87524222974198729"/>
          <c:h val="0.67914460846954039"/>
        </c:manualLayout>
      </c:layout>
      <c:lineChart>
        <c:grouping val="standard"/>
        <c:varyColors val="0"/>
        <c:ser>
          <c:idx val="0"/>
          <c:order val="0"/>
          <c:tx>
            <c:v>število podjetij</c:v>
          </c:tx>
          <c:spPr>
            <a:ln w="28575" cap="rnd">
              <a:solidFill>
                <a:schemeClr val="accent1"/>
              </a:solidFill>
              <a:round/>
            </a:ln>
            <a:effectLst/>
          </c:spPr>
          <c:marker>
            <c:symbol val="none"/>
          </c:marker>
          <c:cat>
            <c:numRef>
              <c:f>'strukt. stat (prava)'!$D$33:$M$33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'strukt. stat (prava)'!$D$31:$M$31</c:f>
              <c:numCache>
                <c:formatCode>#,##0.0</c:formatCode>
                <c:ptCount val="10"/>
                <c:pt idx="0">
                  <c:v>-0.99169741697416414</c:v>
                </c:pt>
                <c:pt idx="1">
                  <c:v>-0.34358257628697797</c:v>
                </c:pt>
                <c:pt idx="2">
                  <c:v>-0.59019458890901277</c:v>
                </c:pt>
                <c:pt idx="3">
                  <c:v>0.99929461556549115</c:v>
                </c:pt>
                <c:pt idx="4">
                  <c:v>5.6221627284367255</c:v>
                </c:pt>
                <c:pt idx="5">
                  <c:v>2.2757328631254152</c:v>
                </c:pt>
                <c:pt idx="6">
                  <c:v>1.573191099617484</c:v>
                </c:pt>
                <c:pt idx="7">
                  <c:v>1.1722272317403113</c:v>
                </c:pt>
                <c:pt idx="8">
                  <c:v>1.5833071196393007</c:v>
                </c:pt>
                <c:pt idx="9">
                  <c:v>1.6979768786127067</c:v>
                </c:pt>
              </c:numCache>
            </c:numRef>
          </c:val>
          <c:smooth val="0"/>
          <c:extLst xmlns:c15="http://schemas.microsoft.com/office/drawing/2012/chart" xmlns:c16r2="http://schemas.microsoft.com/office/drawing/2015/06/chart">
            <c:ext xmlns:c16="http://schemas.microsoft.com/office/drawing/2014/chart" uri="{C3380CC4-5D6E-409C-BE32-E72D297353CC}">
              <c16:uniqueId val="{00000000-912A-4671-AB11-2FB9D8D6F382}"/>
            </c:ext>
          </c:extLst>
        </c:ser>
        <c:ser>
          <c:idx val="4"/>
          <c:order val="1"/>
          <c:tx>
            <c:v>število zaposlenih</c:v>
          </c:tx>
          <c:spPr>
            <a:ln w="28575" cap="rnd">
              <a:solidFill>
                <a:srgbClr val="8AB833"/>
              </a:solidFill>
              <a:round/>
            </a:ln>
            <a:effectLst/>
          </c:spPr>
          <c:marker>
            <c:symbol val="none"/>
          </c:marker>
          <c:cat>
            <c:numRef>
              <c:f>'strukt. stat (prava)'!$D$33:$M$33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'strukt. stat (prava)'!$FM$31:$FV$31</c:f>
              <c:numCache>
                <c:formatCode>#,##0.0</c:formatCode>
                <c:ptCount val="10"/>
                <c:pt idx="0">
                  <c:v>-10.642851337806254</c:v>
                </c:pt>
                <c:pt idx="1">
                  <c:v>-5.1877115860744745</c:v>
                </c:pt>
                <c:pt idx="2">
                  <c:v>-2.1391685274697188</c:v>
                </c:pt>
                <c:pt idx="3">
                  <c:v>-1.5830832820523959</c:v>
                </c:pt>
                <c:pt idx="4">
                  <c:v>-1.6882283285930841</c:v>
                </c:pt>
                <c:pt idx="5">
                  <c:v>-0.20768724214981671</c:v>
                </c:pt>
                <c:pt idx="6">
                  <c:v>1.674543998375654</c:v>
                </c:pt>
                <c:pt idx="7">
                  <c:v>2.8124323934520756</c:v>
                </c:pt>
                <c:pt idx="8">
                  <c:v>4.1841794314263945</c:v>
                </c:pt>
                <c:pt idx="9">
                  <c:v>4.5573186394332295</c:v>
                </c:pt>
              </c:numCache>
            </c:numRef>
          </c:val>
          <c:smooth val="0"/>
          <c:extLst xmlns:c16r2="http://schemas.microsoft.com/office/drawing/2015/06/chart">
            <c:ext xmlns:c16="http://schemas.microsoft.com/office/drawing/2014/chart" uri="{C3380CC4-5D6E-409C-BE32-E72D297353CC}">
              <c16:uniqueId val="{00000001-912A-4671-AB11-2FB9D8D6F382}"/>
            </c:ext>
          </c:extLst>
        </c:ser>
        <c:dLbls>
          <c:showLegendKey val="0"/>
          <c:showVal val="0"/>
          <c:showCatName val="0"/>
          <c:showSerName val="0"/>
          <c:showPercent val="0"/>
          <c:showBubbleSize val="0"/>
        </c:dLbls>
        <c:marker val="1"/>
        <c:smooth val="0"/>
        <c:axId val="215998848"/>
        <c:axId val="216000384"/>
        <c:extLst xmlns:c16r2="http://schemas.microsoft.com/office/drawing/2015/06/chart"/>
      </c:lineChart>
      <c:catAx>
        <c:axId val="21599884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16000384"/>
        <c:crosses val="autoZero"/>
        <c:auto val="1"/>
        <c:lblAlgn val="ctr"/>
        <c:lblOffset val="100"/>
        <c:noMultiLvlLbl val="0"/>
      </c:catAx>
      <c:valAx>
        <c:axId val="216000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sl-SI"/>
                  <a:t>v</a:t>
                </a:r>
                <a:r>
                  <a:rPr lang="sl-SI" baseline="0"/>
                  <a:t> %</a:t>
                </a:r>
                <a:endParaRPr lang="sl-SI"/>
              </a:p>
            </c:rich>
          </c:tx>
          <c:layout>
            <c:manualLayout>
              <c:xMode val="edge"/>
              <c:yMode val="edge"/>
              <c:x val="1.2458466314711281E-4"/>
              <c:y val="0.3788281321080894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15998848"/>
        <c:crosses val="autoZero"/>
        <c:crossBetween val="between"/>
      </c:valAx>
      <c:spPr>
        <a:noFill/>
        <a:ln>
          <a:noFill/>
        </a:ln>
        <a:effectLst/>
      </c:spPr>
    </c:plotArea>
    <c:legend>
      <c:legendPos val="b"/>
      <c:layout>
        <c:manualLayout>
          <c:xMode val="edge"/>
          <c:yMode val="edge"/>
          <c:x val="0.35674511869029513"/>
          <c:y val="0.6094488188976378"/>
          <c:w val="0.33605655711955107"/>
          <c:h val="0.19382816118573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rebuchet MS" panose="020B0603020202020204" pitchFamily="34" charset="0"/>
        </a:defRPr>
      </a:pPr>
      <a:endParaRPr lang="sl-SI"/>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rebuchet MS" panose="020B0603020202020204" pitchFamily="34" charset="0"/>
                <a:ea typeface="+mn-ea"/>
                <a:cs typeface="+mn-cs"/>
              </a:defRPr>
            </a:pPr>
            <a:r>
              <a:rPr lang="sl-SI" sz="1200"/>
              <a:t>Gibanje investicij</a:t>
            </a:r>
          </a:p>
          <a:p>
            <a:pPr>
              <a:defRPr sz="1200" b="0" i="0" u="none" strike="noStrike" kern="1200" spc="0" baseline="0">
                <a:solidFill>
                  <a:schemeClr val="tx1">
                    <a:lumMod val="65000"/>
                    <a:lumOff val="35000"/>
                  </a:schemeClr>
                </a:solidFill>
                <a:latin typeface="Trebuchet MS" panose="020B0603020202020204" pitchFamily="34" charset="0"/>
                <a:ea typeface="+mn-ea"/>
                <a:cs typeface="+mn-cs"/>
              </a:defRPr>
            </a:pPr>
            <a:r>
              <a:rPr lang="sl-SI" sz="1200"/>
              <a:t>2008=100</a:t>
            </a:r>
          </a:p>
        </c:rich>
      </c:tx>
      <c:overlay val="0"/>
      <c:spPr>
        <a:noFill/>
        <a:ln>
          <a:noFill/>
        </a:ln>
        <a:effectLst/>
      </c:spPr>
    </c:title>
    <c:autoTitleDeleted val="0"/>
    <c:plotArea>
      <c:layout>
        <c:manualLayout>
          <c:layoutTarget val="inner"/>
          <c:xMode val="edge"/>
          <c:yMode val="edge"/>
          <c:x val="7.3219094200462451E-2"/>
          <c:y val="0.16597075929256808"/>
          <c:w val="0.72671127194539265"/>
          <c:h val="0.73493277716733252"/>
        </c:manualLayout>
      </c:layout>
      <c:lineChart>
        <c:grouping val="standard"/>
        <c:varyColors val="0"/>
        <c:ser>
          <c:idx val="0"/>
          <c:order val="0"/>
          <c:tx>
            <c:strRef>
              <c:f>'strukt. stat (prava)'!$FF$75</c:f>
              <c:strCache>
                <c:ptCount val="1"/>
                <c:pt idx="0">
                  <c:v>Pred. dej.</c:v>
                </c:pt>
              </c:strCache>
              <c:extLst xmlns:c15="http://schemas.microsoft.com/office/drawing/2012/chart" xmlns:c16r2="http://schemas.microsoft.com/office/drawing/2015/06/chart"/>
            </c:strRef>
          </c:tx>
          <c:spPr>
            <a:ln w="28575" cap="rnd">
              <a:solidFill>
                <a:schemeClr val="accent1"/>
              </a:solidFill>
              <a:round/>
            </a:ln>
            <a:effectLst/>
          </c:spPr>
          <c:marker>
            <c:symbol val="none"/>
          </c:marker>
          <c:cat>
            <c:numRef>
              <c:f>'strukt. stat (prava)'!$FG$74:$FQ$74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extLst xmlns:c15="http://schemas.microsoft.com/office/drawing/2012/chart" xmlns:c16r2="http://schemas.microsoft.com/office/drawing/2015/06/chart"/>
            </c:numRef>
          </c:cat>
          <c:val>
            <c:numRef>
              <c:f>'strukt. stat (prava)'!$FG$75:$FQ$75</c:f>
              <c:numCache>
                <c:formatCode>#,##0</c:formatCode>
                <c:ptCount val="11"/>
                <c:pt idx="0">
                  <c:v>100</c:v>
                </c:pt>
                <c:pt idx="1">
                  <c:v>68.439328868599659</c:v>
                </c:pt>
                <c:pt idx="2">
                  <c:v>62.633114333736437</c:v>
                </c:pt>
                <c:pt idx="3">
                  <c:v>74.817203418866626</c:v>
                </c:pt>
                <c:pt idx="4">
                  <c:v>70.151419992153649</c:v>
                </c:pt>
                <c:pt idx="5">
                  <c:v>69.101874390798358</c:v>
                </c:pt>
                <c:pt idx="6">
                  <c:v>75.143420565316205</c:v>
                </c:pt>
                <c:pt idx="7">
                  <c:v>75.007930092693741</c:v>
                </c:pt>
                <c:pt idx="8">
                  <c:v>81.909508542255409</c:v>
                </c:pt>
                <c:pt idx="9">
                  <c:v>95.58480172457125</c:v>
                </c:pt>
                <c:pt idx="10">
                  <c:v>114.12128506213206</c:v>
                </c:pt>
              </c:numCache>
              <c:extLst xmlns:c15="http://schemas.microsoft.com/office/drawing/2012/chart" xmlns:c16r2="http://schemas.microsoft.com/office/drawing/2015/06/chart"/>
            </c:numRef>
          </c:val>
          <c:smooth val="0"/>
          <c:extLst xmlns:c15="http://schemas.microsoft.com/office/drawing/2012/chart" xmlns:c16r2="http://schemas.microsoft.com/office/drawing/2015/06/chart">
            <c:ext xmlns:c16="http://schemas.microsoft.com/office/drawing/2014/chart" uri="{C3380CC4-5D6E-409C-BE32-E72D297353CC}">
              <c16:uniqueId val="{00000000-0CE6-4BD1-83A6-D0767B06A52E}"/>
            </c:ext>
          </c:extLst>
        </c:ser>
        <c:ser>
          <c:idx val="1"/>
          <c:order val="1"/>
          <c:tx>
            <c:strRef>
              <c:f>'strukt. stat (prava)'!$FF$76</c:f>
              <c:strCache>
                <c:ptCount val="1"/>
                <c:pt idx="0">
                  <c:v>Prehr. ind.</c:v>
                </c:pt>
              </c:strCache>
            </c:strRef>
          </c:tx>
          <c:spPr>
            <a:ln w="28575" cap="rnd">
              <a:solidFill>
                <a:schemeClr val="accent2"/>
              </a:solidFill>
              <a:round/>
            </a:ln>
            <a:effectLst/>
          </c:spPr>
          <c:marker>
            <c:symbol val="none"/>
          </c:marker>
          <c:cat>
            <c:numRef>
              <c:f>'strukt. stat (prava)'!$FG$74:$FQ$74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(prava)'!$FG$76:$FQ$76</c:f>
              <c:numCache>
                <c:formatCode>#,##0</c:formatCode>
                <c:ptCount val="11"/>
                <c:pt idx="0">
                  <c:v>100</c:v>
                </c:pt>
                <c:pt idx="1">
                  <c:v>81.984103846684889</c:v>
                </c:pt>
                <c:pt idx="2">
                  <c:v>70.460159882159786</c:v>
                </c:pt>
                <c:pt idx="3">
                  <c:v>77.047243490402778</c:v>
                </c:pt>
                <c:pt idx="4">
                  <c:v>58.240375615669059</c:v>
                </c:pt>
                <c:pt idx="5">
                  <c:v>39.850858484341487</c:v>
                </c:pt>
                <c:pt idx="6">
                  <c:v>58.155217651481394</c:v>
                </c:pt>
                <c:pt idx="7">
                  <c:v>57.351970908198176</c:v>
                </c:pt>
                <c:pt idx="8">
                  <c:v>62.123118469304863</c:v>
                </c:pt>
                <c:pt idx="9">
                  <c:v>79.136298774032184</c:v>
                </c:pt>
                <c:pt idx="10">
                  <c:v>90.204532551823618</c:v>
                </c:pt>
              </c:numCache>
            </c:numRef>
          </c:val>
          <c:smooth val="0"/>
          <c:extLst xmlns:c16r2="http://schemas.microsoft.com/office/drawing/2015/06/chart">
            <c:ext xmlns:c16="http://schemas.microsoft.com/office/drawing/2014/chart" uri="{C3380CC4-5D6E-409C-BE32-E72D297353CC}">
              <c16:uniqueId val="{00000001-0CE6-4BD1-83A6-D0767B06A52E}"/>
            </c:ext>
          </c:extLst>
        </c:ser>
        <c:ser>
          <c:idx val="2"/>
          <c:order val="2"/>
          <c:tx>
            <c:strRef>
              <c:f>'strukt. stat (prava)'!$FF$77</c:f>
              <c:strCache>
                <c:ptCount val="1"/>
                <c:pt idx="0">
                  <c:v>Tekst. ind.</c:v>
                </c:pt>
              </c:strCache>
            </c:strRef>
          </c:tx>
          <c:spPr>
            <a:ln w="28575" cap="rnd">
              <a:solidFill>
                <a:schemeClr val="accent3"/>
              </a:solidFill>
              <a:round/>
            </a:ln>
            <a:effectLst/>
          </c:spPr>
          <c:marker>
            <c:symbol val="none"/>
          </c:marker>
          <c:cat>
            <c:numRef>
              <c:f>'strukt. stat (prava)'!$FG$74:$FQ$74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(prava)'!$FG$77:$FQ$77</c:f>
              <c:numCache>
                <c:formatCode>#,##0</c:formatCode>
                <c:ptCount val="11"/>
                <c:pt idx="0">
                  <c:v>100</c:v>
                </c:pt>
                <c:pt idx="1">
                  <c:v>87.971566726831114</c:v>
                </c:pt>
                <c:pt idx="2">
                  <c:v>61.46578425474074</c:v>
                </c:pt>
                <c:pt idx="3">
                  <c:v>86.603382579049097</c:v>
                </c:pt>
                <c:pt idx="4">
                  <c:v>67.408694877108545</c:v>
                </c:pt>
                <c:pt idx="5">
                  <c:v>31.323395057601893</c:v>
                </c:pt>
                <c:pt idx="6">
                  <c:v>50.669608039753101</c:v>
                </c:pt>
                <c:pt idx="7">
                  <c:v>86.206742874969024</c:v>
                </c:pt>
                <c:pt idx="8">
                  <c:v>62.350424493615627</c:v>
                </c:pt>
                <c:pt idx="9">
                  <c:v>93.266038282416389</c:v>
                </c:pt>
                <c:pt idx="10">
                  <c:v>85.221828553602052</c:v>
                </c:pt>
              </c:numCache>
            </c:numRef>
          </c:val>
          <c:smooth val="0"/>
          <c:extLst xmlns:c16r2="http://schemas.microsoft.com/office/drawing/2015/06/chart">
            <c:ext xmlns:c16="http://schemas.microsoft.com/office/drawing/2014/chart" uri="{C3380CC4-5D6E-409C-BE32-E72D297353CC}">
              <c16:uniqueId val="{00000002-0CE6-4BD1-83A6-D0767B06A52E}"/>
            </c:ext>
          </c:extLst>
        </c:ser>
        <c:ser>
          <c:idx val="3"/>
          <c:order val="3"/>
          <c:tx>
            <c:strRef>
              <c:f>'strukt. stat (prava)'!$FF$78</c:f>
              <c:strCache>
                <c:ptCount val="1"/>
                <c:pt idx="0">
                  <c:v>Lesna ind.</c:v>
                </c:pt>
              </c:strCache>
            </c:strRef>
          </c:tx>
          <c:spPr>
            <a:ln w="28575" cap="rnd">
              <a:solidFill>
                <a:schemeClr val="accent4"/>
              </a:solidFill>
              <a:round/>
            </a:ln>
            <a:effectLst/>
          </c:spPr>
          <c:marker>
            <c:symbol val="none"/>
          </c:marker>
          <c:cat>
            <c:numRef>
              <c:f>'strukt. stat (prava)'!$FG$74:$FQ$74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(prava)'!$FG$78:$FQ$78</c:f>
              <c:numCache>
                <c:formatCode>#,##0</c:formatCode>
                <c:ptCount val="11"/>
                <c:pt idx="0">
                  <c:v>100</c:v>
                </c:pt>
                <c:pt idx="1">
                  <c:v>53.232375116949093</c:v>
                </c:pt>
                <c:pt idx="2">
                  <c:v>56.303314927262271</c:v>
                </c:pt>
                <c:pt idx="3">
                  <c:v>60.918897103336775</c:v>
                </c:pt>
                <c:pt idx="4">
                  <c:v>61.884757204967798</c:v>
                </c:pt>
                <c:pt idx="5">
                  <c:v>41.769551099778063</c:v>
                </c:pt>
                <c:pt idx="6">
                  <c:v>46.353029663737317</c:v>
                </c:pt>
                <c:pt idx="7">
                  <c:v>47.870154647685787</c:v>
                </c:pt>
                <c:pt idx="8">
                  <c:v>57.786501806974918</c:v>
                </c:pt>
                <c:pt idx="9">
                  <c:v>82.949312982700746</c:v>
                </c:pt>
                <c:pt idx="10">
                  <c:v>122.79264735557958</c:v>
                </c:pt>
              </c:numCache>
            </c:numRef>
          </c:val>
          <c:smooth val="0"/>
          <c:extLst xmlns:c16r2="http://schemas.microsoft.com/office/drawing/2015/06/chart">
            <c:ext xmlns:c16="http://schemas.microsoft.com/office/drawing/2014/chart" uri="{C3380CC4-5D6E-409C-BE32-E72D297353CC}">
              <c16:uniqueId val="{00000003-0CE6-4BD1-83A6-D0767B06A52E}"/>
            </c:ext>
          </c:extLst>
        </c:ser>
        <c:ser>
          <c:idx val="4"/>
          <c:order val="4"/>
          <c:tx>
            <c:strRef>
              <c:f>'strukt. stat (prava)'!$FF$79</c:f>
              <c:strCache>
                <c:ptCount val="1"/>
                <c:pt idx="0">
                  <c:v>Papir. ind.</c:v>
                </c:pt>
              </c:strCache>
            </c:strRef>
          </c:tx>
          <c:spPr>
            <a:ln w="28575" cap="rnd">
              <a:solidFill>
                <a:schemeClr val="accent5"/>
              </a:solidFill>
              <a:round/>
            </a:ln>
            <a:effectLst/>
          </c:spPr>
          <c:marker>
            <c:symbol val="none"/>
          </c:marker>
          <c:cat>
            <c:numRef>
              <c:f>'strukt. stat (prava)'!$FG$74:$FQ$74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(prava)'!$FG$79:$FQ$79</c:f>
              <c:numCache>
                <c:formatCode>#,##0</c:formatCode>
                <c:ptCount val="11"/>
                <c:pt idx="0">
                  <c:v>100</c:v>
                </c:pt>
                <c:pt idx="1">
                  <c:v>63.579695739339932</c:v>
                </c:pt>
                <c:pt idx="2">
                  <c:v>46.247283386963595</c:v>
                </c:pt>
                <c:pt idx="3">
                  <c:v>66.375490675067809</c:v>
                </c:pt>
                <c:pt idx="4">
                  <c:v>46.434287447141749</c:v>
                </c:pt>
                <c:pt idx="5">
                  <c:v>37.61982579982142</c:v>
                </c:pt>
                <c:pt idx="6">
                  <c:v>33.611031554829246</c:v>
                </c:pt>
                <c:pt idx="7">
                  <c:v>44.231514395943186</c:v>
                </c:pt>
                <c:pt idx="8">
                  <c:v>55.15356234311033</c:v>
                </c:pt>
                <c:pt idx="9">
                  <c:v>47.899994945836205</c:v>
                </c:pt>
                <c:pt idx="10">
                  <c:v>50.905264686557594</c:v>
                </c:pt>
              </c:numCache>
            </c:numRef>
          </c:val>
          <c:smooth val="0"/>
          <c:extLst xmlns:c16r2="http://schemas.microsoft.com/office/drawing/2015/06/chart">
            <c:ext xmlns:c16="http://schemas.microsoft.com/office/drawing/2014/chart" uri="{C3380CC4-5D6E-409C-BE32-E72D297353CC}">
              <c16:uniqueId val="{00000004-0CE6-4BD1-83A6-D0767B06A52E}"/>
            </c:ext>
          </c:extLst>
        </c:ser>
        <c:ser>
          <c:idx val="5"/>
          <c:order val="5"/>
          <c:tx>
            <c:strRef>
              <c:f>'strukt. stat (prava)'!$FF$80</c:f>
              <c:strCache>
                <c:ptCount val="1"/>
                <c:pt idx="0">
                  <c:v>Kemij. ind.</c:v>
                </c:pt>
              </c:strCache>
            </c:strRef>
          </c:tx>
          <c:spPr>
            <a:ln w="28575" cap="rnd">
              <a:solidFill>
                <a:schemeClr val="accent6"/>
              </a:solidFill>
              <a:round/>
            </a:ln>
            <a:effectLst/>
          </c:spPr>
          <c:marker>
            <c:symbol val="none"/>
          </c:marker>
          <c:cat>
            <c:numRef>
              <c:f>'strukt. stat (prava)'!$FG$74:$FQ$74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(prava)'!$FG$80:$FQ$80</c:f>
              <c:numCache>
                <c:formatCode>#,##0</c:formatCode>
                <c:ptCount val="11"/>
                <c:pt idx="0">
                  <c:v>100</c:v>
                </c:pt>
                <c:pt idx="1">
                  <c:v>61.508063779828028</c:v>
                </c:pt>
                <c:pt idx="2">
                  <c:v>64.832836638519055</c:v>
                </c:pt>
                <c:pt idx="3">
                  <c:v>72.339210173308643</c:v>
                </c:pt>
                <c:pt idx="4">
                  <c:v>69.136874732241026</c:v>
                </c:pt>
                <c:pt idx="5">
                  <c:v>73.428505210028149</c:v>
                </c:pt>
                <c:pt idx="6">
                  <c:v>80.581378743646624</c:v>
                </c:pt>
                <c:pt idx="7">
                  <c:v>73.505291965249327</c:v>
                </c:pt>
                <c:pt idx="8">
                  <c:v>77.870197608841679</c:v>
                </c:pt>
                <c:pt idx="9">
                  <c:v>90.617735399396452</c:v>
                </c:pt>
                <c:pt idx="10">
                  <c:v>102.33944875912114</c:v>
                </c:pt>
              </c:numCache>
            </c:numRef>
          </c:val>
          <c:smooth val="0"/>
          <c:extLst xmlns:c16r2="http://schemas.microsoft.com/office/drawing/2015/06/chart">
            <c:ext xmlns:c16="http://schemas.microsoft.com/office/drawing/2014/chart" uri="{C3380CC4-5D6E-409C-BE32-E72D297353CC}">
              <c16:uniqueId val="{00000005-0CE6-4BD1-83A6-D0767B06A52E}"/>
            </c:ext>
          </c:extLst>
        </c:ser>
        <c:ser>
          <c:idx val="6"/>
          <c:order val="6"/>
          <c:tx>
            <c:strRef>
              <c:f>'strukt. stat (prava)'!$FF$81</c:f>
              <c:strCache>
                <c:ptCount val="1"/>
                <c:pt idx="0">
                  <c:v>Nekov. ind.</c:v>
                </c:pt>
              </c:strCache>
            </c:strRef>
          </c:tx>
          <c:spPr>
            <a:ln w="28575" cap="rnd">
              <a:solidFill>
                <a:schemeClr val="accent1">
                  <a:lumMod val="60000"/>
                </a:schemeClr>
              </a:solidFill>
              <a:round/>
            </a:ln>
            <a:effectLst/>
          </c:spPr>
          <c:marker>
            <c:symbol val="none"/>
          </c:marker>
          <c:cat>
            <c:numRef>
              <c:f>'strukt. stat (prava)'!$FG$74:$FQ$74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(prava)'!$FG$81:$FQ$81</c:f>
              <c:numCache>
                <c:formatCode>#,##0</c:formatCode>
                <c:ptCount val="11"/>
                <c:pt idx="0">
                  <c:v>100</c:v>
                </c:pt>
                <c:pt idx="1">
                  <c:v>63.001472211998525</c:v>
                </c:pt>
                <c:pt idx="2">
                  <c:v>47.842289289657536</c:v>
                </c:pt>
                <c:pt idx="3">
                  <c:v>55.837320574162533</c:v>
                </c:pt>
                <c:pt idx="4">
                  <c:v>39.175561280824439</c:v>
                </c:pt>
                <c:pt idx="5">
                  <c:v>36.658998895841002</c:v>
                </c:pt>
                <c:pt idx="6">
                  <c:v>43.432094221567908</c:v>
                </c:pt>
                <c:pt idx="7">
                  <c:v>64.291497975708495</c:v>
                </c:pt>
                <c:pt idx="8">
                  <c:v>51.773095325726963</c:v>
                </c:pt>
                <c:pt idx="9">
                  <c:v>40.892528524107469</c:v>
                </c:pt>
                <c:pt idx="10">
                  <c:v>62.3352962826647</c:v>
                </c:pt>
              </c:numCache>
            </c:numRef>
          </c:val>
          <c:smooth val="0"/>
          <c:extLst xmlns:c16r2="http://schemas.microsoft.com/office/drawing/2015/06/chart">
            <c:ext xmlns:c16="http://schemas.microsoft.com/office/drawing/2014/chart" uri="{C3380CC4-5D6E-409C-BE32-E72D297353CC}">
              <c16:uniqueId val="{00000006-0CE6-4BD1-83A6-D0767B06A52E}"/>
            </c:ext>
          </c:extLst>
        </c:ser>
        <c:ser>
          <c:idx val="7"/>
          <c:order val="7"/>
          <c:tx>
            <c:strRef>
              <c:f>'strukt. stat (prava)'!$FF$82</c:f>
              <c:strCache>
                <c:ptCount val="1"/>
                <c:pt idx="0">
                  <c:v>Kovin. ind.</c:v>
                </c:pt>
              </c:strCache>
            </c:strRef>
          </c:tx>
          <c:spPr>
            <a:ln w="28575" cap="rnd">
              <a:solidFill>
                <a:schemeClr val="accent2">
                  <a:lumMod val="60000"/>
                </a:schemeClr>
              </a:solidFill>
              <a:round/>
            </a:ln>
            <a:effectLst/>
          </c:spPr>
          <c:marker>
            <c:symbol val="none"/>
          </c:marker>
          <c:cat>
            <c:numRef>
              <c:f>'strukt. stat (prava)'!$FG$74:$FQ$74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(prava)'!$FG$82:$FQ$82</c:f>
              <c:numCache>
                <c:formatCode>#,##0</c:formatCode>
                <c:ptCount val="11"/>
                <c:pt idx="0">
                  <c:v>100</c:v>
                </c:pt>
                <c:pt idx="1">
                  <c:v>73.075312296916408</c:v>
                </c:pt>
                <c:pt idx="2">
                  <c:v>59.233446458227995</c:v>
                </c:pt>
                <c:pt idx="3">
                  <c:v>71.760560329265886</c:v>
                </c:pt>
                <c:pt idx="4">
                  <c:v>63.037042385731823</c:v>
                </c:pt>
                <c:pt idx="5">
                  <c:v>58.182107011336441</c:v>
                </c:pt>
                <c:pt idx="6">
                  <c:v>75.354466026427858</c:v>
                </c:pt>
                <c:pt idx="7">
                  <c:v>92.895660336486046</c:v>
                </c:pt>
                <c:pt idx="8">
                  <c:v>97.206729727778196</c:v>
                </c:pt>
                <c:pt idx="9">
                  <c:v>101.16744891327888</c:v>
                </c:pt>
                <c:pt idx="10">
                  <c:v>122.33865261029678</c:v>
                </c:pt>
              </c:numCache>
            </c:numRef>
          </c:val>
          <c:smooth val="0"/>
          <c:extLst xmlns:c16r2="http://schemas.microsoft.com/office/drawing/2015/06/chart">
            <c:ext xmlns:c16="http://schemas.microsoft.com/office/drawing/2014/chart" uri="{C3380CC4-5D6E-409C-BE32-E72D297353CC}">
              <c16:uniqueId val="{00000007-0CE6-4BD1-83A6-D0767B06A52E}"/>
            </c:ext>
          </c:extLst>
        </c:ser>
        <c:ser>
          <c:idx val="8"/>
          <c:order val="8"/>
          <c:tx>
            <c:strRef>
              <c:f>'strukt. stat (prava)'!$FF$83</c:f>
              <c:strCache>
                <c:ptCount val="1"/>
                <c:pt idx="0">
                  <c:v>Elektro ind.</c:v>
                </c:pt>
              </c:strCache>
            </c:strRef>
          </c:tx>
          <c:spPr>
            <a:ln w="28575" cap="rnd">
              <a:solidFill>
                <a:schemeClr val="accent3">
                  <a:lumMod val="60000"/>
                </a:schemeClr>
              </a:solidFill>
              <a:round/>
            </a:ln>
            <a:effectLst/>
          </c:spPr>
          <c:marker>
            <c:symbol val="none"/>
          </c:marker>
          <c:cat>
            <c:numRef>
              <c:f>'strukt. stat (prava)'!$FG$74:$FQ$74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(prava)'!$FG$83:$FQ$83</c:f>
              <c:numCache>
                <c:formatCode>#,##0</c:formatCode>
                <c:ptCount val="11"/>
                <c:pt idx="0">
                  <c:v>100</c:v>
                </c:pt>
                <c:pt idx="1">
                  <c:v>84.441056251216835</c:v>
                </c:pt>
                <c:pt idx="2">
                  <c:v>80.672808668007519</c:v>
                </c:pt>
                <c:pt idx="3">
                  <c:v>98.073704016089977</c:v>
                </c:pt>
                <c:pt idx="4">
                  <c:v>93.254395640044123</c:v>
                </c:pt>
                <c:pt idx="5">
                  <c:v>120.394472198793</c:v>
                </c:pt>
                <c:pt idx="6">
                  <c:v>110.45091805618613</c:v>
                </c:pt>
                <c:pt idx="7">
                  <c:v>110.62739246090958</c:v>
                </c:pt>
                <c:pt idx="8">
                  <c:v>125.06974631804302</c:v>
                </c:pt>
                <c:pt idx="9">
                  <c:v>132.92804775189813</c:v>
                </c:pt>
                <c:pt idx="10">
                  <c:v>132.08979432946177</c:v>
                </c:pt>
              </c:numCache>
            </c:numRef>
          </c:val>
          <c:smooth val="0"/>
          <c:extLst xmlns:c16r2="http://schemas.microsoft.com/office/drawing/2015/06/chart">
            <c:ext xmlns:c16="http://schemas.microsoft.com/office/drawing/2014/chart" uri="{C3380CC4-5D6E-409C-BE32-E72D297353CC}">
              <c16:uniqueId val="{00000008-0CE6-4BD1-83A6-D0767B06A52E}"/>
            </c:ext>
          </c:extLst>
        </c:ser>
        <c:ser>
          <c:idx val="9"/>
          <c:order val="9"/>
          <c:tx>
            <c:strRef>
              <c:f>'strukt. stat (prava)'!$FF$84</c:f>
              <c:strCache>
                <c:ptCount val="1"/>
                <c:pt idx="0">
                  <c:v>Stroj. ind.</c:v>
                </c:pt>
              </c:strCache>
            </c:strRef>
          </c:tx>
          <c:spPr>
            <a:ln w="28575" cap="rnd">
              <a:solidFill>
                <a:schemeClr val="accent4">
                  <a:lumMod val="60000"/>
                </a:schemeClr>
              </a:solidFill>
              <a:round/>
            </a:ln>
            <a:effectLst/>
          </c:spPr>
          <c:marker>
            <c:symbol val="none"/>
          </c:marker>
          <c:cat>
            <c:numRef>
              <c:f>'strukt. stat (prava)'!$FG$74:$FQ$74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(prava)'!$FG$84:$FQ$84</c:f>
              <c:numCache>
                <c:formatCode>#,##0</c:formatCode>
                <c:ptCount val="11"/>
                <c:pt idx="0">
                  <c:v>100</c:v>
                </c:pt>
                <c:pt idx="1">
                  <c:v>63.171840753704579</c:v>
                </c:pt>
                <c:pt idx="2">
                  <c:v>60.798339639649512</c:v>
                </c:pt>
                <c:pt idx="3">
                  <c:v>77.337607816197178</c:v>
                </c:pt>
                <c:pt idx="4">
                  <c:v>95.773496025385199</c:v>
                </c:pt>
                <c:pt idx="5">
                  <c:v>103.78996877737433</c:v>
                </c:pt>
                <c:pt idx="6">
                  <c:v>101.10097011860202</c:v>
                </c:pt>
                <c:pt idx="7">
                  <c:v>69.704239225649999</c:v>
                </c:pt>
                <c:pt idx="8">
                  <c:v>87.911137281414426</c:v>
                </c:pt>
                <c:pt idx="9">
                  <c:v>128.597598874677</c:v>
                </c:pt>
                <c:pt idx="10">
                  <c:v>170.35159075461382</c:v>
                </c:pt>
              </c:numCache>
            </c:numRef>
          </c:val>
          <c:smooth val="0"/>
          <c:extLst xmlns:c16r2="http://schemas.microsoft.com/office/drawing/2015/06/chart">
            <c:ext xmlns:c16="http://schemas.microsoft.com/office/drawing/2014/chart" uri="{C3380CC4-5D6E-409C-BE32-E72D297353CC}">
              <c16:uniqueId val="{00000009-0CE6-4BD1-83A6-D0767B06A52E}"/>
            </c:ext>
          </c:extLst>
        </c:ser>
        <c:ser>
          <c:idx val="10"/>
          <c:order val="10"/>
          <c:tx>
            <c:strRef>
              <c:f>'strukt. stat (prava)'!$FF$85</c:f>
              <c:strCache>
                <c:ptCount val="1"/>
                <c:pt idx="0">
                  <c:v>Dr. pred. dej.</c:v>
                </c:pt>
              </c:strCache>
            </c:strRef>
          </c:tx>
          <c:spPr>
            <a:ln w="28575" cap="rnd">
              <a:solidFill>
                <a:schemeClr val="accent5">
                  <a:lumMod val="60000"/>
                </a:schemeClr>
              </a:solidFill>
              <a:round/>
            </a:ln>
            <a:effectLst/>
          </c:spPr>
          <c:marker>
            <c:symbol val="none"/>
          </c:marker>
          <c:cat>
            <c:numRef>
              <c:f>'strukt. stat (prava)'!$FG$74:$FQ$74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(prava)'!$FG$85:$FQ$85</c:f>
              <c:numCache>
                <c:formatCode>#,##0</c:formatCode>
                <c:ptCount val="11"/>
                <c:pt idx="0">
                  <c:v>100</c:v>
                </c:pt>
                <c:pt idx="1">
                  <c:v>100.14567526555385</c:v>
                </c:pt>
                <c:pt idx="2">
                  <c:v>137.70561456752614</c:v>
                </c:pt>
                <c:pt idx="3">
                  <c:v>171.90288315629743</c:v>
                </c:pt>
                <c:pt idx="4">
                  <c:v>133.61456752655459</c:v>
                </c:pt>
                <c:pt idx="5">
                  <c:v>83.362670713201467</c:v>
                </c:pt>
                <c:pt idx="6">
                  <c:v>65.984825493171527</c:v>
                </c:pt>
                <c:pt idx="7">
                  <c:v>74.622154779969648</c:v>
                </c:pt>
                <c:pt idx="8">
                  <c:v>122.22154779969651</c:v>
                </c:pt>
                <c:pt idx="9">
                  <c:v>130.86494688922681</c:v>
                </c:pt>
                <c:pt idx="10">
                  <c:v>147.50227617602468</c:v>
                </c:pt>
              </c:numCache>
            </c:numRef>
          </c:val>
          <c:smooth val="0"/>
          <c:extLst xmlns:c16r2="http://schemas.microsoft.com/office/drawing/2015/06/chart">
            <c:ext xmlns:c16="http://schemas.microsoft.com/office/drawing/2014/chart" uri="{C3380CC4-5D6E-409C-BE32-E72D297353CC}">
              <c16:uniqueId val="{0000000A-0CE6-4BD1-83A6-D0767B06A52E}"/>
            </c:ext>
          </c:extLst>
        </c:ser>
        <c:dLbls>
          <c:showLegendKey val="0"/>
          <c:showVal val="0"/>
          <c:showCatName val="0"/>
          <c:showSerName val="0"/>
          <c:showPercent val="0"/>
          <c:showBubbleSize val="0"/>
        </c:dLbls>
        <c:marker val="1"/>
        <c:smooth val="0"/>
        <c:axId val="253822080"/>
        <c:axId val="253823616"/>
        <c:extLst xmlns:c16r2="http://schemas.microsoft.com/office/drawing/2015/06/chart"/>
      </c:lineChart>
      <c:catAx>
        <c:axId val="253822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53823616"/>
        <c:crosses val="autoZero"/>
        <c:auto val="1"/>
        <c:lblAlgn val="ctr"/>
        <c:lblOffset val="100"/>
        <c:noMultiLvlLbl val="0"/>
      </c:catAx>
      <c:valAx>
        <c:axId val="25382361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53822080"/>
        <c:crosses val="autoZero"/>
        <c:crossBetween val="between"/>
      </c:valAx>
      <c:spPr>
        <a:noFill/>
        <a:ln>
          <a:noFill/>
        </a:ln>
        <a:effectLst/>
      </c:spPr>
    </c:plotArea>
    <c:legend>
      <c:legendPos val="b"/>
      <c:layout>
        <c:manualLayout>
          <c:xMode val="edge"/>
          <c:yMode val="edge"/>
          <c:x val="0.79905624873813852"/>
          <c:y val="0.1188104953003504"/>
          <c:w val="0.19211144760751059"/>
          <c:h val="0.853411882449278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rebuchet MS" panose="020B0603020202020204" pitchFamily="34" charset="0"/>
        </a:defRPr>
      </a:pPr>
      <a:endParaRPr lang="sl-SI"/>
    </a:p>
  </c:txPr>
  <c:externalData r:id="rId2">
    <c:autoUpdate val="0"/>
  </c:externalData>
  <c:userShapes r:id="rId3"/>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rebuchet MS" panose="020B0603020202020204" pitchFamily="34" charset="0"/>
                <a:ea typeface="+mn-ea"/>
                <a:cs typeface="+mn-cs"/>
              </a:defRPr>
            </a:pPr>
            <a:r>
              <a:rPr lang="sl-SI" sz="1200"/>
              <a:t>Investicije v predelovalnih dejavnostih in </a:t>
            </a:r>
          </a:p>
          <a:p>
            <a:pPr>
              <a:defRPr sz="1200" b="0" i="0" u="none" strike="noStrike" kern="1200" spc="0" baseline="0">
                <a:solidFill>
                  <a:schemeClr val="tx1">
                    <a:lumMod val="65000"/>
                    <a:lumOff val="35000"/>
                  </a:schemeClr>
                </a:solidFill>
                <a:latin typeface="Trebuchet MS" panose="020B0603020202020204" pitchFamily="34" charset="0"/>
                <a:ea typeface="+mn-ea"/>
                <a:cs typeface="+mn-cs"/>
              </a:defRPr>
            </a:pPr>
            <a:r>
              <a:rPr lang="sl-SI" sz="1200"/>
              <a:t>izdatki</a:t>
            </a:r>
            <a:r>
              <a:rPr lang="sl-SI" sz="1200" baseline="0"/>
              <a:t> za RRD</a:t>
            </a:r>
            <a:endParaRPr lang="sl-SI" sz="1200"/>
          </a:p>
        </c:rich>
      </c:tx>
      <c:overlay val="0"/>
      <c:spPr>
        <a:noFill/>
        <a:ln>
          <a:noFill/>
        </a:ln>
        <a:effectLst/>
      </c:spPr>
    </c:title>
    <c:autoTitleDeleted val="0"/>
    <c:plotArea>
      <c:layout>
        <c:manualLayout>
          <c:layoutTarget val="inner"/>
          <c:xMode val="edge"/>
          <c:yMode val="edge"/>
          <c:x val="0.10413293786993746"/>
          <c:y val="0.14734412044648318"/>
          <c:w val="0.82990425103302112"/>
          <c:h val="0.69520775287704428"/>
        </c:manualLayout>
      </c:layout>
      <c:lineChart>
        <c:grouping val="standard"/>
        <c:varyColors val="0"/>
        <c:ser>
          <c:idx val="0"/>
          <c:order val="0"/>
          <c:tx>
            <c:v>Bruto investicije v osnovna sredstva</c:v>
          </c:tx>
          <c:spPr>
            <a:ln w="28575" cap="rnd">
              <a:solidFill>
                <a:srgbClr val="C0CF3A"/>
              </a:solidFill>
              <a:round/>
            </a:ln>
            <a:effectLst/>
          </c:spPr>
          <c:marker>
            <c:symbol val="none"/>
          </c:marker>
          <c:cat>
            <c:numRef>
              <c:f>'strukt. stat (prava)'!$D$33:$M$33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'strukt. stat (prava)'!$EN$31:$EW$31</c:f>
              <c:numCache>
                <c:formatCode>#,##0.0</c:formatCode>
                <c:ptCount val="10"/>
                <c:pt idx="0">
                  <c:v>-31.560671131400326</c:v>
                </c:pt>
                <c:pt idx="1">
                  <c:v>-8.4837397310118234</c:v>
                </c:pt>
                <c:pt idx="2">
                  <c:v>19.453110730224989</c:v>
                </c:pt>
                <c:pt idx="3">
                  <c:v>-6.2362440902681406</c:v>
                </c:pt>
                <c:pt idx="4">
                  <c:v>-1.4961145497448882</c:v>
                </c:pt>
                <c:pt idx="5">
                  <c:v>8.7429555678188482</c:v>
                </c:pt>
                <c:pt idx="6">
                  <c:v>-0.18030916293490409</c:v>
                </c:pt>
                <c:pt idx="7">
                  <c:v>9.201131721715976</c:v>
                </c:pt>
                <c:pt idx="8">
                  <c:v>16.695611322415733</c:v>
                </c:pt>
                <c:pt idx="9">
                  <c:v>21.444412944673072</c:v>
                </c:pt>
              </c:numCache>
            </c:numRef>
          </c:val>
          <c:smooth val="0"/>
          <c:extLst xmlns:c15="http://schemas.microsoft.com/office/drawing/2012/chart" xmlns:c16r2="http://schemas.microsoft.com/office/drawing/2015/06/chart">
            <c:ext xmlns:c16="http://schemas.microsoft.com/office/drawing/2014/chart" uri="{C3380CC4-5D6E-409C-BE32-E72D297353CC}">
              <c16:uniqueId val="{00000000-E459-4527-8AD4-850D989E4F96}"/>
            </c:ext>
          </c:extLst>
        </c:ser>
        <c:ser>
          <c:idx val="4"/>
          <c:order val="1"/>
          <c:tx>
            <c:v>RRD</c:v>
          </c:tx>
          <c:spPr>
            <a:ln w="28575" cap="rnd">
              <a:solidFill>
                <a:schemeClr val="accent5"/>
              </a:solidFill>
              <a:round/>
            </a:ln>
            <a:effectLst/>
          </c:spPr>
          <c:marker>
            <c:symbol val="none"/>
          </c:marker>
          <c:cat>
            <c:numRef>
              <c:f>'strukt. stat (prava)'!$D$33:$M$33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'R&amp;R'!$C$29:$L$29</c:f>
              <c:numCache>
                <c:formatCode>#,##0.0</c:formatCode>
                <c:ptCount val="10"/>
                <c:pt idx="0">
                  <c:v>1.5450943482154935</c:v>
                </c:pt>
                <c:pt idx="1">
                  <c:v>18.053603784077922</c:v>
                </c:pt>
                <c:pt idx="2">
                  <c:v>14.237339648207481</c:v>
                </c:pt>
                <c:pt idx="3">
                  <c:v>-4.2108507057991504</c:v>
                </c:pt>
                <c:pt idx="4">
                  <c:v>7.7473753402336598</c:v>
                </c:pt>
                <c:pt idx="5">
                  <c:v>-2.2692463842209634</c:v>
                </c:pt>
                <c:pt idx="6">
                  <c:v>0.60576088270525452</c:v>
                </c:pt>
                <c:pt idx="7">
                  <c:v>0.59140830331141059</c:v>
                </c:pt>
                <c:pt idx="8">
                  <c:v>-3.3942331917259594</c:v>
                </c:pt>
                <c:pt idx="9">
                  <c:v>9.8552158273381298</c:v>
                </c:pt>
              </c:numCache>
            </c:numRef>
          </c:val>
          <c:smooth val="0"/>
          <c:extLst xmlns:c16r2="http://schemas.microsoft.com/office/drawing/2015/06/chart">
            <c:ext xmlns:c16="http://schemas.microsoft.com/office/drawing/2014/chart" uri="{C3380CC4-5D6E-409C-BE32-E72D297353CC}">
              <c16:uniqueId val="{00000001-E459-4527-8AD4-850D989E4F96}"/>
            </c:ext>
          </c:extLst>
        </c:ser>
        <c:dLbls>
          <c:showLegendKey val="0"/>
          <c:showVal val="0"/>
          <c:showCatName val="0"/>
          <c:showSerName val="0"/>
          <c:showPercent val="0"/>
          <c:showBubbleSize val="0"/>
        </c:dLbls>
        <c:marker val="1"/>
        <c:smooth val="0"/>
        <c:axId val="253638528"/>
        <c:axId val="253640064"/>
      </c:lineChart>
      <c:catAx>
        <c:axId val="25363852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53640064"/>
        <c:crosses val="autoZero"/>
        <c:auto val="1"/>
        <c:lblAlgn val="ctr"/>
        <c:lblOffset val="100"/>
        <c:noMultiLvlLbl val="0"/>
      </c:catAx>
      <c:valAx>
        <c:axId val="253640064"/>
        <c:scaling>
          <c:orientation val="minMax"/>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sl-SI"/>
                  <a:t>v</a:t>
                </a:r>
                <a:r>
                  <a:rPr lang="sl-SI" baseline="0"/>
                  <a:t> %</a:t>
                </a:r>
                <a:endParaRPr lang="sl-SI"/>
              </a:p>
            </c:rich>
          </c:tx>
          <c:layout>
            <c:manualLayout>
              <c:xMode val="edge"/>
              <c:yMode val="edge"/>
              <c:x val="1.2458466314711281E-4"/>
              <c:y val="0.3788281321080894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53638528"/>
        <c:crosses val="autoZero"/>
        <c:crossBetween val="between"/>
      </c:valAx>
      <c:spPr>
        <a:noFill/>
        <a:ln>
          <a:noFill/>
        </a:ln>
        <a:effectLst/>
      </c:spPr>
    </c:plotArea>
    <c:legend>
      <c:legendPos val="b"/>
      <c:layout>
        <c:manualLayout>
          <c:xMode val="edge"/>
          <c:yMode val="edge"/>
          <c:x val="0.24341743692230938"/>
          <c:y val="0.55977785230484189"/>
          <c:w val="0.32148998487355129"/>
          <c:h val="0.217758657485931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rebuchet MS" panose="020B0603020202020204" pitchFamily="34" charset="0"/>
        </a:defRPr>
      </a:pPr>
      <a:endParaRPr lang="sl-SI"/>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rebuchet MS" panose="020B0603020202020204" pitchFamily="34" charset="0"/>
                <a:ea typeface="+mn-ea"/>
                <a:cs typeface="+mn-cs"/>
              </a:defRPr>
            </a:pPr>
            <a:r>
              <a:rPr lang="sl-SI" sz="1200"/>
              <a:t>Gibanje prihodkov od prodaje med predelovalnimi dejavnostmi</a:t>
            </a:r>
          </a:p>
          <a:p>
            <a:pPr>
              <a:defRPr sz="1200" b="0" i="0" u="none" strike="noStrike" kern="1200" spc="0" baseline="0">
                <a:solidFill>
                  <a:schemeClr val="tx1">
                    <a:lumMod val="65000"/>
                    <a:lumOff val="35000"/>
                  </a:schemeClr>
                </a:solidFill>
                <a:latin typeface="Trebuchet MS" panose="020B0603020202020204" pitchFamily="34" charset="0"/>
                <a:ea typeface="+mn-ea"/>
                <a:cs typeface="+mn-cs"/>
              </a:defRPr>
            </a:pPr>
            <a:r>
              <a:rPr lang="sl-SI" sz="1200"/>
              <a:t>2008=100</a:t>
            </a:r>
          </a:p>
        </c:rich>
      </c:tx>
      <c:overlay val="0"/>
      <c:spPr>
        <a:noFill/>
        <a:ln>
          <a:noFill/>
        </a:ln>
        <a:effectLst/>
      </c:spPr>
    </c:title>
    <c:autoTitleDeleted val="0"/>
    <c:plotArea>
      <c:layout>
        <c:manualLayout>
          <c:layoutTarget val="inner"/>
          <c:xMode val="edge"/>
          <c:yMode val="edge"/>
          <c:x val="7.3219094200462451E-2"/>
          <c:y val="0.16597075929256808"/>
          <c:w val="0.72671127194539265"/>
          <c:h val="0.73493277716733252"/>
        </c:manualLayout>
      </c:layout>
      <c:lineChart>
        <c:grouping val="standard"/>
        <c:varyColors val="0"/>
        <c:ser>
          <c:idx val="1"/>
          <c:order val="0"/>
          <c:tx>
            <c:strRef>
              <c:f>'strukt. stat (prava)'!$V$76</c:f>
              <c:strCache>
                <c:ptCount val="1"/>
                <c:pt idx="0">
                  <c:v>Prehr. ind.</c:v>
                </c:pt>
              </c:strCache>
            </c:strRef>
          </c:tx>
          <c:spPr>
            <a:ln w="28575" cap="rnd">
              <a:solidFill>
                <a:schemeClr val="accent2"/>
              </a:solidFill>
              <a:round/>
            </a:ln>
            <a:effectLst/>
          </c:spPr>
          <c:marker>
            <c:symbol val="none"/>
          </c:marker>
          <c:cat>
            <c:numRef>
              <c:f>'strukt. stat (prava)'!$W$74:$AG$74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(prava)'!$W$76:$AG$76</c:f>
              <c:numCache>
                <c:formatCode>#,##0</c:formatCode>
                <c:ptCount val="11"/>
                <c:pt idx="0">
                  <c:v>100</c:v>
                </c:pt>
                <c:pt idx="1">
                  <c:v>91.722083826864406</c:v>
                </c:pt>
                <c:pt idx="2">
                  <c:v>91.504620162285534</c:v>
                </c:pt>
                <c:pt idx="3">
                  <c:v>95.505721423423935</c:v>
                </c:pt>
                <c:pt idx="4">
                  <c:v>95.080000779027174</c:v>
                </c:pt>
                <c:pt idx="5">
                  <c:v>94.568188779529635</c:v>
                </c:pt>
                <c:pt idx="6">
                  <c:v>95.553171260271213</c:v>
                </c:pt>
                <c:pt idx="7">
                  <c:v>97.907515310539708</c:v>
                </c:pt>
                <c:pt idx="8">
                  <c:v>98.430570088543533</c:v>
                </c:pt>
                <c:pt idx="9">
                  <c:v>103.32427714245716</c:v>
                </c:pt>
                <c:pt idx="10">
                  <c:v>105.54441605716643</c:v>
                </c:pt>
              </c:numCache>
            </c:numRef>
          </c:val>
          <c:smooth val="0"/>
          <c:extLst xmlns:c16r2="http://schemas.microsoft.com/office/drawing/2015/06/chart">
            <c:ext xmlns:c16="http://schemas.microsoft.com/office/drawing/2014/chart" uri="{C3380CC4-5D6E-409C-BE32-E72D297353CC}">
              <c16:uniqueId val="{00000000-37A5-4E6F-B46A-B95F6FAFE759}"/>
            </c:ext>
          </c:extLst>
        </c:ser>
        <c:ser>
          <c:idx val="2"/>
          <c:order val="1"/>
          <c:tx>
            <c:strRef>
              <c:f>'strukt. stat (prava)'!$V$77</c:f>
              <c:strCache>
                <c:ptCount val="1"/>
                <c:pt idx="0">
                  <c:v>Tekst. ind.</c:v>
                </c:pt>
              </c:strCache>
            </c:strRef>
          </c:tx>
          <c:spPr>
            <a:ln w="28575" cap="rnd">
              <a:solidFill>
                <a:schemeClr val="accent3"/>
              </a:solidFill>
              <a:round/>
            </a:ln>
            <a:effectLst/>
          </c:spPr>
          <c:marker>
            <c:symbol val="none"/>
          </c:marker>
          <c:cat>
            <c:numRef>
              <c:f>'strukt. stat (prava)'!$W$74:$AG$74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(prava)'!$W$77:$AG$77</c:f>
              <c:numCache>
                <c:formatCode>#,##0</c:formatCode>
                <c:ptCount val="11"/>
                <c:pt idx="0">
                  <c:v>100</c:v>
                </c:pt>
                <c:pt idx="1">
                  <c:v>75.89899003134451</c:v>
                </c:pt>
                <c:pt idx="2">
                  <c:v>76.912702431281218</c:v>
                </c:pt>
                <c:pt idx="3">
                  <c:v>85.434213518848679</c:v>
                </c:pt>
                <c:pt idx="4">
                  <c:v>79.914717501724468</c:v>
                </c:pt>
                <c:pt idx="5">
                  <c:v>72.71194039210107</c:v>
                </c:pt>
                <c:pt idx="6">
                  <c:v>73.836093252930183</c:v>
                </c:pt>
                <c:pt idx="7">
                  <c:v>71.78648676726732</c:v>
                </c:pt>
                <c:pt idx="8">
                  <c:v>72.439414515807627</c:v>
                </c:pt>
                <c:pt idx="9">
                  <c:v>78.118712264225948</c:v>
                </c:pt>
                <c:pt idx="10">
                  <c:v>83.788332433274434</c:v>
                </c:pt>
              </c:numCache>
            </c:numRef>
          </c:val>
          <c:smooth val="0"/>
          <c:extLst xmlns:c16r2="http://schemas.microsoft.com/office/drawing/2015/06/chart">
            <c:ext xmlns:c16="http://schemas.microsoft.com/office/drawing/2014/chart" uri="{C3380CC4-5D6E-409C-BE32-E72D297353CC}">
              <c16:uniqueId val="{00000001-37A5-4E6F-B46A-B95F6FAFE759}"/>
            </c:ext>
          </c:extLst>
        </c:ser>
        <c:ser>
          <c:idx val="3"/>
          <c:order val="2"/>
          <c:tx>
            <c:strRef>
              <c:f>'strukt. stat (prava)'!$V$78</c:f>
              <c:strCache>
                <c:ptCount val="1"/>
                <c:pt idx="0">
                  <c:v>Lesna ind.</c:v>
                </c:pt>
              </c:strCache>
            </c:strRef>
          </c:tx>
          <c:spPr>
            <a:ln w="28575" cap="rnd">
              <a:solidFill>
                <a:schemeClr val="accent4"/>
              </a:solidFill>
              <a:round/>
            </a:ln>
            <a:effectLst/>
          </c:spPr>
          <c:marker>
            <c:symbol val="none"/>
          </c:marker>
          <c:cat>
            <c:numRef>
              <c:f>'strukt. stat (prava)'!$W$74:$AG$74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(prava)'!$W$78:$AG$78</c:f>
              <c:numCache>
                <c:formatCode>#,##0</c:formatCode>
                <c:ptCount val="11"/>
                <c:pt idx="0">
                  <c:v>100</c:v>
                </c:pt>
                <c:pt idx="1">
                  <c:v>74.051184033211612</c:v>
                </c:pt>
                <c:pt idx="2">
                  <c:v>76.402948943661727</c:v>
                </c:pt>
                <c:pt idx="3">
                  <c:v>75.890402212658287</c:v>
                </c:pt>
                <c:pt idx="4">
                  <c:v>71.058769670492083</c:v>
                </c:pt>
                <c:pt idx="5">
                  <c:v>69.28856122848201</c:v>
                </c:pt>
                <c:pt idx="6">
                  <c:v>74.25495294296644</c:v>
                </c:pt>
                <c:pt idx="7">
                  <c:v>78.768230525126057</c:v>
                </c:pt>
                <c:pt idx="8">
                  <c:v>85.207735611198061</c:v>
                </c:pt>
                <c:pt idx="9">
                  <c:v>89.049322943835847</c:v>
                </c:pt>
                <c:pt idx="10">
                  <c:v>96.086753934098411</c:v>
                </c:pt>
              </c:numCache>
            </c:numRef>
          </c:val>
          <c:smooth val="0"/>
          <c:extLst xmlns:c16r2="http://schemas.microsoft.com/office/drawing/2015/06/chart">
            <c:ext xmlns:c16="http://schemas.microsoft.com/office/drawing/2014/chart" uri="{C3380CC4-5D6E-409C-BE32-E72D297353CC}">
              <c16:uniqueId val="{00000002-37A5-4E6F-B46A-B95F6FAFE759}"/>
            </c:ext>
          </c:extLst>
        </c:ser>
        <c:ser>
          <c:idx val="4"/>
          <c:order val="3"/>
          <c:tx>
            <c:strRef>
              <c:f>'strukt. stat (prava)'!$V$79</c:f>
              <c:strCache>
                <c:ptCount val="1"/>
                <c:pt idx="0">
                  <c:v>Papir. ind.</c:v>
                </c:pt>
              </c:strCache>
            </c:strRef>
          </c:tx>
          <c:spPr>
            <a:ln w="28575" cap="rnd">
              <a:solidFill>
                <a:schemeClr val="accent5"/>
              </a:solidFill>
              <a:round/>
            </a:ln>
            <a:effectLst/>
          </c:spPr>
          <c:marker>
            <c:symbol val="none"/>
          </c:marker>
          <c:cat>
            <c:numRef>
              <c:f>'strukt. stat (prava)'!$W$74:$AG$74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(prava)'!$W$79:$AG$79</c:f>
              <c:numCache>
                <c:formatCode>#,##0</c:formatCode>
                <c:ptCount val="11"/>
                <c:pt idx="0">
                  <c:v>100</c:v>
                </c:pt>
                <c:pt idx="1">
                  <c:v>86.646962912072951</c:v>
                </c:pt>
                <c:pt idx="2">
                  <c:v>88.010967369898495</c:v>
                </c:pt>
                <c:pt idx="3">
                  <c:v>90.777990030511518</c:v>
                </c:pt>
                <c:pt idx="4">
                  <c:v>85.905313174677431</c:v>
                </c:pt>
                <c:pt idx="5">
                  <c:v>88.286084216841758</c:v>
                </c:pt>
                <c:pt idx="6">
                  <c:v>90.813972827159446</c:v>
                </c:pt>
                <c:pt idx="7">
                  <c:v>92.961593999033568</c:v>
                </c:pt>
                <c:pt idx="8">
                  <c:v>94.042787664195799</c:v>
                </c:pt>
                <c:pt idx="9">
                  <c:v>97.67285342800254</c:v>
                </c:pt>
                <c:pt idx="10">
                  <c:v>100.78610364599807</c:v>
                </c:pt>
              </c:numCache>
            </c:numRef>
          </c:val>
          <c:smooth val="0"/>
          <c:extLst xmlns:c16r2="http://schemas.microsoft.com/office/drawing/2015/06/chart">
            <c:ext xmlns:c16="http://schemas.microsoft.com/office/drawing/2014/chart" uri="{C3380CC4-5D6E-409C-BE32-E72D297353CC}">
              <c16:uniqueId val="{00000003-37A5-4E6F-B46A-B95F6FAFE759}"/>
            </c:ext>
          </c:extLst>
        </c:ser>
        <c:ser>
          <c:idx val="5"/>
          <c:order val="4"/>
          <c:tx>
            <c:strRef>
              <c:f>'strukt. stat (prava)'!$V$80</c:f>
              <c:strCache>
                <c:ptCount val="1"/>
                <c:pt idx="0">
                  <c:v>Kemij. ind.</c:v>
                </c:pt>
              </c:strCache>
            </c:strRef>
          </c:tx>
          <c:spPr>
            <a:ln w="28575" cap="rnd">
              <a:solidFill>
                <a:schemeClr val="accent6"/>
              </a:solidFill>
              <a:round/>
            </a:ln>
            <a:effectLst/>
          </c:spPr>
          <c:marker>
            <c:symbol val="none"/>
          </c:marker>
          <c:cat>
            <c:numRef>
              <c:f>'strukt. stat (prava)'!$W$74:$AG$74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(prava)'!$W$80:$AG$80</c:f>
              <c:numCache>
                <c:formatCode>#,##0</c:formatCode>
                <c:ptCount val="11"/>
                <c:pt idx="0">
                  <c:v>100</c:v>
                </c:pt>
                <c:pt idx="1">
                  <c:v>86.633729147030209</c:v>
                </c:pt>
                <c:pt idx="2">
                  <c:v>96.150482668752119</c:v>
                </c:pt>
                <c:pt idx="3">
                  <c:v>100.14269834460075</c:v>
                </c:pt>
                <c:pt idx="4">
                  <c:v>102.28721759625292</c:v>
                </c:pt>
                <c:pt idx="5">
                  <c:v>108.36241399637765</c:v>
                </c:pt>
                <c:pt idx="6">
                  <c:v>108.74165907955415</c:v>
                </c:pt>
                <c:pt idx="7">
                  <c:v>111.51236922260534</c:v>
                </c:pt>
                <c:pt idx="8">
                  <c:v>112.97046428850356</c:v>
                </c:pt>
                <c:pt idx="9">
                  <c:v>122.87408031890446</c:v>
                </c:pt>
                <c:pt idx="10">
                  <c:v>129.41419644184919</c:v>
                </c:pt>
              </c:numCache>
            </c:numRef>
          </c:val>
          <c:smooth val="0"/>
          <c:extLst xmlns:c16r2="http://schemas.microsoft.com/office/drawing/2015/06/chart">
            <c:ext xmlns:c16="http://schemas.microsoft.com/office/drawing/2014/chart" uri="{C3380CC4-5D6E-409C-BE32-E72D297353CC}">
              <c16:uniqueId val="{00000004-37A5-4E6F-B46A-B95F6FAFE759}"/>
            </c:ext>
          </c:extLst>
        </c:ser>
        <c:ser>
          <c:idx val="6"/>
          <c:order val="5"/>
          <c:tx>
            <c:strRef>
              <c:f>'strukt. stat (prava)'!$V$81</c:f>
              <c:strCache>
                <c:ptCount val="1"/>
                <c:pt idx="0">
                  <c:v>Nekov. ind.</c:v>
                </c:pt>
              </c:strCache>
            </c:strRef>
          </c:tx>
          <c:spPr>
            <a:ln w="28575" cap="rnd">
              <a:solidFill>
                <a:schemeClr val="accent1">
                  <a:lumMod val="60000"/>
                </a:schemeClr>
              </a:solidFill>
              <a:round/>
            </a:ln>
            <a:effectLst/>
          </c:spPr>
          <c:marker>
            <c:symbol val="none"/>
          </c:marker>
          <c:cat>
            <c:numRef>
              <c:f>'strukt. stat (prava)'!$W$74:$AG$74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(prava)'!$W$81:$AG$81</c:f>
              <c:numCache>
                <c:formatCode>#,##0</c:formatCode>
                <c:ptCount val="11"/>
                <c:pt idx="0">
                  <c:v>100</c:v>
                </c:pt>
                <c:pt idx="1">
                  <c:v>80.540105590235285</c:v>
                </c:pt>
                <c:pt idx="2">
                  <c:v>91.135134812550888</c:v>
                </c:pt>
                <c:pt idx="3">
                  <c:v>91.424871393958014</c:v>
                </c:pt>
                <c:pt idx="4">
                  <c:v>87.192310293655154</c:v>
                </c:pt>
                <c:pt idx="5">
                  <c:v>85.428527664721173</c:v>
                </c:pt>
                <c:pt idx="6">
                  <c:v>85.969210142073365</c:v>
                </c:pt>
                <c:pt idx="7">
                  <c:v>89.097529729579449</c:v>
                </c:pt>
                <c:pt idx="8">
                  <c:v>88.936697579859086</c:v>
                </c:pt>
                <c:pt idx="9">
                  <c:v>91.927558892217604</c:v>
                </c:pt>
                <c:pt idx="10">
                  <c:v>100.88253782589113</c:v>
                </c:pt>
              </c:numCache>
            </c:numRef>
          </c:val>
          <c:smooth val="0"/>
          <c:extLst xmlns:c16r2="http://schemas.microsoft.com/office/drawing/2015/06/chart">
            <c:ext xmlns:c16="http://schemas.microsoft.com/office/drawing/2014/chart" uri="{C3380CC4-5D6E-409C-BE32-E72D297353CC}">
              <c16:uniqueId val="{00000005-37A5-4E6F-B46A-B95F6FAFE759}"/>
            </c:ext>
          </c:extLst>
        </c:ser>
        <c:ser>
          <c:idx val="7"/>
          <c:order val="6"/>
          <c:tx>
            <c:strRef>
              <c:f>'strukt. stat (prava)'!$V$82</c:f>
              <c:strCache>
                <c:ptCount val="1"/>
                <c:pt idx="0">
                  <c:v>Kovin. ind.</c:v>
                </c:pt>
              </c:strCache>
            </c:strRef>
          </c:tx>
          <c:spPr>
            <a:ln w="28575" cap="rnd">
              <a:solidFill>
                <a:schemeClr val="accent2">
                  <a:lumMod val="60000"/>
                </a:schemeClr>
              </a:solidFill>
              <a:round/>
            </a:ln>
            <a:effectLst/>
          </c:spPr>
          <c:marker>
            <c:symbol val="none"/>
          </c:marker>
          <c:cat>
            <c:numRef>
              <c:f>'strukt. stat (prava)'!$W$74:$AG$74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(prava)'!$W$82:$AG$82</c:f>
              <c:numCache>
                <c:formatCode>#,##0</c:formatCode>
                <c:ptCount val="11"/>
                <c:pt idx="0">
                  <c:v>100</c:v>
                </c:pt>
                <c:pt idx="1">
                  <c:v>65.681419453011813</c:v>
                </c:pt>
                <c:pt idx="2">
                  <c:v>77.968056116558529</c:v>
                </c:pt>
                <c:pt idx="3">
                  <c:v>89.715435301904279</c:v>
                </c:pt>
                <c:pt idx="4">
                  <c:v>87.364373582020079</c:v>
                </c:pt>
                <c:pt idx="5">
                  <c:v>88.75910975035147</c:v>
                </c:pt>
                <c:pt idx="6">
                  <c:v>92.32977267611777</c:v>
                </c:pt>
                <c:pt idx="7">
                  <c:v>96.663455413191258</c:v>
                </c:pt>
                <c:pt idx="8">
                  <c:v>104.65290375143418</c:v>
                </c:pt>
                <c:pt idx="9">
                  <c:v>114.53280083337164</c:v>
                </c:pt>
                <c:pt idx="10">
                  <c:v>122.88660097163027</c:v>
                </c:pt>
              </c:numCache>
            </c:numRef>
          </c:val>
          <c:smooth val="0"/>
          <c:extLst xmlns:c16r2="http://schemas.microsoft.com/office/drawing/2015/06/chart">
            <c:ext xmlns:c16="http://schemas.microsoft.com/office/drawing/2014/chart" uri="{C3380CC4-5D6E-409C-BE32-E72D297353CC}">
              <c16:uniqueId val="{00000006-37A5-4E6F-B46A-B95F6FAFE759}"/>
            </c:ext>
          </c:extLst>
        </c:ser>
        <c:ser>
          <c:idx val="8"/>
          <c:order val="7"/>
          <c:tx>
            <c:strRef>
              <c:f>'strukt. stat (prava)'!$V$83</c:f>
              <c:strCache>
                <c:ptCount val="1"/>
                <c:pt idx="0">
                  <c:v>Elektro ind.</c:v>
                </c:pt>
              </c:strCache>
            </c:strRef>
          </c:tx>
          <c:spPr>
            <a:ln w="28575" cap="rnd">
              <a:solidFill>
                <a:schemeClr val="accent3">
                  <a:lumMod val="60000"/>
                </a:schemeClr>
              </a:solidFill>
              <a:round/>
            </a:ln>
            <a:effectLst/>
          </c:spPr>
          <c:marker>
            <c:symbol val="none"/>
          </c:marker>
          <c:cat>
            <c:numRef>
              <c:f>'strukt. stat (prava)'!$W$74:$AG$74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(prava)'!$W$83:$AG$83</c:f>
              <c:numCache>
                <c:formatCode>#,##0</c:formatCode>
                <c:ptCount val="11"/>
                <c:pt idx="0">
                  <c:v>100</c:v>
                </c:pt>
                <c:pt idx="1">
                  <c:v>86.76553946907309</c:v>
                </c:pt>
                <c:pt idx="2">
                  <c:v>103.26120916685819</c:v>
                </c:pt>
                <c:pt idx="3">
                  <c:v>109.36408798101399</c:v>
                </c:pt>
                <c:pt idx="4">
                  <c:v>107.32776242201867</c:v>
                </c:pt>
                <c:pt idx="5">
                  <c:v>104.55103829228335</c:v>
                </c:pt>
                <c:pt idx="6">
                  <c:v>110.4693420110946</c:v>
                </c:pt>
                <c:pt idx="7">
                  <c:v>120.88006585691858</c:v>
                </c:pt>
                <c:pt idx="8">
                  <c:v>121.77012434066859</c:v>
                </c:pt>
                <c:pt idx="9">
                  <c:v>137.42537084677397</c:v>
                </c:pt>
                <c:pt idx="10">
                  <c:v>143.82806125008167</c:v>
                </c:pt>
              </c:numCache>
            </c:numRef>
          </c:val>
          <c:smooth val="0"/>
          <c:extLst xmlns:c16r2="http://schemas.microsoft.com/office/drawing/2015/06/chart">
            <c:ext xmlns:c16="http://schemas.microsoft.com/office/drawing/2014/chart" uri="{C3380CC4-5D6E-409C-BE32-E72D297353CC}">
              <c16:uniqueId val="{00000007-37A5-4E6F-B46A-B95F6FAFE759}"/>
            </c:ext>
          </c:extLst>
        </c:ser>
        <c:ser>
          <c:idx val="9"/>
          <c:order val="8"/>
          <c:tx>
            <c:strRef>
              <c:f>'strukt. stat (prava)'!$V$84</c:f>
              <c:strCache>
                <c:ptCount val="1"/>
                <c:pt idx="0">
                  <c:v>Stroj. ind.</c:v>
                </c:pt>
              </c:strCache>
            </c:strRef>
          </c:tx>
          <c:spPr>
            <a:ln w="28575" cap="rnd">
              <a:solidFill>
                <a:schemeClr val="accent4">
                  <a:lumMod val="60000"/>
                </a:schemeClr>
              </a:solidFill>
              <a:round/>
            </a:ln>
            <a:effectLst/>
          </c:spPr>
          <c:marker>
            <c:symbol val="none"/>
          </c:marker>
          <c:cat>
            <c:numRef>
              <c:f>'strukt. stat (prava)'!$W$74:$AG$74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(prava)'!$W$84:$AG$84</c:f>
              <c:numCache>
                <c:formatCode>#,##0</c:formatCode>
                <c:ptCount val="11"/>
                <c:pt idx="0">
                  <c:v>100</c:v>
                </c:pt>
                <c:pt idx="1">
                  <c:v>82.357405981732526</c:v>
                </c:pt>
                <c:pt idx="2">
                  <c:v>88.892921571026179</c:v>
                </c:pt>
                <c:pt idx="3">
                  <c:v>93.615336084838049</c:v>
                </c:pt>
                <c:pt idx="4">
                  <c:v>90.477574694040797</c:v>
                </c:pt>
                <c:pt idx="5">
                  <c:v>86.640836967983148</c:v>
                </c:pt>
                <c:pt idx="6">
                  <c:v>92.19080590360025</c:v>
                </c:pt>
                <c:pt idx="7">
                  <c:v>95.719749370858452</c:v>
                </c:pt>
                <c:pt idx="8">
                  <c:v>95.922083653186178</c:v>
                </c:pt>
                <c:pt idx="9">
                  <c:v>117.1601055708545</c:v>
                </c:pt>
                <c:pt idx="10">
                  <c:v>129.25932790793894</c:v>
                </c:pt>
              </c:numCache>
            </c:numRef>
          </c:val>
          <c:smooth val="0"/>
          <c:extLst xmlns:c16r2="http://schemas.microsoft.com/office/drawing/2015/06/chart">
            <c:ext xmlns:c16="http://schemas.microsoft.com/office/drawing/2014/chart" uri="{C3380CC4-5D6E-409C-BE32-E72D297353CC}">
              <c16:uniqueId val="{00000008-37A5-4E6F-B46A-B95F6FAFE759}"/>
            </c:ext>
          </c:extLst>
        </c:ser>
        <c:ser>
          <c:idx val="10"/>
          <c:order val="9"/>
          <c:tx>
            <c:strRef>
              <c:f>'strukt. stat (prava)'!$V$85</c:f>
              <c:strCache>
                <c:ptCount val="1"/>
                <c:pt idx="0">
                  <c:v>Dr. pred. dej.</c:v>
                </c:pt>
              </c:strCache>
            </c:strRef>
          </c:tx>
          <c:spPr>
            <a:ln w="28575" cap="rnd">
              <a:solidFill>
                <a:schemeClr val="accent5">
                  <a:lumMod val="60000"/>
                </a:schemeClr>
              </a:solidFill>
              <a:round/>
            </a:ln>
            <a:effectLst/>
          </c:spPr>
          <c:marker>
            <c:symbol val="none"/>
          </c:marker>
          <c:cat>
            <c:numRef>
              <c:f>'strukt. stat (prava)'!$W$74:$AG$74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(prava)'!$W$85:$AG$85</c:f>
              <c:numCache>
                <c:formatCode>#,##0</c:formatCode>
                <c:ptCount val="11"/>
                <c:pt idx="0">
                  <c:v>100</c:v>
                </c:pt>
                <c:pt idx="1">
                  <c:v>86.292183639670966</c:v>
                </c:pt>
                <c:pt idx="2">
                  <c:v>94.173431433768215</c:v>
                </c:pt>
                <c:pt idx="3">
                  <c:v>101.71123720576659</c:v>
                </c:pt>
                <c:pt idx="4">
                  <c:v>93.668177992560615</c:v>
                </c:pt>
                <c:pt idx="5">
                  <c:v>90.196562864822312</c:v>
                </c:pt>
                <c:pt idx="6">
                  <c:v>91.597752015855349</c:v>
                </c:pt>
                <c:pt idx="7">
                  <c:v>97.768305595525689</c:v>
                </c:pt>
                <c:pt idx="8">
                  <c:v>123.90736567751769</c:v>
                </c:pt>
                <c:pt idx="9">
                  <c:v>125.52982379931073</c:v>
                </c:pt>
                <c:pt idx="10">
                  <c:v>131.30969511036247</c:v>
                </c:pt>
              </c:numCache>
            </c:numRef>
          </c:val>
          <c:smooth val="0"/>
          <c:extLst xmlns:c16r2="http://schemas.microsoft.com/office/drawing/2015/06/chart">
            <c:ext xmlns:c16="http://schemas.microsoft.com/office/drawing/2014/chart" uri="{C3380CC4-5D6E-409C-BE32-E72D297353CC}">
              <c16:uniqueId val="{00000009-37A5-4E6F-B46A-B95F6FAFE759}"/>
            </c:ext>
          </c:extLst>
        </c:ser>
        <c:dLbls>
          <c:showLegendKey val="0"/>
          <c:showVal val="0"/>
          <c:showCatName val="0"/>
          <c:showSerName val="0"/>
          <c:showPercent val="0"/>
          <c:showBubbleSize val="0"/>
        </c:dLbls>
        <c:marker val="1"/>
        <c:smooth val="0"/>
        <c:axId val="216984192"/>
        <c:axId val="239272320"/>
        <c:extLst xmlns:c16r2="http://schemas.microsoft.com/office/drawing/2015/06/chart">
          <c:ext xmlns:c15="http://schemas.microsoft.com/office/drawing/2012/chart" uri="{02D57815-91ED-43cb-92C2-25804820EDAC}">
            <c15:filteredLineSeries>
              <c15:ser>
                <c:idx val="0"/>
                <c:order val="0"/>
                <c:tx>
                  <c:strRef>
                    <c:extLst>
                      <c:ext uri="{02D57815-91ED-43cb-92C2-25804820EDAC}">
                        <c15:formulaRef>
                          <c15:sqref>'strukt. stat (prava)'!$V$75</c15:sqref>
                        </c15:formulaRef>
                      </c:ext>
                    </c:extLst>
                    <c:strCache>
                      <c:ptCount val="1"/>
                      <c:pt idx="0">
                        <c:v>Pred. dej.</c:v>
                      </c:pt>
                    </c:strCache>
                  </c:strRef>
                </c:tx>
                <c:spPr>
                  <a:ln w="28575" cap="rnd">
                    <a:solidFill>
                      <a:schemeClr val="accent1"/>
                    </a:solidFill>
                    <a:round/>
                  </a:ln>
                  <a:effectLst/>
                </c:spPr>
                <c:marker>
                  <c:symbol val="none"/>
                </c:marker>
                <c:cat>
                  <c:numRef>
                    <c:extLst>
                      <c:ext uri="{02D57815-91ED-43cb-92C2-25804820EDAC}">
                        <c15:formulaRef>
                          <c15:sqref>'strukt. stat (prava)'!$W$74:$AG$74</c15:sqref>
                        </c15:formulaRef>
                      </c:ext>
                    </c:extLst>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extLst>
                      <c:ext uri="{02D57815-91ED-43cb-92C2-25804820EDAC}">
                        <c15:formulaRef>
                          <c15:sqref>'strukt. stat (prava)'!$W$75:$AG$75</c15:sqref>
                        </c15:formulaRef>
                      </c:ext>
                    </c:extLst>
                    <c:numCache>
                      <c:formatCode>#,##0</c:formatCode>
                      <c:ptCount val="11"/>
                      <c:pt idx="0">
                        <c:v>100</c:v>
                      </c:pt>
                      <c:pt idx="1">
                        <c:v>80.528471167535216</c:v>
                      </c:pt>
                      <c:pt idx="2">
                        <c:v>88.782940110916556</c:v>
                      </c:pt>
                      <c:pt idx="3">
                        <c:v>94.560985906310194</c:v>
                      </c:pt>
                      <c:pt idx="4">
                        <c:v>92.522068478604098</c:v>
                      </c:pt>
                      <c:pt idx="5">
                        <c:v>92.32902300919875</c:v>
                      </c:pt>
                      <c:pt idx="6">
                        <c:v>95.55932700528875</c:v>
                      </c:pt>
                      <c:pt idx="7">
                        <c:v>98.825663935953287</c:v>
                      </c:pt>
                      <c:pt idx="8">
                        <c:v>102.16282782537</c:v>
                      </c:pt>
                      <c:pt idx="9">
                        <c:v>113.64306325551271</c:v>
                      </c:pt>
                      <c:pt idx="10">
                        <c:v>121.10001847525129</c:v>
                      </c:pt>
                    </c:numCache>
                  </c:numRef>
                </c:val>
                <c:smooth val="0"/>
                <c:extLst>
                  <c:ext xmlns:c16="http://schemas.microsoft.com/office/drawing/2014/chart" uri="{C3380CC4-5D6E-409C-BE32-E72D297353CC}">
                    <c16:uniqueId val="{0000000A-37A5-4E6F-B46A-B95F6FAFE759}"/>
                  </c:ext>
                </c:extLst>
              </c15:ser>
            </c15:filteredLineSeries>
          </c:ext>
        </c:extLst>
      </c:lineChart>
      <c:catAx>
        <c:axId val="216984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39272320"/>
        <c:crosses val="autoZero"/>
        <c:auto val="1"/>
        <c:lblAlgn val="ctr"/>
        <c:lblOffset val="100"/>
        <c:noMultiLvlLbl val="0"/>
      </c:catAx>
      <c:valAx>
        <c:axId val="239272320"/>
        <c:scaling>
          <c:orientation val="minMax"/>
          <c:max val="145"/>
          <c:min val="65"/>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16984192"/>
        <c:crosses val="autoZero"/>
        <c:crossBetween val="between"/>
      </c:valAx>
      <c:spPr>
        <a:noFill/>
        <a:ln>
          <a:noFill/>
        </a:ln>
        <a:effectLst/>
      </c:spPr>
    </c:plotArea>
    <c:legend>
      <c:legendPos val="b"/>
      <c:layout>
        <c:manualLayout>
          <c:xMode val="edge"/>
          <c:yMode val="edge"/>
          <c:x val="0.79905624873813852"/>
          <c:y val="0.14219143229027673"/>
          <c:w val="0.19211144760751059"/>
          <c:h val="0.8300309842611736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rebuchet MS" panose="020B0603020202020204" pitchFamily="34" charset="0"/>
        </a:defRPr>
      </a:pPr>
      <a:endParaRPr lang="sl-SI"/>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rebuchet MS" panose="020B0603020202020204" pitchFamily="34" charset="0"/>
                <a:ea typeface="+mn-ea"/>
                <a:cs typeface="+mn-cs"/>
              </a:defRPr>
            </a:pPr>
            <a:r>
              <a:rPr lang="sl-SI" sz="1200"/>
              <a:t>Gibanje prihodka v predelovalnih dejavnostih</a:t>
            </a:r>
          </a:p>
        </c:rich>
      </c:tx>
      <c:overlay val="0"/>
      <c:spPr>
        <a:noFill/>
        <a:ln>
          <a:noFill/>
        </a:ln>
        <a:effectLst/>
      </c:spPr>
    </c:title>
    <c:autoTitleDeleted val="0"/>
    <c:plotArea>
      <c:layout>
        <c:manualLayout>
          <c:layoutTarget val="inner"/>
          <c:xMode val="edge"/>
          <c:yMode val="edge"/>
          <c:x val="0.11364678125210879"/>
          <c:y val="0.12914158901447778"/>
          <c:w val="0.87524222974198729"/>
          <c:h val="0.72036209925073058"/>
        </c:manualLayout>
      </c:layout>
      <c:barChart>
        <c:barDir val="col"/>
        <c:grouping val="clustered"/>
        <c:varyColors val="0"/>
        <c:ser>
          <c:idx val="0"/>
          <c:order val="0"/>
          <c:tx>
            <c:v>prihodek od prodaje</c:v>
          </c:tx>
          <c:spPr>
            <a:solidFill>
              <a:schemeClr val="accent5">
                <a:lumMod val="40000"/>
                <a:lumOff val="60000"/>
              </a:schemeClr>
            </a:solidFill>
            <a:ln>
              <a:solidFill>
                <a:schemeClr val="accent5">
                  <a:lumMod val="40000"/>
                  <a:lumOff val="60000"/>
                </a:schemeClr>
              </a:solidFill>
            </a:ln>
            <a:effectLst/>
          </c:spPr>
          <c:invertIfNegative val="0"/>
          <c:cat>
            <c:numRef>
              <c:f>'strukt. stat (prava)'!$AR$33:$BA$33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'strukt. stat (prava)'!$X$31:$AG$31</c:f>
              <c:numCache>
                <c:formatCode>#,##0.0</c:formatCode>
                <c:ptCount val="10"/>
                <c:pt idx="0">
                  <c:v>-19.471528832464724</c:v>
                </c:pt>
                <c:pt idx="1">
                  <c:v>10.250373344612878</c:v>
                </c:pt>
                <c:pt idx="2">
                  <c:v>6.5080586294789669</c:v>
                </c:pt>
                <c:pt idx="3">
                  <c:v>-2.1561930728241672</c:v>
                </c:pt>
                <c:pt idx="4">
                  <c:v>-0.20864802590313047</c:v>
                </c:pt>
                <c:pt idx="5">
                  <c:v>3.4986875099589838</c:v>
                </c:pt>
                <c:pt idx="6">
                  <c:v>3.4181246698020002</c:v>
                </c:pt>
                <c:pt idx="7">
                  <c:v>3.3768190938534435</c:v>
                </c:pt>
                <c:pt idx="8">
                  <c:v>11.237194265771718</c:v>
                </c:pt>
                <c:pt idx="9">
                  <c:v>6.5617337355404572</c:v>
                </c:pt>
              </c:numCache>
            </c:numRef>
          </c:val>
          <c:extLst xmlns:c15="http://schemas.microsoft.com/office/drawing/2012/chart" xmlns:c16r2="http://schemas.microsoft.com/office/drawing/2015/06/chart">
            <c:ext xmlns:c16="http://schemas.microsoft.com/office/drawing/2014/chart" uri="{C3380CC4-5D6E-409C-BE32-E72D297353CC}">
              <c16:uniqueId val="{00000000-409A-4105-8CDF-8818C2AF9B5A}"/>
            </c:ext>
          </c:extLst>
        </c:ser>
        <c:dLbls>
          <c:showLegendKey val="0"/>
          <c:showVal val="0"/>
          <c:showCatName val="0"/>
          <c:showSerName val="0"/>
          <c:showPercent val="0"/>
          <c:showBubbleSize val="0"/>
        </c:dLbls>
        <c:gapWidth val="150"/>
        <c:axId val="235147648"/>
        <c:axId val="235149184"/>
      </c:barChart>
      <c:lineChart>
        <c:grouping val="standard"/>
        <c:varyColors val="0"/>
        <c:ser>
          <c:idx val="4"/>
          <c:order val="1"/>
          <c:tx>
            <c:v>prodaja na domačem trgu</c:v>
          </c:tx>
          <c:spPr>
            <a:ln w="28575" cap="rnd">
              <a:solidFill>
                <a:schemeClr val="accent5"/>
              </a:solidFill>
              <a:round/>
            </a:ln>
            <a:effectLst/>
          </c:spPr>
          <c:marker>
            <c:symbol val="none"/>
          </c:marker>
          <c:cat>
            <c:numRef>
              <c:f>'strukt. stat (prava)'!$AR$33:$BA$33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'strukt. stat (prava)'!$IU$31:$JD$31</c:f>
              <c:numCache>
                <c:formatCode>#,##0.0</c:formatCode>
                <c:ptCount val="10"/>
                <c:pt idx="0">
                  <c:v>-18.485324718351091</c:v>
                </c:pt>
                <c:pt idx="1">
                  <c:v>2.1071420076231817</c:v>
                </c:pt>
                <c:pt idx="2">
                  <c:v>4.6573226573630455</c:v>
                </c:pt>
                <c:pt idx="3">
                  <c:v>-5.0020040696641388</c:v>
                </c:pt>
                <c:pt idx="4">
                  <c:v>-1.0520395073640998</c:v>
                </c:pt>
                <c:pt idx="5">
                  <c:v>2.9434257694328942</c:v>
                </c:pt>
                <c:pt idx="6">
                  <c:v>-3.1976427313977922</c:v>
                </c:pt>
                <c:pt idx="7">
                  <c:v>1.1492393488607746</c:v>
                </c:pt>
                <c:pt idx="8">
                  <c:v>6.3682479859370904</c:v>
                </c:pt>
                <c:pt idx="9">
                  <c:v>6.1716143575983855</c:v>
                </c:pt>
              </c:numCache>
            </c:numRef>
          </c:val>
          <c:smooth val="0"/>
          <c:extLst xmlns:c16r2="http://schemas.microsoft.com/office/drawing/2015/06/chart">
            <c:ext xmlns:c16="http://schemas.microsoft.com/office/drawing/2014/chart" uri="{C3380CC4-5D6E-409C-BE32-E72D297353CC}">
              <c16:uniqueId val="{00000001-409A-4105-8CDF-8818C2AF9B5A}"/>
            </c:ext>
          </c:extLst>
        </c:ser>
        <c:ser>
          <c:idx val="1"/>
          <c:order val="2"/>
          <c:tx>
            <c:v>prodaja na tujem trgu</c:v>
          </c:tx>
          <c:spPr>
            <a:ln w="28575" cap="rnd">
              <a:solidFill>
                <a:schemeClr val="accent2"/>
              </a:solidFill>
              <a:round/>
            </a:ln>
            <a:effectLst/>
          </c:spPr>
          <c:marker>
            <c:symbol val="none"/>
          </c:marker>
          <c:cat>
            <c:numRef>
              <c:f>'strukt. stat (prava)'!$AR$33:$BA$33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'strukt. stat (prava)'!$AR$31:$BA$31</c:f>
              <c:numCache>
                <c:formatCode>#,##0.0</c:formatCode>
                <c:ptCount val="10"/>
                <c:pt idx="0">
                  <c:v>-19.563689804877129</c:v>
                </c:pt>
                <c:pt idx="1">
                  <c:v>15.122995950456568</c:v>
                </c:pt>
                <c:pt idx="2">
                  <c:v>9.7717878541695047</c:v>
                </c:pt>
                <c:pt idx="3">
                  <c:v>-0.4398261024677349</c:v>
                </c:pt>
                <c:pt idx="4">
                  <c:v>8.0578451275400226E-2</c:v>
                </c:pt>
                <c:pt idx="5">
                  <c:v>4.2335001489381394</c:v>
                </c:pt>
                <c:pt idx="6">
                  <c:v>6.9667502456038104</c:v>
                </c:pt>
                <c:pt idx="7">
                  <c:v>5.0702785584535404</c:v>
                </c:pt>
                <c:pt idx="8">
                  <c:v>13.378282964683578</c:v>
                </c:pt>
                <c:pt idx="9">
                  <c:v>6.9248575414924813</c:v>
                </c:pt>
              </c:numCache>
            </c:numRef>
          </c:val>
          <c:smooth val="0"/>
          <c:extLst xmlns:c16r2="http://schemas.microsoft.com/office/drawing/2015/06/chart">
            <c:ext xmlns:c16="http://schemas.microsoft.com/office/drawing/2014/chart" uri="{C3380CC4-5D6E-409C-BE32-E72D297353CC}">
              <c16:uniqueId val="{00000002-409A-4105-8CDF-8818C2AF9B5A}"/>
            </c:ext>
          </c:extLst>
        </c:ser>
        <c:dLbls>
          <c:showLegendKey val="0"/>
          <c:showVal val="0"/>
          <c:showCatName val="0"/>
          <c:showSerName val="0"/>
          <c:showPercent val="0"/>
          <c:showBubbleSize val="0"/>
        </c:dLbls>
        <c:marker val="1"/>
        <c:smooth val="0"/>
        <c:axId val="235147648"/>
        <c:axId val="235149184"/>
        <c:extLst xmlns:c16r2="http://schemas.microsoft.com/office/drawing/2015/06/chart"/>
      </c:lineChart>
      <c:catAx>
        <c:axId val="23514764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35149184"/>
        <c:crosses val="autoZero"/>
        <c:auto val="1"/>
        <c:lblAlgn val="ctr"/>
        <c:lblOffset val="100"/>
        <c:noMultiLvlLbl val="0"/>
      </c:catAx>
      <c:valAx>
        <c:axId val="235149184"/>
        <c:scaling>
          <c:orientation val="minMax"/>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sl-SI"/>
                  <a:t>v</a:t>
                </a:r>
                <a:r>
                  <a:rPr lang="sl-SI" baseline="0"/>
                  <a:t> %</a:t>
                </a:r>
                <a:endParaRPr lang="sl-SI"/>
              </a:p>
            </c:rich>
          </c:tx>
          <c:layout>
            <c:manualLayout>
              <c:xMode val="edge"/>
              <c:yMode val="edge"/>
              <c:x val="1.2458466314711281E-4"/>
              <c:y val="0.3788281321080894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crossAx val="235147648"/>
        <c:crosses val="autoZero"/>
        <c:crossBetween val="between"/>
      </c:valAx>
      <c:spPr>
        <a:noFill/>
        <a:ln>
          <a:noFill/>
        </a:ln>
        <a:effectLst/>
      </c:spPr>
    </c:plotArea>
    <c:legend>
      <c:legendPos val="b"/>
      <c:layout>
        <c:manualLayout>
          <c:xMode val="edge"/>
          <c:yMode val="edge"/>
          <c:x val="0.20254344775631894"/>
          <c:y val="0.61664528995645163"/>
          <c:w val="0.4883826587969145"/>
          <c:h val="0.1917694020859452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sl-SI"/>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rebuchet MS" panose="020B0603020202020204" pitchFamily="34" charset="0"/>
        </a:defRPr>
      </a:pPr>
      <a:endParaRPr lang="sl-SI"/>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l-SI" sz="1200">
                <a:latin typeface="+mn-lt"/>
              </a:rPr>
              <a:t>Gibanje izvoza znotraj predelovalnih</a:t>
            </a:r>
            <a:r>
              <a:rPr lang="sl-SI" sz="1200" baseline="0">
                <a:latin typeface="+mn-lt"/>
              </a:rPr>
              <a:t> dejavnosti</a:t>
            </a:r>
            <a:endParaRPr lang="sl-SI" sz="1200">
              <a:latin typeface="+mn-lt"/>
            </a:endParaRPr>
          </a:p>
          <a:p>
            <a:pPr>
              <a:defRPr sz="1200" b="0" i="0" u="none" strike="noStrike" kern="1200" spc="0" baseline="0">
                <a:solidFill>
                  <a:schemeClr val="tx1">
                    <a:lumMod val="65000"/>
                    <a:lumOff val="35000"/>
                  </a:schemeClr>
                </a:solidFill>
                <a:latin typeface="+mn-lt"/>
                <a:ea typeface="+mn-ea"/>
                <a:cs typeface="+mn-cs"/>
              </a:defRPr>
            </a:pPr>
            <a:r>
              <a:rPr lang="sl-SI" sz="1200">
                <a:latin typeface="+mn-lt"/>
              </a:rPr>
              <a:t>2008=100</a:t>
            </a:r>
          </a:p>
        </c:rich>
      </c:tx>
      <c:overlay val="0"/>
      <c:spPr>
        <a:noFill/>
        <a:ln>
          <a:noFill/>
        </a:ln>
        <a:effectLst/>
      </c:spPr>
    </c:title>
    <c:autoTitleDeleted val="0"/>
    <c:plotArea>
      <c:layout>
        <c:manualLayout>
          <c:layoutTarget val="inner"/>
          <c:xMode val="edge"/>
          <c:yMode val="edge"/>
          <c:x val="7.3219094200462451E-2"/>
          <c:y val="0.16597075929256808"/>
          <c:w val="0.72671127194539265"/>
          <c:h val="0.73493277716733252"/>
        </c:manualLayout>
      </c:layout>
      <c:lineChart>
        <c:grouping val="standard"/>
        <c:varyColors val="0"/>
        <c:ser>
          <c:idx val="1"/>
          <c:order val="0"/>
          <c:tx>
            <c:strRef>
              <c:f>'strukt. stat (prava)'!$AP$76</c:f>
              <c:strCache>
                <c:ptCount val="1"/>
                <c:pt idx="0">
                  <c:v>Prehr. ind.</c:v>
                </c:pt>
              </c:strCache>
            </c:strRef>
          </c:tx>
          <c:spPr>
            <a:ln w="28575" cap="rnd">
              <a:solidFill>
                <a:schemeClr val="accent2"/>
              </a:solidFill>
              <a:round/>
            </a:ln>
            <a:effectLst/>
          </c:spPr>
          <c:marker>
            <c:symbol val="none"/>
          </c:marker>
          <c:cat>
            <c:numRef>
              <c:f>'strukt. stat (prava)'!$AQ$74:$BA$74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(prava)'!$AQ$76:$BA$76</c:f>
              <c:numCache>
                <c:formatCode>#,##0</c:formatCode>
                <c:ptCount val="11"/>
                <c:pt idx="0">
                  <c:v>100</c:v>
                </c:pt>
                <c:pt idx="1">
                  <c:v>89.508888008638564</c:v>
                </c:pt>
                <c:pt idx="2">
                  <c:v>96.86754532303712</c:v>
                </c:pt>
                <c:pt idx="3">
                  <c:v>110.58528096133473</c:v>
                </c:pt>
                <c:pt idx="4">
                  <c:v>116.85459831023375</c:v>
                </c:pt>
                <c:pt idx="5">
                  <c:v>114.07315813173828</c:v>
                </c:pt>
                <c:pt idx="6">
                  <c:v>121.02179209231375</c:v>
                </c:pt>
                <c:pt idx="7">
                  <c:v>130.15273359015788</c:v>
                </c:pt>
                <c:pt idx="8">
                  <c:v>138.02129471269851</c:v>
                </c:pt>
                <c:pt idx="9">
                  <c:v>155.56953845980655</c:v>
                </c:pt>
                <c:pt idx="10">
                  <c:v>162.74761186526538</c:v>
                </c:pt>
              </c:numCache>
            </c:numRef>
          </c:val>
          <c:smooth val="0"/>
          <c:extLst xmlns:c16r2="http://schemas.microsoft.com/office/drawing/2015/06/chart">
            <c:ext xmlns:c16="http://schemas.microsoft.com/office/drawing/2014/chart" uri="{C3380CC4-5D6E-409C-BE32-E72D297353CC}">
              <c16:uniqueId val="{00000000-5138-4B6F-A062-4113C550EBDE}"/>
            </c:ext>
          </c:extLst>
        </c:ser>
        <c:ser>
          <c:idx val="2"/>
          <c:order val="1"/>
          <c:tx>
            <c:strRef>
              <c:f>'strukt. stat (prava)'!$AP$77</c:f>
              <c:strCache>
                <c:ptCount val="1"/>
                <c:pt idx="0">
                  <c:v>Tekst. ind.</c:v>
                </c:pt>
              </c:strCache>
            </c:strRef>
          </c:tx>
          <c:spPr>
            <a:ln w="28575" cap="rnd">
              <a:solidFill>
                <a:schemeClr val="accent3"/>
              </a:solidFill>
              <a:round/>
            </a:ln>
            <a:effectLst/>
          </c:spPr>
          <c:marker>
            <c:symbol val="none"/>
          </c:marker>
          <c:cat>
            <c:numRef>
              <c:f>'strukt. stat (prava)'!$AQ$74:$BA$74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(prava)'!$AQ$77:$BA$77</c:f>
              <c:numCache>
                <c:formatCode>#,##0</c:formatCode>
                <c:ptCount val="11"/>
                <c:pt idx="0">
                  <c:v>100</c:v>
                </c:pt>
                <c:pt idx="1">
                  <c:v>68.422795911055758</c:v>
                </c:pt>
                <c:pt idx="2">
                  <c:v>76.840732943658239</c:v>
                </c:pt>
                <c:pt idx="3">
                  <c:v>95.526698910897778</c:v>
                </c:pt>
                <c:pt idx="4">
                  <c:v>88.912603801364426</c:v>
                </c:pt>
                <c:pt idx="5">
                  <c:v>83.825983002557678</c:v>
                </c:pt>
                <c:pt idx="6">
                  <c:v>76.410881197734469</c:v>
                </c:pt>
                <c:pt idx="7">
                  <c:v>79.159812575450218</c:v>
                </c:pt>
                <c:pt idx="8">
                  <c:v>81.500456454615332</c:v>
                </c:pt>
                <c:pt idx="9">
                  <c:v>89.362566374175273</c:v>
                </c:pt>
                <c:pt idx="10">
                  <c:v>96.917492211211922</c:v>
                </c:pt>
              </c:numCache>
            </c:numRef>
          </c:val>
          <c:smooth val="0"/>
          <c:extLst xmlns:c16r2="http://schemas.microsoft.com/office/drawing/2015/06/chart">
            <c:ext xmlns:c16="http://schemas.microsoft.com/office/drawing/2014/chart" uri="{C3380CC4-5D6E-409C-BE32-E72D297353CC}">
              <c16:uniqueId val="{00000001-5138-4B6F-A062-4113C550EBDE}"/>
            </c:ext>
          </c:extLst>
        </c:ser>
        <c:ser>
          <c:idx val="3"/>
          <c:order val="2"/>
          <c:tx>
            <c:strRef>
              <c:f>'strukt. stat (prava)'!$AP$78</c:f>
              <c:strCache>
                <c:ptCount val="1"/>
                <c:pt idx="0">
                  <c:v>Lesna ind.</c:v>
                </c:pt>
              </c:strCache>
            </c:strRef>
          </c:tx>
          <c:spPr>
            <a:ln w="28575" cap="rnd">
              <a:solidFill>
                <a:schemeClr val="accent4"/>
              </a:solidFill>
              <a:round/>
            </a:ln>
            <a:effectLst/>
          </c:spPr>
          <c:marker>
            <c:symbol val="none"/>
          </c:marker>
          <c:cat>
            <c:numRef>
              <c:f>'strukt. stat (prava)'!$AQ$74:$BA$74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(prava)'!$AQ$78:$BA$78</c:f>
              <c:numCache>
                <c:formatCode>#,##0</c:formatCode>
                <c:ptCount val="11"/>
                <c:pt idx="0">
                  <c:v>100</c:v>
                </c:pt>
                <c:pt idx="1">
                  <c:v>78.157845672038718</c:v>
                </c:pt>
                <c:pt idx="2">
                  <c:v>87.370673192341158</c:v>
                </c:pt>
                <c:pt idx="3">
                  <c:v>87.393394588614768</c:v>
                </c:pt>
                <c:pt idx="4">
                  <c:v>88.0285176980464</c:v>
                </c:pt>
                <c:pt idx="5">
                  <c:v>85.597184681078858</c:v>
                </c:pt>
                <c:pt idx="6">
                  <c:v>91.824217614919192</c:v>
                </c:pt>
                <c:pt idx="7">
                  <c:v>102.15588280577313</c:v>
                </c:pt>
                <c:pt idx="8">
                  <c:v>114.4695543177658</c:v>
                </c:pt>
                <c:pt idx="9">
                  <c:v>124.00659523677871</c:v>
                </c:pt>
                <c:pt idx="10">
                  <c:v>135.27413970488138</c:v>
                </c:pt>
              </c:numCache>
            </c:numRef>
          </c:val>
          <c:smooth val="0"/>
          <c:extLst xmlns:c16r2="http://schemas.microsoft.com/office/drawing/2015/06/chart">
            <c:ext xmlns:c16="http://schemas.microsoft.com/office/drawing/2014/chart" uri="{C3380CC4-5D6E-409C-BE32-E72D297353CC}">
              <c16:uniqueId val="{00000002-5138-4B6F-A062-4113C550EBDE}"/>
            </c:ext>
          </c:extLst>
        </c:ser>
        <c:ser>
          <c:idx val="4"/>
          <c:order val="3"/>
          <c:tx>
            <c:strRef>
              <c:f>'strukt. stat (prava)'!$AP$79</c:f>
              <c:strCache>
                <c:ptCount val="1"/>
                <c:pt idx="0">
                  <c:v>Papir. ind.</c:v>
                </c:pt>
              </c:strCache>
            </c:strRef>
          </c:tx>
          <c:spPr>
            <a:ln w="28575" cap="rnd">
              <a:solidFill>
                <a:schemeClr val="accent5"/>
              </a:solidFill>
              <a:round/>
            </a:ln>
            <a:effectLst/>
          </c:spPr>
          <c:marker>
            <c:symbol val="none"/>
          </c:marker>
          <c:cat>
            <c:numRef>
              <c:f>'strukt. stat (prava)'!$AQ$74:$BA$74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(prava)'!$AQ$79:$BA$79</c:f>
              <c:numCache>
                <c:formatCode>#,##0</c:formatCode>
                <c:ptCount val="11"/>
                <c:pt idx="0">
                  <c:v>100</c:v>
                </c:pt>
                <c:pt idx="1">
                  <c:v>96.032731126373605</c:v>
                </c:pt>
                <c:pt idx="2">
                  <c:v>103.78490855685936</c:v>
                </c:pt>
                <c:pt idx="3">
                  <c:v>110.57289560967455</c:v>
                </c:pt>
                <c:pt idx="4">
                  <c:v>106.66661669702171</c:v>
                </c:pt>
                <c:pt idx="5">
                  <c:v>112.85237236138639</c:v>
                </c:pt>
                <c:pt idx="6">
                  <c:v>118.45264880504212</c:v>
                </c:pt>
                <c:pt idx="7">
                  <c:v>123.60671293089906</c:v>
                </c:pt>
                <c:pt idx="8">
                  <c:v>125.79833850295287</c:v>
                </c:pt>
                <c:pt idx="9">
                  <c:v>133.54478340990499</c:v>
                </c:pt>
                <c:pt idx="10">
                  <c:v>136.13558869976112</c:v>
                </c:pt>
              </c:numCache>
            </c:numRef>
          </c:val>
          <c:smooth val="0"/>
          <c:extLst xmlns:c16r2="http://schemas.microsoft.com/office/drawing/2015/06/chart">
            <c:ext xmlns:c16="http://schemas.microsoft.com/office/drawing/2014/chart" uri="{C3380CC4-5D6E-409C-BE32-E72D297353CC}">
              <c16:uniqueId val="{00000003-5138-4B6F-A062-4113C550EBDE}"/>
            </c:ext>
          </c:extLst>
        </c:ser>
        <c:ser>
          <c:idx val="5"/>
          <c:order val="4"/>
          <c:tx>
            <c:strRef>
              <c:f>'strukt. stat (prava)'!$AP$80</c:f>
              <c:strCache>
                <c:ptCount val="1"/>
                <c:pt idx="0">
                  <c:v>Kemij. ind.</c:v>
                </c:pt>
              </c:strCache>
            </c:strRef>
          </c:tx>
          <c:spPr>
            <a:ln w="28575" cap="rnd">
              <a:solidFill>
                <a:schemeClr val="accent6"/>
              </a:solidFill>
              <a:round/>
            </a:ln>
            <a:effectLst/>
          </c:spPr>
          <c:marker>
            <c:symbol val="none"/>
          </c:marker>
          <c:cat>
            <c:numRef>
              <c:f>'strukt. stat (prava)'!$AQ$74:$BA$74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(prava)'!$AQ$80:$BA$80</c:f>
              <c:numCache>
                <c:formatCode>#,##0</c:formatCode>
                <c:ptCount val="11"/>
                <c:pt idx="0">
                  <c:v>100</c:v>
                </c:pt>
                <c:pt idx="1">
                  <c:v>88.567659155131736</c:v>
                </c:pt>
                <c:pt idx="2">
                  <c:v>100.02354625106034</c:v>
                </c:pt>
                <c:pt idx="3">
                  <c:v>106.31295135462</c:v>
                </c:pt>
                <c:pt idx="4">
                  <c:v>107.01654561382981</c:v>
                </c:pt>
                <c:pt idx="5">
                  <c:v>116.80497060860091</c:v>
                </c:pt>
                <c:pt idx="6">
                  <c:v>120.98901447340967</c:v>
                </c:pt>
                <c:pt idx="7">
                  <c:v>122.24222100706092</c:v>
                </c:pt>
                <c:pt idx="8">
                  <c:v>123.22085995523592</c:v>
                </c:pt>
                <c:pt idx="9">
                  <c:v>133.29396454891156</c:v>
                </c:pt>
                <c:pt idx="10">
                  <c:v>141.25916028688403</c:v>
                </c:pt>
              </c:numCache>
            </c:numRef>
          </c:val>
          <c:smooth val="0"/>
          <c:extLst xmlns:c16r2="http://schemas.microsoft.com/office/drawing/2015/06/chart">
            <c:ext xmlns:c16="http://schemas.microsoft.com/office/drawing/2014/chart" uri="{C3380CC4-5D6E-409C-BE32-E72D297353CC}">
              <c16:uniqueId val="{00000004-5138-4B6F-A062-4113C550EBDE}"/>
            </c:ext>
          </c:extLst>
        </c:ser>
        <c:ser>
          <c:idx val="6"/>
          <c:order val="5"/>
          <c:tx>
            <c:strRef>
              <c:f>'strukt. stat (prava)'!$AP$81</c:f>
              <c:strCache>
                <c:ptCount val="1"/>
                <c:pt idx="0">
                  <c:v>Nekov. ind.</c:v>
                </c:pt>
              </c:strCache>
            </c:strRef>
          </c:tx>
          <c:spPr>
            <a:ln w="28575" cap="rnd">
              <a:solidFill>
                <a:schemeClr val="accent1">
                  <a:lumMod val="60000"/>
                </a:schemeClr>
              </a:solidFill>
              <a:round/>
            </a:ln>
            <a:effectLst/>
          </c:spPr>
          <c:marker>
            <c:symbol val="none"/>
          </c:marker>
          <c:cat>
            <c:numRef>
              <c:f>'strukt. stat (prava)'!$AQ$74:$BA$74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(prava)'!$AQ$81:$BA$81</c:f>
              <c:numCache>
                <c:formatCode>#,##0</c:formatCode>
                <c:ptCount val="11"/>
                <c:pt idx="0">
                  <c:v>100</c:v>
                </c:pt>
                <c:pt idx="1">
                  <c:v>67.913054587465297</c:v>
                </c:pt>
                <c:pt idx="2">
                  <c:v>92.323711220075438</c:v>
                </c:pt>
                <c:pt idx="3">
                  <c:v>105.83236422964464</c:v>
                </c:pt>
                <c:pt idx="4">
                  <c:v>108.45196695317929</c:v>
                </c:pt>
                <c:pt idx="5">
                  <c:v>110.90098148797426</c:v>
                </c:pt>
                <c:pt idx="6">
                  <c:v>115.94988347954452</c:v>
                </c:pt>
                <c:pt idx="7">
                  <c:v>128.58375485555794</c:v>
                </c:pt>
                <c:pt idx="8">
                  <c:v>129.70474869780821</c:v>
                </c:pt>
                <c:pt idx="9">
                  <c:v>132.92366042175175</c:v>
                </c:pt>
                <c:pt idx="10">
                  <c:v>144.40682076981975</c:v>
                </c:pt>
              </c:numCache>
            </c:numRef>
          </c:val>
          <c:smooth val="0"/>
          <c:extLst xmlns:c16r2="http://schemas.microsoft.com/office/drawing/2015/06/chart">
            <c:ext xmlns:c16="http://schemas.microsoft.com/office/drawing/2014/chart" uri="{C3380CC4-5D6E-409C-BE32-E72D297353CC}">
              <c16:uniqueId val="{00000005-5138-4B6F-A062-4113C550EBDE}"/>
            </c:ext>
          </c:extLst>
        </c:ser>
        <c:ser>
          <c:idx val="7"/>
          <c:order val="6"/>
          <c:tx>
            <c:strRef>
              <c:f>'strukt. stat (prava)'!$AP$82</c:f>
              <c:strCache>
                <c:ptCount val="1"/>
                <c:pt idx="0">
                  <c:v>Kovin. ind.</c:v>
                </c:pt>
              </c:strCache>
            </c:strRef>
          </c:tx>
          <c:spPr>
            <a:ln w="28575" cap="rnd">
              <a:solidFill>
                <a:schemeClr val="accent2">
                  <a:lumMod val="60000"/>
                </a:schemeClr>
              </a:solidFill>
              <a:round/>
            </a:ln>
            <a:effectLst/>
          </c:spPr>
          <c:marker>
            <c:symbol val="none"/>
          </c:marker>
          <c:cat>
            <c:numRef>
              <c:f>'strukt. stat (prava)'!$AQ$74:$BA$74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(prava)'!$AQ$82:$BA$82</c:f>
              <c:numCache>
                <c:formatCode>#,##0</c:formatCode>
                <c:ptCount val="11"/>
                <c:pt idx="0">
                  <c:v>100</c:v>
                </c:pt>
                <c:pt idx="1">
                  <c:v>63.06912034973783</c:v>
                </c:pt>
                <c:pt idx="2">
                  <c:v>81.255403028540513</c:v>
                </c:pt>
                <c:pt idx="3">
                  <c:v>95.539660842624585</c:v>
                </c:pt>
                <c:pt idx="4">
                  <c:v>95.329044929269031</c:v>
                </c:pt>
                <c:pt idx="5">
                  <c:v>95.398413094537943</c:v>
                </c:pt>
                <c:pt idx="6">
                  <c:v>100.62689668468144</c:v>
                </c:pt>
                <c:pt idx="7">
                  <c:v>108.81379542673658</c:v>
                </c:pt>
                <c:pt idx="8">
                  <c:v>125.1814295564879</c:v>
                </c:pt>
                <c:pt idx="9">
                  <c:v>140.53352114032666</c:v>
                </c:pt>
                <c:pt idx="10">
                  <c:v>149.80643904400767</c:v>
                </c:pt>
              </c:numCache>
            </c:numRef>
          </c:val>
          <c:smooth val="0"/>
          <c:extLst xmlns:c16r2="http://schemas.microsoft.com/office/drawing/2015/06/chart">
            <c:ext xmlns:c16="http://schemas.microsoft.com/office/drawing/2014/chart" uri="{C3380CC4-5D6E-409C-BE32-E72D297353CC}">
              <c16:uniqueId val="{00000006-5138-4B6F-A062-4113C550EBDE}"/>
            </c:ext>
          </c:extLst>
        </c:ser>
        <c:ser>
          <c:idx val="8"/>
          <c:order val="7"/>
          <c:tx>
            <c:strRef>
              <c:f>'strukt. stat (prava)'!$AP$83</c:f>
              <c:strCache>
                <c:ptCount val="1"/>
                <c:pt idx="0">
                  <c:v>Elektro ind.</c:v>
                </c:pt>
              </c:strCache>
            </c:strRef>
          </c:tx>
          <c:spPr>
            <a:ln w="28575" cap="rnd">
              <a:solidFill>
                <a:schemeClr val="accent3">
                  <a:lumMod val="60000"/>
                </a:schemeClr>
              </a:solidFill>
              <a:round/>
            </a:ln>
            <a:effectLst/>
          </c:spPr>
          <c:marker>
            <c:symbol val="none"/>
          </c:marker>
          <c:cat>
            <c:numRef>
              <c:f>'strukt. stat (prava)'!$AQ$74:$BA$74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(prava)'!$AQ$83:$BA$83</c:f>
              <c:numCache>
                <c:formatCode>#,##0</c:formatCode>
                <c:ptCount val="11"/>
                <c:pt idx="0">
                  <c:v>100</c:v>
                </c:pt>
                <c:pt idx="1">
                  <c:v>79.947680416597066</c:v>
                </c:pt>
                <c:pt idx="2">
                  <c:v>94.028504497665281</c:v>
                </c:pt>
                <c:pt idx="3">
                  <c:v>102.17150317175788</c:v>
                </c:pt>
                <c:pt idx="4">
                  <c:v>102.1676728856926</c:v>
                </c:pt>
                <c:pt idx="5">
                  <c:v>101.91872035608054</c:v>
                </c:pt>
                <c:pt idx="6">
                  <c:v>104.48874299725328</c:v>
                </c:pt>
                <c:pt idx="7">
                  <c:v>108.67225742390085</c:v>
                </c:pt>
                <c:pt idx="8">
                  <c:v>134.57887876706477</c:v>
                </c:pt>
                <c:pt idx="9">
                  <c:v>149.59013947618283</c:v>
                </c:pt>
                <c:pt idx="10">
                  <c:v>156.02113255783706</c:v>
                </c:pt>
              </c:numCache>
            </c:numRef>
          </c:val>
          <c:smooth val="0"/>
          <c:extLst xmlns:c16r2="http://schemas.microsoft.com/office/drawing/2015/06/chart">
            <c:ext xmlns:c16="http://schemas.microsoft.com/office/drawing/2014/chart" uri="{C3380CC4-5D6E-409C-BE32-E72D297353CC}">
              <c16:uniqueId val="{00000007-5138-4B6F-A062-4113C550EBDE}"/>
            </c:ext>
          </c:extLst>
        </c:ser>
        <c:ser>
          <c:idx val="9"/>
          <c:order val="8"/>
          <c:tx>
            <c:strRef>
              <c:f>'strukt. stat (prava)'!$AP$84</c:f>
              <c:strCache>
                <c:ptCount val="1"/>
                <c:pt idx="0">
                  <c:v>Stroj. ind.</c:v>
                </c:pt>
              </c:strCache>
            </c:strRef>
          </c:tx>
          <c:spPr>
            <a:ln w="28575" cap="rnd">
              <a:solidFill>
                <a:schemeClr val="accent4">
                  <a:lumMod val="60000"/>
                </a:schemeClr>
              </a:solidFill>
              <a:round/>
            </a:ln>
            <a:effectLst/>
          </c:spPr>
          <c:marker>
            <c:symbol val="none"/>
          </c:marker>
          <c:cat>
            <c:numRef>
              <c:f>'strukt. stat (prava)'!$AQ$74:$BA$74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(prava)'!$AQ$84:$BA$84</c:f>
              <c:numCache>
                <c:formatCode>#,##0</c:formatCode>
                <c:ptCount val="11"/>
                <c:pt idx="0">
                  <c:v>100</c:v>
                </c:pt>
                <c:pt idx="1">
                  <c:v>87.141923675322261</c:v>
                </c:pt>
                <c:pt idx="2">
                  <c:v>96.136885081159178</c:v>
                </c:pt>
                <c:pt idx="3">
                  <c:v>102.06088538957607</c:v>
                </c:pt>
                <c:pt idx="4">
                  <c:v>100.57755762493809</c:v>
                </c:pt>
                <c:pt idx="5">
                  <c:v>92.548245342213406</c:v>
                </c:pt>
                <c:pt idx="6">
                  <c:v>98.100023397638509</c:v>
                </c:pt>
                <c:pt idx="7">
                  <c:v>111.71054643751019</c:v>
                </c:pt>
                <c:pt idx="8">
                  <c:v>102.53460963675289</c:v>
                </c:pt>
                <c:pt idx="9">
                  <c:v>128.30823390099036</c:v>
                </c:pt>
                <c:pt idx="10">
                  <c:v>141.36883139350124</c:v>
                </c:pt>
              </c:numCache>
            </c:numRef>
          </c:val>
          <c:smooth val="0"/>
          <c:extLst xmlns:c16r2="http://schemas.microsoft.com/office/drawing/2015/06/chart">
            <c:ext xmlns:c16="http://schemas.microsoft.com/office/drawing/2014/chart" uri="{C3380CC4-5D6E-409C-BE32-E72D297353CC}">
              <c16:uniqueId val="{00000008-5138-4B6F-A062-4113C550EBDE}"/>
            </c:ext>
          </c:extLst>
        </c:ser>
        <c:ser>
          <c:idx val="10"/>
          <c:order val="9"/>
          <c:tx>
            <c:strRef>
              <c:f>'strukt. stat (prava)'!$AP$85</c:f>
              <c:strCache>
                <c:ptCount val="1"/>
                <c:pt idx="0">
                  <c:v>Dr. pred. dej.</c:v>
                </c:pt>
              </c:strCache>
            </c:strRef>
          </c:tx>
          <c:spPr>
            <a:ln w="28575" cap="rnd">
              <a:solidFill>
                <a:schemeClr val="accent5">
                  <a:lumMod val="60000"/>
                </a:schemeClr>
              </a:solidFill>
              <a:round/>
            </a:ln>
            <a:effectLst/>
          </c:spPr>
          <c:marker>
            <c:symbol val="none"/>
          </c:marker>
          <c:cat>
            <c:numRef>
              <c:f>'strukt. stat (prava)'!$AQ$74:$BA$74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'strukt. stat (prava)'!$AQ$85:$BA$85</c:f>
              <c:numCache>
                <c:formatCode>#,##0</c:formatCode>
                <c:ptCount val="11"/>
                <c:pt idx="0">
                  <c:v>100</c:v>
                </c:pt>
                <c:pt idx="1">
                  <c:v>80.821634157168489</c:v>
                </c:pt>
                <c:pt idx="2">
                  <c:v>71.875489528791505</c:v>
                </c:pt>
                <c:pt idx="3">
                  <c:v>110.02550605028119</c:v>
                </c:pt>
                <c:pt idx="4">
                  <c:v>110.09139764576156</c:v>
                </c:pt>
                <c:pt idx="5">
                  <c:v>118.10843165605837</c:v>
                </c:pt>
                <c:pt idx="6">
                  <c:v>131.45574887724516</c:v>
                </c:pt>
                <c:pt idx="7">
                  <c:v>144.43120331726098</c:v>
                </c:pt>
                <c:pt idx="8">
                  <c:v>144.95423763532472</c:v>
                </c:pt>
                <c:pt idx="9">
                  <c:v>177.56315609005756</c:v>
                </c:pt>
                <c:pt idx="10">
                  <c:v>189.11855233152059</c:v>
                </c:pt>
              </c:numCache>
            </c:numRef>
          </c:val>
          <c:smooth val="0"/>
          <c:extLst xmlns:c16r2="http://schemas.microsoft.com/office/drawing/2015/06/chart">
            <c:ext xmlns:c16="http://schemas.microsoft.com/office/drawing/2014/chart" uri="{C3380CC4-5D6E-409C-BE32-E72D297353CC}">
              <c16:uniqueId val="{00000009-5138-4B6F-A062-4113C550EBDE}"/>
            </c:ext>
          </c:extLst>
        </c:ser>
        <c:dLbls>
          <c:showLegendKey val="0"/>
          <c:showVal val="0"/>
          <c:showCatName val="0"/>
          <c:showSerName val="0"/>
          <c:showPercent val="0"/>
          <c:showBubbleSize val="0"/>
        </c:dLbls>
        <c:marker val="1"/>
        <c:smooth val="0"/>
        <c:axId val="235207296"/>
        <c:axId val="244261248"/>
        <c:extLst xmlns:c16r2="http://schemas.microsoft.com/office/drawing/2015/06/chart">
          <c:ext xmlns:c15="http://schemas.microsoft.com/office/drawing/2012/chart" uri="{02D57815-91ED-43cb-92C2-25804820EDAC}">
            <c15:filteredLineSeries>
              <c15:ser>
                <c:idx val="0"/>
                <c:order val="0"/>
                <c:tx>
                  <c:strRef>
                    <c:extLst>
                      <c:ext uri="{02D57815-91ED-43cb-92C2-25804820EDAC}">
                        <c15:formulaRef>
                          <c15:sqref>'strukt. stat (prava)'!$AP$75</c15:sqref>
                        </c15:formulaRef>
                      </c:ext>
                    </c:extLst>
                    <c:strCache>
                      <c:ptCount val="1"/>
                      <c:pt idx="0">
                        <c:v>Pred. dej.</c:v>
                      </c:pt>
                    </c:strCache>
                  </c:strRef>
                </c:tx>
                <c:spPr>
                  <a:ln w="28575" cap="rnd">
                    <a:solidFill>
                      <a:schemeClr val="accent1"/>
                    </a:solidFill>
                    <a:round/>
                  </a:ln>
                  <a:effectLst/>
                </c:spPr>
                <c:marker>
                  <c:symbol val="none"/>
                </c:marker>
                <c:cat>
                  <c:numRef>
                    <c:extLst>
                      <c:ext uri="{02D57815-91ED-43cb-92C2-25804820EDAC}">
                        <c15:formulaRef>
                          <c15:sqref>'strukt. stat (prava)'!$AQ$74:$BA$74</c15:sqref>
                        </c15:formulaRef>
                      </c:ext>
                    </c:extLst>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extLst>
                      <c:ext uri="{02D57815-91ED-43cb-92C2-25804820EDAC}">
                        <c15:formulaRef>
                          <c15:sqref>'strukt. stat (prava)'!$AQ$75:$BA$75</c15:sqref>
                        </c15:formulaRef>
                      </c:ext>
                    </c:extLst>
                    <c:numCache>
                      <c:formatCode>#,##0</c:formatCode>
                      <c:ptCount val="11"/>
                      <c:pt idx="0">
                        <c:v>100</c:v>
                      </c:pt>
                      <c:pt idx="1">
                        <c:v>80.436310195122772</c:v>
                      </c:pt>
                      <c:pt idx="2">
                        <c:v>92.600690128627875</c:v>
                      </c:pt>
                      <c:pt idx="3">
                        <c:v>101.64943311949426</c:v>
                      </c:pt>
                      <c:pt idx="4">
                        <c:v>101.20235237962424</c:v>
                      </c:pt>
                      <c:pt idx="5">
                        <c:v>101.28389966782603</c:v>
                      </c:pt>
                      <c:pt idx="6">
                        <c:v>105.57175371111379</c:v>
                      </c:pt>
                      <c:pt idx="7">
                        <c:v>112.92667412207105</c:v>
                      </c:pt>
                      <c:pt idx="8">
                        <c:v>118.65237106685711</c:v>
                      </c:pt>
                      <c:pt idx="9">
                        <c:v>134.5260210124876</c:v>
                      </c:pt>
                      <c:pt idx="10">
                        <c:v>143.84175632384063</c:v>
                      </c:pt>
                    </c:numCache>
                  </c:numRef>
                </c:val>
                <c:smooth val="0"/>
                <c:extLst>
                  <c:ext xmlns:c16="http://schemas.microsoft.com/office/drawing/2014/chart" uri="{C3380CC4-5D6E-409C-BE32-E72D297353CC}">
                    <c16:uniqueId val="{0000000A-5138-4B6F-A062-4113C550EBDE}"/>
                  </c:ext>
                </c:extLst>
              </c15:ser>
            </c15:filteredLineSeries>
          </c:ext>
        </c:extLst>
      </c:lineChart>
      <c:catAx>
        <c:axId val="23520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44261248"/>
        <c:crosses val="autoZero"/>
        <c:auto val="1"/>
        <c:lblAlgn val="ctr"/>
        <c:lblOffset val="100"/>
        <c:noMultiLvlLbl val="0"/>
      </c:catAx>
      <c:valAx>
        <c:axId val="244261248"/>
        <c:scaling>
          <c:orientation val="minMax"/>
          <c:max val="190"/>
          <c:min val="5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35207296"/>
        <c:crosses val="autoZero"/>
        <c:crossBetween val="between"/>
      </c:valAx>
      <c:spPr>
        <a:noFill/>
        <a:ln>
          <a:noFill/>
        </a:ln>
        <a:effectLst/>
      </c:spPr>
    </c:plotArea>
    <c:legend>
      <c:legendPos val="b"/>
      <c:layout>
        <c:manualLayout>
          <c:xMode val="edge"/>
          <c:yMode val="edge"/>
          <c:x val="0.78470912082904987"/>
          <c:y val="0.1188104953003504"/>
          <c:w val="0.20645868871843012"/>
          <c:h val="0.853411882449278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rebuchet MS" panose="020B0603020202020204" pitchFamily="34" charset="0"/>
        </a:defRPr>
      </a:pPr>
      <a:endParaRPr lang="sl-SI"/>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Delež prihodka na tujem trgu</a:t>
            </a:r>
            <a:r>
              <a:rPr lang="sl-SI" baseline="0"/>
              <a:t>, v %, 2018</a:t>
            </a:r>
            <a:endParaRPr lang="sl-SI"/>
          </a:p>
        </c:rich>
      </c:tx>
      <c:overlay val="0"/>
      <c:spPr>
        <a:noFill/>
        <a:ln>
          <a:noFill/>
        </a:ln>
        <a:effectLst/>
      </c:spPr>
    </c:title>
    <c:autoTitleDeleted val="0"/>
    <c:plotArea>
      <c:layout/>
      <c:barChart>
        <c:barDir val="col"/>
        <c:grouping val="clustered"/>
        <c:varyColors val="0"/>
        <c:ser>
          <c:idx val="0"/>
          <c:order val="0"/>
          <c:tx>
            <c:strRef>
              <c:f>'strukt. stat (prava)'!$LL$33</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'strukt. stat (prava)'!$LA$34:$LA$44</c:f>
              <c:strCache>
                <c:ptCount val="11"/>
                <c:pt idx="0">
                  <c:v>Pred. dej.</c:v>
                </c:pt>
                <c:pt idx="1">
                  <c:v>Prehr. ind.</c:v>
                </c:pt>
                <c:pt idx="2">
                  <c:v>Tekst. ind.</c:v>
                </c:pt>
                <c:pt idx="3">
                  <c:v>Lesna ind.</c:v>
                </c:pt>
                <c:pt idx="4">
                  <c:v>Papir. ind.</c:v>
                </c:pt>
                <c:pt idx="5">
                  <c:v>Kemij. ind.</c:v>
                </c:pt>
                <c:pt idx="6">
                  <c:v>Nekov. ind.</c:v>
                </c:pt>
                <c:pt idx="7">
                  <c:v>Kovin. ind.</c:v>
                </c:pt>
                <c:pt idx="8">
                  <c:v>Elektro ind.</c:v>
                </c:pt>
                <c:pt idx="9">
                  <c:v>Stroj. ind.</c:v>
                </c:pt>
                <c:pt idx="10">
                  <c:v>Dr. pred. rej.</c:v>
                </c:pt>
              </c:strCache>
            </c:strRef>
          </c:cat>
          <c:val>
            <c:numRef>
              <c:f>'strukt. stat (prava)'!$LL$34:$LL$44</c:f>
              <c:numCache>
                <c:formatCode>0%</c:formatCode>
                <c:ptCount val="11"/>
                <c:pt idx="0">
                  <c:v>0.69581187404894562</c:v>
                </c:pt>
                <c:pt idx="1">
                  <c:v>0.26421596325250502</c:v>
                </c:pt>
                <c:pt idx="2">
                  <c:v>0.73889923836809468</c:v>
                </c:pt>
                <c:pt idx="3">
                  <c:v>0.54931310090248742</c:v>
                </c:pt>
                <c:pt idx="4">
                  <c:v>0.57295022982771149</c:v>
                </c:pt>
                <c:pt idx="5">
                  <c:v>0.78741084206352863</c:v>
                </c:pt>
                <c:pt idx="6">
                  <c:v>0.58070847181566065</c:v>
                </c:pt>
                <c:pt idx="7">
                  <c:v>0.66750039594252586</c:v>
                </c:pt>
                <c:pt idx="8">
                  <c:v>0.80360081411151174</c:v>
                </c:pt>
                <c:pt idx="9">
                  <c:v>0.78332948744945485</c:v>
                </c:pt>
                <c:pt idx="10">
                  <c:v>0.62768383117648641</c:v>
                </c:pt>
              </c:numCache>
            </c:numRef>
          </c:val>
          <c:extLst xmlns:c16r2="http://schemas.microsoft.com/office/drawing/2015/06/chart">
            <c:ext xmlns:c16="http://schemas.microsoft.com/office/drawing/2014/chart" uri="{C3380CC4-5D6E-409C-BE32-E72D297353CC}">
              <c16:uniqueId val="{00000000-149F-41F0-947B-CE63BAF59ADB}"/>
            </c:ext>
          </c:extLst>
        </c:ser>
        <c:dLbls>
          <c:showLegendKey val="0"/>
          <c:showVal val="1"/>
          <c:showCatName val="0"/>
          <c:showSerName val="0"/>
          <c:showPercent val="0"/>
          <c:showBubbleSize val="0"/>
        </c:dLbls>
        <c:gapWidth val="219"/>
        <c:overlap val="-27"/>
        <c:axId val="238118400"/>
        <c:axId val="238125440"/>
      </c:barChart>
      <c:catAx>
        <c:axId val="238118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38125440"/>
        <c:crosses val="autoZero"/>
        <c:auto val="1"/>
        <c:lblAlgn val="ctr"/>
        <c:lblOffset val="100"/>
        <c:noMultiLvlLbl val="0"/>
      </c:catAx>
      <c:valAx>
        <c:axId val="23812544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381184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l-SI"/>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20" baseline="0">
                <a:solidFill>
                  <a:schemeClr val="tx1"/>
                </a:solidFill>
                <a:latin typeface="Trebuchet MS" panose="020B0603020202020204" pitchFamily="34" charset="0"/>
                <a:ea typeface="+mn-ea"/>
                <a:cs typeface="+mn-cs"/>
              </a:defRPr>
            </a:pPr>
            <a:r>
              <a:rPr lang="sl-SI" sz="1200"/>
              <a:t>Delež</a:t>
            </a:r>
            <a:r>
              <a:rPr lang="sl-SI" sz="1200" baseline="0"/>
              <a:t> i</a:t>
            </a:r>
            <a:r>
              <a:rPr lang="sl-SI" sz="1200"/>
              <a:t>zvoza na trgih EU med predelovalnimi dejavnostmi, v letu </a:t>
            </a:r>
            <a:r>
              <a:rPr lang="en-US" sz="1200"/>
              <a:t>2018</a:t>
            </a:r>
          </a:p>
        </c:rich>
      </c:tx>
      <c:overlay val="0"/>
      <c:spPr>
        <a:noFill/>
        <a:ln>
          <a:noFill/>
        </a:ln>
        <a:effectLst/>
      </c:spPr>
    </c:title>
    <c:autoTitleDeleted val="0"/>
    <c:plotArea>
      <c:layout>
        <c:manualLayout>
          <c:layoutTarget val="inner"/>
          <c:xMode val="edge"/>
          <c:yMode val="edge"/>
          <c:x val="7.9069116360454925E-2"/>
          <c:y val="0.24347477398658487"/>
          <c:w val="0.44096850393700915"/>
          <c:h val="0.7241178186060091"/>
        </c:manualLayout>
      </c:layout>
      <c:pieChart>
        <c:varyColors val="1"/>
        <c:ser>
          <c:idx val="0"/>
          <c:order val="0"/>
          <c:tx>
            <c:strRef>
              <c:f>'strukt. stat (prava)'!$FO$60</c:f>
              <c:strCache>
                <c:ptCount val="1"/>
                <c:pt idx="0">
                  <c:v>2018</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01-D1E0-467F-BED5-447BEB03E19D}"/>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03-D1E0-467F-BED5-447BEB03E19D}"/>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05-D1E0-467F-BED5-447BEB03E19D}"/>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07-D1E0-467F-BED5-447BEB03E19D}"/>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extLst xmlns:c16r2="http://schemas.microsoft.com/office/drawing/2015/06/chart">
              <c:ext xmlns:c16="http://schemas.microsoft.com/office/drawing/2014/chart" uri="{C3380CC4-5D6E-409C-BE32-E72D297353CC}">
                <c16:uniqueId val="{00000009-D1E0-467F-BED5-447BEB03E19D}"/>
              </c:ext>
            </c:extLst>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0B-D1E0-467F-BED5-447BEB03E19D}"/>
              </c:ext>
            </c:extLst>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extLst xmlns:c16r2="http://schemas.microsoft.com/office/drawing/2015/06/chart">
              <c:ext xmlns:c16="http://schemas.microsoft.com/office/drawing/2014/chart" uri="{C3380CC4-5D6E-409C-BE32-E72D297353CC}">
                <c16:uniqueId val="{0000000D-D1E0-467F-BED5-447BEB03E19D}"/>
              </c:ext>
            </c:extLst>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w="9525" cap="flat" cmpd="sng" algn="ctr">
                <a:solidFill>
                  <a:schemeClr val="accent2">
                    <a:lumMod val="60000"/>
                    <a:shade val="95000"/>
                  </a:schemeClr>
                </a:solidFill>
                <a:round/>
              </a:ln>
              <a:effectLst/>
            </c:spPr>
            <c:extLst xmlns:c16r2="http://schemas.microsoft.com/office/drawing/2015/06/chart">
              <c:ext xmlns:c16="http://schemas.microsoft.com/office/drawing/2014/chart" uri="{C3380CC4-5D6E-409C-BE32-E72D297353CC}">
                <c16:uniqueId val="{0000000F-D1E0-467F-BED5-447BEB03E19D}"/>
              </c:ext>
            </c:extLst>
          </c:dPt>
          <c:dPt>
            <c:idx val="8"/>
            <c:bubble3D val="0"/>
            <c:spPr>
              <a:gradFill rotWithShape="1">
                <a:gsLst>
                  <a:gs pos="0">
                    <a:schemeClr val="accent3">
                      <a:lumMod val="60000"/>
                      <a:lumMod val="110000"/>
                      <a:satMod val="105000"/>
                      <a:tint val="67000"/>
                    </a:schemeClr>
                  </a:gs>
                  <a:gs pos="50000">
                    <a:schemeClr val="accent3">
                      <a:lumMod val="60000"/>
                      <a:lumMod val="105000"/>
                      <a:satMod val="103000"/>
                      <a:tint val="73000"/>
                    </a:schemeClr>
                  </a:gs>
                  <a:gs pos="100000">
                    <a:schemeClr val="accent3">
                      <a:lumMod val="60000"/>
                      <a:lumMod val="105000"/>
                      <a:satMod val="109000"/>
                      <a:tint val="81000"/>
                    </a:schemeClr>
                  </a:gs>
                </a:gsLst>
                <a:lin ang="5400000" scaled="0"/>
              </a:gradFill>
              <a:ln w="9525" cap="flat" cmpd="sng" algn="ctr">
                <a:solidFill>
                  <a:schemeClr val="accent3">
                    <a:lumMod val="60000"/>
                    <a:shade val="95000"/>
                  </a:schemeClr>
                </a:solidFill>
                <a:round/>
              </a:ln>
              <a:effectLst/>
            </c:spPr>
            <c:extLst xmlns:c16r2="http://schemas.microsoft.com/office/drawing/2015/06/chart">
              <c:ext xmlns:c16="http://schemas.microsoft.com/office/drawing/2014/chart" uri="{C3380CC4-5D6E-409C-BE32-E72D297353CC}">
                <c16:uniqueId val="{00000011-D1E0-467F-BED5-447BEB03E19D}"/>
              </c:ext>
            </c:extLst>
          </c:dPt>
          <c:dPt>
            <c:idx val="9"/>
            <c:bubble3D val="0"/>
            <c:spPr>
              <a:gradFill rotWithShape="1">
                <a:gsLst>
                  <a:gs pos="0">
                    <a:schemeClr val="accent4">
                      <a:lumMod val="60000"/>
                      <a:lumMod val="110000"/>
                      <a:satMod val="105000"/>
                      <a:tint val="67000"/>
                    </a:schemeClr>
                  </a:gs>
                  <a:gs pos="50000">
                    <a:schemeClr val="accent4">
                      <a:lumMod val="60000"/>
                      <a:lumMod val="105000"/>
                      <a:satMod val="103000"/>
                      <a:tint val="73000"/>
                    </a:schemeClr>
                  </a:gs>
                  <a:gs pos="100000">
                    <a:schemeClr val="accent4">
                      <a:lumMod val="60000"/>
                      <a:lumMod val="105000"/>
                      <a:satMod val="109000"/>
                      <a:tint val="81000"/>
                    </a:schemeClr>
                  </a:gs>
                </a:gsLst>
                <a:lin ang="5400000" scaled="0"/>
              </a:gradFill>
              <a:ln w="9525" cap="flat" cmpd="sng" algn="ctr">
                <a:solidFill>
                  <a:schemeClr val="accent4">
                    <a:lumMod val="60000"/>
                    <a:shade val="95000"/>
                  </a:schemeClr>
                </a:solidFill>
                <a:round/>
              </a:ln>
              <a:effectLst/>
            </c:spPr>
            <c:extLst xmlns:c16r2="http://schemas.microsoft.com/office/drawing/2015/06/chart">
              <c:ext xmlns:c16="http://schemas.microsoft.com/office/drawing/2014/chart" uri="{C3380CC4-5D6E-409C-BE32-E72D297353CC}">
                <c16:uniqueId val="{00000013-D1E0-467F-BED5-447BEB03E19D}"/>
              </c:ext>
            </c:extLst>
          </c:dPt>
          <c:dPt>
            <c:idx val="10"/>
            <c:bubble3D val="0"/>
            <c:spPr>
              <a:gradFill rotWithShape="1">
                <a:gsLst>
                  <a:gs pos="0">
                    <a:schemeClr val="accent5">
                      <a:lumMod val="60000"/>
                      <a:lumMod val="110000"/>
                      <a:satMod val="105000"/>
                      <a:tint val="67000"/>
                    </a:schemeClr>
                  </a:gs>
                  <a:gs pos="50000">
                    <a:schemeClr val="accent5">
                      <a:lumMod val="60000"/>
                      <a:lumMod val="105000"/>
                      <a:satMod val="103000"/>
                      <a:tint val="73000"/>
                    </a:schemeClr>
                  </a:gs>
                  <a:gs pos="100000">
                    <a:schemeClr val="accent5">
                      <a:lumMod val="60000"/>
                      <a:lumMod val="105000"/>
                      <a:satMod val="109000"/>
                      <a:tint val="81000"/>
                    </a:schemeClr>
                  </a:gs>
                </a:gsLst>
                <a:lin ang="5400000" scaled="0"/>
              </a:gradFill>
              <a:ln w="9525" cap="flat" cmpd="sng" algn="ctr">
                <a:solidFill>
                  <a:schemeClr val="accent5">
                    <a:lumMod val="60000"/>
                    <a:shade val="95000"/>
                  </a:schemeClr>
                </a:solidFill>
                <a:round/>
              </a:ln>
              <a:effectLst/>
            </c:spPr>
            <c:extLst xmlns:c16r2="http://schemas.microsoft.com/office/drawing/2015/06/chart">
              <c:ext xmlns:c16="http://schemas.microsoft.com/office/drawing/2014/chart" uri="{C3380CC4-5D6E-409C-BE32-E72D297353CC}">
                <c16:uniqueId val="{00000015-D1E0-467F-BED5-447BEB03E19D}"/>
              </c:ext>
            </c:extLst>
          </c:dPt>
          <c:dLbls>
            <c:dLbl>
              <c:idx val="9"/>
              <c:layout>
                <c:manualLayout>
                  <c:x val="6.8041443256213534E-5"/>
                  <c:y val="0.16940939140899894"/>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5.0319193056254999E-2"/>
                      <c:h val="7.1152266198612188E-2"/>
                    </c:manualLayout>
                  </c15:layout>
                </c:ext>
                <c:ext xmlns:c16="http://schemas.microsoft.com/office/drawing/2014/chart" uri="{C3380CC4-5D6E-409C-BE32-E72D297353CC}">
                  <c16:uniqueId val="{00000013-D1E0-467F-BED5-447BEB03E19D}"/>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rebuchet MS" panose="020B0603020202020204" pitchFamily="34" charset="0"/>
                    <a:ea typeface="+mn-ea"/>
                    <a:cs typeface="+mn-cs"/>
                  </a:defRPr>
                </a:pPr>
                <a:endParaRPr lang="sl-SI"/>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'strukt. stat (prava)'!$JN$61:$JN$70</c:f>
              <c:strCache>
                <c:ptCount val="10"/>
                <c:pt idx="0">
                  <c:v>Prehr. ind.</c:v>
                </c:pt>
                <c:pt idx="1">
                  <c:v>Tekst. ind.</c:v>
                </c:pt>
                <c:pt idx="2">
                  <c:v>Lesna ind.</c:v>
                </c:pt>
                <c:pt idx="3">
                  <c:v>Papir. ind.</c:v>
                </c:pt>
                <c:pt idx="4">
                  <c:v>Kemij. ind.</c:v>
                </c:pt>
                <c:pt idx="5">
                  <c:v>Nekov. ind.</c:v>
                </c:pt>
                <c:pt idx="6">
                  <c:v>Kovin. ind.</c:v>
                </c:pt>
                <c:pt idx="7">
                  <c:v>Elektro ind.</c:v>
                </c:pt>
                <c:pt idx="8">
                  <c:v>Stroj. ind.</c:v>
                </c:pt>
                <c:pt idx="9">
                  <c:v>Dr. pred. dej.</c:v>
                </c:pt>
              </c:strCache>
            </c:strRef>
          </c:cat>
          <c:val>
            <c:numRef>
              <c:f>'strukt. stat (prava)'!$JP$61:$JP$70</c:f>
              <c:numCache>
                <c:formatCode>0.0%</c:formatCode>
                <c:ptCount val="10"/>
                <c:pt idx="0">
                  <c:v>2.4984398900459552E-2</c:v>
                </c:pt>
                <c:pt idx="1">
                  <c:v>2.8874195039905192E-2</c:v>
                </c:pt>
                <c:pt idx="2">
                  <c:v>3.9873020570813281E-2</c:v>
                </c:pt>
                <c:pt idx="3">
                  <c:v>3.4873393412487887E-2</c:v>
                </c:pt>
                <c:pt idx="4" formatCode="0%">
                  <c:v>0.18653922204478254</c:v>
                </c:pt>
                <c:pt idx="5" formatCode="0%">
                  <c:v>2.6800791426447482E-2</c:v>
                </c:pt>
                <c:pt idx="6" formatCode="0%">
                  <c:v>0.21028276943636476</c:v>
                </c:pt>
                <c:pt idx="7" formatCode="0%">
                  <c:v>0.15226051721344722</c:v>
                </c:pt>
                <c:pt idx="8" formatCode="0%">
                  <c:v>0.2854091947321083</c:v>
                </c:pt>
                <c:pt idx="9" formatCode="0%">
                  <c:v>1.0093729439141989E-2</c:v>
                </c:pt>
              </c:numCache>
            </c:numRef>
          </c:val>
          <c:extLst xmlns:c16r2="http://schemas.microsoft.com/office/drawing/2015/06/chart">
            <c:ext xmlns:c16="http://schemas.microsoft.com/office/drawing/2014/chart" uri="{C3380CC4-5D6E-409C-BE32-E72D297353CC}">
              <c16:uniqueId val="{00000016-D1E0-467F-BED5-447BEB03E19D}"/>
            </c:ext>
          </c:extLst>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71182852143482234"/>
          <c:y val="0.16087853601633134"/>
          <c:w val="0.27912073490813649"/>
          <c:h val="0.811343686205892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rebuchet MS" panose="020B0603020202020204" pitchFamily="34" charset="0"/>
              <a:ea typeface="+mn-ea"/>
              <a:cs typeface="+mn-cs"/>
            </a:defRPr>
          </a:pPr>
          <a:endParaRPr lang="sl-SI"/>
        </a:p>
      </c:txPr>
    </c:legend>
    <c:plotVisOnly val="1"/>
    <c:dispBlanksAs val="zero"/>
    <c:showDLblsOverMax val="0"/>
  </c:chart>
  <c:spPr>
    <a:solidFill>
      <a:schemeClr val="bg1"/>
    </a:solidFill>
    <a:ln w="9525" cap="flat" cmpd="sng" algn="ctr">
      <a:noFill/>
      <a:round/>
    </a:ln>
    <a:effectLst/>
  </c:spPr>
  <c:txPr>
    <a:bodyPr/>
    <a:lstStyle/>
    <a:p>
      <a:pPr>
        <a:defRPr>
          <a:solidFill>
            <a:schemeClr val="tx1"/>
          </a:solidFill>
          <a:latin typeface="Trebuchet MS" panose="020B0603020202020204" pitchFamily="34" charset="0"/>
        </a:defRPr>
      </a:pPr>
      <a:endParaRPr lang="sl-SI"/>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20" baseline="0">
                <a:solidFill>
                  <a:schemeClr val="tx1"/>
                </a:solidFill>
                <a:latin typeface="Trebuchet MS" panose="020B0603020202020204" pitchFamily="34" charset="0"/>
                <a:ea typeface="+mn-ea"/>
                <a:cs typeface="+mn-cs"/>
              </a:defRPr>
            </a:pPr>
            <a:r>
              <a:rPr lang="sl-SI" sz="1200"/>
              <a:t>Delež</a:t>
            </a:r>
            <a:r>
              <a:rPr lang="sl-SI" sz="1200" baseline="0"/>
              <a:t> izvoza</a:t>
            </a:r>
            <a:r>
              <a:rPr lang="sl-SI" sz="1200"/>
              <a:t> na trgih izven EU med predelovalnimi dejavnostmi, v letu </a:t>
            </a:r>
            <a:r>
              <a:rPr lang="en-US" sz="1200"/>
              <a:t>2018</a:t>
            </a:r>
          </a:p>
        </c:rich>
      </c:tx>
      <c:overlay val="0"/>
      <c:spPr>
        <a:noFill/>
        <a:ln>
          <a:noFill/>
        </a:ln>
        <a:effectLst/>
      </c:spPr>
    </c:title>
    <c:autoTitleDeleted val="0"/>
    <c:plotArea>
      <c:layout>
        <c:manualLayout>
          <c:layoutTarget val="inner"/>
          <c:xMode val="edge"/>
          <c:yMode val="edge"/>
          <c:x val="7.9069116360454925E-2"/>
          <c:y val="0.24347477398658487"/>
          <c:w val="0.44096850393700915"/>
          <c:h val="0.7241178186060091"/>
        </c:manualLayout>
      </c:layout>
      <c:pieChart>
        <c:varyColors val="1"/>
        <c:ser>
          <c:idx val="0"/>
          <c:order val="0"/>
          <c:tx>
            <c:v>2018</c:v>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01-2042-426F-A158-62EA7FFCAAAC}"/>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03-2042-426F-A158-62EA7FFCAAAC}"/>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05-2042-426F-A158-62EA7FFCAAAC}"/>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07-2042-426F-A158-62EA7FFCAAAC}"/>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extLst xmlns:c16r2="http://schemas.microsoft.com/office/drawing/2015/06/chart">
              <c:ext xmlns:c16="http://schemas.microsoft.com/office/drawing/2014/chart" uri="{C3380CC4-5D6E-409C-BE32-E72D297353CC}">
                <c16:uniqueId val="{00000009-2042-426F-A158-62EA7FFCAAAC}"/>
              </c:ext>
            </c:extLst>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0B-2042-426F-A158-62EA7FFCAAAC}"/>
              </c:ext>
            </c:extLst>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extLst xmlns:c16r2="http://schemas.microsoft.com/office/drawing/2015/06/chart">
              <c:ext xmlns:c16="http://schemas.microsoft.com/office/drawing/2014/chart" uri="{C3380CC4-5D6E-409C-BE32-E72D297353CC}">
                <c16:uniqueId val="{0000000D-2042-426F-A158-62EA7FFCAAAC}"/>
              </c:ext>
            </c:extLst>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w="9525" cap="flat" cmpd="sng" algn="ctr">
                <a:solidFill>
                  <a:schemeClr val="accent2">
                    <a:lumMod val="60000"/>
                    <a:shade val="95000"/>
                  </a:schemeClr>
                </a:solidFill>
                <a:round/>
              </a:ln>
              <a:effectLst/>
            </c:spPr>
            <c:extLst xmlns:c16r2="http://schemas.microsoft.com/office/drawing/2015/06/chart">
              <c:ext xmlns:c16="http://schemas.microsoft.com/office/drawing/2014/chart" uri="{C3380CC4-5D6E-409C-BE32-E72D297353CC}">
                <c16:uniqueId val="{0000000F-2042-426F-A158-62EA7FFCAAAC}"/>
              </c:ext>
            </c:extLst>
          </c:dPt>
          <c:dPt>
            <c:idx val="8"/>
            <c:bubble3D val="0"/>
            <c:spPr>
              <a:gradFill rotWithShape="1">
                <a:gsLst>
                  <a:gs pos="0">
                    <a:schemeClr val="accent3">
                      <a:lumMod val="60000"/>
                      <a:lumMod val="110000"/>
                      <a:satMod val="105000"/>
                      <a:tint val="67000"/>
                    </a:schemeClr>
                  </a:gs>
                  <a:gs pos="50000">
                    <a:schemeClr val="accent3">
                      <a:lumMod val="60000"/>
                      <a:lumMod val="105000"/>
                      <a:satMod val="103000"/>
                      <a:tint val="73000"/>
                    </a:schemeClr>
                  </a:gs>
                  <a:gs pos="100000">
                    <a:schemeClr val="accent3">
                      <a:lumMod val="60000"/>
                      <a:lumMod val="105000"/>
                      <a:satMod val="109000"/>
                      <a:tint val="81000"/>
                    </a:schemeClr>
                  </a:gs>
                </a:gsLst>
                <a:lin ang="5400000" scaled="0"/>
              </a:gradFill>
              <a:ln w="9525" cap="flat" cmpd="sng" algn="ctr">
                <a:solidFill>
                  <a:schemeClr val="accent3">
                    <a:lumMod val="60000"/>
                    <a:shade val="95000"/>
                  </a:schemeClr>
                </a:solidFill>
                <a:round/>
              </a:ln>
              <a:effectLst/>
            </c:spPr>
            <c:extLst xmlns:c16r2="http://schemas.microsoft.com/office/drawing/2015/06/chart">
              <c:ext xmlns:c16="http://schemas.microsoft.com/office/drawing/2014/chart" uri="{C3380CC4-5D6E-409C-BE32-E72D297353CC}">
                <c16:uniqueId val="{00000011-2042-426F-A158-62EA7FFCAAAC}"/>
              </c:ext>
            </c:extLst>
          </c:dPt>
          <c:dPt>
            <c:idx val="9"/>
            <c:bubble3D val="0"/>
            <c:spPr>
              <a:gradFill rotWithShape="1">
                <a:gsLst>
                  <a:gs pos="0">
                    <a:schemeClr val="accent4">
                      <a:lumMod val="60000"/>
                      <a:lumMod val="110000"/>
                      <a:satMod val="105000"/>
                      <a:tint val="67000"/>
                    </a:schemeClr>
                  </a:gs>
                  <a:gs pos="50000">
                    <a:schemeClr val="accent4">
                      <a:lumMod val="60000"/>
                      <a:lumMod val="105000"/>
                      <a:satMod val="103000"/>
                      <a:tint val="73000"/>
                    </a:schemeClr>
                  </a:gs>
                  <a:gs pos="100000">
                    <a:schemeClr val="accent4">
                      <a:lumMod val="60000"/>
                      <a:lumMod val="105000"/>
                      <a:satMod val="109000"/>
                      <a:tint val="81000"/>
                    </a:schemeClr>
                  </a:gs>
                </a:gsLst>
                <a:lin ang="5400000" scaled="0"/>
              </a:gradFill>
              <a:ln w="9525" cap="flat" cmpd="sng" algn="ctr">
                <a:solidFill>
                  <a:schemeClr val="accent4">
                    <a:lumMod val="60000"/>
                    <a:shade val="95000"/>
                  </a:schemeClr>
                </a:solidFill>
                <a:round/>
              </a:ln>
              <a:effectLst/>
            </c:spPr>
            <c:extLst xmlns:c16r2="http://schemas.microsoft.com/office/drawing/2015/06/chart">
              <c:ext xmlns:c16="http://schemas.microsoft.com/office/drawing/2014/chart" uri="{C3380CC4-5D6E-409C-BE32-E72D297353CC}">
                <c16:uniqueId val="{00000013-2042-426F-A158-62EA7FFCAAAC}"/>
              </c:ext>
            </c:extLst>
          </c:dPt>
          <c:dPt>
            <c:idx val="10"/>
            <c:bubble3D val="0"/>
            <c:spPr>
              <a:gradFill rotWithShape="1">
                <a:gsLst>
                  <a:gs pos="0">
                    <a:schemeClr val="accent5">
                      <a:lumMod val="60000"/>
                      <a:lumMod val="110000"/>
                      <a:satMod val="105000"/>
                      <a:tint val="67000"/>
                    </a:schemeClr>
                  </a:gs>
                  <a:gs pos="50000">
                    <a:schemeClr val="accent5">
                      <a:lumMod val="60000"/>
                      <a:lumMod val="105000"/>
                      <a:satMod val="103000"/>
                      <a:tint val="73000"/>
                    </a:schemeClr>
                  </a:gs>
                  <a:gs pos="100000">
                    <a:schemeClr val="accent5">
                      <a:lumMod val="60000"/>
                      <a:lumMod val="105000"/>
                      <a:satMod val="109000"/>
                      <a:tint val="81000"/>
                    </a:schemeClr>
                  </a:gs>
                </a:gsLst>
                <a:lin ang="5400000" scaled="0"/>
              </a:gradFill>
              <a:ln w="9525" cap="flat" cmpd="sng" algn="ctr">
                <a:solidFill>
                  <a:schemeClr val="accent5">
                    <a:lumMod val="60000"/>
                    <a:shade val="95000"/>
                  </a:schemeClr>
                </a:solidFill>
                <a:round/>
              </a:ln>
              <a:effectLst/>
            </c:spPr>
            <c:extLst xmlns:c16r2="http://schemas.microsoft.com/office/drawing/2015/06/chart">
              <c:ext xmlns:c16="http://schemas.microsoft.com/office/drawing/2014/chart" uri="{C3380CC4-5D6E-409C-BE32-E72D297353CC}">
                <c16:uniqueId val="{00000015-2042-426F-A158-62EA7FFCAAAC}"/>
              </c:ext>
            </c:extLst>
          </c:dPt>
          <c:dLbls>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rebuchet MS" panose="020B0603020202020204" pitchFamily="34" charset="0"/>
                    <a:ea typeface="+mn-ea"/>
                    <a:cs typeface="+mn-cs"/>
                  </a:defRPr>
                </a:pPr>
                <a:endParaRPr lang="sl-SI"/>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'strukt. stat (prava)'!$KV$61:$KV$70</c:f>
              <c:strCache>
                <c:ptCount val="10"/>
                <c:pt idx="0">
                  <c:v>Prehr. ind.</c:v>
                </c:pt>
                <c:pt idx="1">
                  <c:v>Tekst. ind.</c:v>
                </c:pt>
                <c:pt idx="2">
                  <c:v>Lesna ind.</c:v>
                </c:pt>
                <c:pt idx="3">
                  <c:v>Papir. ind.</c:v>
                </c:pt>
                <c:pt idx="4">
                  <c:v>Kemij. ind.</c:v>
                </c:pt>
                <c:pt idx="5">
                  <c:v>Nekov. ind.</c:v>
                </c:pt>
                <c:pt idx="6">
                  <c:v>Kovin. ind.</c:v>
                </c:pt>
                <c:pt idx="7">
                  <c:v>Elektro ind.</c:v>
                </c:pt>
                <c:pt idx="8">
                  <c:v>Stroj. ind.</c:v>
                </c:pt>
                <c:pt idx="9">
                  <c:v>Dr. pred. dej.</c:v>
                </c:pt>
              </c:strCache>
            </c:strRef>
          </c:cat>
          <c:val>
            <c:numRef>
              <c:f>'strukt. stat (prava)'!$LR$61:$LR$70</c:f>
              <c:numCache>
                <c:formatCode>0%</c:formatCode>
                <c:ptCount val="10"/>
                <c:pt idx="0">
                  <c:v>4.4042326092777563E-2</c:v>
                </c:pt>
                <c:pt idx="1">
                  <c:v>3.6179198508540386E-2</c:v>
                </c:pt>
                <c:pt idx="2">
                  <c:v>1.9825418017205144E-2</c:v>
                </c:pt>
                <c:pt idx="3">
                  <c:v>3.1344180668788489E-2</c:v>
                </c:pt>
                <c:pt idx="4">
                  <c:v>0.34176022963439839</c:v>
                </c:pt>
                <c:pt idx="5">
                  <c:v>2.8058549159204749E-2</c:v>
                </c:pt>
                <c:pt idx="6">
                  <c:v>0.1476071029696723</c:v>
                </c:pt>
                <c:pt idx="7">
                  <c:v>0.19902329230543941</c:v>
                </c:pt>
                <c:pt idx="8">
                  <c:v>0.12352792905913412</c:v>
                </c:pt>
                <c:pt idx="9">
                  <c:v>2.8631773584839468E-2</c:v>
                </c:pt>
              </c:numCache>
            </c:numRef>
          </c:val>
          <c:extLst xmlns:c16r2="http://schemas.microsoft.com/office/drawing/2015/06/chart">
            <c:ext xmlns:c16="http://schemas.microsoft.com/office/drawing/2014/chart" uri="{C3380CC4-5D6E-409C-BE32-E72D297353CC}">
              <c16:uniqueId val="{00000016-2042-426F-A158-62EA7FFCAAAC}"/>
            </c:ext>
          </c:extLst>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71182852143482234"/>
          <c:y val="0.16087853601633134"/>
          <c:w val="0.27912073490813649"/>
          <c:h val="0.811343686205892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rebuchet MS" panose="020B0603020202020204" pitchFamily="34" charset="0"/>
              <a:ea typeface="+mn-ea"/>
              <a:cs typeface="+mn-cs"/>
            </a:defRPr>
          </a:pPr>
          <a:endParaRPr lang="sl-SI"/>
        </a:p>
      </c:txPr>
    </c:legend>
    <c:plotVisOnly val="1"/>
    <c:dispBlanksAs val="zero"/>
    <c:showDLblsOverMax val="0"/>
  </c:chart>
  <c:spPr>
    <a:solidFill>
      <a:schemeClr val="bg1"/>
    </a:solidFill>
    <a:ln w="9525" cap="flat" cmpd="sng" algn="ctr">
      <a:noFill/>
      <a:round/>
    </a:ln>
    <a:effectLst/>
  </c:spPr>
  <c:txPr>
    <a:bodyPr/>
    <a:lstStyle/>
    <a:p>
      <a:pPr>
        <a:defRPr>
          <a:solidFill>
            <a:schemeClr val="tx1"/>
          </a:solidFill>
          <a:latin typeface="Trebuchet MS" panose="020B0603020202020204" pitchFamily="34" charset="0"/>
        </a:defRPr>
      </a:pPr>
      <a:endParaRPr lang="sl-SI"/>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20" baseline="0">
                <a:solidFill>
                  <a:schemeClr val="tx1"/>
                </a:solidFill>
                <a:latin typeface="Trebuchet MS" panose="020B0603020202020204" pitchFamily="34" charset="0"/>
                <a:ea typeface="+mn-ea"/>
                <a:cs typeface="+mn-cs"/>
              </a:defRPr>
            </a:pPr>
            <a:r>
              <a:rPr lang="sl-SI" sz="1200"/>
              <a:t>Število zaposelnih v predelovalnih dejavnostih, v letu </a:t>
            </a:r>
            <a:r>
              <a:rPr lang="en-US" sz="1200"/>
              <a:t>2018</a:t>
            </a:r>
          </a:p>
        </c:rich>
      </c:tx>
      <c:overlay val="0"/>
      <c:spPr>
        <a:noFill/>
        <a:ln>
          <a:noFill/>
        </a:ln>
        <a:effectLst/>
      </c:spPr>
    </c:title>
    <c:autoTitleDeleted val="0"/>
    <c:plotArea>
      <c:layout>
        <c:manualLayout>
          <c:layoutTarget val="inner"/>
          <c:xMode val="edge"/>
          <c:yMode val="edge"/>
          <c:x val="1.7293321054476299E-2"/>
          <c:y val="0.21572764331342867"/>
          <c:w val="0.60354294694105137"/>
          <c:h val="0.76706036318390003"/>
        </c:manualLayout>
      </c:layout>
      <c:pieChart>
        <c:varyColors val="1"/>
        <c:ser>
          <c:idx val="0"/>
          <c:order val="0"/>
          <c:tx>
            <c:strRef>
              <c:f>'strukt. stat (prava)'!$GM$60</c:f>
              <c:strCache>
                <c:ptCount val="1"/>
                <c:pt idx="0">
                  <c:v>2018</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01-81EC-4087-9611-1598D17349B9}"/>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03-81EC-4087-9611-1598D17349B9}"/>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05-81EC-4087-9611-1598D17349B9}"/>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07-81EC-4087-9611-1598D17349B9}"/>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extLst xmlns:c16r2="http://schemas.microsoft.com/office/drawing/2015/06/chart">
              <c:ext xmlns:c16="http://schemas.microsoft.com/office/drawing/2014/chart" uri="{C3380CC4-5D6E-409C-BE32-E72D297353CC}">
                <c16:uniqueId val="{00000009-81EC-4087-9611-1598D17349B9}"/>
              </c:ext>
            </c:extLst>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0B-81EC-4087-9611-1598D17349B9}"/>
              </c:ext>
            </c:extLst>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extLst xmlns:c16r2="http://schemas.microsoft.com/office/drawing/2015/06/chart">
              <c:ext xmlns:c16="http://schemas.microsoft.com/office/drawing/2014/chart" uri="{C3380CC4-5D6E-409C-BE32-E72D297353CC}">
                <c16:uniqueId val="{0000000D-81EC-4087-9611-1598D17349B9}"/>
              </c:ext>
            </c:extLst>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w="9525" cap="flat" cmpd="sng" algn="ctr">
                <a:solidFill>
                  <a:schemeClr val="accent2">
                    <a:lumMod val="60000"/>
                    <a:shade val="95000"/>
                  </a:schemeClr>
                </a:solidFill>
                <a:round/>
              </a:ln>
              <a:effectLst/>
            </c:spPr>
            <c:extLst xmlns:c16r2="http://schemas.microsoft.com/office/drawing/2015/06/chart">
              <c:ext xmlns:c16="http://schemas.microsoft.com/office/drawing/2014/chart" uri="{C3380CC4-5D6E-409C-BE32-E72D297353CC}">
                <c16:uniqueId val="{0000000F-81EC-4087-9611-1598D17349B9}"/>
              </c:ext>
            </c:extLst>
          </c:dPt>
          <c:dPt>
            <c:idx val="8"/>
            <c:bubble3D val="0"/>
            <c:spPr>
              <a:gradFill rotWithShape="1">
                <a:gsLst>
                  <a:gs pos="0">
                    <a:schemeClr val="accent3">
                      <a:lumMod val="60000"/>
                      <a:lumMod val="110000"/>
                      <a:satMod val="105000"/>
                      <a:tint val="67000"/>
                    </a:schemeClr>
                  </a:gs>
                  <a:gs pos="50000">
                    <a:schemeClr val="accent3">
                      <a:lumMod val="60000"/>
                      <a:lumMod val="105000"/>
                      <a:satMod val="103000"/>
                      <a:tint val="73000"/>
                    </a:schemeClr>
                  </a:gs>
                  <a:gs pos="100000">
                    <a:schemeClr val="accent3">
                      <a:lumMod val="60000"/>
                      <a:lumMod val="105000"/>
                      <a:satMod val="109000"/>
                      <a:tint val="81000"/>
                    </a:schemeClr>
                  </a:gs>
                </a:gsLst>
                <a:lin ang="5400000" scaled="0"/>
              </a:gradFill>
              <a:ln w="9525" cap="flat" cmpd="sng" algn="ctr">
                <a:solidFill>
                  <a:schemeClr val="accent3">
                    <a:lumMod val="60000"/>
                    <a:shade val="95000"/>
                  </a:schemeClr>
                </a:solidFill>
                <a:round/>
              </a:ln>
              <a:effectLst/>
            </c:spPr>
            <c:extLst xmlns:c16r2="http://schemas.microsoft.com/office/drawing/2015/06/chart">
              <c:ext xmlns:c16="http://schemas.microsoft.com/office/drawing/2014/chart" uri="{C3380CC4-5D6E-409C-BE32-E72D297353CC}">
                <c16:uniqueId val="{00000011-81EC-4087-9611-1598D17349B9}"/>
              </c:ext>
            </c:extLst>
          </c:dPt>
          <c:dPt>
            <c:idx val="9"/>
            <c:bubble3D val="0"/>
            <c:spPr>
              <a:gradFill rotWithShape="1">
                <a:gsLst>
                  <a:gs pos="0">
                    <a:schemeClr val="accent4">
                      <a:lumMod val="60000"/>
                      <a:lumMod val="110000"/>
                      <a:satMod val="105000"/>
                      <a:tint val="67000"/>
                    </a:schemeClr>
                  </a:gs>
                  <a:gs pos="50000">
                    <a:schemeClr val="accent4">
                      <a:lumMod val="60000"/>
                      <a:lumMod val="105000"/>
                      <a:satMod val="103000"/>
                      <a:tint val="73000"/>
                    </a:schemeClr>
                  </a:gs>
                  <a:gs pos="100000">
                    <a:schemeClr val="accent4">
                      <a:lumMod val="60000"/>
                      <a:lumMod val="105000"/>
                      <a:satMod val="109000"/>
                      <a:tint val="81000"/>
                    </a:schemeClr>
                  </a:gs>
                </a:gsLst>
                <a:lin ang="5400000" scaled="0"/>
              </a:gradFill>
              <a:ln w="9525" cap="flat" cmpd="sng" algn="ctr">
                <a:solidFill>
                  <a:schemeClr val="accent4">
                    <a:lumMod val="60000"/>
                    <a:shade val="95000"/>
                  </a:schemeClr>
                </a:solidFill>
                <a:round/>
              </a:ln>
              <a:effectLst/>
            </c:spPr>
            <c:extLst xmlns:c16r2="http://schemas.microsoft.com/office/drawing/2015/06/chart">
              <c:ext xmlns:c16="http://schemas.microsoft.com/office/drawing/2014/chart" uri="{C3380CC4-5D6E-409C-BE32-E72D297353CC}">
                <c16:uniqueId val="{00000013-81EC-4087-9611-1598D17349B9}"/>
              </c:ext>
            </c:extLst>
          </c:dPt>
          <c:dLbls>
            <c:dLbl>
              <c:idx val="1"/>
              <c:layout>
                <c:manualLayout>
                  <c:x val="-8.1980159142211434E-2"/>
                  <c:y val="9.8693308365139537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1172936100665517"/>
                      <c:h val="7.3548248142353084E-2"/>
                    </c:manualLayout>
                  </c15:layout>
                </c:ext>
                <c:ext xmlns:c16="http://schemas.microsoft.com/office/drawing/2014/chart" uri="{C3380CC4-5D6E-409C-BE32-E72D297353CC}">
                  <c16:uniqueId val="{00000003-81EC-4087-9611-1598D17349B9}"/>
                </c:ext>
              </c:extLst>
            </c:dLbl>
            <c:dLbl>
              <c:idx val="3"/>
              <c:layout>
                <c:manualLayout>
                  <c:x val="-0.1182892244324677"/>
                  <c:y val="2.0281693990493496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1EC-4087-9611-1598D17349B9}"/>
                </c:ext>
              </c:extLst>
            </c:dLbl>
            <c:dLbl>
              <c:idx val="5"/>
              <c:layout>
                <c:manualLayout>
                  <c:x val="-8.5913339841434719E-2"/>
                  <c:y val="-7.2980388277739894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81EC-4087-9611-1598D17349B9}"/>
                </c:ext>
              </c:extLst>
            </c:dLbl>
            <c:dLbl>
              <c:idx val="9"/>
              <c:layout>
                <c:manualLayout>
                  <c:x val="3.0889159761089802E-2"/>
                  <c:y val="0.1922345428183195"/>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9.9983332910895589E-2"/>
                      <c:h val="7.6449663940357862E-2"/>
                    </c:manualLayout>
                  </c15:layout>
                </c:ext>
                <c:ext xmlns:c16="http://schemas.microsoft.com/office/drawing/2014/chart" uri="{C3380CC4-5D6E-409C-BE32-E72D297353CC}">
                  <c16:uniqueId val="{00000013-81EC-4087-9611-1598D17349B9}"/>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rebuchet MS" panose="020B0603020202020204" pitchFamily="34" charset="0"/>
                    <a:ea typeface="+mn-ea"/>
                    <a:cs typeface="+mn-cs"/>
                  </a:defRPr>
                </a:pPr>
                <a:endParaRPr lang="sl-SI"/>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'strukt. stat (prava)'!$GL$62:$GL$71</c:f>
              <c:strCache>
                <c:ptCount val="10"/>
                <c:pt idx="0">
                  <c:v>Prehr. ind.</c:v>
                </c:pt>
                <c:pt idx="1">
                  <c:v>Tekst. ind.</c:v>
                </c:pt>
                <c:pt idx="2">
                  <c:v>Lesna ind.</c:v>
                </c:pt>
                <c:pt idx="3">
                  <c:v>Papir. ind.</c:v>
                </c:pt>
                <c:pt idx="4">
                  <c:v>Kemij. ind.</c:v>
                </c:pt>
                <c:pt idx="5">
                  <c:v>Nekov. ind.</c:v>
                </c:pt>
                <c:pt idx="6">
                  <c:v>Kovin. ind.</c:v>
                </c:pt>
                <c:pt idx="7">
                  <c:v>Elektro ind.</c:v>
                </c:pt>
                <c:pt idx="8">
                  <c:v>Stroj. ind.</c:v>
                </c:pt>
                <c:pt idx="9">
                  <c:v>Dr. pred. dej.</c:v>
                </c:pt>
              </c:strCache>
            </c:strRef>
          </c:cat>
          <c:val>
            <c:numRef>
              <c:f>'strukt. stat (prava)'!$GM$62:$GM$71</c:f>
              <c:numCache>
                <c:formatCode>#,##0</c:formatCode>
                <c:ptCount val="10"/>
                <c:pt idx="0">
                  <c:v>16338</c:v>
                </c:pt>
                <c:pt idx="1">
                  <c:v>9163</c:v>
                </c:pt>
                <c:pt idx="2">
                  <c:v>12808</c:v>
                </c:pt>
                <c:pt idx="3">
                  <c:v>8208</c:v>
                </c:pt>
                <c:pt idx="4">
                  <c:v>31987</c:v>
                </c:pt>
                <c:pt idx="5">
                  <c:v>6998</c:v>
                </c:pt>
                <c:pt idx="6">
                  <c:v>42698</c:v>
                </c:pt>
                <c:pt idx="7">
                  <c:v>28023</c:v>
                </c:pt>
                <c:pt idx="8">
                  <c:v>41185</c:v>
                </c:pt>
                <c:pt idx="9">
                  <c:v>4314</c:v>
                </c:pt>
              </c:numCache>
            </c:numRef>
          </c:val>
          <c:extLst xmlns:c16r2="http://schemas.microsoft.com/office/drawing/2015/06/chart">
            <c:ext xmlns:c16="http://schemas.microsoft.com/office/drawing/2014/chart" uri="{C3380CC4-5D6E-409C-BE32-E72D297353CC}">
              <c16:uniqueId val="{00000014-81EC-4087-9611-1598D17349B9}"/>
            </c:ext>
          </c:extLst>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63491061345385202"/>
          <c:y val="0.16087853601633134"/>
          <c:w val="0.3560389779464474"/>
          <c:h val="0.81134368620589292"/>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solidFill>
              <a:latin typeface="Trebuchet MS" panose="020B0603020202020204" pitchFamily="34" charset="0"/>
              <a:ea typeface="+mn-ea"/>
              <a:cs typeface="+mn-cs"/>
            </a:defRPr>
          </a:pPr>
          <a:endParaRPr lang="sl-SI"/>
        </a:p>
      </c:txPr>
    </c:legend>
    <c:plotVisOnly val="1"/>
    <c:dispBlanksAs val="zero"/>
    <c:showDLblsOverMax val="0"/>
  </c:chart>
  <c:spPr>
    <a:solidFill>
      <a:schemeClr val="bg1"/>
    </a:solidFill>
    <a:ln w="9525" cap="flat" cmpd="sng" algn="ctr">
      <a:noFill/>
      <a:round/>
    </a:ln>
    <a:effectLst/>
  </c:spPr>
  <c:txPr>
    <a:bodyPr/>
    <a:lstStyle/>
    <a:p>
      <a:pPr>
        <a:defRPr>
          <a:solidFill>
            <a:schemeClr val="tx1"/>
          </a:solidFill>
          <a:latin typeface="Trebuchet MS" panose="020B0603020202020204" pitchFamily="34" charset="0"/>
        </a:defRPr>
      </a:pPr>
      <a:endParaRPr lang="sl-SI"/>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0.0717</cdr:x>
      <cdr:y>0.57313</cdr:y>
    </cdr:from>
    <cdr:to>
      <cdr:x>0.78889</cdr:x>
      <cdr:y>0.57832</cdr:y>
    </cdr:to>
    <cdr:cxnSp macro="">
      <cdr:nvCxnSpPr>
        <cdr:cNvPr id="3" name="Raven povezovalnik 2">
          <a:extLst xmlns:a="http://schemas.openxmlformats.org/drawingml/2006/main">
            <a:ext uri="{FF2B5EF4-FFF2-40B4-BE49-F238E27FC236}">
              <a16:creationId xmlns="" xmlns:a16="http://schemas.microsoft.com/office/drawing/2014/main" id="{4E1AA9A1-183E-4890-B172-54C9C70EC2A5}"/>
            </a:ext>
          </a:extLst>
        </cdr:cNvPr>
        <cdr:cNvCxnSpPr/>
      </cdr:nvCxnSpPr>
      <cdr:spPr>
        <a:xfrm xmlns:a="http://schemas.openxmlformats.org/drawingml/2006/main" flipV="1">
          <a:off x="412158" y="1578659"/>
          <a:ext cx="4122506" cy="14290"/>
        </a:xfrm>
        <a:prstGeom xmlns:a="http://schemas.openxmlformats.org/drawingml/2006/main" prst="line">
          <a:avLst/>
        </a:prstGeom>
        <a:ln xmlns:a="http://schemas.openxmlformats.org/drawingml/2006/main">
          <a:solidFill>
            <a:schemeClr val="bg1">
              <a:lumMod val="6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0.0717</cdr:x>
      <cdr:y>0.57313</cdr:y>
    </cdr:from>
    <cdr:to>
      <cdr:x>0.78889</cdr:x>
      <cdr:y>0.57832</cdr:y>
    </cdr:to>
    <cdr:cxnSp macro="">
      <cdr:nvCxnSpPr>
        <cdr:cNvPr id="3" name="Raven povezovalnik 2">
          <a:extLst xmlns:a="http://schemas.openxmlformats.org/drawingml/2006/main">
            <a:ext uri="{FF2B5EF4-FFF2-40B4-BE49-F238E27FC236}">
              <a16:creationId xmlns="" xmlns:a16="http://schemas.microsoft.com/office/drawing/2014/main" id="{4E1AA9A1-183E-4890-B172-54C9C70EC2A5}"/>
            </a:ext>
          </a:extLst>
        </cdr:cNvPr>
        <cdr:cNvCxnSpPr/>
      </cdr:nvCxnSpPr>
      <cdr:spPr>
        <a:xfrm xmlns:a="http://schemas.openxmlformats.org/drawingml/2006/main" flipV="1">
          <a:off x="412158" y="1578659"/>
          <a:ext cx="4122506" cy="14290"/>
        </a:xfrm>
        <a:prstGeom xmlns:a="http://schemas.openxmlformats.org/drawingml/2006/main" prst="line">
          <a:avLst/>
        </a:prstGeom>
        <a:ln xmlns:a="http://schemas.openxmlformats.org/drawingml/2006/main">
          <a:solidFill>
            <a:schemeClr val="bg1">
              <a:lumMod val="6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0.0717</cdr:x>
      <cdr:y>0.57313</cdr:y>
    </cdr:from>
    <cdr:to>
      <cdr:x>0.78889</cdr:x>
      <cdr:y>0.57832</cdr:y>
    </cdr:to>
    <cdr:cxnSp macro="">
      <cdr:nvCxnSpPr>
        <cdr:cNvPr id="3" name="Raven povezovalnik 2">
          <a:extLst xmlns:a="http://schemas.openxmlformats.org/drawingml/2006/main">
            <a:ext uri="{FF2B5EF4-FFF2-40B4-BE49-F238E27FC236}">
              <a16:creationId xmlns="" xmlns:a16="http://schemas.microsoft.com/office/drawing/2014/main" id="{4E1AA9A1-183E-4890-B172-54C9C70EC2A5}"/>
            </a:ext>
          </a:extLst>
        </cdr:cNvPr>
        <cdr:cNvCxnSpPr/>
      </cdr:nvCxnSpPr>
      <cdr:spPr>
        <a:xfrm xmlns:a="http://schemas.openxmlformats.org/drawingml/2006/main" flipV="1">
          <a:off x="412158" y="1578659"/>
          <a:ext cx="4122506" cy="14290"/>
        </a:xfrm>
        <a:prstGeom xmlns:a="http://schemas.openxmlformats.org/drawingml/2006/main" prst="line">
          <a:avLst/>
        </a:prstGeom>
        <a:ln xmlns:a="http://schemas.openxmlformats.org/drawingml/2006/main">
          <a:solidFill>
            <a:schemeClr val="bg1">
              <a:lumMod val="6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0.0717</cdr:x>
      <cdr:y>0.57313</cdr:y>
    </cdr:from>
    <cdr:to>
      <cdr:x>0.78889</cdr:x>
      <cdr:y>0.57832</cdr:y>
    </cdr:to>
    <cdr:cxnSp macro="">
      <cdr:nvCxnSpPr>
        <cdr:cNvPr id="3" name="Raven povezovalnik 2">
          <a:extLst xmlns:a="http://schemas.openxmlformats.org/drawingml/2006/main">
            <a:ext uri="{FF2B5EF4-FFF2-40B4-BE49-F238E27FC236}">
              <a16:creationId xmlns="" xmlns:a16="http://schemas.microsoft.com/office/drawing/2014/main" id="{4E1AA9A1-183E-4890-B172-54C9C70EC2A5}"/>
            </a:ext>
          </a:extLst>
        </cdr:cNvPr>
        <cdr:cNvCxnSpPr/>
      </cdr:nvCxnSpPr>
      <cdr:spPr>
        <a:xfrm xmlns:a="http://schemas.openxmlformats.org/drawingml/2006/main" flipV="1">
          <a:off x="412158" y="1578659"/>
          <a:ext cx="4122506" cy="14290"/>
        </a:xfrm>
        <a:prstGeom xmlns:a="http://schemas.openxmlformats.org/drawingml/2006/main" prst="line">
          <a:avLst/>
        </a:prstGeom>
        <a:ln xmlns:a="http://schemas.openxmlformats.org/drawingml/2006/main">
          <a:solidFill>
            <a:schemeClr val="bg1">
              <a:lumMod val="6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0.0717</cdr:x>
      <cdr:y>0.57313</cdr:y>
    </cdr:from>
    <cdr:to>
      <cdr:x>0.78889</cdr:x>
      <cdr:y>0.57832</cdr:y>
    </cdr:to>
    <cdr:cxnSp macro="">
      <cdr:nvCxnSpPr>
        <cdr:cNvPr id="3" name="Raven povezovalnik 2">
          <a:extLst xmlns:a="http://schemas.openxmlformats.org/drawingml/2006/main">
            <a:ext uri="{FF2B5EF4-FFF2-40B4-BE49-F238E27FC236}">
              <a16:creationId xmlns="" xmlns:a16="http://schemas.microsoft.com/office/drawing/2014/main" id="{4E1AA9A1-183E-4890-B172-54C9C70EC2A5}"/>
            </a:ext>
          </a:extLst>
        </cdr:cNvPr>
        <cdr:cNvCxnSpPr/>
      </cdr:nvCxnSpPr>
      <cdr:spPr>
        <a:xfrm xmlns:a="http://schemas.openxmlformats.org/drawingml/2006/main" flipV="1">
          <a:off x="412158" y="1578659"/>
          <a:ext cx="4122506" cy="14290"/>
        </a:xfrm>
        <a:prstGeom xmlns:a="http://schemas.openxmlformats.org/drawingml/2006/main" prst="line">
          <a:avLst/>
        </a:prstGeom>
        <a:ln xmlns:a="http://schemas.openxmlformats.org/drawingml/2006/main">
          <a:solidFill>
            <a:schemeClr val="bg1">
              <a:lumMod val="6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0.0717</cdr:x>
      <cdr:y>0.57313</cdr:y>
    </cdr:from>
    <cdr:to>
      <cdr:x>0.78889</cdr:x>
      <cdr:y>0.57832</cdr:y>
    </cdr:to>
    <cdr:cxnSp macro="">
      <cdr:nvCxnSpPr>
        <cdr:cNvPr id="3" name="Raven povezovalnik 2">
          <a:extLst xmlns:a="http://schemas.openxmlformats.org/drawingml/2006/main">
            <a:ext uri="{FF2B5EF4-FFF2-40B4-BE49-F238E27FC236}">
              <a16:creationId xmlns="" xmlns:a16="http://schemas.microsoft.com/office/drawing/2014/main" id="{4E1AA9A1-183E-4890-B172-54C9C70EC2A5}"/>
            </a:ext>
          </a:extLst>
        </cdr:cNvPr>
        <cdr:cNvCxnSpPr/>
      </cdr:nvCxnSpPr>
      <cdr:spPr>
        <a:xfrm xmlns:a="http://schemas.openxmlformats.org/drawingml/2006/main" flipV="1">
          <a:off x="412158" y="1578659"/>
          <a:ext cx="4122506" cy="14290"/>
        </a:xfrm>
        <a:prstGeom xmlns:a="http://schemas.openxmlformats.org/drawingml/2006/main" prst="line">
          <a:avLst/>
        </a:prstGeom>
        <a:ln xmlns:a="http://schemas.openxmlformats.org/drawingml/2006/main">
          <a:solidFill>
            <a:schemeClr val="bg1">
              <a:lumMod val="6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7.xml><?xml version="1.0" encoding="utf-8"?>
<c:userShapes xmlns:c="http://schemas.openxmlformats.org/drawingml/2006/chart">
  <cdr:relSizeAnchor xmlns:cdr="http://schemas.openxmlformats.org/drawingml/2006/chartDrawing">
    <cdr:from>
      <cdr:x>0.0717</cdr:x>
      <cdr:y>0.57313</cdr:y>
    </cdr:from>
    <cdr:to>
      <cdr:x>0.78889</cdr:x>
      <cdr:y>0.57832</cdr:y>
    </cdr:to>
    <cdr:cxnSp macro="">
      <cdr:nvCxnSpPr>
        <cdr:cNvPr id="3" name="Raven povezovalnik 2">
          <a:extLst xmlns:a="http://schemas.openxmlformats.org/drawingml/2006/main">
            <a:ext uri="{FF2B5EF4-FFF2-40B4-BE49-F238E27FC236}">
              <a16:creationId xmlns="" xmlns:a16="http://schemas.microsoft.com/office/drawing/2014/main" id="{4E1AA9A1-183E-4890-B172-54C9C70EC2A5}"/>
            </a:ext>
          </a:extLst>
        </cdr:cNvPr>
        <cdr:cNvCxnSpPr/>
      </cdr:nvCxnSpPr>
      <cdr:spPr>
        <a:xfrm xmlns:a="http://schemas.openxmlformats.org/drawingml/2006/main" flipV="1">
          <a:off x="412158" y="1578659"/>
          <a:ext cx="4122506" cy="14290"/>
        </a:xfrm>
        <a:prstGeom xmlns:a="http://schemas.openxmlformats.org/drawingml/2006/main" prst="line">
          <a:avLst/>
        </a:prstGeom>
        <a:ln xmlns:a="http://schemas.openxmlformats.org/drawingml/2006/main">
          <a:solidFill>
            <a:schemeClr val="bg1">
              <a:lumMod val="6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8.xml><?xml version="1.0" encoding="utf-8"?>
<c:userShapes xmlns:c="http://schemas.openxmlformats.org/drawingml/2006/chart">
  <cdr:relSizeAnchor xmlns:cdr="http://schemas.openxmlformats.org/drawingml/2006/chartDrawing">
    <cdr:from>
      <cdr:x>0.0717</cdr:x>
      <cdr:y>0.57313</cdr:y>
    </cdr:from>
    <cdr:to>
      <cdr:x>0.78889</cdr:x>
      <cdr:y>0.57832</cdr:y>
    </cdr:to>
    <cdr:cxnSp macro="">
      <cdr:nvCxnSpPr>
        <cdr:cNvPr id="3" name="Raven povezovalnik 2">
          <a:extLst xmlns:a="http://schemas.openxmlformats.org/drawingml/2006/main">
            <a:ext uri="{FF2B5EF4-FFF2-40B4-BE49-F238E27FC236}">
              <a16:creationId xmlns="" xmlns:a16="http://schemas.microsoft.com/office/drawing/2014/main" id="{4E1AA9A1-183E-4890-B172-54C9C70EC2A5}"/>
            </a:ext>
          </a:extLst>
        </cdr:cNvPr>
        <cdr:cNvCxnSpPr/>
      </cdr:nvCxnSpPr>
      <cdr:spPr>
        <a:xfrm xmlns:a="http://schemas.openxmlformats.org/drawingml/2006/main" flipV="1">
          <a:off x="412158" y="1578659"/>
          <a:ext cx="4122506" cy="14290"/>
        </a:xfrm>
        <a:prstGeom xmlns:a="http://schemas.openxmlformats.org/drawingml/2006/main" prst="line">
          <a:avLst/>
        </a:prstGeom>
        <a:ln xmlns:a="http://schemas.openxmlformats.org/drawingml/2006/main">
          <a:solidFill>
            <a:schemeClr val="bg1">
              <a:lumMod val="6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Gladko">
  <a:themeElements>
    <a:clrScheme name="Zelena">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Gladko">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xmlns="" name="Facet" id="{C0C680CD-088A-49FC-A102-D699147F32B2}" vid="{CFBC31BA-B70F-4F30-BCAA-4F3011E16C4D}"/>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2EA7E00FA47C489A68F5351DCE6A54" ma:contentTypeVersion="11" ma:contentTypeDescription="Create a new document." ma:contentTypeScope="" ma:versionID="66f26d04aa8a4423a9e4536f7929caf7">
  <xsd:schema xmlns:xsd="http://www.w3.org/2001/XMLSchema" xmlns:xs="http://www.w3.org/2001/XMLSchema" xmlns:p="http://schemas.microsoft.com/office/2006/metadata/properties" xmlns:ns3="50307eb4-e1ea-4f3d-9169-8e6b2bbefc76" xmlns:ns4="56c07ba4-ae6d-47db-b136-c9bb4bda6c6b" targetNamespace="http://schemas.microsoft.com/office/2006/metadata/properties" ma:root="true" ma:fieldsID="77f558c0c47d4a7d34589004f157b0f3" ns3:_="" ns4:_="">
    <xsd:import namespace="50307eb4-e1ea-4f3d-9169-8e6b2bbefc76"/>
    <xsd:import namespace="56c07ba4-ae6d-47db-b136-c9bb4bda6c6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307eb4-e1ea-4f3d-9169-8e6b2bbef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c07ba4-ae6d-47db-b136-c9bb4bda6c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C30E51A-FA55-4DFD-AEBD-4D53B1A93412}">
  <ds:schemaRefs>
    <ds:schemaRef ds:uri="http://schemas.microsoft.com/sharepoint/v3/contenttype/forms"/>
  </ds:schemaRefs>
</ds:datastoreItem>
</file>

<file path=customXml/itemProps2.xml><?xml version="1.0" encoding="utf-8"?>
<ds:datastoreItem xmlns:ds="http://schemas.openxmlformats.org/officeDocument/2006/customXml" ds:itemID="{E69CA2ED-7139-43C9-A2AA-6BEF3238C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307eb4-e1ea-4f3d-9169-8e6b2bbefc76"/>
    <ds:schemaRef ds:uri="56c07ba4-ae6d-47db-b136-c9bb4bda6c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0D2338-332F-49BA-9E61-42B8A767826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0D0315-9906-4AFE-BB38-A815A5D76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70</Pages>
  <Words>24928</Words>
  <Characters>142091</Characters>
  <Application>Microsoft Office Word</Application>
  <DocSecurity>0</DocSecurity>
  <Lines>1184</Lines>
  <Paragraphs>333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166686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Cebular</dc:creator>
  <cp:lastModifiedBy>Staša Zabukošek</cp:lastModifiedBy>
  <cp:revision>7</cp:revision>
  <cp:lastPrinted>2020-09-10T11:11:00Z</cp:lastPrinted>
  <dcterms:created xsi:type="dcterms:W3CDTF">2020-09-16T07:13:00Z</dcterms:created>
  <dcterms:modified xsi:type="dcterms:W3CDTF">2020-09-17T08:27:00Z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0x010100E12EA7E00FA47C489A68F5351DCE6A54</vt:lpwstr>
  </property>
</Properties>
</file>